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BE06B6" w14:textId="77777777" w:rsidR="00331A8B" w:rsidRPr="009D365F" w:rsidRDefault="00331A8B" w:rsidP="00331A8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Cs w:val="24"/>
        </w:rPr>
      </w:pPr>
      <w:r w:rsidRPr="009D365F">
        <w:rPr>
          <w:rFonts w:ascii="Times New Roman" w:hAnsi="Times New Roman" w:cs="Times New Roman"/>
          <w:b/>
          <w:bCs/>
          <w:color w:val="000000"/>
          <w:szCs w:val="24"/>
        </w:rPr>
        <w:t xml:space="preserve">Comparative Evaluation of Calcium Hydroxide Nanoparticles and Calcium Hydroxide–Loaded </w:t>
      </w:r>
      <w:proofErr w:type="gramStart"/>
      <w:r w:rsidRPr="009D365F">
        <w:rPr>
          <w:rFonts w:ascii="Times New Roman" w:hAnsi="Times New Roman" w:cs="Times New Roman"/>
          <w:b/>
          <w:bCs/>
          <w:color w:val="000000"/>
          <w:szCs w:val="24"/>
        </w:rPr>
        <w:t>Poly(</w:t>
      </w:r>
      <w:proofErr w:type="gramEnd"/>
      <w:r w:rsidRPr="009D365F">
        <w:rPr>
          <w:rFonts w:ascii="Times New Roman" w:hAnsi="Times New Roman" w:cs="Times New Roman"/>
          <w:b/>
          <w:bCs/>
          <w:color w:val="000000"/>
          <w:szCs w:val="24"/>
        </w:rPr>
        <w:t>lactic-co-glycolic acid) Nanoparticles on Cytocompatibility, Osteoblastic Differentiation, and Mineralization under Inflammatory Conditions</w:t>
      </w:r>
    </w:p>
    <w:p w14:paraId="48144CC2" w14:textId="77777777" w:rsidR="00331A8B" w:rsidRPr="009D365F" w:rsidRDefault="00331A8B" w:rsidP="00331A8B">
      <w:pPr>
        <w:spacing w:beforeLines="200" w:before="480" w:line="360" w:lineRule="auto"/>
        <w:rPr>
          <w:rFonts w:ascii="Times New Roman" w:hAnsi="Times New Roman" w:cs="Times New Roman"/>
          <w:b/>
          <w:bCs/>
          <w:szCs w:val="24"/>
        </w:rPr>
      </w:pPr>
      <w:proofErr w:type="spellStart"/>
      <w:r w:rsidRPr="009D365F">
        <w:rPr>
          <w:rFonts w:ascii="Times New Roman" w:hAnsi="Times New Roman" w:cs="Times New Roman"/>
          <w:b/>
          <w:bCs/>
          <w:szCs w:val="24"/>
        </w:rPr>
        <w:t>Kruekfar</w:t>
      </w:r>
      <w:proofErr w:type="spellEnd"/>
      <w:r w:rsidRPr="009D365F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9D365F">
        <w:rPr>
          <w:rFonts w:ascii="Times New Roman" w:hAnsi="Times New Roman" w:cs="Times New Roman"/>
          <w:b/>
          <w:bCs/>
          <w:szCs w:val="24"/>
        </w:rPr>
        <w:t>Kasorntumkittiwuit</w:t>
      </w:r>
      <w:proofErr w:type="spellEnd"/>
      <w:r w:rsidRPr="009D365F">
        <w:rPr>
          <w:rFonts w:ascii="Times New Roman" w:hAnsi="Times New Roman" w:cs="Times New Roman"/>
          <w:szCs w:val="24"/>
          <w:vertAlign w:val="superscript"/>
          <w:cs/>
        </w:rPr>
        <w:t>a</w:t>
      </w:r>
      <w:r w:rsidRPr="009D365F">
        <w:rPr>
          <w:rFonts w:ascii="Times New Roman" w:hAnsi="Times New Roman" w:cs="Times New Roman"/>
          <w:szCs w:val="24"/>
          <w:cs/>
        </w:rPr>
        <w:t>,</w:t>
      </w:r>
      <w:r w:rsidRPr="009D365F">
        <w:rPr>
          <w:rFonts w:ascii="Times New Roman" w:hAnsi="Times New Roman" w:cs="Times New Roman"/>
          <w:b/>
          <w:bCs/>
          <w:kern w:val="36"/>
          <w:szCs w:val="24"/>
        </w:rPr>
        <w:t xml:space="preserve"> </w:t>
      </w:r>
      <w:proofErr w:type="spellStart"/>
      <w:r w:rsidRPr="009D365F">
        <w:rPr>
          <w:rFonts w:ascii="Times New Roman" w:hAnsi="Times New Roman" w:cs="Times New Roman"/>
          <w:szCs w:val="24"/>
        </w:rPr>
        <w:t>Parinthron</w:t>
      </w:r>
      <w:proofErr w:type="spellEnd"/>
      <w:r w:rsidRPr="009D365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9D365F">
        <w:rPr>
          <w:rFonts w:ascii="Times New Roman" w:hAnsi="Times New Roman" w:cs="Times New Roman"/>
          <w:szCs w:val="24"/>
        </w:rPr>
        <w:t>Rattanakijkamol</w:t>
      </w:r>
      <w:proofErr w:type="spellEnd"/>
      <w:r w:rsidRPr="009D365F">
        <w:rPr>
          <w:rFonts w:ascii="Times New Roman" w:hAnsi="Times New Roman" w:cs="Times New Roman"/>
          <w:szCs w:val="24"/>
          <w:vertAlign w:val="superscript"/>
          <w:cs/>
        </w:rPr>
        <w:t>a</w:t>
      </w:r>
      <w:r w:rsidRPr="009D365F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D365F">
        <w:rPr>
          <w:rFonts w:ascii="Times New Roman" w:hAnsi="Times New Roman" w:cs="Times New Roman"/>
          <w:szCs w:val="24"/>
        </w:rPr>
        <w:t>Pongrapee</w:t>
      </w:r>
      <w:proofErr w:type="spellEnd"/>
      <w:r w:rsidRPr="009D365F">
        <w:rPr>
          <w:rFonts w:ascii="Times New Roman" w:hAnsi="Times New Roman" w:cs="Times New Roman"/>
          <w:szCs w:val="24"/>
        </w:rPr>
        <w:t xml:space="preserve"> </w:t>
      </w:r>
      <w:proofErr w:type="spellStart"/>
      <w:proofErr w:type="gramStart"/>
      <w:r w:rsidRPr="009D365F">
        <w:rPr>
          <w:rFonts w:ascii="Times New Roman" w:hAnsi="Times New Roman" w:cs="Times New Roman"/>
          <w:szCs w:val="24"/>
        </w:rPr>
        <w:t>Laorodphun</w:t>
      </w:r>
      <w:r w:rsidRPr="009D365F">
        <w:rPr>
          <w:rFonts w:ascii="Times New Roman" w:hAnsi="Times New Roman" w:cs="Times New Roman"/>
          <w:szCs w:val="24"/>
          <w:vertAlign w:val="superscript"/>
        </w:rPr>
        <w:t>b,c</w:t>
      </w:r>
      <w:proofErr w:type="spellEnd"/>
      <w:proofErr w:type="gramEnd"/>
      <w:r w:rsidRPr="009D365F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D365F">
        <w:rPr>
          <w:rFonts w:ascii="Times New Roman" w:hAnsi="Times New Roman" w:cs="Times New Roman"/>
          <w:szCs w:val="24"/>
        </w:rPr>
        <w:t>Warat</w:t>
      </w:r>
      <w:proofErr w:type="spellEnd"/>
      <w:r w:rsidRPr="009D365F">
        <w:rPr>
          <w:rFonts w:ascii="Times New Roman" w:hAnsi="Times New Roman" w:cs="Times New Roman"/>
          <w:szCs w:val="24"/>
        </w:rPr>
        <w:t xml:space="preserve"> Leelapornpisid</w:t>
      </w:r>
      <w:r w:rsidRPr="009D365F">
        <w:rPr>
          <w:rFonts w:ascii="Times New Roman" w:hAnsi="Times New Roman" w:cs="Times New Roman"/>
          <w:szCs w:val="24"/>
          <w:vertAlign w:val="superscript"/>
          <w:cs/>
        </w:rPr>
        <w:t>a</w:t>
      </w:r>
      <w:r w:rsidRPr="009D365F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9D365F">
        <w:rPr>
          <w:rFonts w:ascii="Times New Roman" w:hAnsi="Times New Roman" w:cs="Times New Roman"/>
          <w:szCs w:val="24"/>
        </w:rPr>
        <w:t>Napatsorn</w:t>
      </w:r>
      <w:proofErr w:type="spellEnd"/>
      <w:r w:rsidRPr="009D365F">
        <w:rPr>
          <w:rFonts w:ascii="Times New Roman" w:hAnsi="Times New Roman" w:cs="Times New Roman"/>
          <w:szCs w:val="24"/>
        </w:rPr>
        <w:t xml:space="preserve"> </w:t>
      </w:r>
      <w:proofErr w:type="spellStart"/>
      <w:proofErr w:type="gramStart"/>
      <w:r w:rsidRPr="009D365F">
        <w:rPr>
          <w:rFonts w:ascii="Times New Roman" w:hAnsi="Times New Roman" w:cs="Times New Roman"/>
          <w:szCs w:val="24"/>
        </w:rPr>
        <w:t>Imerb</w:t>
      </w:r>
      <w:r w:rsidRPr="009D365F">
        <w:rPr>
          <w:rFonts w:ascii="Times New Roman" w:hAnsi="Times New Roman" w:cs="Times New Roman"/>
          <w:szCs w:val="24"/>
          <w:vertAlign w:val="superscript"/>
        </w:rPr>
        <w:t>d</w:t>
      </w:r>
      <w:proofErr w:type="spellEnd"/>
      <w:r w:rsidRPr="009D365F">
        <w:rPr>
          <w:rFonts w:ascii="Times New Roman" w:hAnsi="Times New Roman" w:cs="Times New Roman"/>
          <w:szCs w:val="24"/>
          <w:vertAlign w:val="superscript"/>
        </w:rPr>
        <w:t>,*</w:t>
      </w:r>
      <w:proofErr w:type="gramEnd"/>
      <w:r w:rsidRPr="009D365F">
        <w:rPr>
          <w:rFonts w:ascii="Times New Roman" w:hAnsi="Times New Roman" w:cs="Times New Roman"/>
          <w:szCs w:val="24"/>
        </w:rPr>
        <w:t xml:space="preserve"> </w:t>
      </w:r>
    </w:p>
    <w:p w14:paraId="4DD183BF" w14:textId="77777777" w:rsidR="00331A8B" w:rsidRPr="009D365F" w:rsidRDefault="00331A8B" w:rsidP="00331A8B">
      <w:pPr>
        <w:spacing w:line="360" w:lineRule="auto"/>
        <w:rPr>
          <w:rFonts w:ascii="Times New Roman" w:hAnsi="Times New Roman" w:cs="Times New Roman"/>
          <w:szCs w:val="24"/>
        </w:rPr>
      </w:pPr>
    </w:p>
    <w:p w14:paraId="1CC31E0D" w14:textId="58341CE9" w:rsidR="00331A8B" w:rsidRDefault="00331A8B" w:rsidP="00331A8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Cs w:val="24"/>
          <w:u w:color="000000"/>
        </w:rPr>
      </w:pPr>
      <w:r w:rsidRPr="00891BD3">
        <w:rPr>
          <w:rFonts w:ascii="Times New Roman" w:hAnsi="Times New Roman" w:cs="Times New Roman"/>
          <w:b/>
          <w:bCs/>
          <w:color w:val="000000"/>
          <w:szCs w:val="24"/>
          <w:u w:color="000000"/>
        </w:rPr>
        <w:t>Supplementary Figure S1</w:t>
      </w:r>
      <w:r w:rsidRPr="00891BD3">
        <w:rPr>
          <w:rFonts w:ascii="Times New Roman" w:hAnsi="Times New Roman" w:cs="Times New Roman"/>
          <w:color w:val="000000"/>
          <w:szCs w:val="24"/>
          <w:u w:color="000000"/>
        </w:rPr>
        <w:t>.</w:t>
      </w:r>
      <w:r>
        <w:rPr>
          <w:rFonts w:ascii="Times New Roman" w:hAnsi="Times New Roman" w:cs="Times New Roman"/>
          <w:color w:val="000000"/>
          <w:szCs w:val="24"/>
          <w:u w:color="000000"/>
        </w:rPr>
        <w:t xml:space="preserve"> </w:t>
      </w:r>
    </w:p>
    <w:p w14:paraId="7A2AD4D6" w14:textId="340FE9B7" w:rsidR="00331A8B" w:rsidRDefault="00331A8B" w:rsidP="00331A8B">
      <w:pPr>
        <w:rPr>
          <w:rFonts w:ascii="Times New Roman" w:hAnsi="Times New Roman" w:cs="Times New Roman"/>
          <w:color w:val="000000"/>
          <w:szCs w:val="24"/>
          <w:u w:color="000000"/>
        </w:rPr>
      </w:pPr>
      <w:r>
        <w:rPr>
          <w:rFonts w:ascii="Times New Roman" w:hAnsi="Times New Roman" w:cs="Times New Roman"/>
          <w:color w:val="000000"/>
          <w:szCs w:val="24"/>
          <w:u w:color="000000"/>
        </w:rPr>
        <w:br w:type="page"/>
      </w:r>
    </w:p>
    <w:p w14:paraId="046493FF" w14:textId="77777777" w:rsidR="00331A8B" w:rsidRDefault="00331A8B" w:rsidP="00331A8B">
      <w:pPr>
        <w:tabs>
          <w:tab w:val="left" w:pos="213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Cs w:val="24"/>
          <w:u w:color="000000"/>
        </w:rPr>
      </w:pPr>
      <w:r>
        <w:rPr>
          <w:rFonts w:ascii="Times New Roman" w:hAnsi="Times New Roman" w:cs="Times New Roman"/>
          <w:noProof/>
          <w:color w:val="000000"/>
          <w:szCs w:val="24"/>
          <w:u w:color="000000"/>
        </w:rPr>
        <w:lastRenderedPageBreak/>
        <w:drawing>
          <wp:inline distT="0" distB="0" distL="0" distR="0" wp14:anchorId="69F04C8B" wp14:editId="4022B2B3">
            <wp:extent cx="4725423" cy="3275839"/>
            <wp:effectExtent l="0" t="0" r="0" b="1270"/>
            <wp:docPr id="1991841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841005" name="Picture 199184100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6654" cy="333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E44C0" w14:textId="77777777" w:rsidR="00331A8B" w:rsidRDefault="00331A8B" w:rsidP="00331A8B">
      <w:pPr>
        <w:pStyle w:val="NormalWeb"/>
        <w:jc w:val="thaiDistribute"/>
      </w:pPr>
      <w:r>
        <w:rPr>
          <w:rStyle w:val="Strong"/>
        </w:rPr>
        <w:t>Figure S1. Cell viability of primary human osteoblasts exposed to different concentrations of calcium hydroxide formulations.</w:t>
      </w:r>
      <w:r>
        <w:t xml:space="preserve"> Cell viability was assessed using the MTT assay after 48 hours of exposure to conventional calcium hydroxide (CH), calcium hydroxide nanoparticles (CH NPs), or calcium hydroxide-loaded </w:t>
      </w:r>
      <w:proofErr w:type="gramStart"/>
      <w:r>
        <w:t>poly(</w:t>
      </w:r>
      <w:proofErr w:type="gramEnd"/>
      <w:r>
        <w:t>lactic-co-glycolic acid) nanoparticles (CH-PLGA NPs) at concentrations of 0.25, 0.31, 0.37, 0.43, and 0.50 mg/</w:t>
      </w:r>
      <w:proofErr w:type="spellStart"/>
      <w:r>
        <w:t>mL.</w:t>
      </w:r>
      <w:proofErr w:type="spellEnd"/>
      <w:r>
        <w:t xml:space="preserve"> Concentrations of CH-PLGA NPs are expressed as calcium hydroxide equivalents. Viability is expressed as a percentage relative to the untreated basal-medium control. Data were represented means ± standard deviations and symbols showing individual measurements. PLGA and PG vehicle controls are shown alongside the 0.50 mg/mL treatments. The red dotted line indicates 80% cell viability. CH, calcium hydroxide; NPs, nanoparticles; PLGA, </w:t>
      </w:r>
      <w:proofErr w:type="gramStart"/>
      <w:r>
        <w:t>poly(</w:t>
      </w:r>
      <w:proofErr w:type="gramEnd"/>
      <w:r>
        <w:t>lactic-co-glycolic acid); PG, propylene glycol; MTT, 3-(4,5-dimethylthiazol-2-yl)-2,5-diphenyltetrazolium bromide."</w:t>
      </w:r>
    </w:p>
    <w:p w14:paraId="10215EDC" w14:textId="77777777" w:rsidR="00ED4A42" w:rsidRDefault="00ED4A42"/>
    <w:sectPr w:rsidR="00ED4A42" w:rsidSect="00BF49D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A8B"/>
    <w:rsid w:val="00014295"/>
    <w:rsid w:val="00026633"/>
    <w:rsid w:val="00033872"/>
    <w:rsid w:val="00033B3E"/>
    <w:rsid w:val="00066AB7"/>
    <w:rsid w:val="00072274"/>
    <w:rsid w:val="00072802"/>
    <w:rsid w:val="0007687E"/>
    <w:rsid w:val="00080985"/>
    <w:rsid w:val="00087088"/>
    <w:rsid w:val="00090FC5"/>
    <w:rsid w:val="000A2A09"/>
    <w:rsid w:val="000A44F1"/>
    <w:rsid w:val="000D074C"/>
    <w:rsid w:val="000E3DC3"/>
    <w:rsid w:val="000F31BD"/>
    <w:rsid w:val="00104234"/>
    <w:rsid w:val="00113740"/>
    <w:rsid w:val="00117045"/>
    <w:rsid w:val="0012142A"/>
    <w:rsid w:val="001368B3"/>
    <w:rsid w:val="00140DB3"/>
    <w:rsid w:val="00147FAF"/>
    <w:rsid w:val="00167811"/>
    <w:rsid w:val="00172709"/>
    <w:rsid w:val="00190309"/>
    <w:rsid w:val="00191557"/>
    <w:rsid w:val="001A5E95"/>
    <w:rsid w:val="001A7C0F"/>
    <w:rsid w:val="001B4C8C"/>
    <w:rsid w:val="001D3B89"/>
    <w:rsid w:val="001E2251"/>
    <w:rsid w:val="002007EC"/>
    <w:rsid w:val="002228CF"/>
    <w:rsid w:val="002252C4"/>
    <w:rsid w:val="0023281D"/>
    <w:rsid w:val="00233763"/>
    <w:rsid w:val="00243A2D"/>
    <w:rsid w:val="00253258"/>
    <w:rsid w:val="00254996"/>
    <w:rsid w:val="00267929"/>
    <w:rsid w:val="00272FCE"/>
    <w:rsid w:val="00296E8C"/>
    <w:rsid w:val="002A77BE"/>
    <w:rsid w:val="002A7C7B"/>
    <w:rsid w:val="002C5405"/>
    <w:rsid w:val="002E75E2"/>
    <w:rsid w:val="002F4A34"/>
    <w:rsid w:val="003072AA"/>
    <w:rsid w:val="00331A8B"/>
    <w:rsid w:val="00346FB9"/>
    <w:rsid w:val="00350DFA"/>
    <w:rsid w:val="00362F41"/>
    <w:rsid w:val="003704BE"/>
    <w:rsid w:val="003871B9"/>
    <w:rsid w:val="003915FD"/>
    <w:rsid w:val="00396DDB"/>
    <w:rsid w:val="003A6620"/>
    <w:rsid w:val="003B4B1F"/>
    <w:rsid w:val="003E0C51"/>
    <w:rsid w:val="003E1CF3"/>
    <w:rsid w:val="004036F9"/>
    <w:rsid w:val="00413851"/>
    <w:rsid w:val="00422F1B"/>
    <w:rsid w:val="0043704B"/>
    <w:rsid w:val="00445820"/>
    <w:rsid w:val="00482098"/>
    <w:rsid w:val="00493B03"/>
    <w:rsid w:val="004A628A"/>
    <w:rsid w:val="004B6940"/>
    <w:rsid w:val="004C06BC"/>
    <w:rsid w:val="004E0ABB"/>
    <w:rsid w:val="005311DF"/>
    <w:rsid w:val="00540159"/>
    <w:rsid w:val="00550497"/>
    <w:rsid w:val="0056136F"/>
    <w:rsid w:val="005A3D5C"/>
    <w:rsid w:val="005C66AD"/>
    <w:rsid w:val="005C6FC0"/>
    <w:rsid w:val="005D0D90"/>
    <w:rsid w:val="005F564A"/>
    <w:rsid w:val="00603368"/>
    <w:rsid w:val="006302EE"/>
    <w:rsid w:val="00635005"/>
    <w:rsid w:val="00650B2F"/>
    <w:rsid w:val="0066005B"/>
    <w:rsid w:val="00670B86"/>
    <w:rsid w:val="00695396"/>
    <w:rsid w:val="006B5B05"/>
    <w:rsid w:val="006C315C"/>
    <w:rsid w:val="00704EBF"/>
    <w:rsid w:val="007060CD"/>
    <w:rsid w:val="007129AB"/>
    <w:rsid w:val="00751669"/>
    <w:rsid w:val="00751B1D"/>
    <w:rsid w:val="007639C4"/>
    <w:rsid w:val="00765BB0"/>
    <w:rsid w:val="0078176A"/>
    <w:rsid w:val="00784778"/>
    <w:rsid w:val="00790175"/>
    <w:rsid w:val="00821F8C"/>
    <w:rsid w:val="00831EC7"/>
    <w:rsid w:val="00832FC1"/>
    <w:rsid w:val="00840D11"/>
    <w:rsid w:val="00845631"/>
    <w:rsid w:val="008637BC"/>
    <w:rsid w:val="0086411E"/>
    <w:rsid w:val="00872C43"/>
    <w:rsid w:val="00876EE5"/>
    <w:rsid w:val="008A680E"/>
    <w:rsid w:val="008B7851"/>
    <w:rsid w:val="008B797E"/>
    <w:rsid w:val="008D04AE"/>
    <w:rsid w:val="008D32C7"/>
    <w:rsid w:val="008E1863"/>
    <w:rsid w:val="009113BE"/>
    <w:rsid w:val="00913581"/>
    <w:rsid w:val="0091359B"/>
    <w:rsid w:val="009208BE"/>
    <w:rsid w:val="00927BA1"/>
    <w:rsid w:val="00927EDB"/>
    <w:rsid w:val="00943A95"/>
    <w:rsid w:val="0095042F"/>
    <w:rsid w:val="00961276"/>
    <w:rsid w:val="009C6072"/>
    <w:rsid w:val="009E690F"/>
    <w:rsid w:val="009E6F17"/>
    <w:rsid w:val="009F61BF"/>
    <w:rsid w:val="00A1087D"/>
    <w:rsid w:val="00A3791E"/>
    <w:rsid w:val="00A4494C"/>
    <w:rsid w:val="00A703ED"/>
    <w:rsid w:val="00A71006"/>
    <w:rsid w:val="00A81986"/>
    <w:rsid w:val="00A87793"/>
    <w:rsid w:val="00A95099"/>
    <w:rsid w:val="00AA7EFB"/>
    <w:rsid w:val="00AB359E"/>
    <w:rsid w:val="00AC727C"/>
    <w:rsid w:val="00AE2D84"/>
    <w:rsid w:val="00AE7B75"/>
    <w:rsid w:val="00B17EE8"/>
    <w:rsid w:val="00B21528"/>
    <w:rsid w:val="00B418F2"/>
    <w:rsid w:val="00B57B52"/>
    <w:rsid w:val="00B673D8"/>
    <w:rsid w:val="00B70443"/>
    <w:rsid w:val="00B723CE"/>
    <w:rsid w:val="00B804DC"/>
    <w:rsid w:val="00B91015"/>
    <w:rsid w:val="00B969FF"/>
    <w:rsid w:val="00BA190B"/>
    <w:rsid w:val="00BB3AB3"/>
    <w:rsid w:val="00BC2BC8"/>
    <w:rsid w:val="00BE2359"/>
    <w:rsid w:val="00BE6803"/>
    <w:rsid w:val="00BE6A14"/>
    <w:rsid w:val="00BF49DC"/>
    <w:rsid w:val="00BF64DE"/>
    <w:rsid w:val="00C00FEE"/>
    <w:rsid w:val="00C159F1"/>
    <w:rsid w:val="00C34079"/>
    <w:rsid w:val="00C36176"/>
    <w:rsid w:val="00C660F2"/>
    <w:rsid w:val="00C816CE"/>
    <w:rsid w:val="00C969F9"/>
    <w:rsid w:val="00CA1892"/>
    <w:rsid w:val="00CB0F01"/>
    <w:rsid w:val="00CB27B3"/>
    <w:rsid w:val="00CE4CFC"/>
    <w:rsid w:val="00CF46A5"/>
    <w:rsid w:val="00CF497B"/>
    <w:rsid w:val="00CF4D7E"/>
    <w:rsid w:val="00D07FA2"/>
    <w:rsid w:val="00D1143D"/>
    <w:rsid w:val="00D22923"/>
    <w:rsid w:val="00D2636C"/>
    <w:rsid w:val="00D40263"/>
    <w:rsid w:val="00D51CB7"/>
    <w:rsid w:val="00D51CC4"/>
    <w:rsid w:val="00D57E7B"/>
    <w:rsid w:val="00D770D3"/>
    <w:rsid w:val="00DA4842"/>
    <w:rsid w:val="00DD0C4E"/>
    <w:rsid w:val="00DE4514"/>
    <w:rsid w:val="00DE79E2"/>
    <w:rsid w:val="00E03516"/>
    <w:rsid w:val="00E22946"/>
    <w:rsid w:val="00E25E4A"/>
    <w:rsid w:val="00E308DD"/>
    <w:rsid w:val="00E31C16"/>
    <w:rsid w:val="00E47DE3"/>
    <w:rsid w:val="00E74773"/>
    <w:rsid w:val="00E77C93"/>
    <w:rsid w:val="00E81221"/>
    <w:rsid w:val="00E90C09"/>
    <w:rsid w:val="00EC34BB"/>
    <w:rsid w:val="00EC54C8"/>
    <w:rsid w:val="00ED4A42"/>
    <w:rsid w:val="00ED6D3D"/>
    <w:rsid w:val="00EE00CC"/>
    <w:rsid w:val="00EE3C34"/>
    <w:rsid w:val="00EE56F4"/>
    <w:rsid w:val="00EE6F71"/>
    <w:rsid w:val="00EF3CE8"/>
    <w:rsid w:val="00F33F5F"/>
    <w:rsid w:val="00F35D2B"/>
    <w:rsid w:val="00F407FF"/>
    <w:rsid w:val="00F509A1"/>
    <w:rsid w:val="00F625F6"/>
    <w:rsid w:val="00F709B0"/>
    <w:rsid w:val="00F82458"/>
    <w:rsid w:val="00F826F7"/>
    <w:rsid w:val="00FB5974"/>
    <w:rsid w:val="00FC362A"/>
    <w:rsid w:val="00FD137C"/>
    <w:rsid w:val="00FE071B"/>
    <w:rsid w:val="00FF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CC8DF3"/>
  <w15:chartTrackingRefBased/>
  <w15:docId w15:val="{83D4859B-B819-FC4D-AC94-6BDC31752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A8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  <w:lang w:val="en-T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  <w:lang w:val="en-T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  <w:lang w:val="en-T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T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T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A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 w:val="en-T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A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 w:val="en-T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A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lang w:val="en-T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A8B"/>
    <w:pPr>
      <w:keepNext/>
      <w:keepLines/>
      <w:outlineLvl w:val="8"/>
    </w:pPr>
    <w:rPr>
      <w:rFonts w:eastAsiaTheme="majorEastAsia" w:cstheme="majorBidi"/>
      <w:color w:val="272727" w:themeColor="text1" w:themeTint="D8"/>
      <w:lang w:val="en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A8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A8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A8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A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A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A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A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A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A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A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TH"/>
    </w:rPr>
  </w:style>
  <w:style w:type="character" w:customStyle="1" w:styleId="TitleChar">
    <w:name w:val="Title Char"/>
    <w:basedOn w:val="DefaultParagraphFont"/>
    <w:link w:val="Title"/>
    <w:uiPriority w:val="10"/>
    <w:rsid w:val="00331A8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A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  <w:lang w:val="en-TH"/>
    </w:rPr>
  </w:style>
  <w:style w:type="character" w:customStyle="1" w:styleId="SubtitleChar">
    <w:name w:val="Subtitle Char"/>
    <w:basedOn w:val="DefaultParagraphFont"/>
    <w:link w:val="Subtitle"/>
    <w:uiPriority w:val="11"/>
    <w:rsid w:val="00331A8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31A8B"/>
    <w:pPr>
      <w:spacing w:before="160" w:after="160"/>
      <w:jc w:val="center"/>
    </w:pPr>
    <w:rPr>
      <w:i/>
      <w:iCs/>
      <w:color w:val="404040" w:themeColor="text1" w:themeTint="BF"/>
      <w:lang w:val="en-TH"/>
    </w:rPr>
  </w:style>
  <w:style w:type="character" w:customStyle="1" w:styleId="QuoteChar">
    <w:name w:val="Quote Char"/>
    <w:basedOn w:val="DefaultParagraphFont"/>
    <w:link w:val="Quote"/>
    <w:uiPriority w:val="29"/>
    <w:rsid w:val="00331A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A8B"/>
    <w:pPr>
      <w:ind w:left="720"/>
      <w:contextualSpacing/>
    </w:pPr>
    <w:rPr>
      <w:lang w:val="en-TH"/>
    </w:rPr>
  </w:style>
  <w:style w:type="character" w:styleId="IntenseEmphasis">
    <w:name w:val="Intense Emphasis"/>
    <w:basedOn w:val="DefaultParagraphFont"/>
    <w:uiPriority w:val="21"/>
    <w:qFormat/>
    <w:rsid w:val="00331A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T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A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A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31A8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31A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NAPATSORN IMERB</dc:creator>
  <cp:keywords/>
  <dc:description/>
  <cp:lastModifiedBy>NAPATSORN IMERB</cp:lastModifiedBy>
  <cp:revision>1</cp:revision>
  <dcterms:created xsi:type="dcterms:W3CDTF">2026-10-10T08:16:00Z</dcterms:created>
  <dcterms:modified xsi:type="dcterms:W3CDTF">2026-10-10T08:18:00Z</dcterms:modified>
</cp:coreProperties>
</file>