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47FB6">
      <w:pPr>
        <w:spacing w:line="480" w:lineRule="auto"/>
        <w:rPr>
          <w:rFonts w:ascii="Times New Roman" w:hAnsi="Times New Roman" w:eastAsia="微软雅黑" w:cs="Times New Roman"/>
          <w:b/>
          <w:color w:val="000000"/>
          <w:sz w:val="28"/>
          <w:szCs w:val="27"/>
        </w:rPr>
      </w:pPr>
      <w:r>
        <w:rPr>
          <w:rFonts w:ascii="Times New Roman" w:hAnsi="Times New Roman" w:eastAsia="微软雅黑" w:cs="Times New Roman"/>
          <w:b/>
          <w:color w:val="000000"/>
          <w:sz w:val="28"/>
          <w:szCs w:val="27"/>
        </w:rPr>
        <w:t>Supplementary methods</w:t>
      </w:r>
      <w:bookmarkStart w:id="2" w:name="_GoBack"/>
      <w:bookmarkEnd w:id="2"/>
    </w:p>
    <w:p w14:paraId="6F8B7F39">
      <w:pPr>
        <w:autoSpaceDE w:val="0"/>
        <w:autoSpaceDN w:val="0"/>
        <w:adjustRightInd w:val="0"/>
        <w:spacing w:line="480" w:lineRule="auto"/>
        <w:rPr>
          <w:rFonts w:ascii="Times New Roman" w:hAnsi="Times New Roman" w:cs="Times New Roman"/>
          <w:b/>
          <w:kern w:val="0"/>
          <w:sz w:val="24"/>
          <w:szCs w:val="24"/>
        </w:rPr>
      </w:pPr>
      <w:r>
        <w:rPr>
          <w:rFonts w:ascii="Times New Roman" w:hAnsi="Times New Roman" w:cs="Times New Roman"/>
          <w:b/>
          <w:kern w:val="0"/>
          <w:sz w:val="24"/>
          <w:szCs w:val="24"/>
        </w:rPr>
        <w:t xml:space="preserve">RNA preparation and </w:t>
      </w:r>
      <w:r>
        <w:rPr>
          <w:rFonts w:hint="eastAsia" w:ascii="Times New Roman" w:hAnsi="Times New Roman" w:cs="Times New Roman"/>
          <w:b/>
          <w:kern w:val="0"/>
          <w:sz w:val="24"/>
          <w:szCs w:val="24"/>
          <w:lang w:val="en-US" w:eastAsia="zh-CN"/>
        </w:rPr>
        <w:t>RT-</w:t>
      </w:r>
      <w:r>
        <w:rPr>
          <w:rFonts w:ascii="Times New Roman" w:hAnsi="Times New Roman" w:cs="Times New Roman"/>
          <w:b/>
          <w:kern w:val="0"/>
          <w:sz w:val="24"/>
          <w:szCs w:val="24"/>
        </w:rPr>
        <w:t>qPCR</w:t>
      </w:r>
    </w:p>
    <w:p w14:paraId="13CF5DD5">
      <w:pPr>
        <w:spacing w:line="360" w:lineRule="auto"/>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Total RNAs were prepared by Super FastPure Cell RNA Isolation Kit (Vazyme, China). The Prime Script RT Master Mix (ESscience, Shanghai, China) was applied for reverse transcription. Thereafter, the LightCycler 480 SYBR Green I Master mix (cat. No. 04707516001; Roche, Penzberg, Germany) was employed to perform qPCR on LightCycler 480 Real Time System (Roche) using the following program: pre denaturation at 95 °C for 10 min, 55 cycles of denaturation at 95 °C for 15 s, primer annealing at 60 °C for 1 min, and final elongation at 72 °C for 30 s. The generated melting curve was evaluated, and determined transcript levels by 2</w:t>
      </w:r>
      <w:r>
        <w:rPr>
          <w:rFonts w:ascii="Times New Roman" w:hAnsi="Times New Roman" w:cs="Times New Roman"/>
          <w:kern w:val="0"/>
          <w:sz w:val="24"/>
          <w:szCs w:val="24"/>
          <w:vertAlign w:val="superscript"/>
        </w:rPr>
        <w:t xml:space="preserve"> −ΔΔCt</w:t>
      </w:r>
      <w:r>
        <w:rPr>
          <w:rFonts w:ascii="Times New Roman" w:hAnsi="Times New Roman" w:cs="Times New Roman"/>
          <w:kern w:val="0"/>
          <w:sz w:val="24"/>
          <w:szCs w:val="24"/>
        </w:rPr>
        <w:t xml:space="preserve"> method.  The sequences of the primers are indicated in Supplementary Table S</w:t>
      </w:r>
      <w:r>
        <w:rPr>
          <w:rFonts w:hint="eastAsia" w:ascii="Times New Roman" w:hAnsi="Times New Roman" w:cs="Times New Roman"/>
          <w:kern w:val="0"/>
          <w:sz w:val="24"/>
          <w:szCs w:val="24"/>
        </w:rPr>
        <w:t>4</w:t>
      </w:r>
      <w:r>
        <w:rPr>
          <w:rFonts w:ascii="Times New Roman" w:hAnsi="Times New Roman" w:cs="Times New Roman"/>
          <w:kern w:val="0"/>
          <w:sz w:val="24"/>
          <w:szCs w:val="24"/>
        </w:rPr>
        <w:t>.</w:t>
      </w:r>
    </w:p>
    <w:p w14:paraId="5F10CF26">
      <w:pPr>
        <w:autoSpaceDE w:val="0"/>
        <w:autoSpaceDN w:val="0"/>
        <w:adjustRightInd w:val="0"/>
        <w:spacing w:line="480" w:lineRule="auto"/>
        <w:rPr>
          <w:rFonts w:ascii="Times New Roman" w:hAnsi="Times New Roman" w:cs="Times New Roman"/>
          <w:b/>
          <w:kern w:val="0"/>
          <w:sz w:val="24"/>
          <w:szCs w:val="24"/>
        </w:rPr>
      </w:pPr>
      <w:r>
        <w:rPr>
          <w:rFonts w:ascii="Times New Roman" w:hAnsi="Times New Roman" w:cs="Times New Roman"/>
          <w:b/>
          <w:kern w:val="0"/>
          <w:sz w:val="24"/>
          <w:szCs w:val="24"/>
        </w:rPr>
        <w:t>Immunohistochemistry (IHC) assay</w:t>
      </w:r>
    </w:p>
    <w:p w14:paraId="0ACBD923">
      <w:pPr>
        <w:autoSpaceDE w:val="0"/>
        <w:autoSpaceDN w:val="0"/>
        <w:adjustRightInd w:val="0"/>
        <w:spacing w:line="360" w:lineRule="auto"/>
        <w:ind w:firstLine="480" w:firstLineChars="200"/>
        <w:rPr>
          <w:rFonts w:ascii="Times New Roman" w:hAnsi="Times New Roman" w:cs="Times New Roman"/>
          <w:kern w:val="0"/>
          <w:sz w:val="24"/>
        </w:rPr>
      </w:pPr>
      <w:bookmarkStart w:id="0" w:name="OLE_LINK46"/>
      <w:bookmarkStart w:id="1" w:name="OLE_LINK47"/>
      <w:r>
        <w:rPr>
          <w:rFonts w:hint="eastAsia" w:ascii="Times New Roman" w:hAnsi="Times New Roman" w:cs="Times New Roman"/>
          <w:kern w:val="0"/>
          <w:sz w:val="24"/>
        </w:rPr>
        <w:t>I</w:t>
      </w:r>
      <w:r>
        <w:rPr>
          <w:rFonts w:ascii="Times New Roman" w:hAnsi="Times New Roman" w:cs="Times New Roman"/>
          <w:kern w:val="0"/>
          <w:sz w:val="24"/>
        </w:rPr>
        <w:t>HC was performed using a microwave‑enhanced avidin‑biotin staining method. Animal tumors and tissues were fixed in 4% paraformaldehyde and paraffin‑embedded for sectioning. Osteosarcoma tissue microarrays and tumor slides were deparaffinized in xylene at 65 °C overnight and rehydrated through graded ethanol. Antigen retrieval was carried out by boiling in 0.01 M citrate buffer in a microwave for 5 min, followed by cooling to room temperature. Endogenous peroxidase was blocked with 3 % H₂O₂ at 37 °C for 10 min, and non‑specific sites were blocked with 3 % BSA at room temperature for 30 min. Slides were then incubated overnight with anti‑BRD4 and anti‑Ki‑67 rabbit monoclonal antibodies, washed with PBS, and incubated with rabbit secondary antibody for 30 min at room temperature. Finally, DAB staining was performed for 5 min, followed by rinsing with distilled water, hematoxylin counterstaining, and analysis using a slide scanner.</w:t>
      </w:r>
      <w:bookmarkEnd w:id="0"/>
      <w:bookmarkEnd w:id="1"/>
    </w:p>
    <w:p w14:paraId="073E3A9C">
      <w:pPr>
        <w:spacing w:line="480" w:lineRule="auto"/>
        <w:rPr>
          <w:rFonts w:ascii="Times New Roman" w:hAnsi="Times New Roman" w:cs="Times New Roman"/>
          <w:b/>
          <w:sz w:val="24"/>
        </w:rPr>
      </w:pPr>
      <w:r>
        <w:rPr>
          <w:rFonts w:ascii="Times New Roman" w:hAnsi="Times New Roman" w:cs="Times New Roman"/>
          <w:b/>
          <w:sz w:val="24"/>
        </w:rPr>
        <w:t>Colony formation assay</w:t>
      </w:r>
    </w:p>
    <w:p w14:paraId="029544D9">
      <w:pPr>
        <w:adjustRightIn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Neuroblastoma cells in the exponential phase were taken and seeded into six-well plates at a density of 1000 cells per well. The cells were gently pipetted to disperse evenly and cultured in a cell incubator for 7–12 days. When clones became visible, the supernatant was discarded, the cells were washed with PBS, fixed with methanol for 10 minutes, and then stained with Giemsa staining solution for 20 minutes at room temperature. After rinsing twice with PBS, the plates were air-dried at room temperature. The number of cell clones was counted using ImageJ software.</w:t>
      </w:r>
      <w:r>
        <w:rPr>
          <w:rFonts w:ascii="Times New Roman" w:hAnsi="Times New Roman" w:cs="Times New Roman"/>
          <w:sz w:val="24"/>
        </w:rPr>
        <w:t xml:space="preserve"> </w:t>
      </w:r>
    </w:p>
    <w:p w14:paraId="29392D04">
      <w:pPr>
        <w:spacing w:line="480" w:lineRule="auto"/>
        <w:rPr>
          <w:rFonts w:ascii="Times New Roman" w:hAnsi="Times New Roman" w:cs="Times New Roman"/>
          <w:b/>
          <w:sz w:val="24"/>
        </w:rPr>
      </w:pPr>
      <w:r>
        <w:rPr>
          <w:rFonts w:ascii="Times New Roman" w:hAnsi="Times New Roman" w:cs="Times New Roman"/>
          <w:b/>
          <w:sz w:val="24"/>
        </w:rPr>
        <w:t>Cell apoptosis assay</w:t>
      </w:r>
    </w:p>
    <w:p w14:paraId="1F95524D">
      <w:pPr>
        <w:autoSpaceDE w:val="0"/>
        <w:autoSpaceDN w:val="0"/>
        <w:adjustRightIn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Cell culture supernatant and digested neuroblastoma cells were harvested into identical centrifuge tubes and pelleted by centrifugation at 300 g for 5 min. After discarding the supernatant, cell pellets were resuspended in PBS and centrifuged once more. Cells were then resuspended in binding buffer to a final concentration of ~1 × 10⁶ cells/mL. For staining, 100 μL cell suspension was mixed with 5 μL Annexin V-FITC and 5 μL PI, followed by gentle blending and 20 min dark incubation at room temperature. Samples were subsequently analyzed via flow cytometry.</w:t>
      </w:r>
    </w:p>
    <w:p w14:paraId="289AACE2">
      <w:pPr>
        <w:spacing w:line="480" w:lineRule="auto"/>
        <w:rPr>
          <w:rFonts w:ascii="Times New Roman" w:hAnsi="Times New Roman" w:cs="Times New Roman"/>
          <w:b/>
          <w:sz w:val="24"/>
        </w:rPr>
      </w:pPr>
      <w:r>
        <w:rPr>
          <w:rFonts w:ascii="Times New Roman" w:hAnsi="Times New Roman" w:cs="Times New Roman"/>
          <w:b/>
          <w:sz w:val="24"/>
        </w:rPr>
        <w:t>Western blotting</w:t>
      </w:r>
    </w:p>
    <w:p w14:paraId="3EEAFA77">
      <w:pPr>
        <w:autoSpaceDE w:val="0"/>
        <w:autoSpaceDN w:val="0"/>
        <w:adjustRightIn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Total proteins of neuroblastoma cells were extracted with RIPA lysis buffer (Beyotime, China) containing protease inhibitor (Roche, Switzerland). Western blot was performed as described previously. The membrane was incubated with primary antibodies overnight at 4°C. The following day, the membrane was incubated with goat anti-mouse HRP-conjugated secondary antibody or goat anti-rabbit HRP-conjugated secondary antibody for 1.5 hours. Chemiluminescence was detected using the Pierce™ ECL Western detection system (Thermo Scientific, USA).</w:t>
      </w:r>
    </w:p>
    <w:p w14:paraId="40841049"/>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黑体-简"/>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等线">
    <w:altName w:val="苹方-简"/>
    <w:panose1 w:val="00000000000000000000"/>
    <w:charset w:val="00"/>
    <w:family w:val="auto"/>
    <w:pitch w:val="default"/>
    <w:sig w:usb0="00000000" w:usb1="00000000" w:usb2="0000000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汉仪旗黑">
    <w:panose1 w:val="00020600040101010101"/>
    <w:charset w:val="86"/>
    <w:family w:val="auto"/>
    <w:pitch w:val="default"/>
    <w:sig w:usb0="A00002BF" w:usb1="1ACF7CFA" w:usb2="00000016" w:usb3="00000000" w:csb0="0004009F" w:csb1="DFD70000"/>
  </w:font>
  <w:font w:name="黑体-简">
    <w:panose1 w:val="02000000000000000000"/>
    <w:charset w:val="86"/>
    <w:family w:val="auto"/>
    <w:pitch w:val="default"/>
    <w:sig w:usb0="8000002F" w:usb1="0800004A" w:usb2="00000000" w:usb3="00000000" w:csb0="203E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D33"/>
    <w:rsid w:val="00002525"/>
    <w:rsid w:val="00097A1D"/>
    <w:rsid w:val="001B15B7"/>
    <w:rsid w:val="00244312"/>
    <w:rsid w:val="002A7A39"/>
    <w:rsid w:val="002E4158"/>
    <w:rsid w:val="003C4B33"/>
    <w:rsid w:val="00427895"/>
    <w:rsid w:val="0047048A"/>
    <w:rsid w:val="004E74A4"/>
    <w:rsid w:val="005758C9"/>
    <w:rsid w:val="005C18AF"/>
    <w:rsid w:val="005C3143"/>
    <w:rsid w:val="006212F3"/>
    <w:rsid w:val="007C1E86"/>
    <w:rsid w:val="007D7282"/>
    <w:rsid w:val="00B50489"/>
    <w:rsid w:val="00BD5244"/>
    <w:rsid w:val="00CD170D"/>
    <w:rsid w:val="00D93D33"/>
    <w:rsid w:val="00E22217"/>
    <w:rsid w:val="00E70A96"/>
    <w:rsid w:val="00EC7A85"/>
    <w:rsid w:val="00F67545"/>
    <w:rsid w:val="C5BF4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518</Words>
  <Characters>2958</Characters>
  <Lines>24</Lines>
  <Paragraphs>6</Paragraphs>
  <TotalTime>5</TotalTime>
  <ScaleCrop>false</ScaleCrop>
  <LinksUpToDate>false</LinksUpToDate>
  <CharactersWithSpaces>3470</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2026-08-22T16:23:00Z</dcterms:created>
  <dc:creator>Microsoft Office User</dc:creator>
  <cp:lastModifiedBy>serious loser</cp:lastModifiedBy>
  <dcterms:modified xsi:type="dcterms:W3CDTF">2026-08-31T18:09:43Z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218A10D50BA54BAFE752956A8A800443_42</vt:lpwstr>
  </property>
</Properties>
</file>