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5DAB7E">
      <w:pPr>
        <w:jc w:val="center"/>
        <w:rPr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Table S2. Cohort-specific sensitivity analyses and estimability</w:t>
      </w:r>
    </w:p>
    <w:tbl>
      <w:tblPr>
        <w:tblStyle w:val="32"/>
        <w:tblW w:w="10432" w:type="dxa"/>
        <w:jc w:val="center"/>
        <w:tblLayout w:type="autofit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5216"/>
        <w:gridCol w:w="5216"/>
      </w:tblGrid>
      <w:tr w14:paraId="3D8B389C">
        <w:tblPrEx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trHeight w:val="170" w:hRule="atLeast"/>
          <w:tblHeader/>
          <w:jc w:val="center"/>
        </w:trPr>
        <w:tc>
          <w:tcPr>
            <w:tcW w:w="5216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vAlign w:val="center"/>
          </w:tcPr>
          <w:p w14:paraId="69D06C1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18"/>
                <w:szCs w:val="18"/>
              </w:rPr>
              <w:t>Analysis</w:t>
            </w:r>
          </w:p>
        </w:tc>
        <w:tc>
          <w:tcPr>
            <w:tcW w:w="5216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vAlign w:val="center"/>
          </w:tcPr>
          <w:p w14:paraId="1FAA5C9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18"/>
                <w:szCs w:val="18"/>
              </w:rPr>
              <w:t>PR (95% CI)</w:t>
            </w:r>
          </w:p>
        </w:tc>
      </w:tr>
      <w:tr w14:paraId="28C32724">
        <w:tblPrEx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trHeight w:val="170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6205C607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18"/>
                <w:szCs w:val="18"/>
              </w:rPr>
              <w:t>Primary reference estimates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5C9F88C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146D59E4">
        <w:tblPrEx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trHeight w:val="170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72735370">
            <w:pPr>
              <w:spacing w:before="0" w:after="0" w:line="240" w:lineRule="auto"/>
              <w:ind w:firstLine="180" w:firstLineChars="10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CHARLS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28D56A6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1.058 (0.997–1.124)</w:t>
            </w:r>
          </w:p>
        </w:tc>
      </w:tr>
      <w:tr w14:paraId="7F44BA19">
        <w:tblPrEx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trHeight w:val="170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B1D6347">
            <w:pPr>
              <w:spacing w:before="0" w:after="0" w:line="240" w:lineRule="auto"/>
              <w:ind w:firstLine="180" w:firstLineChars="10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ELSA (supportive)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005FEAC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1.080 (1.008–1.157)</w:t>
            </w:r>
          </w:p>
        </w:tc>
      </w:tr>
      <w:tr w14:paraId="161D78E7">
        <w:tblPrEx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trHeight w:val="170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D5A852A">
            <w:pPr>
              <w:spacing w:before="0" w:after="0" w:line="240" w:lineRule="auto"/>
              <w:ind w:firstLine="180" w:firstLineChars="10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HRS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6D88832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1.123 (1.052–1.198)</w:t>
            </w:r>
          </w:p>
        </w:tc>
      </w:tr>
      <w:tr w14:paraId="180D0950">
        <w:tblPrEx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trHeight w:val="170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6E9F835">
            <w:pPr>
              <w:spacing w:before="0" w:after="0" w:line="240" w:lineRule="auto"/>
              <w:ind w:firstLine="180" w:firstLineChars="10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SHARE (≥28 missing teeth)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68E562B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1.106 (1.051–1.164)</w:t>
            </w:r>
          </w:p>
        </w:tc>
      </w:tr>
      <w:tr w14:paraId="3D43A515">
        <w:tblPrEx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trHeight w:val="170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7DC18AEE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18"/>
                <w:szCs w:val="18"/>
              </w:rPr>
              <w:t>Cohort-specific weight and design sensitivities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429150FC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4C4F2E91">
        <w:trPr>
          <w:trHeight w:val="170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2C266DCA">
            <w:pPr>
              <w:spacing w:before="0" w:after="0" w:line="240" w:lineRule="auto"/>
              <w:ind w:firstLine="180" w:firstLineChars="10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CHARLS: primary adjustment omitting wealth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19B5428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1.071 (1.008–1.137)</w:t>
            </w:r>
          </w:p>
        </w:tc>
      </w:tr>
      <w:tr w14:paraId="6F449788">
        <w:tblPrEx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trHeight w:val="170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709652CC">
            <w:pPr>
              <w:spacing w:before="0" w:after="0" w:line="240" w:lineRule="auto"/>
              <w:ind w:firstLine="180" w:firstLineChars="10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ELSA supportive: Wave 3 core-weight sensitivity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266B1FD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1.088 (1.014–1.167)</w:t>
            </w:r>
          </w:p>
        </w:tc>
      </w:tr>
      <w:tr w14:paraId="2A1B72F4">
        <w:tblPrEx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trHeight w:val="170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6B898ADD">
            <w:pPr>
              <w:spacing w:before="0" w:after="0" w:line="240" w:lineRule="auto"/>
              <w:ind w:firstLine="180" w:firstLineChars="10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ELSA supportive: regional and household design proxy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0AAB42E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1.080 (1.007–1.158)</w:t>
            </w:r>
          </w:p>
        </w:tc>
      </w:tr>
      <w:tr w14:paraId="35BF7901">
        <w:tblPrEx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trHeight w:val="170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7D136BAD">
            <w:pPr>
              <w:spacing w:before="0" w:after="0" w:line="240" w:lineRule="auto"/>
              <w:ind w:firstLine="180" w:firstLineChars="10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SHARE: country-nested design subset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2CF58A0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1.070 (1.009–1.134)</w:t>
            </w:r>
          </w:p>
        </w:tc>
      </w:tr>
      <w:tr w14:paraId="38698DA3">
        <w:tblPrEx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trHeight w:val="170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43657150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18"/>
                <w:szCs w:val="18"/>
              </w:rPr>
              <w:t>Further-conditioning model omitting physical activity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0C095D32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12B45F9A">
        <w:trPr>
          <w:trHeight w:val="170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B180E2A">
            <w:pPr>
              <w:spacing w:before="0" w:after="0" w:line="240" w:lineRule="auto"/>
              <w:ind w:firstLine="180" w:firstLineChars="10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CHARLS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373EE5E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1.040 (0.983–1.099)</w:t>
            </w:r>
          </w:p>
        </w:tc>
      </w:tr>
      <w:tr w14:paraId="7C27C24B">
        <w:tblPrEx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trHeight w:val="170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35C16C9D">
            <w:pPr>
              <w:spacing w:before="0" w:after="0" w:line="240" w:lineRule="auto"/>
              <w:ind w:firstLine="180" w:firstLineChars="10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ELSA (supportive)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205D8CF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1.050 (0.985–1.119)</w:t>
            </w:r>
          </w:p>
        </w:tc>
      </w:tr>
      <w:tr w14:paraId="6EC8FF19">
        <w:tblPrEx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trHeight w:val="170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29204882">
            <w:pPr>
              <w:spacing w:before="0" w:after="0" w:line="240" w:lineRule="auto"/>
              <w:ind w:firstLine="180" w:firstLineChars="10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HRS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13FC7A8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1.043 (0.986–1.104)</w:t>
            </w:r>
          </w:p>
        </w:tc>
      </w:tr>
      <w:tr w14:paraId="7A513C46">
        <w:tblPrEx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trHeight w:val="170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32F803AF">
            <w:pPr>
              <w:spacing w:before="0" w:after="0" w:line="240" w:lineRule="auto"/>
              <w:ind w:firstLine="180" w:firstLineChars="10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SHARE (≥28 missing teeth)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378E045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1.058 (1.009–1.111)</w:t>
            </w:r>
          </w:p>
        </w:tc>
      </w:tr>
      <w:tr w14:paraId="5266EA22">
        <w:tblPrEx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trHeight w:val="170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645B55CE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18"/>
                <w:szCs w:val="18"/>
              </w:rPr>
              <w:t>IPCW without truncation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2C42DFA6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305149EF">
        <w:tblPrEx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trHeight w:val="170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3D64DA85">
            <w:pPr>
              <w:spacing w:before="0" w:after="0" w:line="240" w:lineRule="auto"/>
              <w:ind w:firstLine="180" w:firstLineChars="10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CHARLS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B08C70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1.072 (1.008–1.140)</w:t>
            </w:r>
          </w:p>
        </w:tc>
      </w:tr>
      <w:tr w14:paraId="0D15D1E7">
        <w:tblPrEx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trHeight w:val="170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35C7ED1A">
            <w:pPr>
              <w:spacing w:before="0" w:after="0" w:line="240" w:lineRule="auto"/>
              <w:ind w:firstLine="180" w:firstLineChars="10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ELSA (supportive)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620478C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1.079 (1.009–1.155)</w:t>
            </w:r>
          </w:p>
        </w:tc>
      </w:tr>
      <w:tr w14:paraId="4EADD32E">
        <w:tblPrEx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trHeight w:val="170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026C0268">
            <w:pPr>
              <w:spacing w:before="0" w:after="0" w:line="240" w:lineRule="auto"/>
              <w:ind w:firstLine="180" w:firstLineChars="10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HRS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4F7D2F3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1.124 (1.054–1.198)</w:t>
            </w:r>
          </w:p>
        </w:tc>
      </w:tr>
      <w:tr w14:paraId="5B4350AF">
        <w:tblPrEx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trHeight w:val="170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1779809C">
            <w:pPr>
              <w:spacing w:before="0" w:after="0" w:line="240" w:lineRule="auto"/>
              <w:ind w:firstLine="180" w:firstLineChars="10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SHARE (≥28 missing teeth)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29A70EA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1.108 (1.057–1.161)</w:t>
            </w:r>
          </w:p>
        </w:tc>
      </w:tr>
      <w:tr w14:paraId="3AE7F073">
        <w:tblPrEx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trHeight w:val="170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10B1FFF1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18"/>
                <w:szCs w:val="18"/>
              </w:rPr>
              <w:t>IPCW truncated at 1st and 99th percentiles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114C6ADD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50F57DE0">
        <w:tblPrEx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trHeight w:val="170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762C7AD6">
            <w:pPr>
              <w:spacing w:before="0" w:after="0" w:line="240" w:lineRule="auto"/>
              <w:ind w:firstLine="180" w:firstLineChars="10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CHARLS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E850D7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1.074 (1.010–1.142)</w:t>
            </w:r>
          </w:p>
        </w:tc>
      </w:tr>
      <w:tr w14:paraId="064009B9">
        <w:tblPrEx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trHeight w:val="170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6DFC9226">
            <w:pPr>
              <w:spacing w:before="0" w:after="0" w:line="240" w:lineRule="auto"/>
              <w:ind w:firstLine="180" w:firstLineChars="10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ELSA (supportive)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22DBB98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1.079 (1.009–1.155)</w:t>
            </w:r>
          </w:p>
        </w:tc>
      </w:tr>
      <w:tr w14:paraId="6153223E">
        <w:tblPrEx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trHeight w:val="170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0B582A49">
            <w:pPr>
              <w:spacing w:before="0" w:after="0" w:line="240" w:lineRule="auto"/>
              <w:ind w:firstLine="180" w:firstLineChars="10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HRS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010CF3C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1.123 (1.053–1.198)</w:t>
            </w:r>
          </w:p>
        </w:tc>
      </w:tr>
      <w:tr w14:paraId="1C5B4975">
        <w:tblPrEx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trHeight w:val="170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single" w:color="000000" w:sz="8" w:space="0"/>
              <w:right w:val="nil"/>
              <w:insideH w:val="nil"/>
              <w:insideV w:val="nil"/>
            </w:tcBorders>
            <w:vAlign w:val="center"/>
          </w:tcPr>
          <w:p w14:paraId="38B08DAF">
            <w:pPr>
              <w:spacing w:before="0" w:after="0" w:line="240" w:lineRule="auto"/>
              <w:ind w:firstLine="180" w:firstLineChars="10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SHARE (≥28 missing teeth)</w:t>
            </w:r>
          </w:p>
        </w:tc>
        <w:tc>
          <w:tcPr>
            <w:tcW w:w="5216" w:type="dxa"/>
            <w:tcBorders>
              <w:top w:val="nil"/>
              <w:left w:val="nil"/>
              <w:bottom w:val="single" w:color="000000" w:sz="8" w:space="0"/>
              <w:right w:val="nil"/>
              <w:insideH w:val="nil"/>
              <w:insideV w:val="nil"/>
            </w:tcBorders>
            <w:vAlign w:val="center"/>
          </w:tcPr>
          <w:p w14:paraId="0A9D0C2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1.104 (1.053–1.158)</w:t>
            </w:r>
          </w:p>
        </w:tc>
      </w:tr>
    </w:tbl>
    <w:p w14:paraId="223AA9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eastAsia="宋体" w:cs="Times New Roman"/>
          <w:sz w:val="22"/>
          <w:szCs w:val="22"/>
        </w:rPr>
        <w:t>Note. Entries are cohort-specific prevalence ratios (95% CIs) unless otherwise indicated; estimates were not pooled. The primary adjustment set included age, sex, education, partnered status, smoking, recent alcohol use, and wealth; SHARE models additionally included country. CI, confidence interval; IPCW, inverse-probability-of-completeness weighting; PR, prevalence ratio.</w:t>
      </w:r>
    </w:p>
    <w:sectPr>
      <w:pgSz w:w="12240" w:h="15840"/>
      <w:pgMar w:top="864" w:right="1008" w:bottom="864" w:left="100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86275A4"/>
    <w:rsid w:val="2E5E087A"/>
    <w:rsid w:val="7C386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Theme="minorEastAsia" w:cstheme="minorBidi"/>
      <w:sz w:val="20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194</Words>
  <Characters>1418</Characters>
  <Lines>0</Lines>
  <Paragraphs>0</Paragraphs>
  <TotalTime>12</TotalTime>
  <ScaleCrop>false</ScaleCrop>
  <LinksUpToDate>false</LinksUpToDate>
  <CharactersWithSpaces>1561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海绵宝宝的派大星星</cp:lastModifiedBy>
  <dcterms:modified xsi:type="dcterms:W3CDTF">2026-09-07T06:46:28Z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eyJoZGlkIjoiM2UyYTM0MjY5YjYzOWQxMWJlZWM1YzJmMjU1NmI1YTUiLCJ1c2VySWQiOiI3ODc4NjI5MTYifQ==</vt:lpwstr>
  </property>
  <property fmtid="{D5CDD505-2E9C-101B-9397-08002B2CF9AE}" pid="3" name="KSOProductBuildVer">
    <vt:lpwstr>2052-12.1.0.28043</vt:lpwstr>
  </property>
  <property fmtid="{D5CDD505-2E9C-101B-9397-08002B2CF9AE}" pid="4" name="ICV">
    <vt:lpwstr>CAC897B1F812436E95AB104CD2610C0C_12</vt:lpwstr>
  </property>
</Properties>
</file>