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E1A">
      <w:pPr>
        <w:jc w:val="center"/>
        <w:rPr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Table S1. Cohort-specific exposure, indicator definitions, timing, and availability</w:t>
      </w:r>
      <w:bookmarkStart w:id="0" w:name="_GoBack"/>
      <w:bookmarkEnd w:id="0"/>
    </w:p>
    <w:tbl>
      <w:tblPr>
        <w:tblStyle w:val="32"/>
        <w:tblW w:w="14175" w:type="dxa"/>
        <w:jc w:val="center"/>
        <w:tblLayout w:type="autofit"/>
        <w:tblCellMar>
          <w:top w:w="55" w:type="dxa"/>
          <w:left w:w="70" w:type="dxa"/>
          <w:bottom w:w="55" w:type="dxa"/>
          <w:right w:w="70" w:type="dxa"/>
        </w:tblCellMar>
      </w:tblPr>
      <w:tblGrid>
        <w:gridCol w:w="2835"/>
        <w:gridCol w:w="2835"/>
        <w:gridCol w:w="2835"/>
        <w:gridCol w:w="2835"/>
        <w:gridCol w:w="2835"/>
      </w:tblGrid>
      <w:tr w14:paraId="4F18B3DC">
        <w:tblPrEx>
          <w:tblCellMar>
            <w:top w:w="55" w:type="dxa"/>
            <w:left w:w="70" w:type="dxa"/>
            <w:bottom w:w="55" w:type="dxa"/>
            <w:right w:w="70" w:type="dxa"/>
          </w:tblCellMar>
        </w:tblPrEx>
        <w:trPr>
          <w:trHeight w:val="23" w:hRule="atLeast"/>
          <w:tblHeader/>
          <w:jc w:val="center"/>
        </w:trPr>
        <w:tc>
          <w:tcPr>
            <w:tcW w:w="2835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vAlign w:val="center"/>
          </w:tcPr>
          <w:p w14:paraId="60D1CB1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>Characteristic</w:t>
            </w:r>
          </w:p>
        </w:tc>
        <w:tc>
          <w:tcPr>
            <w:tcW w:w="2835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vAlign w:val="center"/>
          </w:tcPr>
          <w:p w14:paraId="16B7504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>CHARLS</w:t>
            </w:r>
          </w:p>
        </w:tc>
        <w:tc>
          <w:tcPr>
            <w:tcW w:w="2835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vAlign w:val="center"/>
          </w:tcPr>
          <w:p w14:paraId="476CDF2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>ELSA</w:t>
            </w:r>
          </w:p>
        </w:tc>
        <w:tc>
          <w:tcPr>
            <w:tcW w:w="2835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vAlign w:val="center"/>
          </w:tcPr>
          <w:p w14:paraId="53A9F5F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>HRS</w:t>
            </w:r>
          </w:p>
        </w:tc>
        <w:tc>
          <w:tcPr>
            <w:tcW w:w="2835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  <w:insideH w:val="nil"/>
              <w:insideV w:val="nil"/>
            </w:tcBorders>
            <w:vAlign w:val="center"/>
          </w:tcPr>
          <w:p w14:paraId="2439350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>SHARE</w:t>
            </w:r>
          </w:p>
        </w:tc>
      </w:tr>
      <w:tr w14:paraId="5DF8F561">
        <w:tblPrEx>
          <w:tblCellMar>
            <w:top w:w="55" w:type="dxa"/>
            <w:left w:w="70" w:type="dxa"/>
            <w:bottom w:w="55" w:type="dxa"/>
            <w:right w:w="70" w:type="dxa"/>
          </w:tblCellMar>
        </w:tblPrEx>
        <w:trPr>
          <w:trHeight w:val="23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4DA8B48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>Analysis frame and cohort-specific tooth-loss exposure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56048F8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9985E3C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DE3F30C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88DDF07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0B80C7DC">
        <w:tblPrEx>
          <w:tblCellMar>
            <w:top w:w="55" w:type="dxa"/>
            <w:left w:w="70" w:type="dxa"/>
            <w:bottom w:w="55" w:type="dxa"/>
            <w:right w:w="70" w:type="dxa"/>
          </w:tblCellMar>
        </w:tblPrEx>
        <w:trPr>
          <w:trHeight w:val="23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73CC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346" w:leftChars="83" w:hanging="180" w:hangingChars="1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Analytic sample, No.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6FAA1E8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sz w:val="18"/>
                <w:szCs w:val="18"/>
              </w:rPr>
              <w:t>4605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727D13B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sz w:val="18"/>
                <w:szCs w:val="18"/>
              </w:rPr>
              <w:t>3583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7DABCFE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sz w:val="18"/>
                <w:szCs w:val="18"/>
              </w:rPr>
              <w:t>4341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21070A1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sz w:val="18"/>
                <w:szCs w:val="18"/>
              </w:rPr>
              <w:t>29239</w:t>
            </w:r>
          </w:p>
        </w:tc>
      </w:tr>
      <w:tr w14:paraId="483487D5">
        <w:tblPrEx>
          <w:tblCellMar>
            <w:top w:w="55" w:type="dxa"/>
            <w:left w:w="70" w:type="dxa"/>
            <w:bottom w:w="55" w:type="dxa"/>
            <w:right w:w="70" w:type="dxa"/>
          </w:tblCellMar>
        </w:tblPrEx>
        <w:trPr>
          <w:trHeight w:val="23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40ED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346" w:leftChars="83" w:hanging="180" w:hangingChars="100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Tooth-loss exposure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84CBD2A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Edentulism; Wave 3, 2015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4196BC0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Edentulism; Wave 3, 2006/07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84038FD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Edentulism; RAND Wave 8, 2006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C989BF4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≥28 missing teeth; Wave 5, 2013; separate exposure construct</w:t>
            </w:r>
          </w:p>
        </w:tc>
      </w:tr>
      <w:tr w14:paraId="08184BB5">
        <w:tblPrEx>
          <w:tblCellMar>
            <w:top w:w="55" w:type="dxa"/>
            <w:left w:w="70" w:type="dxa"/>
            <w:bottom w:w="55" w:type="dxa"/>
            <w:right w:w="70" w:type="dxa"/>
          </w:tblCellMar>
        </w:tblPrEx>
        <w:trPr>
          <w:trHeight w:val="23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19E770B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>Musculoskeletal and functional indicators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F3965A9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509CA1F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F99B58D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BC82A7D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33B02CF5">
        <w:tblPrEx>
          <w:tblCellMar>
            <w:top w:w="55" w:type="dxa"/>
            <w:left w:w="70" w:type="dxa"/>
            <w:bottom w:w="55" w:type="dxa"/>
            <w:right w:w="70" w:type="dxa"/>
          </w:tblCellMar>
        </w:tblPrEx>
        <w:trPr>
          <w:trHeight w:val="23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D9C84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346" w:leftChars="83" w:hanging="180" w:hangingChars="10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Low grip strength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8D183CA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Wave 3, 2015; AWGS 2019: &lt;28 kg (men), &lt;18 kg (women)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0BDB0CA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Wave 2, 2004/05; EWGSOP2: &lt;27 kg (men), &lt;16 kg (women)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F92A93A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Wave 8, 2006; EWGSOP2: &lt;27 kg (men), &lt;16 kg (women)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F2C6ABB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Wave 5, 2013; EWGSOP2: &lt;27 kg (men), &lt;16 kg (women)</w:t>
            </w:r>
          </w:p>
        </w:tc>
      </w:tr>
      <w:tr w14:paraId="3E5C6AD2">
        <w:tblPrEx>
          <w:tblCellMar>
            <w:top w:w="55" w:type="dxa"/>
            <w:left w:w="70" w:type="dxa"/>
            <w:bottom w:w="55" w:type="dxa"/>
            <w:right w:w="70" w:type="dxa"/>
          </w:tblCellMar>
        </w:tblPrEx>
        <w:trPr>
          <w:trHeight w:val="23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FBE2F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346" w:leftChars="83" w:hanging="180" w:hangingChars="10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Mobility difficulty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ACDA0C6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Any difficulty in a 7-item harmonized count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07DF1F5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Any difficulty in a 7-item harmonized count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0F80CB1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Any difficulty in a 5-item harmonized count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2FE5B54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Any difficulty in a 7-item harmonized count</w:t>
            </w:r>
          </w:p>
        </w:tc>
      </w:tr>
      <w:tr w14:paraId="7A0C754E">
        <w:tblPrEx>
          <w:tblCellMar>
            <w:top w:w="55" w:type="dxa"/>
            <w:left w:w="70" w:type="dxa"/>
            <w:bottom w:w="55" w:type="dxa"/>
            <w:right w:w="70" w:type="dxa"/>
          </w:tblCellMar>
        </w:tblPrEx>
        <w:trPr>
          <w:trHeight w:val="23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FAF0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346" w:leftChars="83" w:hanging="180" w:hangingChars="10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Fall indicator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251B885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Lifetime-ever for new interviews or since the preceding interview for reinterviews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D5D559D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Fall in the preceding 2 years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98E81E8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Fall in the preceding 2 years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A058311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Bothered by a fall in the past 6 months</w:t>
            </w:r>
          </w:p>
        </w:tc>
      </w:tr>
      <w:tr w14:paraId="31B5AFC8">
        <w:tblPrEx>
          <w:tblCellMar>
            <w:top w:w="55" w:type="dxa"/>
            <w:left w:w="70" w:type="dxa"/>
            <w:bottom w:w="55" w:type="dxa"/>
            <w:right w:w="70" w:type="dxa"/>
          </w:tblCellMar>
        </w:tblPrEx>
        <w:trPr>
          <w:trHeight w:val="23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DFC0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346" w:leftChars="83" w:hanging="180" w:hangingChars="10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Arthritis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F0E79CA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Self-reported ever diagnosis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378D7A6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Self-reported ever diagnosis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0595CBA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Self-reported ever diagnosis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93D3F2B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Self-reported ever diagnosis</w:t>
            </w:r>
          </w:p>
        </w:tc>
      </w:tr>
      <w:tr w14:paraId="1AC47BD8">
        <w:tblPrEx>
          <w:tblCellMar>
            <w:top w:w="55" w:type="dxa"/>
            <w:left w:w="70" w:type="dxa"/>
            <w:bottom w:w="55" w:type="dxa"/>
            <w:right w:w="70" w:type="dxa"/>
          </w:tblCellMar>
        </w:tblPrEx>
        <w:trPr>
          <w:trHeight w:val="23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6FAF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346" w:leftChars="83" w:hanging="180" w:hangingChars="10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Outcome rule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8E371C4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All four observed; ≥2 indicators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6A13191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All four observed; ≥2 indicators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E994765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All four observed; ≥2 indicators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BB04342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All four observed; ≥2 indicators</w:t>
            </w:r>
          </w:p>
        </w:tc>
      </w:tr>
      <w:tr w14:paraId="4083175B">
        <w:tblPrEx>
          <w:tblCellMar>
            <w:top w:w="55" w:type="dxa"/>
            <w:left w:w="70" w:type="dxa"/>
            <w:bottom w:w="55" w:type="dxa"/>
            <w:right w:w="70" w:type="dxa"/>
          </w:tblCellMar>
        </w:tblPrEx>
        <w:trPr>
          <w:trHeight w:val="23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0FFA4F3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18"/>
                <w:szCs w:val="18"/>
              </w:rPr>
              <w:t>Design, timing, and data availability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6C5A2CF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5A5267B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853E5E8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D3BF42E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01904AF7">
        <w:tblPrEx>
          <w:tblCellMar>
            <w:top w:w="55" w:type="dxa"/>
            <w:left w:w="70" w:type="dxa"/>
            <w:bottom w:w="55" w:type="dxa"/>
            <w:right w:w="70" w:type="dxa"/>
          </w:tblCellMar>
        </w:tblPrEx>
        <w:trPr>
          <w:trHeight w:val="23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C3B1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346" w:leftChars="83" w:hanging="180" w:hangingChars="10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Weight and variance implementation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CF04D9B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Survey weight; individual-robust SE; no full PSU/strata implementation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762247D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Wave 2 nurse weight used; joint nurse-sample × Wave 3 oral-assessment retention weight not estimable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6FF3A03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Person-level analysis weight with strata and SECU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D942790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Individual weight, country fixed effects, and robust SE</w:t>
            </w:r>
          </w:p>
        </w:tc>
      </w:tr>
      <w:tr w14:paraId="3AC5B455">
        <w:tblPrEx>
          <w:tblCellMar>
            <w:top w:w="55" w:type="dxa"/>
            <w:left w:w="70" w:type="dxa"/>
            <w:bottom w:w="55" w:type="dxa"/>
            <w:right w:w="70" w:type="dxa"/>
          </w:tblCellMar>
        </w:tblPrEx>
        <w:trPr>
          <w:trHeight w:val="23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A8A2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346" w:leftChars="83" w:hanging="180" w:hangingChars="10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Timing and evidence role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7C55C61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Same-wave assessment; direct edentulism evidence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8F51E44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Grip preceded oral assessment by one wave; supportive edentulism evidence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4C48CAB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Same-wave assessment; direct edentulism evidence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75F4430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Same-wave assessment; separate ≥28-missing-teeth exposure</w:t>
            </w:r>
          </w:p>
        </w:tc>
      </w:tr>
      <w:tr w14:paraId="6D4DBD4E">
        <w:tblPrEx>
          <w:tblCellMar>
            <w:top w:w="55" w:type="dxa"/>
            <w:left w:w="70" w:type="dxa"/>
            <w:bottom w:w="55" w:type="dxa"/>
            <w:right w:w="70" w:type="dxa"/>
          </w:tblCellMar>
        </w:tblPrEx>
        <w:trPr>
          <w:trHeight w:val="23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single" w:color="000000" w:sz="8" w:space="0"/>
              <w:right w:val="nil"/>
              <w:insideH w:val="nil"/>
              <w:insideV w:val="nil"/>
            </w:tcBorders>
            <w:vAlign w:val="center"/>
          </w:tcPr>
          <w:p w14:paraId="1CB4C0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346" w:leftChars="83" w:hanging="180" w:hangingChars="100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color w:val="000000"/>
                <w:sz w:val="18"/>
                <w:szCs w:val="18"/>
              </w:rPr>
              <w:t>Selected observed denominators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000000" w:sz="8" w:space="0"/>
              <w:right w:val="nil"/>
              <w:insideH w:val="nil"/>
              <w:insideV w:val="nil"/>
            </w:tcBorders>
            <w:vAlign w:val="center"/>
          </w:tcPr>
          <w:p w14:paraId="35FE46B4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sz w:val="18"/>
                <w:szCs w:val="18"/>
              </w:rPr>
              <w:t>Wealth: 2733/4605 (59.3%); activity: 2129/4605 (46.2%)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000000" w:sz="8" w:space="0"/>
              <w:right w:val="nil"/>
              <w:insideH w:val="nil"/>
              <w:insideV w:val="nil"/>
            </w:tcBorders>
            <w:vAlign w:val="center"/>
          </w:tcPr>
          <w:p w14:paraId="5B3B5061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sz w:val="18"/>
                <w:szCs w:val="18"/>
              </w:rPr>
              <w:t>Education: 3232/3583 (90.2%); recent alcohol use: 3005/3583 (83.9%)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000000" w:sz="8" w:space="0"/>
              <w:right w:val="nil"/>
              <w:insideH w:val="nil"/>
              <w:insideV w:val="nil"/>
            </w:tcBorders>
            <w:vAlign w:val="center"/>
          </w:tcPr>
          <w:p w14:paraId="6614EF0D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sz w:val="18"/>
                <w:szCs w:val="18"/>
              </w:rPr>
              <w:t>Education, alcohol, and wealth complete; activity: 4338/4341 (99.9%)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000000" w:sz="8" w:space="0"/>
              <w:right w:val="nil"/>
              <w:insideH w:val="nil"/>
              <w:insideV w:val="nil"/>
            </w:tcBorders>
            <w:vAlign w:val="center"/>
          </w:tcPr>
          <w:p w14:paraId="64CD8C36">
            <w:pPr>
              <w:spacing w:before="0" w:after="0"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sz w:val="18"/>
                <w:szCs w:val="18"/>
              </w:rPr>
              <w:t>Education and wealth complete; alcohol: 29228/29239 (&gt;99.9%); activity: 29233/29239 (&gt;99.9%)</w:t>
            </w:r>
          </w:p>
        </w:tc>
      </w:tr>
    </w:tbl>
    <w:p w14:paraId="3FC427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eastAsia="宋体" w:cs="Times New Roman"/>
          <w:sz w:val="22"/>
          <w:szCs w:val="22"/>
        </w:rPr>
        <w:t>Note. In complete-phenotype analyses, tooth-loss exposure, the four outcome components, base weight, and SHARE country were observed variables and were not imputed. Covariates were multiply imputed within each cohort using 20 imputations. Inverse-probability-of-completeness weighting was used only in sensitivity analyses. AWGS, Asian Working Group for Sarcopenia; EWGSOP2, European Working Group on Sarcopenia in Older People 2; PSU, primary sampling unit; SE, standard error; SECU, stratum error calculation unit.</w:t>
      </w:r>
    </w:p>
    <w:sectPr>
      <w:pgSz w:w="15840" w:h="12240" w:orient="landscape"/>
      <w:pgMar w:top="864" w:right="792" w:bottom="864" w:left="79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01B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396</Words>
  <Characters>2504</Characters>
  <Lines>0</Lines>
  <Paragraphs>0</Paragraphs>
  <TotalTime>7</TotalTime>
  <ScaleCrop>false</ScaleCrop>
  <LinksUpToDate>false</LinksUpToDate>
  <CharactersWithSpaces>2838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海绵宝宝的派大星星</cp:lastModifiedBy>
  <dcterms:modified xsi:type="dcterms:W3CDTF">2026-09-07T06:32:41Z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eyJoZGlkIjoiM2UyYTM0MjY5YjYzOWQxMWJlZWM1YzJmMjU1NmI1YTUiLCJ1c2VySWQiOiI3ODc4NjI5MTYifQ==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C09F048F91FE4E8BAE18248A140E366D_12</vt:lpwstr>
  </property>
</Properties>
</file>