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03544">
      <w:pPr>
        <w:pStyle w:val="31"/>
        <w:jc w:val="center"/>
      </w:pPr>
      <w:bookmarkStart w:id="0" w:name="_GoBack"/>
      <w:bookmarkEnd w:id="0"/>
      <w:r>
        <w:t>Additional file 1</w:t>
      </w:r>
    </w:p>
    <w:p w14:paraId="0527B6B3">
      <w:pPr>
        <w:keepNext/>
        <w:snapToGrid w:val="0"/>
        <w:spacing w:before="0" w:after="100" w:line="240" w:lineRule="auto"/>
        <w:ind w:left="0" w:right="0" w:firstLine="0"/>
        <w:rPr>
          <w:highlight w:val="none"/>
        </w:rPr>
      </w:pPr>
      <w:r>
        <w:rPr>
          <w:rFonts w:ascii="Times New Roman" w:hAnsi="Times New Roman" w:eastAsia="宋体"/>
          <w:b/>
          <w:color w:val="000000"/>
          <w:sz w:val="22"/>
          <w:szCs w:val="22"/>
          <w:highlight w:val="none"/>
        </w:rPr>
        <w:t>Table S</w:t>
      </w:r>
      <w:r>
        <w:rPr>
          <w:rFonts w:hint="eastAsia" w:eastAsia="宋体"/>
          <w:b/>
          <w:color w:val="000000"/>
          <w:sz w:val="22"/>
          <w:szCs w:val="22"/>
          <w:highlight w:val="none"/>
          <w:lang w:val="en-US" w:eastAsia="zh-CN"/>
        </w:rPr>
        <w:t>1</w:t>
      </w:r>
      <w:r>
        <w:rPr>
          <w:rFonts w:ascii="Times New Roman" w:hAnsi="Times New Roman" w:eastAsia="宋体"/>
          <w:b/>
          <w:color w:val="000000"/>
          <w:sz w:val="22"/>
          <w:szCs w:val="22"/>
          <w:highlight w:val="none"/>
        </w:rPr>
        <w:t>. All focal cross-lagged paths in M1-M4</w:t>
      </w:r>
    </w:p>
    <w:tbl>
      <w:tblPr>
        <w:tblStyle w:val="32"/>
        <w:tblW w:w="13900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shd w:val="clear" w:color="auto" w:fill="auto"/>
        <w:tblLayout w:type="fixed"/>
        <w:tblCellMar>
          <w:top w:w="45" w:type="dxa"/>
          <w:left w:w="85" w:type="dxa"/>
          <w:bottom w:w="45" w:type="dxa"/>
          <w:right w:w="85" w:type="dxa"/>
        </w:tblCellMar>
      </w:tblPr>
      <w:tblGrid>
        <w:gridCol w:w="850"/>
        <w:gridCol w:w="5150"/>
        <w:gridCol w:w="1250"/>
        <w:gridCol w:w="1150"/>
        <w:gridCol w:w="1150"/>
        <w:gridCol w:w="2950"/>
        <w:gridCol w:w="1400"/>
      </w:tblGrid>
      <w:tr w14:paraId="7C6A1C1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tblHeader/>
          <w:jc w:val="center"/>
        </w:trPr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CA438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  <w:highlight w:val="none"/>
              </w:rPr>
              <w:t>Model</w:t>
            </w:r>
          </w:p>
        </w:tc>
        <w:tc>
          <w:tcPr>
            <w:tcW w:w="51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F92E9F3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  <w:highlight w:val="none"/>
              </w:rPr>
              <w:t>Path</w:t>
            </w:r>
          </w:p>
        </w:tc>
        <w:tc>
          <w:tcPr>
            <w:tcW w:w="12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A8BB03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  <w:highlight w:val="none"/>
              </w:rPr>
              <w:t>B</w:t>
            </w:r>
          </w:p>
        </w:tc>
        <w:tc>
          <w:tcPr>
            <w:tcW w:w="11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C25D4C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  <w:highlight w:val="none"/>
              </w:rPr>
              <w:t>SE</w:t>
            </w:r>
          </w:p>
        </w:tc>
        <w:tc>
          <w:tcPr>
            <w:tcW w:w="11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7DDFDB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  <w:highlight w:val="none"/>
              </w:rPr>
              <w:t>β</w:t>
            </w:r>
          </w:p>
        </w:tc>
        <w:tc>
          <w:tcPr>
            <w:tcW w:w="29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1A0E69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  <w:highlight w:val="none"/>
              </w:rPr>
              <w:t>95% CI for B</w:t>
            </w:r>
          </w:p>
        </w:tc>
        <w:tc>
          <w:tcPr>
            <w:tcW w:w="14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509AF7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  <w:highlight w:val="none"/>
              </w:rPr>
              <w:t>p</w:t>
            </w:r>
          </w:p>
        </w:tc>
      </w:tr>
      <w:tr w14:paraId="7547BAD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970C03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M1</w:t>
            </w:r>
          </w:p>
        </w:tc>
        <w:tc>
          <w:tcPr>
            <w:tcW w:w="51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1F7B6C9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POS T0 → CCSAS T1</w:t>
            </w:r>
          </w:p>
        </w:tc>
        <w:tc>
          <w:tcPr>
            <w:tcW w:w="12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72DAFC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41BD57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E92404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1708009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4E437D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4FA0894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trHeight w:val="90" w:hRule="atLeast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49FDC4E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M1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0E28C800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POS T1 → CCSAS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C66DF6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1B8F9B6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170B748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142FA77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EC6E299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6435043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18A8AA5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M1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580C0D4A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NEG T0 → CCSAS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9E855D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28D1C41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DCDDC1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7864DB6F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5815F8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655382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6D44863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M1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56DD8268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NEG T1 → CCSAS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753A4B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2C4EEBA6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944208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4CBB5B8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B09110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264DF4A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7065A1D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M1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21D5207F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GSES T0 → CCSAS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28DD38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2AB59760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CFBD05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76FFC01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127C64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305782F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1D1F71D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M1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1CB487C1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GSES T1 → CCSAS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6D2628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15DFD81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100AD4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42B76C8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504A3D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375ADF1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0412975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M1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1CA5E46A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T0 → POS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00ECBD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4FB5317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2255419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6869195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418EAB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0BDADCD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01DB324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M1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0DC0C12B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T1 → POS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83CECA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40B515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DECC3A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66BECD7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A55DB0F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2D169BA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3E54F78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M1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76628058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T0 → NEG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211A70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1D308E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2F7EB56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72000A6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B9510E6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1A6483B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4F53A026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M1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3D23FFA6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T1 → NEG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24B1FD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60D2ED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49D219F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2B6B5E9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F34594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5F3429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54D3135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M1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3A6ACB42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T0 → GSES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DE19F5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585E51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41C9856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0DDB195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0DA82A80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47AD4FA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trHeight w:val="90" w:hRule="atLeast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7101752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M1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0D50B0E0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T1 → GSES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807A6A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C44AEE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9EAAF90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570457C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520229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450CB20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57D50496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M2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631D4FE8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POS T0 → CCSAS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CA041F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5.184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0F181FF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1.987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84F2DE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.097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2457F24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[1.290, 9.078]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C6D3289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.009</w:t>
            </w:r>
          </w:p>
        </w:tc>
      </w:tr>
      <w:tr w14:paraId="7EBF1B3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6342910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M2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57D4892B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POS T1 → CCSAS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4B2695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6.205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2D6888C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1.836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221F0E5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.135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18AC2DF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[2.606, 9.803]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FDE20C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</w:tr>
      <w:tr w14:paraId="7F22C23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30F2E5E6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M2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239C6675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NEG T0 → CCSAS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88CBF8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-2.337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A26463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1.818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246A1E9F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-.039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2A9B5A1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[-5.900, 1.226]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022295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.199</w:t>
            </w:r>
          </w:p>
        </w:tc>
      </w:tr>
      <w:tr w14:paraId="4EDFFD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2380CAA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M2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23378DAD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NEG T1 → CCSAS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0C8508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-2.073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1305B09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1.849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1C08E73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-.039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40908A3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[-5.696, 1.550]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476309E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.262</w:t>
            </w:r>
          </w:p>
        </w:tc>
      </w:tr>
      <w:tr w14:paraId="10F907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1B078DA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M2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304AEB56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GSES T0 → CCSAS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349A51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6.353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19FCF0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1.808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685625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.122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6971366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[2.810, 9.896]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5D236F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&lt; .001</w:t>
            </w:r>
          </w:p>
        </w:tc>
      </w:tr>
      <w:tr w14:paraId="7B6A580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336CDE2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M2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7991DAA0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GSES T1 → CCSAS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1F955C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1.911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782C76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2.178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CCCDFA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.040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71AECB0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[-2.358, 6.180]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D3CBEB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.380</w:t>
            </w:r>
          </w:p>
        </w:tc>
      </w:tr>
      <w:tr w14:paraId="58FBC0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549FE350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M2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44448706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T0 → POS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777B4F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FF8EB6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D5D1B6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218A2B1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D41CBF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1BC2611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387F34E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M2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597110A9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T1 → POS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049BAD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464AC95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3F16BE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59F6E80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CE3DB9F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7837E9A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4D4DC95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M2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3D2E62AB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T0 → NEG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E7AA5C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D5140B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70BCD50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1B6FCA8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0BA41E6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2AA2DEA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47565AC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M2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36C0C681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T1 → NEG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D2C759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49E2D41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4F55A62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30A312C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031AD830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3D0FC31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1D7DB7E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M2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6F019677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T0 → GSES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31728F9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0CE4EA9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3FD9F90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3F0B5F6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A31A0C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694AD99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50CB6CE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M2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3EEF4702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T1 → GSES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4CDBED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48A680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550530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3956028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C49FD3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5C767F2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6478BC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M3</w:t>
            </w:r>
          </w:p>
        </w:tc>
        <w:tc>
          <w:tcPr>
            <w:tcW w:w="51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B37BAC7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POS T0 → CCSAS T1</w:t>
            </w:r>
          </w:p>
        </w:tc>
        <w:tc>
          <w:tcPr>
            <w:tcW w:w="12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D2FA19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A4A47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7B78D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BE4816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9798BAF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5BA501A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DAE920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M3</w:t>
            </w:r>
          </w:p>
        </w:tc>
        <w:tc>
          <w:tcPr>
            <w:tcW w:w="51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8602E80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POS T1 → CCSAS T2</w:t>
            </w:r>
          </w:p>
        </w:tc>
        <w:tc>
          <w:tcPr>
            <w:tcW w:w="12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8667EA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751E7BF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91D52A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ECF35C9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442322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1DD18DC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529B997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M3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5543C1E5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NEG T0 → CCSAS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7B5063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6EE07B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12E7CA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0B45863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B26905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34AE862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020821C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M3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6B797D59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NEG T1 → CCSAS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C7F132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1A3A872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0B57D8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32412A2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9324AC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755ABF3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5784DB1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M3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77E5A244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GSES T0 → CCSAS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F30D77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555822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26835A9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29DAEAE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4157BB8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76F8DDF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419F0F0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M3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6795548C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GSES T1 → CCSAS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EC8DAD6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731425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BA1FFF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642B837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1E1DE9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Fixed</w:t>
            </w:r>
          </w:p>
        </w:tc>
      </w:tr>
      <w:tr w14:paraId="383AFC4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36AE847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M3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73FA2D53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T0 → POS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EAE4DC6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.006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4F3FA5A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436E7D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.275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46BD8C6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[.004, .007]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4EC66E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&lt; .001</w:t>
            </w:r>
          </w:p>
        </w:tc>
      </w:tr>
      <w:tr w14:paraId="0C6BB1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1B74DCF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M3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39380521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T1 → POS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CB80EA6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.006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EBA8FB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267339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.320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626D315F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[.005, .008]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1E5804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&lt; .001</w:t>
            </w:r>
          </w:p>
        </w:tc>
      </w:tr>
      <w:tr w14:paraId="3557683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27A3923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M3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1338E863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T0 → NEG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DDCE5B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F08348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8CCB44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-.020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4896118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[-.002, .001]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0953EA1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.598</w:t>
            </w:r>
          </w:p>
        </w:tc>
      </w:tr>
      <w:tr w14:paraId="73A23A1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40B3C75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M3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49663BF8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T1 → NEG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E725080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D19036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26DDF5D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.045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5BEF660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[-.001, .002]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58E8FB6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.338</w:t>
            </w:r>
          </w:p>
        </w:tc>
      </w:tr>
      <w:tr w14:paraId="6EA9EE6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15F35E0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M3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644AB20F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T0 → GSES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27CFE3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.005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D7883F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74DC6B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.233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71F073F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[.003, .006]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483E32B9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&lt; .001</w:t>
            </w:r>
          </w:p>
        </w:tc>
      </w:tr>
      <w:tr w14:paraId="5DBB439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3F760DB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M3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0CF20974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T1 → GSES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225EBD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.006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18A61F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859787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.304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48A9B83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[.004, .008]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58722E0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&lt; .001</w:t>
            </w:r>
          </w:p>
        </w:tc>
      </w:tr>
      <w:tr w14:paraId="0025833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0F2E1A0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M4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7321AA0A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POS T0 → CCSAS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EEF58F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2.763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26BCED5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1.958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4614710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.048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31CC0B2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[-1.075, 6.601]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06EDCFB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.158</w:t>
            </w:r>
          </w:p>
        </w:tc>
      </w:tr>
      <w:tr w14:paraId="086C81F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2CE2E28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M4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4563A7C5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POS T1 → CCSAS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B1C0B5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3.562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3B4D75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1.906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4E22CA26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.071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73E528D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[-.173, 7.297]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72DDA3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.062</w:t>
            </w:r>
          </w:p>
        </w:tc>
      </w:tr>
      <w:tr w14:paraId="395F738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631D9E3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M4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0F203483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NEG T0 → CCSAS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431757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-2.074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82516C9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1.820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943377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-.033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0F45C60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[-5.640, 1.492]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7C5B9B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.254</w:t>
            </w:r>
          </w:p>
        </w:tc>
      </w:tr>
      <w:tr w14:paraId="6607313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0DDAF1B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M4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14BDE243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NEG T1 → CCSAS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4F5A48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-1.782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E61A59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1.867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7A2C22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-.029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1BA3CE7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[-5.442, 1.877]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BB3C14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.340</w:t>
            </w:r>
          </w:p>
        </w:tc>
      </w:tr>
      <w:tr w14:paraId="73CAF8B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71632D5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M4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1DEAFFF5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GSES T0 → CCSAS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23604C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5.086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87D7D1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1.776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4971C0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.091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6578BB49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[1.604, 8.568]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643E98D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.004</w:t>
            </w:r>
          </w:p>
        </w:tc>
      </w:tr>
      <w:tr w14:paraId="67070D6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0EAE45D6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M4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0C5CBA5E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GSES T1 → CCSAS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B98A9E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.287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0DCB41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2.236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1447BBB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.005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1EFA189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[-4.097, 4.670]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A63A8F8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.898</w:t>
            </w:r>
          </w:p>
        </w:tc>
      </w:tr>
      <w:tr w14:paraId="73202BE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12598FA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M4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4A579F22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T0 → POS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4C5F960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.005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AFEC7A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D129B5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.260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178FFE9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[.004, .007]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ED9D64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&lt; .001</w:t>
            </w:r>
          </w:p>
        </w:tc>
      </w:tr>
      <w:tr w14:paraId="02E197A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4681B460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M4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7A36BBE9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T1 → POS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135EBE0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.006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0CB62DC5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11DECC7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.298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52D7B991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[.004, .008]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09BFF7E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&lt; .001</w:t>
            </w:r>
          </w:p>
        </w:tc>
      </w:tr>
      <w:tr w14:paraId="1307BE2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31AA8F42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M4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2F0A3E6A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T0 → NEG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0C9801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B658A3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AA19E6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-.018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1F2B513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[-.002, .001]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01B53A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.618</w:t>
            </w:r>
          </w:p>
        </w:tc>
      </w:tr>
      <w:tr w14:paraId="69DDC32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1C78B12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M4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53EBED83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T1 → NEG T2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A25E23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B946D5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E5C9F13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.046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68FC7BF4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[-.001, .002]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2A0E003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.331</w:t>
            </w:r>
          </w:p>
        </w:tc>
      </w:tr>
      <w:tr w14:paraId="25D66E1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2735EC57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M4</w:t>
            </w:r>
          </w:p>
        </w:tc>
        <w:tc>
          <w:tcPr>
            <w:tcW w:w="5150" w:type="dxa"/>
            <w:shd w:val="clear" w:color="auto" w:fill="auto"/>
            <w:vAlign w:val="center"/>
          </w:tcPr>
          <w:p w14:paraId="479910CD">
            <w:pPr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T0 → GSES T1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C53FDAD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.004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31CDFB6A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FFA710E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.210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5274DD6C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[.003, .006]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1DFE886B">
            <w:pPr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&lt; .001</w:t>
            </w:r>
          </w:p>
        </w:tc>
      </w:tr>
      <w:tr w14:paraId="0CF9F52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45" w:type="dxa"/>
            <w:left w:w="85" w:type="dxa"/>
            <w:bottom w:w="45" w:type="dxa"/>
            <w:right w:w="85" w:type="dxa"/>
          </w:tblCellMar>
        </w:tblPrEx>
        <w:trPr>
          <w:cantSplit/>
          <w:jc w:val="center"/>
        </w:trPr>
        <w:tc>
          <w:tcPr>
            <w:tcW w:w="8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CA44A02">
            <w:pPr>
              <w:keepNext/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M4</w:t>
            </w:r>
          </w:p>
        </w:tc>
        <w:tc>
          <w:tcPr>
            <w:tcW w:w="51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5BAFBF">
            <w:pPr>
              <w:keepNext/>
              <w:snapToGrid w:val="0"/>
              <w:spacing w:before="0" w:after="0" w:line="240" w:lineRule="auto"/>
              <w:ind w:left="0" w:right="0"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CCSAS T1 → GSES T2</w:t>
            </w:r>
          </w:p>
        </w:tc>
        <w:tc>
          <w:tcPr>
            <w:tcW w:w="12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F3EC0D8">
            <w:pPr>
              <w:keepNext/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.006</w:t>
            </w:r>
          </w:p>
        </w:tc>
        <w:tc>
          <w:tcPr>
            <w:tcW w:w="11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FC15B4A">
            <w:pPr>
              <w:keepNext/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.001</w:t>
            </w:r>
          </w:p>
        </w:tc>
        <w:tc>
          <w:tcPr>
            <w:tcW w:w="11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C42BB2F">
            <w:pPr>
              <w:keepNext/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.299</w:t>
            </w:r>
          </w:p>
        </w:tc>
        <w:tc>
          <w:tcPr>
            <w:tcW w:w="29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08723B4">
            <w:pPr>
              <w:keepNext/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[.004, .008]</w:t>
            </w:r>
          </w:p>
        </w:tc>
        <w:tc>
          <w:tcPr>
            <w:tcW w:w="140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29093BA">
            <w:pPr>
              <w:keepNext/>
              <w:snapToGrid w:val="0"/>
              <w:spacing w:before="0" w:after="0" w:line="240" w:lineRule="auto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  <w:highlight w:val="none"/>
              </w:rPr>
              <w:t>&lt; .001</w:t>
            </w:r>
          </w:p>
        </w:tc>
      </w:tr>
    </w:tbl>
    <w:p w14:paraId="7395052F">
      <w:pPr>
        <w:snapToGrid w:val="0"/>
        <w:spacing w:before="0" w:after="100" w:line="240" w:lineRule="auto"/>
        <w:ind w:left="0" w:right="0" w:firstLine="0"/>
        <w:rPr>
          <w:rFonts w:ascii="Times New Roman" w:hAnsi="Times New Roman" w:eastAsia="宋体"/>
          <w:color w:val="000000"/>
          <w:sz w:val="20"/>
          <w:szCs w:val="20"/>
          <w:highlight w:val="none"/>
        </w:rPr>
      </w:pPr>
      <w:r>
        <w:rPr>
          <w:rFonts w:ascii="Times New Roman" w:hAnsi="Times New Roman" w:eastAsia="宋体"/>
          <w:color w:val="000000"/>
          <w:sz w:val="20"/>
          <w:szCs w:val="20"/>
          <w:highlight w:val="none"/>
        </w:rPr>
        <w:t>Note. N = 766 in each model; MLR estimation with FIML for missing repeated measures. M1 = stability-only; M2 = individual variables to adaptation; M3 = adaptation to individual variables; M4 = bidirectional. All four models adjust for sex, age, and residence. CCSAS = college adaptation; POS = positive coping; NEG = negative coping; GSES = general self-efficacy. B, SE, and 95% CI are unstandardized; beta is STDYX standardized. p values refer to tests of B. All estimated paths are reported, including nonsignificant paths. Mplus prints three decimals; near-zero B values can round to .000. T0-T1 and T1-T2 span 1 and 2 months, respectively. Fixed denotes a path constrained to zero or omitted by model specification; its SE, standardized estimate, CI, and p value were not estimated. A fixed path is not an estimated nonsignificant effect.</w:t>
      </w:r>
    </w:p>
    <w:p w14:paraId="313815DA">
      <w:pPr>
        <w:snapToGrid w:val="0"/>
        <w:spacing w:before="0" w:after="100" w:line="240" w:lineRule="auto"/>
        <w:ind w:left="0" w:right="0" w:firstLine="0"/>
        <w:rPr>
          <w:rFonts w:ascii="Times New Roman" w:hAnsi="Times New Roman" w:eastAsia="宋体"/>
          <w:color w:val="000000"/>
          <w:sz w:val="20"/>
          <w:szCs w:val="20"/>
          <w:highlight w:val="none"/>
        </w:rPr>
      </w:pPr>
    </w:p>
    <w:p w14:paraId="49A55871">
      <w:pPr>
        <w:snapToGrid w:val="0"/>
        <w:spacing w:before="0" w:after="100" w:line="240" w:lineRule="auto"/>
        <w:ind w:left="0" w:right="0" w:firstLine="0"/>
        <w:rPr>
          <w:rFonts w:ascii="Times New Roman" w:hAnsi="Times New Roman" w:eastAsia="宋体"/>
          <w:color w:val="000000"/>
          <w:sz w:val="20"/>
          <w:szCs w:val="20"/>
          <w:highlight w:val="none"/>
        </w:rPr>
      </w:pPr>
    </w:p>
    <w:p w14:paraId="21B1E727">
      <w:pPr>
        <w:keepNext/>
        <w:spacing w:before="120" w:after="60" w:line="276" w:lineRule="auto"/>
        <w:ind w:firstLine="0"/>
        <w:jc w:val="left"/>
        <w:rPr>
          <w:rFonts w:ascii="Times New Roman" w:hAnsi="Times New Roman" w:eastAsia="Noto Sans CJK SC"/>
          <w:i/>
          <w:color w:val="000000"/>
          <w:sz w:val="20"/>
          <w:szCs w:val="24"/>
        </w:rPr>
      </w:pPr>
      <w:r>
        <w:rPr>
          <w:rFonts w:ascii="Times New Roman" w:hAnsi="Times New Roman" w:eastAsia="Noto Sans CJK SC"/>
          <w:b/>
          <w:color w:val="000000"/>
          <w:sz w:val="21"/>
          <w:szCs w:val="24"/>
        </w:rPr>
        <w:t xml:space="preserve">Figure </w:t>
      </w:r>
      <w:r>
        <w:rPr>
          <w:rFonts w:hint="eastAsia" w:eastAsia="宋体"/>
          <w:b/>
          <w:color w:val="000000"/>
          <w:sz w:val="21"/>
          <w:szCs w:val="24"/>
          <w:lang w:val="en-US" w:eastAsia="zh-CN"/>
        </w:rPr>
        <w:t>S1</w:t>
      </w:r>
      <w:r>
        <w:rPr>
          <w:rFonts w:ascii="Times New Roman" w:hAnsi="Times New Roman" w:eastAsia="Noto Sans CJK SC"/>
          <w:b/>
          <w:color w:val="000000"/>
          <w:sz w:val="21"/>
          <w:szCs w:val="24"/>
        </w:rPr>
        <w:t xml:space="preserve"> </w:t>
      </w:r>
      <w:r>
        <w:rPr>
          <w:rFonts w:hint="eastAsia" w:ascii="Times New Roman" w:hAnsi="Times New Roman" w:eastAsia="Noto Sans CJK SC"/>
          <w:b/>
          <w:color w:val="000000"/>
          <w:sz w:val="21"/>
          <w:szCs w:val="24"/>
        </w:rPr>
        <w:t xml:space="preserve"> Final adaptation-to-individual-variables cross-lagged panel model (M3).</w:t>
      </w:r>
    </w:p>
    <w:p w14:paraId="44CC4032">
      <w:pPr>
        <w:keepNext/>
        <w:spacing w:before="120" w:after="60" w:line="276" w:lineRule="auto"/>
        <w:ind w:firstLine="0"/>
        <w:jc w:val="center"/>
        <w:rPr>
          <w:rFonts w:ascii="Times New Roman" w:hAnsi="Times New Roman" w:eastAsia="Noto Sans CJK SC" w:cs="Times New Roman"/>
          <w:color w:val="000000"/>
          <w:sz w:val="24"/>
          <w:szCs w:val="24"/>
        </w:rPr>
      </w:pPr>
      <w:r>
        <w:rPr>
          <w:rFonts w:ascii="Times New Roman" w:hAnsi="Times New Roman" w:eastAsia="Noto Sans CJK SC" w:cs="Times New Roman"/>
          <w:color w:val="000000"/>
          <w:sz w:val="24"/>
          <w:szCs w:val="24"/>
        </w:rPr>
        <w:drawing>
          <wp:inline distT="0" distB="0" distL="114300" distR="114300">
            <wp:extent cx="4752975" cy="3113405"/>
            <wp:effectExtent l="0" t="0" r="1905" b="10795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rcRect b="20470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11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53C62">
      <w:pPr>
        <w:widowControl/>
        <w:spacing w:before="40" w:after="120" w:line="276" w:lineRule="auto"/>
        <w:ind w:left="0" w:right="0" w:firstLine="0"/>
        <w:jc w:val="center"/>
      </w:pPr>
      <w:r>
        <w:rPr>
          <w:rFonts w:ascii="Times New Roman" w:hAnsi="Times New Roman" w:eastAsia="Noto Sans CJK SC" w:cs="Times New Roman"/>
          <w:b w:val="0"/>
          <w:i/>
          <w:color w:val="000000"/>
          <w:sz w:val="18"/>
          <w:szCs w:val="18"/>
        </w:rPr>
        <w:t>Note. Standardized coefficients are shown. Only significant focal cross-lagged paths involving CCSAS are displayed; all autoregressive paths were estimated and shown in gray. Non-significant focal cross-lagged paths were omitted for clarity. POS = positive coping; NEG = negative coping; GSES = general self-efficacy. The model adjusted for sex, age, and residence. **p &lt; .01; ***p &lt; .001.</w:t>
      </w:r>
    </w:p>
    <w:p w14:paraId="49E07405">
      <w:pPr>
        <w:spacing w:after="120" w:line="276" w:lineRule="auto"/>
        <w:ind w:firstLine="0"/>
        <w:jc w:val="center"/>
        <w:rPr>
          <w:rFonts w:ascii="Times New Roman" w:hAnsi="Times New Roman" w:eastAsia="Noto Sans CJK SC"/>
          <w:i/>
          <w:color w:val="000000"/>
          <w:sz w:val="18"/>
        </w:rPr>
      </w:pPr>
    </w:p>
    <w:p w14:paraId="111E6367">
      <w:pPr>
        <w:sectPr>
          <w:footerReference r:id="rId5" w:type="default"/>
          <w:pgSz w:w="15840" w:h="12240" w:orient="landscape"/>
          <w:pgMar w:top="1134" w:right="1134" w:bottom="1134" w:left="1134" w:header="720" w:footer="720" w:gutter="0"/>
          <w:cols w:space="720" w:num="1"/>
          <w:docGrid w:linePitch="360" w:charSpace="0"/>
        </w:sectPr>
      </w:pPr>
    </w:p>
    <w:p w14:paraId="3802A52E">
      <w:pPr>
        <w:snapToGrid w:val="0"/>
        <w:spacing w:before="0" w:after="100" w:line="240" w:lineRule="auto"/>
        <w:ind w:left="0" w:right="0" w:firstLine="0"/>
        <w:rPr>
          <w:rFonts w:ascii="Times New Roman" w:hAnsi="Times New Roman" w:eastAsia="宋体"/>
          <w:color w:val="000000"/>
          <w:sz w:val="20"/>
          <w:szCs w:val="20"/>
          <w:highlight w:val="none"/>
        </w:rPr>
      </w:pPr>
    </w:p>
    <w:p w14:paraId="0B3918EE">
      <w:pPr>
        <w:keepNext/>
        <w:spacing w:before="200" w:after="60"/>
        <w:ind w:firstLine="0"/>
        <w:jc w:val="left"/>
      </w:pPr>
      <w:r>
        <w:rPr>
          <w:rFonts w:ascii="Times New Roman" w:hAnsi="Times New Roman" w:eastAsia="Noto Sans CJK SC"/>
          <w:b/>
          <w:color w:val="000000"/>
          <w:sz w:val="22"/>
        </w:rPr>
        <w:t>Table S</w:t>
      </w:r>
      <w:r>
        <w:rPr>
          <w:rFonts w:hint="eastAsia" w:eastAsia="宋体"/>
          <w:b/>
          <w:color w:val="000000"/>
          <w:sz w:val="22"/>
          <w:lang w:val="en-US" w:eastAsia="zh-CN"/>
        </w:rPr>
        <w:t>2</w:t>
      </w:r>
      <w:r>
        <w:rPr>
          <w:rFonts w:ascii="Times New Roman" w:hAnsi="Times New Roman" w:eastAsia="Noto Sans CJK SC"/>
          <w:b/>
          <w:color w:val="000000"/>
          <w:sz w:val="22"/>
        </w:rPr>
        <w:t xml:space="preserve"> Measurement invariance results for negative coping and general self-efficacy</w:t>
      </w:r>
    </w:p>
    <w:tbl>
      <w:tblPr>
        <w:tblStyle w:val="3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 w14:paraId="32ABBC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936" w:type="dxa"/>
            <w:vAlign w:val="center"/>
          </w:tcPr>
          <w:p w14:paraId="3D65D858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Construct</w:t>
            </w:r>
          </w:p>
        </w:tc>
        <w:tc>
          <w:tcPr>
            <w:tcW w:w="936" w:type="dxa"/>
            <w:vAlign w:val="center"/>
          </w:tcPr>
          <w:p w14:paraId="33CC5EB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Model</w:t>
            </w:r>
          </w:p>
        </w:tc>
        <w:tc>
          <w:tcPr>
            <w:tcW w:w="936" w:type="dxa"/>
            <w:vAlign w:val="center"/>
          </w:tcPr>
          <w:p w14:paraId="41983E60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CFI</w:t>
            </w:r>
          </w:p>
        </w:tc>
        <w:tc>
          <w:tcPr>
            <w:tcW w:w="936" w:type="dxa"/>
            <w:vAlign w:val="center"/>
          </w:tcPr>
          <w:p w14:paraId="030FB8B1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TLI</w:t>
            </w:r>
          </w:p>
        </w:tc>
        <w:tc>
          <w:tcPr>
            <w:tcW w:w="936" w:type="dxa"/>
            <w:vAlign w:val="center"/>
          </w:tcPr>
          <w:p w14:paraId="3F761307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RMSEA</w:t>
            </w:r>
          </w:p>
        </w:tc>
        <w:tc>
          <w:tcPr>
            <w:tcW w:w="936" w:type="dxa"/>
            <w:vAlign w:val="center"/>
          </w:tcPr>
          <w:p w14:paraId="2C7797C6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SRMR</w:t>
            </w:r>
          </w:p>
        </w:tc>
        <w:tc>
          <w:tcPr>
            <w:tcW w:w="936" w:type="dxa"/>
            <w:vAlign w:val="center"/>
          </w:tcPr>
          <w:p w14:paraId="4DFF281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ΔCFI</w:t>
            </w:r>
          </w:p>
        </w:tc>
        <w:tc>
          <w:tcPr>
            <w:tcW w:w="936" w:type="dxa"/>
            <w:vAlign w:val="center"/>
          </w:tcPr>
          <w:p w14:paraId="083FAE2A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ΔRMSEA</w:t>
            </w:r>
          </w:p>
        </w:tc>
        <w:tc>
          <w:tcPr>
            <w:tcW w:w="936" w:type="dxa"/>
            <w:vAlign w:val="center"/>
          </w:tcPr>
          <w:p w14:paraId="7817FDB8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ΔSRMR</w:t>
            </w:r>
          </w:p>
        </w:tc>
        <w:tc>
          <w:tcPr>
            <w:tcW w:w="936" w:type="dxa"/>
            <w:vAlign w:val="center"/>
          </w:tcPr>
          <w:p w14:paraId="629D6EEC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Decision</w:t>
            </w:r>
          </w:p>
        </w:tc>
      </w:tr>
      <w:tr w14:paraId="4DF017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36" w:type="dxa"/>
            <w:vAlign w:val="center"/>
          </w:tcPr>
          <w:p w14:paraId="3E363768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Negative coping</w:t>
            </w:r>
          </w:p>
        </w:tc>
        <w:tc>
          <w:tcPr>
            <w:tcW w:w="936" w:type="dxa"/>
            <w:vAlign w:val="center"/>
          </w:tcPr>
          <w:p w14:paraId="45647932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Configural</w:t>
            </w:r>
          </w:p>
        </w:tc>
        <w:tc>
          <w:tcPr>
            <w:tcW w:w="936" w:type="dxa"/>
            <w:vAlign w:val="center"/>
          </w:tcPr>
          <w:p w14:paraId="518DA7AE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.917</w:t>
            </w:r>
          </w:p>
        </w:tc>
        <w:tc>
          <w:tcPr>
            <w:tcW w:w="936" w:type="dxa"/>
            <w:vAlign w:val="center"/>
          </w:tcPr>
          <w:p w14:paraId="6364E5F4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.899</w:t>
            </w:r>
          </w:p>
        </w:tc>
        <w:tc>
          <w:tcPr>
            <w:tcW w:w="936" w:type="dxa"/>
            <w:vAlign w:val="center"/>
          </w:tcPr>
          <w:p w14:paraId="22476707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.043</w:t>
            </w:r>
          </w:p>
        </w:tc>
        <w:tc>
          <w:tcPr>
            <w:tcW w:w="936" w:type="dxa"/>
            <w:vAlign w:val="center"/>
          </w:tcPr>
          <w:p w14:paraId="5C92000F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.061</w:t>
            </w:r>
          </w:p>
        </w:tc>
        <w:tc>
          <w:tcPr>
            <w:tcW w:w="936" w:type="dxa"/>
            <w:vAlign w:val="center"/>
          </w:tcPr>
          <w:p w14:paraId="49A9734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—</w:t>
            </w:r>
          </w:p>
        </w:tc>
        <w:tc>
          <w:tcPr>
            <w:tcW w:w="936" w:type="dxa"/>
            <w:vAlign w:val="center"/>
          </w:tcPr>
          <w:p w14:paraId="4409F79F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—</w:t>
            </w:r>
          </w:p>
        </w:tc>
        <w:tc>
          <w:tcPr>
            <w:tcW w:w="936" w:type="dxa"/>
            <w:vAlign w:val="center"/>
          </w:tcPr>
          <w:p w14:paraId="4EA11AA7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—</w:t>
            </w:r>
          </w:p>
        </w:tc>
        <w:tc>
          <w:tcPr>
            <w:tcW w:w="936" w:type="dxa"/>
            <w:vAlign w:val="center"/>
          </w:tcPr>
          <w:p w14:paraId="54DED05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Baseline fit</w:t>
            </w:r>
          </w:p>
        </w:tc>
      </w:tr>
      <w:tr w14:paraId="2BB0C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36" w:type="dxa"/>
            <w:vAlign w:val="center"/>
          </w:tcPr>
          <w:p w14:paraId="04BFB367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Negative coping</w:t>
            </w:r>
          </w:p>
        </w:tc>
        <w:tc>
          <w:tcPr>
            <w:tcW w:w="936" w:type="dxa"/>
            <w:vAlign w:val="center"/>
          </w:tcPr>
          <w:p w14:paraId="2FBEDA64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Metric</w:t>
            </w:r>
          </w:p>
        </w:tc>
        <w:tc>
          <w:tcPr>
            <w:tcW w:w="936" w:type="dxa"/>
            <w:vAlign w:val="center"/>
          </w:tcPr>
          <w:p w14:paraId="24679789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.913</w:t>
            </w:r>
          </w:p>
        </w:tc>
        <w:tc>
          <w:tcPr>
            <w:tcW w:w="936" w:type="dxa"/>
            <w:vAlign w:val="center"/>
          </w:tcPr>
          <w:p w14:paraId="27D9D9AB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.899</w:t>
            </w:r>
          </w:p>
        </w:tc>
        <w:tc>
          <w:tcPr>
            <w:tcW w:w="936" w:type="dxa"/>
            <w:vAlign w:val="center"/>
          </w:tcPr>
          <w:p w14:paraId="5DDEDD29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.043</w:t>
            </w:r>
          </w:p>
        </w:tc>
        <w:tc>
          <w:tcPr>
            <w:tcW w:w="936" w:type="dxa"/>
            <w:vAlign w:val="center"/>
          </w:tcPr>
          <w:p w14:paraId="400FB72F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.064</w:t>
            </w:r>
          </w:p>
        </w:tc>
        <w:tc>
          <w:tcPr>
            <w:tcW w:w="936" w:type="dxa"/>
            <w:vAlign w:val="center"/>
          </w:tcPr>
          <w:p w14:paraId="514C759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−.004</w:t>
            </w:r>
          </w:p>
        </w:tc>
        <w:tc>
          <w:tcPr>
            <w:tcW w:w="936" w:type="dxa"/>
            <w:vAlign w:val="center"/>
          </w:tcPr>
          <w:p w14:paraId="19B470EE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.000</w:t>
            </w:r>
          </w:p>
        </w:tc>
        <w:tc>
          <w:tcPr>
            <w:tcW w:w="936" w:type="dxa"/>
            <w:vAlign w:val="center"/>
          </w:tcPr>
          <w:p w14:paraId="53A44A1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.003</w:t>
            </w:r>
          </w:p>
        </w:tc>
        <w:tc>
          <w:tcPr>
            <w:tcW w:w="936" w:type="dxa"/>
            <w:vAlign w:val="center"/>
          </w:tcPr>
          <w:p w14:paraId="3123A06F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Supported</w:t>
            </w:r>
          </w:p>
        </w:tc>
      </w:tr>
      <w:tr w14:paraId="134C9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36" w:type="dxa"/>
            <w:vAlign w:val="center"/>
          </w:tcPr>
          <w:p w14:paraId="453F41F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Negative coping</w:t>
            </w:r>
          </w:p>
        </w:tc>
        <w:tc>
          <w:tcPr>
            <w:tcW w:w="936" w:type="dxa"/>
            <w:vAlign w:val="center"/>
          </w:tcPr>
          <w:p w14:paraId="5068101D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Scalar</w:t>
            </w:r>
          </w:p>
        </w:tc>
        <w:tc>
          <w:tcPr>
            <w:tcW w:w="936" w:type="dxa"/>
            <w:vAlign w:val="center"/>
          </w:tcPr>
          <w:p w14:paraId="5F1D731D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.893</w:t>
            </w:r>
          </w:p>
        </w:tc>
        <w:tc>
          <w:tcPr>
            <w:tcW w:w="936" w:type="dxa"/>
            <w:vAlign w:val="center"/>
          </w:tcPr>
          <w:p w14:paraId="1FC190D6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.884</w:t>
            </w:r>
          </w:p>
        </w:tc>
        <w:tc>
          <w:tcPr>
            <w:tcW w:w="936" w:type="dxa"/>
            <w:vAlign w:val="center"/>
          </w:tcPr>
          <w:p w14:paraId="4329AA5E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.047</w:t>
            </w:r>
          </w:p>
        </w:tc>
        <w:tc>
          <w:tcPr>
            <w:tcW w:w="936" w:type="dxa"/>
            <w:vAlign w:val="center"/>
          </w:tcPr>
          <w:p w14:paraId="6143EA8D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.067</w:t>
            </w:r>
          </w:p>
        </w:tc>
        <w:tc>
          <w:tcPr>
            <w:tcW w:w="936" w:type="dxa"/>
            <w:vAlign w:val="center"/>
          </w:tcPr>
          <w:p w14:paraId="520F0406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−.020</w:t>
            </w:r>
          </w:p>
        </w:tc>
        <w:tc>
          <w:tcPr>
            <w:tcW w:w="936" w:type="dxa"/>
            <w:vAlign w:val="center"/>
          </w:tcPr>
          <w:p w14:paraId="5AA555E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.004</w:t>
            </w:r>
          </w:p>
        </w:tc>
        <w:tc>
          <w:tcPr>
            <w:tcW w:w="936" w:type="dxa"/>
            <w:vAlign w:val="center"/>
          </w:tcPr>
          <w:p w14:paraId="01A59232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.003</w:t>
            </w:r>
          </w:p>
        </w:tc>
        <w:tc>
          <w:tcPr>
            <w:tcW w:w="936" w:type="dxa"/>
            <w:vAlign w:val="center"/>
          </w:tcPr>
          <w:p w14:paraId="70C0E570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Not supported</w:t>
            </w:r>
          </w:p>
        </w:tc>
      </w:tr>
      <w:tr w14:paraId="70500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36" w:type="dxa"/>
            <w:vAlign w:val="center"/>
          </w:tcPr>
          <w:p w14:paraId="3EE19B46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GSES</w:t>
            </w:r>
          </w:p>
        </w:tc>
        <w:tc>
          <w:tcPr>
            <w:tcW w:w="936" w:type="dxa"/>
            <w:vAlign w:val="center"/>
          </w:tcPr>
          <w:p w14:paraId="207CDF49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Configural</w:t>
            </w:r>
          </w:p>
        </w:tc>
        <w:tc>
          <w:tcPr>
            <w:tcW w:w="936" w:type="dxa"/>
            <w:vAlign w:val="center"/>
          </w:tcPr>
          <w:p w14:paraId="6C734F5D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.928</w:t>
            </w:r>
          </w:p>
        </w:tc>
        <w:tc>
          <w:tcPr>
            <w:tcW w:w="936" w:type="dxa"/>
            <w:vAlign w:val="center"/>
          </w:tcPr>
          <w:p w14:paraId="6DAC1938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.916</w:t>
            </w:r>
          </w:p>
        </w:tc>
        <w:tc>
          <w:tcPr>
            <w:tcW w:w="936" w:type="dxa"/>
            <w:vAlign w:val="center"/>
          </w:tcPr>
          <w:p w14:paraId="4E044B01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.055</w:t>
            </w:r>
          </w:p>
        </w:tc>
        <w:tc>
          <w:tcPr>
            <w:tcW w:w="936" w:type="dxa"/>
            <w:vAlign w:val="center"/>
          </w:tcPr>
          <w:p w14:paraId="46623EB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.038</w:t>
            </w:r>
          </w:p>
        </w:tc>
        <w:tc>
          <w:tcPr>
            <w:tcW w:w="936" w:type="dxa"/>
            <w:vAlign w:val="center"/>
          </w:tcPr>
          <w:p w14:paraId="2267A189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—</w:t>
            </w:r>
          </w:p>
        </w:tc>
        <w:tc>
          <w:tcPr>
            <w:tcW w:w="936" w:type="dxa"/>
            <w:vAlign w:val="center"/>
          </w:tcPr>
          <w:p w14:paraId="2F85B1BF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—</w:t>
            </w:r>
          </w:p>
        </w:tc>
        <w:tc>
          <w:tcPr>
            <w:tcW w:w="936" w:type="dxa"/>
            <w:vAlign w:val="center"/>
          </w:tcPr>
          <w:p w14:paraId="38023E47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—</w:t>
            </w:r>
          </w:p>
        </w:tc>
        <w:tc>
          <w:tcPr>
            <w:tcW w:w="936" w:type="dxa"/>
            <w:vAlign w:val="center"/>
          </w:tcPr>
          <w:p w14:paraId="5BC7D3E2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Baseline fit</w:t>
            </w:r>
          </w:p>
        </w:tc>
      </w:tr>
      <w:tr w14:paraId="286C9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36" w:type="dxa"/>
            <w:vAlign w:val="center"/>
          </w:tcPr>
          <w:p w14:paraId="7B456E9E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GSES</w:t>
            </w:r>
          </w:p>
        </w:tc>
        <w:tc>
          <w:tcPr>
            <w:tcW w:w="936" w:type="dxa"/>
            <w:vAlign w:val="center"/>
          </w:tcPr>
          <w:p w14:paraId="563ACBD0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Metric</w:t>
            </w:r>
          </w:p>
        </w:tc>
        <w:tc>
          <w:tcPr>
            <w:tcW w:w="936" w:type="dxa"/>
            <w:vAlign w:val="center"/>
          </w:tcPr>
          <w:p w14:paraId="63044EEF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.927</w:t>
            </w:r>
          </w:p>
        </w:tc>
        <w:tc>
          <w:tcPr>
            <w:tcW w:w="936" w:type="dxa"/>
            <w:vAlign w:val="center"/>
          </w:tcPr>
          <w:p w14:paraId="1AFF7DAA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.919</w:t>
            </w:r>
          </w:p>
        </w:tc>
        <w:tc>
          <w:tcPr>
            <w:tcW w:w="936" w:type="dxa"/>
            <w:vAlign w:val="center"/>
          </w:tcPr>
          <w:p w14:paraId="46D582FE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.054</w:t>
            </w:r>
          </w:p>
        </w:tc>
        <w:tc>
          <w:tcPr>
            <w:tcW w:w="936" w:type="dxa"/>
            <w:vAlign w:val="center"/>
          </w:tcPr>
          <w:p w14:paraId="34BC862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.040</w:t>
            </w:r>
          </w:p>
        </w:tc>
        <w:tc>
          <w:tcPr>
            <w:tcW w:w="936" w:type="dxa"/>
            <w:vAlign w:val="center"/>
          </w:tcPr>
          <w:p w14:paraId="3434845F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−.001</w:t>
            </w:r>
          </w:p>
        </w:tc>
        <w:tc>
          <w:tcPr>
            <w:tcW w:w="936" w:type="dxa"/>
            <w:vAlign w:val="center"/>
          </w:tcPr>
          <w:p w14:paraId="23F2A5A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−.001</w:t>
            </w:r>
          </w:p>
        </w:tc>
        <w:tc>
          <w:tcPr>
            <w:tcW w:w="936" w:type="dxa"/>
            <w:vAlign w:val="center"/>
          </w:tcPr>
          <w:p w14:paraId="147F4829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.002</w:t>
            </w:r>
          </w:p>
        </w:tc>
        <w:tc>
          <w:tcPr>
            <w:tcW w:w="936" w:type="dxa"/>
            <w:vAlign w:val="center"/>
          </w:tcPr>
          <w:p w14:paraId="4F52AA2D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Supported</w:t>
            </w:r>
          </w:p>
        </w:tc>
      </w:tr>
      <w:tr w14:paraId="411D3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36" w:type="dxa"/>
            <w:vAlign w:val="center"/>
          </w:tcPr>
          <w:p w14:paraId="372074DB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GSES</w:t>
            </w:r>
          </w:p>
        </w:tc>
        <w:tc>
          <w:tcPr>
            <w:tcW w:w="936" w:type="dxa"/>
            <w:vAlign w:val="center"/>
          </w:tcPr>
          <w:p w14:paraId="57779620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Scalar</w:t>
            </w:r>
          </w:p>
        </w:tc>
        <w:tc>
          <w:tcPr>
            <w:tcW w:w="936" w:type="dxa"/>
            <w:vAlign w:val="center"/>
          </w:tcPr>
          <w:p w14:paraId="753F8324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.914</w:t>
            </w:r>
          </w:p>
        </w:tc>
        <w:tc>
          <w:tcPr>
            <w:tcW w:w="936" w:type="dxa"/>
            <w:vAlign w:val="center"/>
          </w:tcPr>
          <w:p w14:paraId="7450C43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.908</w:t>
            </w:r>
          </w:p>
        </w:tc>
        <w:tc>
          <w:tcPr>
            <w:tcW w:w="936" w:type="dxa"/>
            <w:vAlign w:val="center"/>
          </w:tcPr>
          <w:p w14:paraId="0CBD555F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.058</w:t>
            </w:r>
          </w:p>
        </w:tc>
        <w:tc>
          <w:tcPr>
            <w:tcW w:w="936" w:type="dxa"/>
            <w:vAlign w:val="center"/>
          </w:tcPr>
          <w:p w14:paraId="25B195DE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.043</w:t>
            </w:r>
          </w:p>
        </w:tc>
        <w:tc>
          <w:tcPr>
            <w:tcW w:w="936" w:type="dxa"/>
            <w:vAlign w:val="center"/>
          </w:tcPr>
          <w:p w14:paraId="67990F8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−.013</w:t>
            </w:r>
          </w:p>
        </w:tc>
        <w:tc>
          <w:tcPr>
            <w:tcW w:w="936" w:type="dxa"/>
            <w:vAlign w:val="center"/>
          </w:tcPr>
          <w:p w14:paraId="1C0649BE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.004</w:t>
            </w:r>
          </w:p>
        </w:tc>
        <w:tc>
          <w:tcPr>
            <w:tcW w:w="936" w:type="dxa"/>
            <w:vAlign w:val="center"/>
          </w:tcPr>
          <w:p w14:paraId="76573052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.003</w:t>
            </w:r>
          </w:p>
        </w:tc>
        <w:tc>
          <w:tcPr>
            <w:tcW w:w="936" w:type="dxa"/>
            <w:vAlign w:val="center"/>
          </w:tcPr>
          <w:p w14:paraId="42F5C89C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Not supported</w:t>
            </w:r>
          </w:p>
        </w:tc>
      </w:tr>
    </w:tbl>
    <w:p w14:paraId="7B614698">
      <w:pPr>
        <w:spacing w:after="120" w:line="276" w:lineRule="auto"/>
        <w:ind w:firstLine="0"/>
        <w:jc w:val="center"/>
        <w:rPr>
          <w:rFonts w:ascii="Times New Roman" w:hAnsi="Times New Roman" w:eastAsia="Noto Sans CJK SC"/>
          <w:i/>
          <w:color w:val="000000"/>
          <w:sz w:val="18"/>
        </w:rPr>
      </w:pPr>
      <w:r>
        <w:rPr>
          <w:rFonts w:ascii="Times New Roman" w:hAnsi="Times New Roman" w:eastAsia="Noto Sans CJK SC"/>
          <w:i/>
          <w:color w:val="000000"/>
          <w:sz w:val="18"/>
        </w:rPr>
        <w:t>Note. N = 766. Changes in fit indices are relative to the preceding model. Strict invariance was not tested after scalar invariance failed.</w:t>
      </w:r>
    </w:p>
    <w:p w14:paraId="57087CFD">
      <w:pPr>
        <w:spacing w:after="120" w:line="276" w:lineRule="auto"/>
        <w:ind w:firstLine="0"/>
        <w:jc w:val="center"/>
        <w:rPr>
          <w:rFonts w:ascii="Times New Roman" w:hAnsi="Times New Roman" w:eastAsia="Noto Sans CJK SC"/>
          <w:i/>
          <w:color w:val="000000"/>
          <w:sz w:val="18"/>
        </w:rPr>
      </w:pPr>
    </w:p>
    <w:p w14:paraId="0BA6DFB9">
      <w:pPr>
        <w:keepNext/>
        <w:spacing w:before="200" w:after="60"/>
        <w:ind w:firstLine="0"/>
        <w:jc w:val="left"/>
      </w:pPr>
      <w:r>
        <w:rPr>
          <w:rFonts w:ascii="Times New Roman" w:hAnsi="Times New Roman" w:eastAsia="Noto Sans CJK SC"/>
          <w:b/>
          <w:color w:val="000000"/>
          <w:sz w:val="22"/>
        </w:rPr>
        <w:t>Table S</w:t>
      </w:r>
      <w:r>
        <w:rPr>
          <w:rFonts w:hint="eastAsia" w:eastAsia="宋体"/>
          <w:b/>
          <w:color w:val="000000"/>
          <w:sz w:val="22"/>
          <w:lang w:val="en-US" w:eastAsia="zh-CN"/>
        </w:rPr>
        <w:t>3</w:t>
      </w:r>
      <w:r>
        <w:rPr>
          <w:rFonts w:ascii="Times New Roman" w:hAnsi="Times New Roman" w:eastAsia="Noto Sans CJK SC"/>
          <w:b/>
          <w:color w:val="000000"/>
          <w:sz w:val="22"/>
        </w:rPr>
        <w:t xml:space="preserve"> Diagnostic unconditional growth models for negative coping and self-efficacy</w:t>
      </w:r>
    </w:p>
    <w:tbl>
      <w:tblPr>
        <w:tblStyle w:val="3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14:paraId="3238C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040" w:type="dxa"/>
            <w:vAlign w:val="center"/>
          </w:tcPr>
          <w:p w14:paraId="48E2493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Variable</w:t>
            </w:r>
          </w:p>
        </w:tc>
        <w:tc>
          <w:tcPr>
            <w:tcW w:w="1040" w:type="dxa"/>
            <w:vAlign w:val="center"/>
          </w:tcPr>
          <w:p w14:paraId="58F96AEC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χ² (df)</w:t>
            </w:r>
          </w:p>
        </w:tc>
        <w:tc>
          <w:tcPr>
            <w:tcW w:w="1040" w:type="dxa"/>
            <w:vAlign w:val="center"/>
          </w:tcPr>
          <w:p w14:paraId="114406F8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RMSEA</w:t>
            </w:r>
          </w:p>
        </w:tc>
        <w:tc>
          <w:tcPr>
            <w:tcW w:w="1040" w:type="dxa"/>
            <w:vAlign w:val="center"/>
          </w:tcPr>
          <w:p w14:paraId="324159A0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CFI</w:t>
            </w:r>
          </w:p>
        </w:tc>
        <w:tc>
          <w:tcPr>
            <w:tcW w:w="1040" w:type="dxa"/>
            <w:vAlign w:val="center"/>
          </w:tcPr>
          <w:p w14:paraId="2A4FBD5B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SRMR</w:t>
            </w:r>
          </w:p>
        </w:tc>
        <w:tc>
          <w:tcPr>
            <w:tcW w:w="1040" w:type="dxa"/>
            <w:vAlign w:val="center"/>
          </w:tcPr>
          <w:p w14:paraId="3AF2F3F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Intercept M (SE)</w:t>
            </w:r>
          </w:p>
        </w:tc>
        <w:tc>
          <w:tcPr>
            <w:tcW w:w="1040" w:type="dxa"/>
            <w:vAlign w:val="center"/>
          </w:tcPr>
          <w:p w14:paraId="34B526AC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Slope M (SE)</w:t>
            </w:r>
          </w:p>
        </w:tc>
        <w:tc>
          <w:tcPr>
            <w:tcW w:w="1040" w:type="dxa"/>
            <w:vAlign w:val="center"/>
          </w:tcPr>
          <w:p w14:paraId="2A9F78C8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Var(I)</w:t>
            </w:r>
          </w:p>
        </w:tc>
        <w:tc>
          <w:tcPr>
            <w:tcW w:w="1040" w:type="dxa"/>
            <w:vAlign w:val="center"/>
          </w:tcPr>
          <w:p w14:paraId="3D22559F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6"/>
              </w:rPr>
              <w:t>Var(S)</w:t>
            </w:r>
          </w:p>
        </w:tc>
      </w:tr>
      <w:tr w14:paraId="54AD45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40" w:type="dxa"/>
            <w:vAlign w:val="center"/>
          </w:tcPr>
          <w:p w14:paraId="2499090B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Negative coping</w:t>
            </w:r>
          </w:p>
        </w:tc>
        <w:tc>
          <w:tcPr>
            <w:tcW w:w="1040" w:type="dxa"/>
            <w:vAlign w:val="center"/>
          </w:tcPr>
          <w:p w14:paraId="3AB90908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1.507 (1)</w:t>
            </w:r>
          </w:p>
        </w:tc>
        <w:tc>
          <w:tcPr>
            <w:tcW w:w="1040" w:type="dxa"/>
            <w:vAlign w:val="center"/>
          </w:tcPr>
          <w:p w14:paraId="3B2F1FE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.026</w:t>
            </w:r>
          </w:p>
        </w:tc>
        <w:tc>
          <w:tcPr>
            <w:tcW w:w="1040" w:type="dxa"/>
            <w:vAlign w:val="center"/>
          </w:tcPr>
          <w:p w14:paraId="2A7F83B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.997</w:t>
            </w:r>
          </w:p>
        </w:tc>
        <w:tc>
          <w:tcPr>
            <w:tcW w:w="1040" w:type="dxa"/>
            <w:vAlign w:val="center"/>
          </w:tcPr>
          <w:p w14:paraId="0D7481BE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.012</w:t>
            </w:r>
          </w:p>
        </w:tc>
        <w:tc>
          <w:tcPr>
            <w:tcW w:w="1040" w:type="dxa"/>
            <w:vAlign w:val="center"/>
          </w:tcPr>
          <w:p w14:paraId="43F992F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2.22 (0.02)***</w:t>
            </w:r>
          </w:p>
        </w:tc>
        <w:tc>
          <w:tcPr>
            <w:tcW w:w="1040" w:type="dxa"/>
            <w:vAlign w:val="center"/>
          </w:tcPr>
          <w:p w14:paraId="61BB8830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0.00 (0.01)</w:t>
            </w:r>
          </w:p>
        </w:tc>
        <w:tc>
          <w:tcPr>
            <w:tcW w:w="1040" w:type="dxa"/>
            <w:vAlign w:val="center"/>
          </w:tcPr>
          <w:p w14:paraId="0B9BA97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.10***</w:t>
            </w:r>
          </w:p>
        </w:tc>
        <w:tc>
          <w:tcPr>
            <w:tcW w:w="1040" w:type="dxa"/>
            <w:vAlign w:val="center"/>
          </w:tcPr>
          <w:p w14:paraId="60ABFAC4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.010</w:t>
            </w:r>
          </w:p>
        </w:tc>
      </w:tr>
      <w:tr w14:paraId="71BD4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40" w:type="dxa"/>
            <w:vAlign w:val="center"/>
          </w:tcPr>
          <w:p w14:paraId="4359C21D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Self-efficacy</w:t>
            </w:r>
          </w:p>
        </w:tc>
        <w:tc>
          <w:tcPr>
            <w:tcW w:w="1040" w:type="dxa"/>
            <w:vAlign w:val="center"/>
          </w:tcPr>
          <w:p w14:paraId="21DCC546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4.521 (1)</w:t>
            </w:r>
          </w:p>
        </w:tc>
        <w:tc>
          <w:tcPr>
            <w:tcW w:w="1040" w:type="dxa"/>
            <w:vAlign w:val="center"/>
          </w:tcPr>
          <w:p w14:paraId="5375FCF7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.068</w:t>
            </w:r>
          </w:p>
        </w:tc>
        <w:tc>
          <w:tcPr>
            <w:tcW w:w="1040" w:type="dxa"/>
            <w:vAlign w:val="center"/>
          </w:tcPr>
          <w:p w14:paraId="67EBC48C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.984</w:t>
            </w:r>
          </w:p>
        </w:tc>
        <w:tc>
          <w:tcPr>
            <w:tcW w:w="1040" w:type="dxa"/>
            <w:vAlign w:val="center"/>
          </w:tcPr>
          <w:p w14:paraId="5BFC6DAB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.017</w:t>
            </w:r>
          </w:p>
        </w:tc>
        <w:tc>
          <w:tcPr>
            <w:tcW w:w="1040" w:type="dxa"/>
            <w:vAlign w:val="center"/>
          </w:tcPr>
          <w:p w14:paraId="50B0F11E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2.36 (0.02)***</w:t>
            </w:r>
          </w:p>
        </w:tc>
        <w:tc>
          <w:tcPr>
            <w:tcW w:w="1040" w:type="dxa"/>
            <w:vAlign w:val="center"/>
          </w:tcPr>
          <w:p w14:paraId="6B7B531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0.03 (0.01)**</w:t>
            </w:r>
          </w:p>
        </w:tc>
        <w:tc>
          <w:tcPr>
            <w:tcW w:w="1040" w:type="dxa"/>
            <w:vAlign w:val="center"/>
          </w:tcPr>
          <w:p w14:paraId="37F30DE6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.20***</w:t>
            </w:r>
          </w:p>
        </w:tc>
        <w:tc>
          <w:tcPr>
            <w:tcW w:w="1040" w:type="dxa"/>
            <w:vAlign w:val="center"/>
          </w:tcPr>
          <w:p w14:paraId="030C889B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6"/>
              </w:rPr>
              <w:t>.017</w:t>
            </w:r>
          </w:p>
        </w:tc>
      </w:tr>
    </w:tbl>
    <w:p w14:paraId="47726E45">
      <w:pPr>
        <w:spacing w:after="120" w:line="276" w:lineRule="auto"/>
      </w:pPr>
    </w:p>
    <w:p w14:paraId="50995F6A">
      <w:pPr>
        <w:spacing w:after="120" w:line="276" w:lineRule="auto"/>
      </w:pPr>
    </w:p>
    <w:p w14:paraId="0B239606">
      <w:pPr>
        <w:spacing w:after="120" w:line="276" w:lineRule="auto"/>
        <w:ind w:firstLine="0"/>
        <w:jc w:val="left"/>
      </w:pPr>
      <w:r>
        <w:rPr>
          <w:rFonts w:ascii="Times New Roman" w:hAnsi="Times New Roman" w:eastAsia="Noto Sans CJK SC"/>
          <w:b/>
          <w:color w:val="000000"/>
          <w:sz w:val="22"/>
          <w:highlight w:val="yellow"/>
        </w:rPr>
        <w:t>Table S4. Covariate paths in the M2 exploratory parallel-process growth model</w:t>
      </w:r>
    </w:p>
    <w:tbl>
      <w:tblPr>
        <w:tblStyle w:val="3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 w14:paraId="614C5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560" w:type="dxa"/>
            <w:vAlign w:val="center"/>
          </w:tcPr>
          <w:p w14:paraId="55FC412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7"/>
              </w:rPr>
              <w:t>Path</w:t>
            </w:r>
          </w:p>
        </w:tc>
        <w:tc>
          <w:tcPr>
            <w:tcW w:w="1560" w:type="dxa"/>
            <w:vAlign w:val="center"/>
          </w:tcPr>
          <w:p w14:paraId="3810198C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7"/>
              </w:rPr>
              <w:t>B</w:t>
            </w:r>
          </w:p>
        </w:tc>
        <w:tc>
          <w:tcPr>
            <w:tcW w:w="1560" w:type="dxa"/>
            <w:vAlign w:val="center"/>
          </w:tcPr>
          <w:p w14:paraId="30940EFD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7"/>
              </w:rPr>
              <w:t>SE</w:t>
            </w:r>
          </w:p>
        </w:tc>
        <w:tc>
          <w:tcPr>
            <w:tcW w:w="1560" w:type="dxa"/>
            <w:vAlign w:val="center"/>
          </w:tcPr>
          <w:p w14:paraId="511B277E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7"/>
              </w:rPr>
              <w:t>β</w:t>
            </w:r>
          </w:p>
        </w:tc>
        <w:tc>
          <w:tcPr>
            <w:tcW w:w="1560" w:type="dxa"/>
            <w:vAlign w:val="center"/>
          </w:tcPr>
          <w:p w14:paraId="37E3CB7A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7"/>
              </w:rPr>
              <w:t>95% CI for B</w:t>
            </w:r>
          </w:p>
        </w:tc>
        <w:tc>
          <w:tcPr>
            <w:tcW w:w="1560" w:type="dxa"/>
            <w:vAlign w:val="center"/>
          </w:tcPr>
          <w:p w14:paraId="62CC0D9E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/>
                <w:color w:val="000000"/>
                <w:sz w:val="17"/>
              </w:rPr>
              <w:t>p</w:t>
            </w:r>
          </w:p>
        </w:tc>
      </w:tr>
      <w:tr w14:paraId="74C8E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vAlign w:val="center"/>
          </w:tcPr>
          <w:p w14:paraId="6C2A9960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Sex → Positive coping intercept</w:t>
            </w:r>
          </w:p>
        </w:tc>
        <w:tc>
          <w:tcPr>
            <w:tcW w:w="1560" w:type="dxa"/>
            <w:vAlign w:val="center"/>
          </w:tcPr>
          <w:p w14:paraId="79751727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.130</w:t>
            </w:r>
          </w:p>
        </w:tc>
        <w:tc>
          <w:tcPr>
            <w:tcW w:w="1560" w:type="dxa"/>
            <w:vAlign w:val="center"/>
          </w:tcPr>
          <w:p w14:paraId="70295332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.046</w:t>
            </w:r>
          </w:p>
        </w:tc>
        <w:tc>
          <w:tcPr>
            <w:tcW w:w="1560" w:type="dxa"/>
            <w:vAlign w:val="center"/>
          </w:tcPr>
          <w:p w14:paraId="61A77EDF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.131</w:t>
            </w:r>
          </w:p>
        </w:tc>
        <w:tc>
          <w:tcPr>
            <w:tcW w:w="1560" w:type="dxa"/>
            <w:vAlign w:val="center"/>
          </w:tcPr>
          <w:p w14:paraId="02669DF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[.039, .221]</w:t>
            </w:r>
          </w:p>
        </w:tc>
        <w:tc>
          <w:tcPr>
            <w:tcW w:w="1560" w:type="dxa"/>
            <w:vAlign w:val="center"/>
          </w:tcPr>
          <w:p w14:paraId="7D6A0CDB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.005</w:t>
            </w:r>
          </w:p>
        </w:tc>
      </w:tr>
      <w:tr w14:paraId="28644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vAlign w:val="center"/>
          </w:tcPr>
          <w:p w14:paraId="114F83C0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Age → Positive coping intercept</w:t>
            </w:r>
          </w:p>
        </w:tc>
        <w:tc>
          <w:tcPr>
            <w:tcW w:w="1560" w:type="dxa"/>
            <w:vAlign w:val="center"/>
          </w:tcPr>
          <w:p w14:paraId="71D1F380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.018</w:t>
            </w:r>
          </w:p>
        </w:tc>
        <w:tc>
          <w:tcPr>
            <w:tcW w:w="1560" w:type="dxa"/>
            <w:vAlign w:val="center"/>
          </w:tcPr>
          <w:p w14:paraId="79164B2B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.028</w:t>
            </w:r>
          </w:p>
        </w:tc>
        <w:tc>
          <w:tcPr>
            <w:tcW w:w="1560" w:type="dxa"/>
            <w:vAlign w:val="center"/>
          </w:tcPr>
          <w:p w14:paraId="405F08A1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.032</w:t>
            </w:r>
          </w:p>
        </w:tc>
        <w:tc>
          <w:tcPr>
            <w:tcW w:w="1560" w:type="dxa"/>
            <w:vAlign w:val="center"/>
          </w:tcPr>
          <w:p w14:paraId="3B099A8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[−.036, .073]</w:t>
            </w:r>
          </w:p>
        </w:tc>
        <w:tc>
          <w:tcPr>
            <w:tcW w:w="1560" w:type="dxa"/>
            <w:vAlign w:val="center"/>
          </w:tcPr>
          <w:p w14:paraId="2178A184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.510</w:t>
            </w:r>
          </w:p>
        </w:tc>
      </w:tr>
      <w:tr w14:paraId="1FA54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vAlign w:val="center"/>
          </w:tcPr>
          <w:p w14:paraId="55D3632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Residence → Positive coping intercept</w:t>
            </w:r>
          </w:p>
        </w:tc>
        <w:tc>
          <w:tcPr>
            <w:tcW w:w="1560" w:type="dxa"/>
            <w:vAlign w:val="center"/>
          </w:tcPr>
          <w:p w14:paraId="7CC490B2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−.084</w:t>
            </w:r>
          </w:p>
        </w:tc>
        <w:tc>
          <w:tcPr>
            <w:tcW w:w="1560" w:type="dxa"/>
            <w:vAlign w:val="center"/>
          </w:tcPr>
          <w:p w14:paraId="1281FC4A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.041</w:t>
            </w:r>
          </w:p>
        </w:tc>
        <w:tc>
          <w:tcPr>
            <w:tcW w:w="1560" w:type="dxa"/>
            <w:vAlign w:val="center"/>
          </w:tcPr>
          <w:p w14:paraId="26E25AA6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−.096</w:t>
            </w:r>
          </w:p>
        </w:tc>
        <w:tc>
          <w:tcPr>
            <w:tcW w:w="1560" w:type="dxa"/>
            <w:vAlign w:val="center"/>
          </w:tcPr>
          <w:p w14:paraId="5752D0A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[−.165, −.003]</w:t>
            </w:r>
          </w:p>
        </w:tc>
        <w:tc>
          <w:tcPr>
            <w:tcW w:w="1560" w:type="dxa"/>
            <w:vAlign w:val="center"/>
          </w:tcPr>
          <w:p w14:paraId="559EBF2B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.043</w:t>
            </w:r>
          </w:p>
        </w:tc>
      </w:tr>
      <w:tr w14:paraId="4BEA29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vAlign w:val="center"/>
          </w:tcPr>
          <w:p w14:paraId="617F648C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Sex → Positive coping slope</w:t>
            </w:r>
          </w:p>
        </w:tc>
        <w:tc>
          <w:tcPr>
            <w:tcW w:w="1560" w:type="dxa"/>
            <w:vAlign w:val="center"/>
          </w:tcPr>
          <w:p w14:paraId="101F3411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−.045</w:t>
            </w:r>
          </w:p>
        </w:tc>
        <w:tc>
          <w:tcPr>
            <w:tcW w:w="1560" w:type="dxa"/>
            <w:vAlign w:val="center"/>
          </w:tcPr>
          <w:p w14:paraId="0522C2EC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.023</w:t>
            </w:r>
          </w:p>
        </w:tc>
        <w:tc>
          <w:tcPr>
            <w:tcW w:w="1560" w:type="dxa"/>
            <w:vAlign w:val="center"/>
          </w:tcPr>
          <w:p w14:paraId="659F5E29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−.139</w:t>
            </w:r>
          </w:p>
        </w:tc>
        <w:tc>
          <w:tcPr>
            <w:tcW w:w="1560" w:type="dxa"/>
            <w:vAlign w:val="center"/>
          </w:tcPr>
          <w:p w14:paraId="4227112F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[−.090, .000]</w:t>
            </w:r>
          </w:p>
        </w:tc>
        <w:tc>
          <w:tcPr>
            <w:tcW w:w="1560" w:type="dxa"/>
            <w:vAlign w:val="center"/>
          </w:tcPr>
          <w:p w14:paraId="7F5F8FCF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.050</w:t>
            </w:r>
          </w:p>
        </w:tc>
      </w:tr>
      <w:tr w14:paraId="24F09B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vAlign w:val="center"/>
          </w:tcPr>
          <w:p w14:paraId="1C68B4F2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Age → Positive coping slope</w:t>
            </w:r>
          </w:p>
        </w:tc>
        <w:tc>
          <w:tcPr>
            <w:tcW w:w="1560" w:type="dxa"/>
            <w:vAlign w:val="center"/>
          </w:tcPr>
          <w:p w14:paraId="7AA3512A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−.017</w:t>
            </w:r>
          </w:p>
        </w:tc>
        <w:tc>
          <w:tcPr>
            <w:tcW w:w="1560" w:type="dxa"/>
            <w:vAlign w:val="center"/>
          </w:tcPr>
          <w:p w14:paraId="4A027FE4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.017</w:t>
            </w:r>
          </w:p>
        </w:tc>
        <w:tc>
          <w:tcPr>
            <w:tcW w:w="1560" w:type="dxa"/>
            <w:vAlign w:val="center"/>
          </w:tcPr>
          <w:p w14:paraId="7847BD17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−.089</w:t>
            </w:r>
          </w:p>
        </w:tc>
        <w:tc>
          <w:tcPr>
            <w:tcW w:w="1560" w:type="dxa"/>
            <w:vAlign w:val="center"/>
          </w:tcPr>
          <w:p w14:paraId="766C3F2D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[−.049, .016]</w:t>
            </w:r>
          </w:p>
        </w:tc>
        <w:tc>
          <w:tcPr>
            <w:tcW w:w="1560" w:type="dxa"/>
            <w:vAlign w:val="center"/>
          </w:tcPr>
          <w:p w14:paraId="332C6127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.325</w:t>
            </w:r>
          </w:p>
        </w:tc>
      </w:tr>
      <w:tr w14:paraId="5FDC7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vAlign w:val="center"/>
          </w:tcPr>
          <w:p w14:paraId="7207990C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Residence → Positive coping slope</w:t>
            </w:r>
          </w:p>
        </w:tc>
        <w:tc>
          <w:tcPr>
            <w:tcW w:w="1560" w:type="dxa"/>
            <w:vAlign w:val="center"/>
          </w:tcPr>
          <w:p w14:paraId="226B04EA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.007</w:t>
            </w:r>
          </w:p>
        </w:tc>
        <w:tc>
          <w:tcPr>
            <w:tcW w:w="1560" w:type="dxa"/>
            <w:vAlign w:val="center"/>
          </w:tcPr>
          <w:p w14:paraId="5E7BB11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.018</w:t>
            </w:r>
          </w:p>
        </w:tc>
        <w:tc>
          <w:tcPr>
            <w:tcW w:w="1560" w:type="dxa"/>
            <w:vAlign w:val="center"/>
          </w:tcPr>
          <w:p w14:paraId="2A53D186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.023</w:t>
            </w:r>
          </w:p>
        </w:tc>
        <w:tc>
          <w:tcPr>
            <w:tcW w:w="1560" w:type="dxa"/>
            <w:vAlign w:val="center"/>
          </w:tcPr>
          <w:p w14:paraId="43B8A6C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[−.029, .042]</w:t>
            </w:r>
          </w:p>
        </w:tc>
        <w:tc>
          <w:tcPr>
            <w:tcW w:w="1560" w:type="dxa"/>
            <w:vAlign w:val="center"/>
          </w:tcPr>
          <w:p w14:paraId="2F88E3F0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.720</w:t>
            </w:r>
          </w:p>
        </w:tc>
      </w:tr>
      <w:tr w14:paraId="1C47F2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vAlign w:val="center"/>
          </w:tcPr>
          <w:p w14:paraId="732ED78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Sex → CCSAS intercept</w:t>
            </w:r>
          </w:p>
        </w:tc>
        <w:tc>
          <w:tcPr>
            <w:tcW w:w="1560" w:type="dxa"/>
            <w:vAlign w:val="center"/>
          </w:tcPr>
          <w:p w14:paraId="5BE3D0EB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-3.832</w:t>
            </w:r>
          </w:p>
        </w:tc>
        <w:tc>
          <w:tcPr>
            <w:tcW w:w="1560" w:type="dxa"/>
            <w:vAlign w:val="center"/>
          </w:tcPr>
          <w:p w14:paraId="2C9012E1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2.047</w:t>
            </w:r>
          </w:p>
        </w:tc>
        <w:tc>
          <w:tcPr>
            <w:tcW w:w="1560" w:type="dxa"/>
            <w:vAlign w:val="center"/>
          </w:tcPr>
          <w:p w14:paraId="1C0DA89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−.062</w:t>
            </w:r>
          </w:p>
        </w:tc>
        <w:tc>
          <w:tcPr>
            <w:tcW w:w="1560" w:type="dxa"/>
            <w:vAlign w:val="center"/>
          </w:tcPr>
          <w:p w14:paraId="300C289D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[-7.844, .180]</w:t>
            </w:r>
          </w:p>
        </w:tc>
        <w:tc>
          <w:tcPr>
            <w:tcW w:w="1560" w:type="dxa"/>
            <w:vAlign w:val="center"/>
          </w:tcPr>
          <w:p w14:paraId="68A86030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.061</w:t>
            </w:r>
          </w:p>
        </w:tc>
      </w:tr>
      <w:tr w14:paraId="5948C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vAlign w:val="center"/>
          </w:tcPr>
          <w:p w14:paraId="5241556B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Age → CCSAS intercept</w:t>
            </w:r>
          </w:p>
        </w:tc>
        <w:tc>
          <w:tcPr>
            <w:tcW w:w="1560" w:type="dxa"/>
            <w:vAlign w:val="center"/>
          </w:tcPr>
          <w:p w14:paraId="2EB4C5B0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.976</w:t>
            </w:r>
          </w:p>
        </w:tc>
        <w:tc>
          <w:tcPr>
            <w:tcW w:w="1560" w:type="dxa"/>
            <w:vAlign w:val="center"/>
          </w:tcPr>
          <w:p w14:paraId="59C1DF8A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1.262</w:t>
            </w:r>
          </w:p>
        </w:tc>
        <w:tc>
          <w:tcPr>
            <w:tcW w:w="1560" w:type="dxa"/>
            <w:vAlign w:val="center"/>
          </w:tcPr>
          <w:p w14:paraId="03E63F6F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.028</w:t>
            </w:r>
          </w:p>
        </w:tc>
        <w:tc>
          <w:tcPr>
            <w:tcW w:w="1560" w:type="dxa"/>
            <w:vAlign w:val="center"/>
          </w:tcPr>
          <w:p w14:paraId="347AE801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[-1.498, 3.450]</w:t>
            </w:r>
          </w:p>
        </w:tc>
        <w:tc>
          <w:tcPr>
            <w:tcW w:w="1560" w:type="dxa"/>
            <w:vAlign w:val="center"/>
          </w:tcPr>
          <w:p w14:paraId="3340CCE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.439</w:t>
            </w:r>
          </w:p>
        </w:tc>
      </w:tr>
      <w:tr w14:paraId="190F95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vAlign w:val="center"/>
          </w:tcPr>
          <w:p w14:paraId="45AC2E2A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Residence → CCSAS intercept</w:t>
            </w:r>
          </w:p>
        </w:tc>
        <w:tc>
          <w:tcPr>
            <w:tcW w:w="1560" w:type="dxa"/>
            <w:vAlign w:val="center"/>
          </w:tcPr>
          <w:p w14:paraId="026A3B71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1.913</w:t>
            </w:r>
          </w:p>
        </w:tc>
        <w:tc>
          <w:tcPr>
            <w:tcW w:w="1560" w:type="dxa"/>
            <w:vAlign w:val="center"/>
          </w:tcPr>
          <w:p w14:paraId="6D1CE04F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1.883</w:t>
            </w:r>
          </w:p>
        </w:tc>
        <w:tc>
          <w:tcPr>
            <w:tcW w:w="1560" w:type="dxa"/>
            <w:vAlign w:val="center"/>
          </w:tcPr>
          <w:p w14:paraId="2DA3090B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.036</w:t>
            </w:r>
          </w:p>
        </w:tc>
        <w:tc>
          <w:tcPr>
            <w:tcW w:w="1560" w:type="dxa"/>
            <w:vAlign w:val="center"/>
          </w:tcPr>
          <w:p w14:paraId="5C684DC0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[-1.778, 5.603]</w:t>
            </w:r>
          </w:p>
        </w:tc>
        <w:tc>
          <w:tcPr>
            <w:tcW w:w="1560" w:type="dxa"/>
            <w:vAlign w:val="center"/>
          </w:tcPr>
          <w:p w14:paraId="023C1B6A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.310</w:t>
            </w:r>
          </w:p>
        </w:tc>
      </w:tr>
      <w:tr w14:paraId="57197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vAlign w:val="center"/>
          </w:tcPr>
          <w:p w14:paraId="3FCD8E3B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Sex → CCSAS slope</w:t>
            </w:r>
          </w:p>
        </w:tc>
        <w:tc>
          <w:tcPr>
            <w:tcW w:w="1560" w:type="dxa"/>
            <w:vAlign w:val="center"/>
          </w:tcPr>
          <w:p w14:paraId="37CC3C07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.689</w:t>
            </w:r>
          </w:p>
        </w:tc>
        <w:tc>
          <w:tcPr>
            <w:tcW w:w="1560" w:type="dxa"/>
            <w:vAlign w:val="center"/>
          </w:tcPr>
          <w:p w14:paraId="4B7362F8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.974</w:t>
            </w:r>
          </w:p>
        </w:tc>
        <w:tc>
          <w:tcPr>
            <w:tcW w:w="1560" w:type="dxa"/>
            <w:vAlign w:val="center"/>
          </w:tcPr>
          <w:p w14:paraId="6B0FCC9B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.073</w:t>
            </w:r>
          </w:p>
        </w:tc>
        <w:tc>
          <w:tcPr>
            <w:tcW w:w="1560" w:type="dxa"/>
            <w:vAlign w:val="center"/>
          </w:tcPr>
          <w:p w14:paraId="5B91EE4C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[-1.220, 2.599]</w:t>
            </w:r>
          </w:p>
        </w:tc>
        <w:tc>
          <w:tcPr>
            <w:tcW w:w="1560" w:type="dxa"/>
            <w:vAlign w:val="center"/>
          </w:tcPr>
          <w:p w14:paraId="6A0F8DA6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.479</w:t>
            </w:r>
          </w:p>
        </w:tc>
      </w:tr>
      <w:tr w14:paraId="11449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vAlign w:val="center"/>
          </w:tcPr>
          <w:p w14:paraId="73889EA8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Age → CCSAS slope</w:t>
            </w:r>
          </w:p>
        </w:tc>
        <w:tc>
          <w:tcPr>
            <w:tcW w:w="1560" w:type="dxa"/>
            <w:vAlign w:val="center"/>
          </w:tcPr>
          <w:p w14:paraId="7379FB44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−.582</w:t>
            </w:r>
          </w:p>
        </w:tc>
        <w:tc>
          <w:tcPr>
            <w:tcW w:w="1560" w:type="dxa"/>
            <w:vAlign w:val="center"/>
          </w:tcPr>
          <w:p w14:paraId="32E785B9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.603</w:t>
            </w:r>
          </w:p>
        </w:tc>
        <w:tc>
          <w:tcPr>
            <w:tcW w:w="1560" w:type="dxa"/>
            <w:vAlign w:val="center"/>
          </w:tcPr>
          <w:p w14:paraId="683E91C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−.107</w:t>
            </w:r>
          </w:p>
        </w:tc>
        <w:tc>
          <w:tcPr>
            <w:tcW w:w="1560" w:type="dxa"/>
            <w:vAlign w:val="center"/>
          </w:tcPr>
          <w:p w14:paraId="7F9995E8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[-1.764, .600]</w:t>
            </w:r>
          </w:p>
        </w:tc>
        <w:tc>
          <w:tcPr>
            <w:tcW w:w="1560" w:type="dxa"/>
            <w:vAlign w:val="center"/>
          </w:tcPr>
          <w:p w14:paraId="08E51F99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.335</w:t>
            </w:r>
          </w:p>
        </w:tc>
      </w:tr>
      <w:tr w14:paraId="411816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60" w:type="dxa"/>
            <w:vAlign w:val="center"/>
          </w:tcPr>
          <w:p w14:paraId="5E6A8945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</w:rPr>
              <w:t>Residence → CCSAS slope</w:t>
            </w:r>
          </w:p>
        </w:tc>
        <w:tc>
          <w:tcPr>
            <w:tcW w:w="1560" w:type="dxa"/>
            <w:vAlign w:val="center"/>
          </w:tcPr>
          <w:p w14:paraId="152D719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.744</w:t>
            </w:r>
          </w:p>
        </w:tc>
        <w:tc>
          <w:tcPr>
            <w:tcW w:w="1560" w:type="dxa"/>
            <w:vAlign w:val="center"/>
          </w:tcPr>
          <w:p w14:paraId="43021F1C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.700</w:t>
            </w:r>
          </w:p>
        </w:tc>
        <w:tc>
          <w:tcPr>
            <w:tcW w:w="1560" w:type="dxa"/>
            <w:vAlign w:val="center"/>
          </w:tcPr>
          <w:p w14:paraId="6BCCB13E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.090</w:t>
            </w:r>
          </w:p>
        </w:tc>
        <w:tc>
          <w:tcPr>
            <w:tcW w:w="1560" w:type="dxa"/>
            <w:vAlign w:val="center"/>
          </w:tcPr>
          <w:p w14:paraId="76D52733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[−.629, 2.117]</w:t>
            </w:r>
          </w:p>
        </w:tc>
        <w:tc>
          <w:tcPr>
            <w:tcW w:w="1560" w:type="dxa"/>
            <w:vAlign w:val="center"/>
          </w:tcPr>
          <w:p w14:paraId="1BC74088"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Noto Sans CJK SC"/>
                <w:b w:val="0"/>
                <w:color w:val="000000"/>
                <w:sz w:val="17"/>
                <w:highlight w:val="yellow"/>
              </w:rPr>
              <w:t>.288</w:t>
            </w:r>
          </w:p>
        </w:tc>
      </w:tr>
    </w:tbl>
    <w:p w14:paraId="3D4B7EA4">
      <w:pPr>
        <w:spacing w:after="120" w:line="276" w:lineRule="auto"/>
        <w:ind w:firstLine="0"/>
        <w:jc w:val="both"/>
        <w:rPr>
          <w:rFonts w:ascii="Times New Roman" w:hAnsi="Times New Roman" w:eastAsia="Noto Sans CJK SC"/>
          <w:i/>
          <w:color w:val="000000"/>
          <w:sz w:val="18"/>
        </w:rPr>
      </w:pPr>
      <w:r>
        <w:rPr>
          <w:rFonts w:ascii="Times New Roman" w:hAnsi="Times New Roman" w:eastAsia="Noto Sans CJK SC"/>
          <w:i/>
          <w:color w:val="000000"/>
          <w:sz w:val="18"/>
          <w:highlight w:val="yellow"/>
        </w:rPr>
        <w:t>Note. N = 766. These estimates refer to PP-M2, not the original or zero-boundary PP model. Sex: 1 = male, 2 = female; residence: 1 = urban, 2 = rural. B, SE, and 95% CI are unstandardized; β is STDYX standardized. p values test B. Sex, age, and residence predict all four growth factors. Time scores are 0, 1, and 3; MLR estimation uses FIML for missing repeated measurements.</w:t>
      </w:r>
    </w:p>
    <w:p w14:paraId="41AC2EB1">
      <w:pPr>
        <w:spacing w:after="120" w:line="276" w:lineRule="auto"/>
        <w:ind w:left="0" w:leftChars="0" w:firstLine="0" w:firstLineChars="0"/>
      </w:pPr>
    </w:p>
    <w:p w14:paraId="49124F3E">
      <w:pPr>
        <w:sectPr>
          <w:footerReference r:id="rId6" w:type="default"/>
          <w:pgSz w:w="16834" w:h="11909" w:orient="landscape"/>
          <w:pgMar w:top="936" w:right="1080" w:bottom="936" w:left="1080" w:header="720" w:footer="720" w:gutter="0"/>
          <w:cols w:space="720" w:num="1"/>
          <w:docGrid w:linePitch="360" w:charSpace="0"/>
        </w:sectPr>
      </w:pPr>
    </w:p>
    <w:p w14:paraId="4AA1F904">
      <w:pPr>
        <w:keepNext/>
        <w:spacing w:before="0" w:after="80" w:line="24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b/>
          <w:color w:val="000000"/>
          <w:sz w:val="22"/>
          <w:highlight w:val="none"/>
        </w:rPr>
        <w:t>Table S5. Residual-structure sensitivity analyses of the parallel-process growth model</w:t>
      </w:r>
    </w:p>
    <w:tbl>
      <w:tblPr>
        <w:tblStyle w:val="32"/>
        <w:tblW w:w="13406" w:type="dxa"/>
        <w:jc w:val="center"/>
        <w:tblBorders>
          <w:top w:val="single" w:color="000000" w:sz="8" w:space="0"/>
          <w:left w:val="none" w:color="000000" w:sz="8" w:space="0"/>
          <w:bottom w:val="single" w:color="000000" w:sz="8" w:space="0"/>
          <w:right w:val="none" w:color="000000" w:sz="8" w:space="0"/>
          <w:insideH w:val="none" w:color="000000" w:sz="8" w:space="0"/>
          <w:insideV w:val="none" w:color="000000" w:sz="8" w:space="0"/>
        </w:tblBorders>
        <w:tblLayout w:type="fixed"/>
        <w:tblCellMar>
          <w:top w:w="100" w:type="dxa"/>
          <w:left w:w="70" w:type="dxa"/>
          <w:bottom w:w="100" w:type="dxa"/>
          <w:right w:w="70" w:type="dxa"/>
        </w:tblCellMar>
      </w:tblPr>
      <w:tblGrid>
        <w:gridCol w:w="893"/>
        <w:gridCol w:w="1238"/>
        <w:gridCol w:w="691"/>
        <w:gridCol w:w="648"/>
        <w:gridCol w:w="648"/>
        <w:gridCol w:w="1901"/>
        <w:gridCol w:w="922"/>
        <w:gridCol w:w="1181"/>
        <w:gridCol w:w="1181"/>
        <w:gridCol w:w="4104"/>
      </w:tblGrid>
      <w:tr w14:paraId="7F9DF4EE">
        <w:tblPrEx>
          <w:tblBorders>
            <w:top w:val="single" w:color="000000" w:sz="8" w:space="0"/>
            <w:left w:val="none" w:color="000000" w:sz="8" w:space="0"/>
            <w:bottom w:val="single" w:color="000000" w:sz="8" w:space="0"/>
            <w:right w:val="none" w:color="000000" w:sz="8" w:space="0"/>
            <w:insideH w:val="none" w:color="000000" w:sz="8" w:space="0"/>
            <w:insideV w:val="none" w:color="000000" w:sz="8" w:space="0"/>
          </w:tblBorders>
          <w:tblCellMar>
            <w:top w:w="100" w:type="dxa"/>
            <w:left w:w="70" w:type="dxa"/>
            <w:bottom w:w="100" w:type="dxa"/>
            <w:right w:w="70" w:type="dxa"/>
          </w:tblCellMar>
        </w:tblPrEx>
        <w:trPr>
          <w:cantSplit/>
          <w:tblHeader/>
          <w:jc w:val="center"/>
        </w:trPr>
        <w:tc>
          <w:tcPr>
            <w:tcW w:w="893" w:type="dxa"/>
            <w:tcBorders>
              <w:bottom w:val="single" w:color="000000" w:sz="6" w:space="0"/>
            </w:tcBorders>
            <w:vAlign w:val="center"/>
          </w:tcPr>
          <w:p w14:paraId="2F0A030F">
            <w:pPr>
              <w:keepNext/>
              <w:spacing w:before="0" w:after="0" w:line="240" w:lineRule="auto"/>
              <w:ind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19"/>
                <w:highlight w:val="none"/>
              </w:rPr>
              <w:t>Model</w:t>
            </w:r>
          </w:p>
        </w:tc>
        <w:tc>
          <w:tcPr>
            <w:tcW w:w="1238" w:type="dxa"/>
            <w:tcBorders>
              <w:bottom w:val="single" w:color="000000" w:sz="6" w:space="0"/>
            </w:tcBorders>
            <w:vAlign w:val="center"/>
          </w:tcPr>
          <w:p w14:paraId="1A568B76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19"/>
                <w:highlight w:val="none"/>
              </w:rPr>
              <w:t>χ² (df)</w:t>
            </w:r>
          </w:p>
        </w:tc>
        <w:tc>
          <w:tcPr>
            <w:tcW w:w="691" w:type="dxa"/>
            <w:tcBorders>
              <w:bottom w:val="single" w:color="000000" w:sz="6" w:space="0"/>
            </w:tcBorders>
            <w:vAlign w:val="center"/>
          </w:tcPr>
          <w:p w14:paraId="4818EA36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19"/>
                <w:highlight w:val="none"/>
              </w:rPr>
              <w:t>p</w:t>
            </w:r>
          </w:p>
        </w:tc>
        <w:tc>
          <w:tcPr>
            <w:tcW w:w="648" w:type="dxa"/>
            <w:tcBorders>
              <w:bottom w:val="single" w:color="000000" w:sz="6" w:space="0"/>
            </w:tcBorders>
            <w:vAlign w:val="center"/>
          </w:tcPr>
          <w:p w14:paraId="353487FB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19"/>
                <w:highlight w:val="none"/>
              </w:rPr>
              <w:t>CFI</w:t>
            </w:r>
          </w:p>
        </w:tc>
        <w:tc>
          <w:tcPr>
            <w:tcW w:w="648" w:type="dxa"/>
            <w:tcBorders>
              <w:bottom w:val="single" w:color="000000" w:sz="6" w:space="0"/>
            </w:tcBorders>
            <w:vAlign w:val="center"/>
          </w:tcPr>
          <w:p w14:paraId="511FBE18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19"/>
                <w:highlight w:val="none"/>
              </w:rPr>
              <w:t>TLI</w:t>
            </w:r>
          </w:p>
        </w:tc>
        <w:tc>
          <w:tcPr>
            <w:tcW w:w="1901" w:type="dxa"/>
            <w:tcBorders>
              <w:bottom w:val="single" w:color="000000" w:sz="6" w:space="0"/>
            </w:tcBorders>
            <w:vAlign w:val="center"/>
          </w:tcPr>
          <w:p w14:paraId="2F840F99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19"/>
                <w:highlight w:val="none"/>
              </w:rPr>
              <w:t>RMSEA [90% CI]</w:t>
            </w:r>
          </w:p>
        </w:tc>
        <w:tc>
          <w:tcPr>
            <w:tcW w:w="922" w:type="dxa"/>
            <w:tcBorders>
              <w:bottom w:val="single" w:color="000000" w:sz="6" w:space="0"/>
            </w:tcBorders>
            <w:vAlign w:val="center"/>
          </w:tcPr>
          <w:p w14:paraId="20C7A27A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19"/>
                <w:highlight w:val="none"/>
              </w:rPr>
              <w:t>SRMR</w:t>
            </w:r>
          </w:p>
        </w:tc>
        <w:tc>
          <w:tcPr>
            <w:tcW w:w="1181" w:type="dxa"/>
            <w:tcBorders>
              <w:bottom w:val="single" w:color="000000" w:sz="6" w:space="0"/>
            </w:tcBorders>
            <w:vAlign w:val="center"/>
          </w:tcPr>
          <w:p w14:paraId="3601FCF3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19"/>
                <w:highlight w:val="none"/>
              </w:rPr>
              <w:t>AIC</w:t>
            </w:r>
          </w:p>
        </w:tc>
        <w:tc>
          <w:tcPr>
            <w:tcW w:w="1181" w:type="dxa"/>
            <w:tcBorders>
              <w:bottom w:val="single" w:color="000000" w:sz="6" w:space="0"/>
            </w:tcBorders>
            <w:vAlign w:val="center"/>
          </w:tcPr>
          <w:p w14:paraId="0D57A396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19"/>
                <w:highlight w:val="none"/>
              </w:rPr>
              <w:t>BIC</w:t>
            </w:r>
          </w:p>
        </w:tc>
        <w:tc>
          <w:tcPr>
            <w:tcW w:w="4104" w:type="dxa"/>
            <w:tcBorders>
              <w:bottom w:val="single" w:color="000000" w:sz="6" w:space="0"/>
            </w:tcBorders>
            <w:vAlign w:val="center"/>
          </w:tcPr>
          <w:p w14:paraId="42C7895B">
            <w:pPr>
              <w:keepNext/>
              <w:spacing w:before="0" w:after="0" w:line="240" w:lineRule="auto"/>
              <w:ind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19"/>
                <w:highlight w:val="none"/>
              </w:rPr>
              <w:t>Negative variance / admissibility</w:t>
            </w:r>
          </w:p>
        </w:tc>
      </w:tr>
      <w:tr w14:paraId="106EF96B">
        <w:tblPrEx>
          <w:tblBorders>
            <w:top w:val="single" w:color="000000" w:sz="8" w:space="0"/>
            <w:left w:val="none" w:color="000000" w:sz="8" w:space="0"/>
            <w:bottom w:val="single" w:color="000000" w:sz="8" w:space="0"/>
            <w:right w:val="none" w:color="000000" w:sz="8" w:space="0"/>
            <w:insideH w:val="none" w:color="000000" w:sz="8" w:space="0"/>
            <w:insideV w:val="none" w:color="000000" w:sz="8" w:space="0"/>
          </w:tblBorders>
          <w:tblCellMar>
            <w:top w:w="100" w:type="dxa"/>
            <w:left w:w="70" w:type="dxa"/>
            <w:bottom w:w="100" w:type="dxa"/>
            <w:right w:w="70" w:type="dxa"/>
          </w:tblCellMar>
        </w:tblPrEx>
        <w:trPr>
          <w:cantSplit/>
          <w:jc w:val="center"/>
        </w:trPr>
        <w:tc>
          <w:tcPr>
            <w:tcW w:w="893" w:type="dxa"/>
            <w:vAlign w:val="center"/>
          </w:tcPr>
          <w:p w14:paraId="29F748EE">
            <w:pPr>
              <w:keepNext/>
              <w:spacing w:before="0" w:after="0" w:line="240" w:lineRule="auto"/>
              <w:ind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PP-M1</w:t>
            </w:r>
          </w:p>
        </w:tc>
        <w:tc>
          <w:tcPr>
            <w:tcW w:w="1238" w:type="dxa"/>
            <w:vAlign w:val="center"/>
          </w:tcPr>
          <w:p w14:paraId="647A8990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13.783 (11)</w:t>
            </w:r>
          </w:p>
        </w:tc>
        <w:tc>
          <w:tcPr>
            <w:tcW w:w="691" w:type="dxa"/>
            <w:vAlign w:val="center"/>
          </w:tcPr>
          <w:p w14:paraId="62F87167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.245</w:t>
            </w:r>
          </w:p>
        </w:tc>
        <w:tc>
          <w:tcPr>
            <w:tcW w:w="648" w:type="dxa"/>
            <w:vAlign w:val="center"/>
          </w:tcPr>
          <w:p w14:paraId="0092228C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.998</w:t>
            </w:r>
          </w:p>
        </w:tc>
        <w:tc>
          <w:tcPr>
            <w:tcW w:w="648" w:type="dxa"/>
            <w:vAlign w:val="center"/>
          </w:tcPr>
          <w:p w14:paraId="3C2B2489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.995</w:t>
            </w:r>
          </w:p>
        </w:tc>
        <w:tc>
          <w:tcPr>
            <w:tcW w:w="1901" w:type="dxa"/>
            <w:vAlign w:val="center"/>
          </w:tcPr>
          <w:p w14:paraId="35F9A860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.018 [.000, .044]</w:t>
            </w:r>
          </w:p>
        </w:tc>
        <w:tc>
          <w:tcPr>
            <w:tcW w:w="922" w:type="dxa"/>
            <w:vAlign w:val="center"/>
          </w:tcPr>
          <w:p w14:paraId="79DC3C46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.018</w:t>
            </w:r>
          </w:p>
        </w:tc>
        <w:tc>
          <w:tcPr>
            <w:tcW w:w="1181" w:type="dxa"/>
            <w:vAlign w:val="center"/>
          </w:tcPr>
          <w:p w14:paraId="16FFF930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20392.868</w:t>
            </w:r>
          </w:p>
        </w:tc>
        <w:tc>
          <w:tcPr>
            <w:tcW w:w="1181" w:type="dxa"/>
            <w:vAlign w:val="center"/>
          </w:tcPr>
          <w:p w14:paraId="5121C2D0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20550.668</w:t>
            </w:r>
          </w:p>
        </w:tc>
        <w:tc>
          <w:tcPr>
            <w:tcW w:w="4104" w:type="dxa"/>
            <w:vAlign w:val="center"/>
          </w:tcPr>
          <w:p w14:paraId="5A271EBC">
            <w:pPr>
              <w:keepNext/>
              <w:spacing w:before="0" w:after="0" w:line="240" w:lineRule="auto"/>
              <w:ind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Negative CCSAS T2 residual variance: −247.564. Inadmissible.</w:t>
            </w:r>
          </w:p>
        </w:tc>
      </w:tr>
      <w:tr w14:paraId="4EAA7749">
        <w:tblPrEx>
          <w:tblBorders>
            <w:top w:val="single" w:color="000000" w:sz="8" w:space="0"/>
            <w:left w:val="none" w:color="000000" w:sz="8" w:space="0"/>
            <w:bottom w:val="single" w:color="000000" w:sz="8" w:space="0"/>
            <w:right w:val="none" w:color="000000" w:sz="8" w:space="0"/>
            <w:insideH w:val="none" w:color="000000" w:sz="8" w:space="0"/>
            <w:insideV w:val="none" w:color="000000" w:sz="8" w:space="0"/>
          </w:tblBorders>
          <w:tblCellMar>
            <w:top w:w="100" w:type="dxa"/>
            <w:left w:w="70" w:type="dxa"/>
            <w:bottom w:w="100" w:type="dxa"/>
            <w:right w:w="70" w:type="dxa"/>
          </w:tblCellMar>
        </w:tblPrEx>
        <w:trPr>
          <w:cantSplit/>
          <w:jc w:val="center"/>
        </w:trPr>
        <w:tc>
          <w:tcPr>
            <w:tcW w:w="893" w:type="dxa"/>
            <w:vAlign w:val="center"/>
          </w:tcPr>
          <w:p w14:paraId="0FB79FE9">
            <w:pPr>
              <w:keepNext/>
              <w:spacing w:before="0" w:after="0" w:line="240" w:lineRule="auto"/>
              <w:ind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PP-M2</w:t>
            </w:r>
          </w:p>
        </w:tc>
        <w:tc>
          <w:tcPr>
            <w:tcW w:w="1238" w:type="dxa"/>
            <w:vAlign w:val="center"/>
          </w:tcPr>
          <w:p w14:paraId="71FC0246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56.588 (13)</w:t>
            </w:r>
          </w:p>
        </w:tc>
        <w:tc>
          <w:tcPr>
            <w:tcW w:w="691" w:type="dxa"/>
            <w:vAlign w:val="center"/>
          </w:tcPr>
          <w:p w14:paraId="675AC411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&lt; .001</w:t>
            </w:r>
          </w:p>
        </w:tc>
        <w:tc>
          <w:tcPr>
            <w:tcW w:w="648" w:type="dxa"/>
            <w:vAlign w:val="center"/>
          </w:tcPr>
          <w:p w14:paraId="2EAFF957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.971</w:t>
            </w:r>
          </w:p>
        </w:tc>
        <w:tc>
          <w:tcPr>
            <w:tcW w:w="648" w:type="dxa"/>
            <w:vAlign w:val="center"/>
          </w:tcPr>
          <w:p w14:paraId="666957BF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.927</w:t>
            </w:r>
          </w:p>
        </w:tc>
        <w:tc>
          <w:tcPr>
            <w:tcW w:w="1901" w:type="dxa"/>
            <w:vAlign w:val="center"/>
          </w:tcPr>
          <w:p w14:paraId="54FB5226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.066 [.049, .084]</w:t>
            </w:r>
          </w:p>
        </w:tc>
        <w:tc>
          <w:tcPr>
            <w:tcW w:w="922" w:type="dxa"/>
            <w:vAlign w:val="center"/>
          </w:tcPr>
          <w:p w14:paraId="5B880287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.056</w:t>
            </w:r>
          </w:p>
        </w:tc>
        <w:tc>
          <w:tcPr>
            <w:tcW w:w="1181" w:type="dxa"/>
            <w:vAlign w:val="center"/>
          </w:tcPr>
          <w:p w14:paraId="2B04532C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20441.637</w:t>
            </w:r>
          </w:p>
        </w:tc>
        <w:tc>
          <w:tcPr>
            <w:tcW w:w="1181" w:type="dxa"/>
            <w:vAlign w:val="center"/>
          </w:tcPr>
          <w:p w14:paraId="092B5DAF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20590.154</w:t>
            </w:r>
          </w:p>
        </w:tc>
        <w:tc>
          <w:tcPr>
            <w:tcW w:w="4104" w:type="dxa"/>
            <w:vAlign w:val="center"/>
          </w:tcPr>
          <w:p w14:paraId="7C8DE640">
            <w:pPr>
              <w:keepNext/>
              <w:spacing w:before="0" w:after="0" w:line="240" w:lineRule="auto"/>
              <w:ind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No negative variances or non-positive-definite warnings. Admissible.</w:t>
            </w:r>
          </w:p>
        </w:tc>
      </w:tr>
      <w:tr w14:paraId="263D5718">
        <w:tblPrEx>
          <w:tblBorders>
            <w:top w:val="single" w:color="000000" w:sz="8" w:space="0"/>
            <w:left w:val="none" w:color="000000" w:sz="8" w:space="0"/>
            <w:bottom w:val="single" w:color="000000" w:sz="8" w:space="0"/>
            <w:right w:val="none" w:color="000000" w:sz="8" w:space="0"/>
            <w:insideH w:val="none" w:color="000000" w:sz="8" w:space="0"/>
            <w:insideV w:val="none" w:color="000000" w:sz="8" w:space="0"/>
          </w:tblBorders>
          <w:tblCellMar>
            <w:top w:w="100" w:type="dxa"/>
            <w:left w:w="70" w:type="dxa"/>
            <w:bottom w:w="100" w:type="dxa"/>
            <w:right w:w="70" w:type="dxa"/>
          </w:tblCellMar>
        </w:tblPrEx>
        <w:trPr>
          <w:cantSplit/>
          <w:jc w:val="center"/>
        </w:trPr>
        <w:tc>
          <w:tcPr>
            <w:tcW w:w="893" w:type="dxa"/>
            <w:vAlign w:val="center"/>
          </w:tcPr>
          <w:p w14:paraId="071FE538">
            <w:pPr>
              <w:keepNext/>
              <w:spacing w:before="0" w:after="0" w:line="240" w:lineRule="auto"/>
              <w:ind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PP-M3a</w:t>
            </w:r>
          </w:p>
        </w:tc>
        <w:tc>
          <w:tcPr>
            <w:tcW w:w="1238" w:type="dxa"/>
            <w:vAlign w:val="center"/>
          </w:tcPr>
          <w:p w14:paraId="592C83F5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31.146 (13)</w:t>
            </w:r>
          </w:p>
        </w:tc>
        <w:tc>
          <w:tcPr>
            <w:tcW w:w="691" w:type="dxa"/>
            <w:vAlign w:val="center"/>
          </w:tcPr>
          <w:p w14:paraId="6EDE878D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.003</w:t>
            </w:r>
          </w:p>
        </w:tc>
        <w:tc>
          <w:tcPr>
            <w:tcW w:w="648" w:type="dxa"/>
            <w:vAlign w:val="center"/>
          </w:tcPr>
          <w:p w14:paraId="30F5D30B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.988</w:t>
            </w:r>
          </w:p>
        </w:tc>
        <w:tc>
          <w:tcPr>
            <w:tcW w:w="648" w:type="dxa"/>
            <w:vAlign w:val="center"/>
          </w:tcPr>
          <w:p w14:paraId="7F964E68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.970</w:t>
            </w:r>
          </w:p>
        </w:tc>
        <w:tc>
          <w:tcPr>
            <w:tcW w:w="1901" w:type="dxa"/>
            <w:vAlign w:val="center"/>
          </w:tcPr>
          <w:p w14:paraId="3DF9A92F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.043 [.024, .062]</w:t>
            </w:r>
          </w:p>
        </w:tc>
        <w:tc>
          <w:tcPr>
            <w:tcW w:w="922" w:type="dxa"/>
            <w:vAlign w:val="center"/>
          </w:tcPr>
          <w:p w14:paraId="689CBC22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.075</w:t>
            </w:r>
          </w:p>
        </w:tc>
        <w:tc>
          <w:tcPr>
            <w:tcW w:w="1181" w:type="dxa"/>
            <w:vAlign w:val="center"/>
          </w:tcPr>
          <w:p w14:paraId="607D51CC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20408.502</w:t>
            </w:r>
          </w:p>
        </w:tc>
        <w:tc>
          <w:tcPr>
            <w:tcW w:w="1181" w:type="dxa"/>
            <w:vAlign w:val="center"/>
          </w:tcPr>
          <w:p w14:paraId="4EC1F253">
            <w:pPr>
              <w:keepNext/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20557.020</w:t>
            </w:r>
          </w:p>
        </w:tc>
        <w:tc>
          <w:tcPr>
            <w:tcW w:w="4104" w:type="dxa"/>
            <w:vAlign w:val="center"/>
          </w:tcPr>
          <w:p w14:paraId="23BE967E">
            <w:pPr>
              <w:keepNext/>
              <w:spacing w:before="0" w:after="0" w:line="240" w:lineRule="auto"/>
              <w:ind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Negative CCSAS T2 residual (−118.782) and adaptation-slope disturbance (−2.263). Inadmissible; see note.</w:t>
            </w:r>
          </w:p>
        </w:tc>
      </w:tr>
      <w:tr w14:paraId="16548D67">
        <w:tblPrEx>
          <w:tblBorders>
            <w:top w:val="single" w:color="000000" w:sz="8" w:space="0"/>
            <w:left w:val="none" w:color="000000" w:sz="8" w:space="0"/>
            <w:bottom w:val="single" w:color="000000" w:sz="8" w:space="0"/>
            <w:right w:val="none" w:color="000000" w:sz="8" w:space="0"/>
            <w:insideH w:val="none" w:color="000000" w:sz="8" w:space="0"/>
            <w:insideV w:val="none" w:color="000000" w:sz="8" w:space="0"/>
          </w:tblBorders>
          <w:tblCellMar>
            <w:top w:w="100" w:type="dxa"/>
            <w:left w:w="70" w:type="dxa"/>
            <w:bottom w:w="100" w:type="dxa"/>
            <w:right w:w="70" w:type="dxa"/>
          </w:tblCellMar>
        </w:tblPrEx>
        <w:trPr>
          <w:cantSplit/>
          <w:jc w:val="center"/>
        </w:trPr>
        <w:tc>
          <w:tcPr>
            <w:tcW w:w="893" w:type="dxa"/>
            <w:vAlign w:val="center"/>
          </w:tcPr>
          <w:p w14:paraId="52F82469">
            <w:pPr>
              <w:spacing w:before="0" w:after="0" w:line="240" w:lineRule="auto"/>
              <w:ind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PP-M4</w:t>
            </w:r>
          </w:p>
        </w:tc>
        <w:tc>
          <w:tcPr>
            <w:tcW w:w="1238" w:type="dxa"/>
            <w:vAlign w:val="center"/>
          </w:tcPr>
          <w:p w14:paraId="03CBE0A5">
            <w:pPr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62.981 (15)</w:t>
            </w:r>
          </w:p>
        </w:tc>
        <w:tc>
          <w:tcPr>
            <w:tcW w:w="691" w:type="dxa"/>
            <w:vAlign w:val="center"/>
          </w:tcPr>
          <w:p w14:paraId="02E6A3DD">
            <w:pPr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&lt; .001</w:t>
            </w:r>
          </w:p>
        </w:tc>
        <w:tc>
          <w:tcPr>
            <w:tcW w:w="648" w:type="dxa"/>
            <w:vAlign w:val="center"/>
          </w:tcPr>
          <w:p w14:paraId="63A66B67">
            <w:pPr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.968</w:t>
            </w:r>
          </w:p>
        </w:tc>
        <w:tc>
          <w:tcPr>
            <w:tcW w:w="648" w:type="dxa"/>
            <w:vAlign w:val="center"/>
          </w:tcPr>
          <w:p w14:paraId="71B34B0A">
            <w:pPr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.931</w:t>
            </w:r>
          </w:p>
        </w:tc>
        <w:tc>
          <w:tcPr>
            <w:tcW w:w="1901" w:type="dxa"/>
            <w:vAlign w:val="center"/>
          </w:tcPr>
          <w:p w14:paraId="49E070B0">
            <w:pPr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.065 [.049, .082]</w:t>
            </w:r>
          </w:p>
        </w:tc>
        <w:tc>
          <w:tcPr>
            <w:tcW w:w="922" w:type="dxa"/>
            <w:vAlign w:val="center"/>
          </w:tcPr>
          <w:p w14:paraId="7323679A">
            <w:pPr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.085</w:t>
            </w:r>
          </w:p>
        </w:tc>
        <w:tc>
          <w:tcPr>
            <w:tcW w:w="1181" w:type="dxa"/>
            <w:vAlign w:val="center"/>
          </w:tcPr>
          <w:p w14:paraId="0CA8B32F">
            <w:pPr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20446.416</w:t>
            </w:r>
          </w:p>
        </w:tc>
        <w:tc>
          <w:tcPr>
            <w:tcW w:w="1181" w:type="dxa"/>
            <w:vAlign w:val="center"/>
          </w:tcPr>
          <w:p w14:paraId="0B4B87D6">
            <w:pPr>
              <w:spacing w:before="0" w:after="0" w:line="240" w:lineRule="auto"/>
              <w:ind w:firstLine="0"/>
              <w:jc w:val="center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20585.651</w:t>
            </w:r>
          </w:p>
        </w:tc>
        <w:tc>
          <w:tcPr>
            <w:tcW w:w="4104" w:type="dxa"/>
            <w:vAlign w:val="center"/>
          </w:tcPr>
          <w:p w14:paraId="7B5E9B85">
            <w:pPr>
              <w:spacing w:before="0" w:after="0" w:line="240" w:lineRule="auto"/>
              <w:ind w:firstLine="0"/>
              <w:jc w:val="left"/>
              <w:rPr>
                <w:highlight w:val="none"/>
              </w:rPr>
            </w:pPr>
            <w:r>
              <w:rPr>
                <w:rFonts w:ascii="Times New Roman" w:hAnsi="Times New Roman" w:eastAsia="宋体"/>
                <w:color w:val="000000"/>
                <w:sz w:val="19"/>
                <w:highlight w:val="none"/>
              </w:rPr>
              <w:t>No negative variances or non-positive-definite warnings. Admissible; SRMR = .085.</w:t>
            </w:r>
          </w:p>
        </w:tc>
      </w:tr>
    </w:tbl>
    <w:p w14:paraId="31EBD1BE">
      <w:pPr>
        <w:spacing w:before="0" w:after="80" w:line="240" w:lineRule="auto"/>
        <w:ind w:firstLine="0"/>
        <w:jc w:val="left"/>
        <w:rPr>
          <w:highlight w:val="none"/>
        </w:rPr>
      </w:pPr>
      <w:r>
        <w:rPr>
          <w:rFonts w:ascii="Times New Roman" w:hAnsi="Times New Roman" w:eastAsia="宋体"/>
          <w:color w:val="000000"/>
          <w:sz w:val="19"/>
          <w:highlight w:val="none"/>
        </w:rPr>
        <w:t xml:space="preserve">Note. N = 766 in all models. PP-M1: both constructs' three residual variances freely estimated; PP-M2: adaptation residual variances equal across waves, coping residual variances free; PP-M3: coping residual variances equal, adaptation residual variances free; PP-M4: residual variances equal within each construct, with different variance parameters for the two constructs. All models freely estimate the three same-wave cross-construct residual covariances and both within-process intercept–slope disturbance covariances, and adjust all four growth factors for sex, age, and residence. No residual variance is fixed to zero. </w:t>
      </w:r>
    </w:p>
    <w:p w14:paraId="4D25D9D6">
      <w:pPr>
        <w:ind w:left="0" w:leftChars="0" w:firstLine="0" w:firstLineChars="0"/>
        <w:rPr>
          <w:rFonts w:ascii="Times New Roman" w:hAnsi="Times New Roman" w:eastAsia="宋体"/>
          <w:color w:val="000000"/>
          <w:sz w:val="20"/>
          <w:highlight w:val="yellow"/>
        </w:rPr>
      </w:pPr>
    </w:p>
    <w:sectPr>
      <w:footerReference r:id="rId7" w:type="default"/>
      <w:pgSz w:w="16834" w:h="11909" w:orient="landscape"/>
      <w:pgMar w:top="432" w:right="1080" w:bottom="432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CBE02">
    <w:pPr>
      <w:pStyle w:val="24"/>
      <w:suppressLineNumbers/>
      <w:jc w:val="center"/>
    </w:pPr>
    <w:r>
      <w:rPr>
        <w:rFonts w:ascii="Times New Roman" w:hAnsi="Times New Roman" w:eastAsia="Noto Sans CJK SC"/>
        <w:color w:val="000000"/>
        <w:sz w:val="20"/>
      </w:rPr>
      <w:fldChar w:fldCharType="begin"/>
    </w:r>
    <w:r>
      <w:rPr>
        <w:rFonts w:ascii="Times New Roman" w:hAnsi="Times New Roman" w:eastAsia="Noto Sans CJK SC"/>
        <w:color w:val="000000"/>
        <w:sz w:val="20"/>
      </w:rPr>
      <w:instrText xml:space="preserve"> PAGE </w:instrText>
    </w:r>
    <w:r>
      <w:rPr>
        <w:rFonts w:ascii="Times New Roman" w:hAnsi="Times New Roman" w:eastAsia="Noto Sans CJK SC"/>
        <w:color w:val="00000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0B764">
    <w:pPr>
      <w:pStyle w:val="24"/>
      <w:suppressLineNumbers/>
      <w:jc w:val="center"/>
    </w:pPr>
    <w:r>
      <w:rPr>
        <w:rFonts w:ascii="Times New Roman" w:hAnsi="Times New Roman" w:eastAsia="Noto Sans CJK SC"/>
        <w:color w:val="000000"/>
        <w:sz w:val="20"/>
      </w:rPr>
      <w:fldChar w:fldCharType="begin"/>
    </w:r>
    <w:r>
      <w:rPr>
        <w:rFonts w:ascii="Times New Roman" w:hAnsi="Times New Roman" w:eastAsia="Noto Sans CJK SC"/>
        <w:color w:val="000000"/>
        <w:sz w:val="20"/>
      </w:rPr>
      <w:instrText xml:space="preserve"> PAGE </w:instrText>
    </w:r>
    <w:r>
      <w:rPr>
        <w:rFonts w:ascii="Times New Roman" w:hAnsi="Times New Roman" w:eastAsia="Noto Sans CJK SC"/>
        <w:color w:val="000000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FF726">
    <w:pPr>
      <w:pStyle w:val="24"/>
      <w:suppressLineNumbers/>
      <w:jc w:val="center"/>
    </w:pPr>
    <w:r>
      <w:rPr>
        <w:rFonts w:ascii="Times New Roman" w:hAnsi="Times New Roman" w:eastAsia="Noto Sans CJK SC"/>
        <w:color w:val="000000"/>
        <w:sz w:val="20"/>
      </w:rPr>
      <w:fldChar w:fldCharType="begin"/>
    </w:r>
    <w:r>
      <w:rPr>
        <w:rFonts w:ascii="Times New Roman" w:hAnsi="Times New Roman" w:eastAsia="Noto Sans CJK SC"/>
        <w:color w:val="000000"/>
        <w:sz w:val="20"/>
      </w:rPr>
      <w:instrText xml:space="preserve"> PAGE </w:instrText>
    </w:r>
    <w:r>
      <w:rPr>
        <w:rFonts w:ascii="Times New Roman" w:hAnsi="Times New Roman" w:eastAsia="Noto Sans CJK SC"/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41D63BC"/>
    <w:rsid w:val="16E33E04"/>
    <w:rsid w:val="324542D2"/>
    <w:rsid w:val="3F8758D8"/>
    <w:rsid w:val="43271947"/>
    <w:rsid w:val="47290503"/>
    <w:rsid w:val="4AB06E31"/>
    <w:rsid w:val="728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auto"/>
      <w:ind w:firstLine="480"/>
    </w:pPr>
    <w:rPr>
      <w:rFonts w:ascii="Times New Roman" w:hAnsi="Times New Roman" w:eastAsia="Noto Sans CJK SC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40" w:after="80" w:line="276" w:lineRule="auto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60" w:after="80" w:line="276" w:lineRule="auto"/>
      <w:outlineLvl w:val="1"/>
    </w:pPr>
    <w:rPr>
      <w:rFonts w:asciiTheme="majorHAnsi" w:hAnsiTheme="majorHAnsi" w:eastAsiaTheme="majorEastAsia" w:cstheme="majorBidi"/>
      <w:b/>
      <w:bCs/>
      <w:color w:val="000000"/>
      <w:sz w:val="24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60" w:after="80" w:line="276" w:lineRule="auto"/>
      <w:outlineLvl w:val="2"/>
    </w:pPr>
    <w:rPr>
      <w:rFonts w:asciiTheme="majorHAnsi" w:hAnsiTheme="majorHAnsi" w:eastAsiaTheme="majorEastAsia" w:cstheme="majorBidi"/>
      <w:b/>
      <w:bCs/>
      <w:color w:val="000000"/>
      <w:sz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after="240" w:line="240" w:lineRule="auto"/>
      <w:contextualSpacing/>
      <w:jc w:val="center"/>
    </w:pPr>
    <w:rPr>
      <w:rFonts w:asciiTheme="majorHAnsi" w:hAnsiTheme="majorHAnsi" w:eastAsiaTheme="majorEastAsia" w:cstheme="majorBidi"/>
      <w:b/>
      <w:color w:val="000000"/>
      <w:spacing w:val="5"/>
      <w:kern w:val="28"/>
      <w:sz w:val="3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325</Words>
  <Characters>937</Characters>
  <Lines>0</Lines>
  <Paragraphs>0</Paragraphs>
  <TotalTime>4</TotalTime>
  <ScaleCrop>false</ScaleCrop>
  <LinksUpToDate>false</LinksUpToDate>
  <CharactersWithSpaces>1064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Morrislei</cp:lastModifiedBy>
  <dcterms:modified xsi:type="dcterms:W3CDTF">2026-10-05T09:16:40Z</dcterms:modified>
  <dc:subject>Supplementary material for the BMC Psychology manuscript</dc:subject>
  <dc:title>Additional file 1: Supplementary tables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eyJoZGlkIjoiMzExYjBkOGYxZTBlMTRlMTRmN2VjMDUwODg0NzcyMDYiLCJ1c2VySWQiOiIyNjAzOTgxOTQifQ==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C892423C4EEE4FCFB6926DB5059DF741_13</vt:lpwstr>
  </property>
</Properties>
</file>