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62A1">
      <w:pPr>
        <w:spacing w:before="240" w:after="120" w:line="240" w:lineRule="auto"/>
        <w:jc w:val="left"/>
      </w:pPr>
      <w:r>
        <w:rPr>
          <w:rFonts w:ascii="Arial" w:hAnsi="Arial" w:eastAsia="Arial" w:cs="Arial"/>
          <w:b/>
          <w:sz w:val="24"/>
          <w:szCs w:val="24"/>
        </w:rPr>
        <w:t>Supplementary Data</w:t>
      </w:r>
    </w:p>
    <w:p w14:paraId="36ED3187">
      <w:pPr>
        <w:spacing w:before="0" w:after="0" w:line="480" w:lineRule="auto"/>
        <w:jc w:val="both"/>
        <w:rPr>
          <w:rFonts w:ascii="Arial" w:hAnsi="Arial" w:eastAsia="Arial" w:cs="Arial"/>
          <w:i/>
          <w:sz w:val="22"/>
          <w:szCs w:val="22"/>
        </w:rPr>
      </w:pPr>
      <w:r>
        <w:rPr>
          <w:rFonts w:ascii="Arial" w:hAnsi="Arial" w:eastAsia="Arial" w:cs="Arial"/>
          <w:i/>
          <w:sz w:val="22"/>
          <w:szCs w:val="22"/>
        </w:rPr>
        <w:t>Anastomotic leakage and long-term survival after minimally invasive esophagectomy: a retrospective cohort study</w:t>
      </w:r>
    </w:p>
    <w:p w14:paraId="5DAB7ED3">
      <w:pPr>
        <w:spacing w:before="0" w:after="0" w:line="240" w:lineRule="auto"/>
        <w:jc w:val="left"/>
      </w:pPr>
    </w:p>
    <w:p w14:paraId="38919940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Table S1. Standardized mean differences (SMD) of baseline covariates before and after IPTW weighting.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703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17EC67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31A28FB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SMD_before_IPTW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6C7206F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SMD_after_IPTW</w:t>
            </w:r>
          </w:p>
        </w:tc>
      </w:tr>
      <w:tr w14:paraId="2025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7A77829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BAA5D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0.194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517949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0.028</w:t>
            </w:r>
          </w:p>
        </w:tc>
      </w:tr>
      <w:tr w14:paraId="70E76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710786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Male sex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E7EAA2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0.106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FE3DF5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0.031</w:t>
            </w:r>
          </w:p>
        </w:tc>
      </w:tr>
      <w:tr w14:paraId="0E0C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6BA3CE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Smoking history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F2FD6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0.143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0E0D97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0.028</w:t>
            </w:r>
          </w:p>
        </w:tc>
      </w:tr>
      <w:tr w14:paraId="531E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F26BD6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 stage 3-4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1BCF2F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0.252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3E1B36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0.014</w:t>
            </w:r>
          </w:p>
        </w:tc>
      </w:tr>
      <w:tr w14:paraId="7DB2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0E51E4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N+ stage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02BDD6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0.023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E24B0B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0.026</w:t>
            </w:r>
          </w:p>
        </w:tc>
      </w:tr>
      <w:tr w14:paraId="3E71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3FA3E4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Lymphovascular invasion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DC78C0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0.147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919FF5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0.014</w:t>
            </w:r>
          </w:p>
        </w:tc>
      </w:tr>
      <w:tr w14:paraId="668F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21B0D6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Perineural invasion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6073439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0.25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52E25C6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0.008</w:t>
            </w:r>
          </w:p>
        </w:tc>
      </w:tr>
    </w:tbl>
    <w:p w14:paraId="2EC036A6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SMD &lt; 0.10 indicates good balance. IPTW, inverse probability of treatment weighting; AL, anastomotic leakage; LVI, lymphovascular invasion; PNI, perineural invasion; CEA, carcinoembryonic antigen; BMI, body mass index.</w:t>
      </w:r>
    </w:p>
    <w:p w14:paraId="5237C13B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AL, anastomotic leakage; BMI, body mass index; CEA, carcinoembryonic antigen; IPTW, inverse probability of treatment weighting; LVI, lymphovascular invasion; N, nodal stage; PNI, perineural invasion; SMD, standardized mean difference; T, tumour stage</w:t>
      </w:r>
    </w:p>
    <w:p w14:paraId="291E90B6">
      <w:pPr>
        <w:spacing w:before="0" w:after="0" w:line="240" w:lineRule="auto"/>
        <w:jc w:val="left"/>
      </w:pPr>
    </w:p>
    <w:p w14:paraId="6F536C18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Table S2. Baseline characteristics stratified by sex in the full survival-analysis cohort (n=618).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1794"/>
        <w:gridCol w:w="1794"/>
        <w:gridCol w:w="1794"/>
        <w:gridCol w:w="847"/>
      </w:tblGrid>
      <w:tr w14:paraId="6591B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6E07FE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1ECE0D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Overall (n=618)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30C355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Male (n=461)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7D5AAE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Female (n=157)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DB263B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P-value</w:t>
            </w:r>
          </w:p>
        </w:tc>
      </w:tr>
      <w:tr w14:paraId="4949A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F07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Age,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B945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60.0 (54.0-64.0)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0B3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59.0 (54.0-63.0)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C3B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62.0 (56.0-68.0)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76B0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1CA95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EF6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BMI, kg/m²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BE20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22.0 (20.2-24.2)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4297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22.0 (20.2-24.2)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C9D8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22.2 (19.9-24.0)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E12B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0.797</w:t>
            </w:r>
          </w:p>
        </w:tc>
      </w:tr>
      <w:tr w14:paraId="2C3BB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7AE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Pack-years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AE3C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15.0 (0.0-40.0)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C242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30.0 (0.0-40.0)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B1F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 (0.0-0.0)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4E69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464CA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FD3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Operative time, 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38C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290.0 (250.0-330.0)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023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300.0 (258.2-345.0)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1337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273.0 (240.0-313.0)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905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3B722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2A02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Blood loss, ml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EF3D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100.0 (100.0-150.0)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893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100.0 (100.0-150.0)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FC7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100.0 (60.0-162.5)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8D06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0.407</w:t>
            </w:r>
          </w:p>
        </w:tc>
      </w:tr>
      <w:tr w14:paraId="46739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BE0B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Tumor length,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C8DE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4.5 (3.3-5.5)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F774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4.4 (3.5-5.2)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DAD8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4.7 (2.8-5.9)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459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0.835</w:t>
            </w:r>
          </w:p>
        </w:tc>
      </w:tr>
      <w:tr w14:paraId="4B346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DAD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Lymph nodes harvested, 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462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30.0 (23.0-39.0)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7D85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30.0 (24.0-39.0)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569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29.0 (23.0-39.2)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31C0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0.589</w:t>
            </w:r>
          </w:p>
        </w:tc>
      </w:tr>
      <w:tr w14:paraId="4AE9E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A4B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Positive lymph nodes, 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B1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 (0.0-2.0)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E259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 (0.0-2.0)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5D9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 (0.0-1.0)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C94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5855E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0B4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CEA, ng/ml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42E2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2.3 (1.5-3.4)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4DC0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2.6 (1.7-3.7)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4549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1.7 (1.1-2.4)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1414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6F6A3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EEDF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Hospital stay, days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794D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20.0 (17.0-26.0)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A7C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20.0 (17.0-26.0)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D67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19.0 (17.0-25.0)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B6B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0.484</w:t>
            </w:r>
          </w:p>
        </w:tc>
      </w:tr>
      <w:tr w14:paraId="55ACC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020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OS, months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D9BD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37.4 (24.4-59.1)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A11E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37.2 (23.9-60.4)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0213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40.1 (26.2-55.6)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5AA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0.938</w:t>
            </w:r>
          </w:p>
        </w:tc>
      </w:tr>
      <w:tr w14:paraId="3D2CC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FD37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Anastomotic site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06E01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B914D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BC825">
            <w:pPr>
              <w:spacing w:before="0" w:after="0" w:line="240" w:lineRule="auto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CDD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0.671</w:t>
            </w:r>
          </w:p>
        </w:tc>
      </w:tr>
      <w:tr w14:paraId="1A123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C79EE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Cervical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DB2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457 (90.5)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B15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351 (90.9)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F588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106 (89.1)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CA389">
            <w:pPr>
              <w:spacing w:before="0" w:after="0" w:line="240" w:lineRule="auto"/>
              <w:jc w:val="center"/>
            </w:pPr>
          </w:p>
        </w:tc>
      </w:tr>
      <w:tr w14:paraId="595DD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42537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Intrathoracic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066E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48 (9.5)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45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35 (9.1)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4E2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13 (10.9)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73E27">
            <w:pPr>
              <w:spacing w:before="0" w:after="0" w:line="240" w:lineRule="auto"/>
              <w:jc w:val="center"/>
            </w:pPr>
          </w:p>
        </w:tc>
      </w:tr>
      <w:tr w14:paraId="13738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93AA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LVI,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904F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113 (18.3)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7AC5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96 (20.8)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0447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17 (10.8)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A98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0.007</w:t>
            </w:r>
          </w:p>
        </w:tc>
      </w:tr>
      <w:tr w14:paraId="6D7D1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CDB0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PNI,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625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94 (15.2)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1B65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75 (16.3)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4B7E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 (12.1)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0F9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0.260</w:t>
            </w:r>
          </w:p>
        </w:tc>
      </w:tr>
      <w:tr w14:paraId="4578C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D3B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Differentiation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48E6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FFA17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840BE">
            <w:pPr>
              <w:spacing w:before="0" w:after="0" w:line="240" w:lineRule="auto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E438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0.755</w:t>
            </w:r>
          </w:p>
        </w:tc>
      </w:tr>
      <w:tr w14:paraId="6E81A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C635E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Well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E3B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217 (35.1)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2B45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165 (35.8)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50CF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52 (33.1)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4B7D9">
            <w:pPr>
              <w:spacing w:before="0" w:after="0" w:line="240" w:lineRule="auto"/>
              <w:jc w:val="center"/>
            </w:pPr>
          </w:p>
        </w:tc>
      </w:tr>
      <w:tr w14:paraId="679ED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76817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Moderately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E414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305 (49.4)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857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228 (49.5)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C82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77 (49.0)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BA30">
            <w:pPr>
              <w:spacing w:before="0" w:after="0" w:line="240" w:lineRule="auto"/>
              <w:jc w:val="center"/>
            </w:pPr>
          </w:p>
        </w:tc>
      </w:tr>
      <w:tr w14:paraId="6948D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3BE08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Poorly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0BB4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40 (6.5)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3C8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32 (6.9)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2589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8 (5.1)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DBB3">
            <w:pPr>
              <w:spacing w:before="0" w:after="0" w:line="240" w:lineRule="auto"/>
              <w:jc w:val="center"/>
            </w:pPr>
          </w:p>
        </w:tc>
      </w:tr>
      <w:tr w14:paraId="1CD38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6299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TNM stage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5BF7C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8DAC7">
            <w:pPr>
              <w:spacing w:before="0" w:after="0" w:line="240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E219A">
            <w:pPr>
              <w:spacing w:before="0" w:after="0" w:line="240" w:lineRule="auto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68D3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0.034</w:t>
            </w:r>
          </w:p>
        </w:tc>
      </w:tr>
      <w:tr w14:paraId="73F95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C474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8C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163 (26.4)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0D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115 (24.9)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6C84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48 (30.6)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2248">
            <w:pPr>
              <w:spacing w:before="0" w:after="0" w:line="240" w:lineRule="auto"/>
              <w:jc w:val="center"/>
            </w:pPr>
          </w:p>
        </w:tc>
      </w:tr>
      <w:tr w14:paraId="2A9F3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FB329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A57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110 (17.8)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B0A9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76 (16.5)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9B1F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34 (21.7)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1EBD">
            <w:pPr>
              <w:spacing w:before="0" w:after="0" w:line="240" w:lineRule="auto"/>
              <w:jc w:val="center"/>
            </w:pPr>
          </w:p>
        </w:tc>
      </w:tr>
      <w:tr w14:paraId="06B30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BA7DD">
            <w:pPr>
              <w:spacing w:before="0" w:after="0" w:line="240" w:lineRule="auto"/>
              <w:ind w:left="36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8F8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115 (18.6)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4AF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95 (20.6)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9DB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 (12.7)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1C34">
            <w:pPr>
              <w:spacing w:before="0" w:after="0" w:line="240" w:lineRule="auto"/>
              <w:jc w:val="center"/>
            </w:pPr>
          </w:p>
        </w:tc>
      </w:tr>
      <w:tr w14:paraId="57AC2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46E7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Anastomotic leakage,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65A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96 (15.5)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A493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75 (16.3)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01A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21 (13.4)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2D5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0.461</w:t>
            </w:r>
          </w:p>
        </w:tc>
      </w:tr>
      <w:tr w14:paraId="5E842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6913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Pulmonary infection,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E02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199 (32.2)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656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162 (35.1)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317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37 (23.6)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B740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0.010</w:t>
            </w:r>
          </w:p>
        </w:tc>
      </w:tr>
      <w:tr w14:paraId="3C1BF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668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Chylothorax,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7FF0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 (1.5)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C62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 (1.3)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E8A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 (1.9)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8EAC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0.869</w:t>
            </w:r>
          </w:p>
        </w:tc>
      </w:tr>
      <w:tr w14:paraId="361F3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93CC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Gastroparesis,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5FA6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 (3.2)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4C57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18 (3.9)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988E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 (1.3)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B78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0.178</w:t>
            </w:r>
          </w:p>
        </w:tc>
      </w:tr>
      <w:tr w14:paraId="1CCDD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EFF8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Anastomotic stenosis,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43F6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21 (3.4)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9714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 (4.1)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42AA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 (1.3)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7DAE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0.148</w:t>
            </w:r>
          </w:p>
        </w:tc>
      </w:tr>
      <w:tr w14:paraId="0B343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07B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Vocal cord palsy,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B48A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 (1.8)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23E9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 (2.0)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B923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 (1.3)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0547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0.837</w:t>
            </w:r>
          </w:p>
        </w:tc>
      </w:tr>
      <w:tr w14:paraId="50430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3299E5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Death, n (%)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74D3E7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165 (26.7)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82116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132 (28.6)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7691EC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33 (21.0)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23FD7D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0.079</w:t>
            </w:r>
          </w:p>
        </w:tc>
      </w:tr>
    </w:tbl>
    <w:p w14:paraId="0DBCFCA6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Data are presented as median (interquartile range) or n (%). P-values compare male versus female patients. AL, anastomotic leakage; BMI, body mass index; CEA, carcinoembryonic antigen; LVI, lymphovascular invasion; OS, overall survival; PNI, perineural invasion; TNM, tumour-node-metastasis.</w:t>
      </w:r>
    </w:p>
    <w:p w14:paraId="091B2A4F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AL, anastomotic leakage; BMI, body mass index; CEA, carcinoembryonic antigen; LVI, lymphovascular invasion; N, nodal stage; OS, overall survival; PNI, perineural invasion; T, tumour stage; TNM, tumour-node-metastasis</w:t>
      </w:r>
    </w:p>
    <w:p w14:paraId="7A0AD357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Table S3. Perioperative outcomes in the full cohort (n=633): AL group vs non-AL group.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883"/>
        <w:gridCol w:w="1772"/>
        <w:gridCol w:w="1260"/>
        <w:gridCol w:w="1225"/>
        <w:gridCol w:w="1255"/>
      </w:tblGrid>
      <w:tr w14:paraId="5351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2018A3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63823A0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AL+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B0CC8B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AL-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12B97DD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0B396D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n_AL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033E08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n_non</w:t>
            </w:r>
          </w:p>
        </w:tc>
      </w:tr>
      <w:tr w14:paraId="5A96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61221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Hospital stay (days)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05F03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37.1±14.9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EE8B2B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20.4±7.7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6D03C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DCB772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B462B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534</w:t>
            </w:r>
          </w:p>
        </w:tc>
      </w:tr>
      <w:tr w14:paraId="6C096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A12B9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Total cost (CNY×10⁴)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0463B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109586.9±42892.6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62BE5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83866.2±24135.6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7A335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C08F5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5B34E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496</w:t>
            </w:r>
          </w:p>
        </w:tc>
      </w:tr>
      <w:tr w14:paraId="0E25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B0AEF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Operative time (min)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CBA3D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308.4±69.6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0D0AF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296.5±61.9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5B0CF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D6B35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03298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531</w:t>
            </w:r>
          </w:p>
        </w:tc>
      </w:tr>
      <w:tr w14:paraId="7E0E6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9B65C3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Blood loss (mL)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3B3C7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134.5±73.0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AB3B3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124.6±70.5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A6EDD6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0.1124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75E041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DDB48A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523</w:t>
            </w:r>
          </w:p>
        </w:tc>
      </w:tr>
      <w:tr w14:paraId="1309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0090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Pulmonary infection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49AB0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62 (62.6%)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C2086E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144 (27.0%)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AE92F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694C0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E9D7BA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534</w:t>
            </w:r>
          </w:p>
        </w:tc>
      </w:tr>
      <w:tr w14:paraId="7ECF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4D518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Chylothorax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EF839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 (3.1%)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DF487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 (1.3%)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0DBB97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0.4031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41DAE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06EF1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534</w:t>
            </w:r>
          </w:p>
        </w:tc>
      </w:tr>
      <w:tr w14:paraId="741C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9AFA7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Gastroparesis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057432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 (1.0%)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352DB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 (3.6%)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F5B81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0.3112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105F5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A3CB0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531</w:t>
            </w:r>
          </w:p>
        </w:tc>
      </w:tr>
      <w:tr w14:paraId="4AB6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C9E04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Anastomotic stenosis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02F004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 (7.1%)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348C6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18 (5.8%)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673BB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0.9303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DB4A2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2A2D9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311</w:t>
            </w:r>
          </w:p>
        </w:tc>
      </w:tr>
      <w:tr w14:paraId="5735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6A479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Vocal cord palsy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54FAD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 (2.0%)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527A3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 (1.7%)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D6013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6F07A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68C20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529</w:t>
            </w:r>
          </w:p>
        </w:tc>
      </w:tr>
      <w:tr w14:paraId="2A37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638124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Reoperation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2E5F105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 (0.0%)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F0F844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 (0.0%)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BC78EA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0D7E29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9580D1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321</w:t>
            </w:r>
          </w:p>
        </w:tc>
      </w:tr>
    </w:tbl>
    <w:p w14:paraId="0E37AC10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Continuous variables presented as mean ± standard deviation; categorical variables as n (%). p-values from Mann-Whitney U test (continuous) or chi-square/Fisher exact test (categorical). CNY, Chinese Yuan.</w:t>
      </w:r>
    </w:p>
    <w:p w14:paraId="4A95F519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AL, anastomotic leakage; CNY, Chinese Yuan</w:t>
      </w:r>
    </w:p>
    <w:p w14:paraId="74D446EC">
      <w:pPr>
        <w:spacing w:before="0" w:after="0" w:line="240" w:lineRule="auto"/>
        <w:jc w:val="left"/>
      </w:pPr>
    </w:p>
    <w:p w14:paraId="54E3836A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Table S4. Sequential covariate adjustment for the AL effect on overall survival.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</w:tblGrid>
      <w:tr w14:paraId="1881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4ADDC0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Model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451710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Covariates adjusted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6A97C0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913790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HR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B64211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62B3FA8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p-value</w:t>
            </w:r>
          </w:p>
        </w:tc>
      </w:tr>
      <w:tr w14:paraId="705C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4B65D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Model 1 (Unadjusted)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2ABFB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Unadjusted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7861D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F6121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1C298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1.377-2.815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22411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7301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143F02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Model 2 (+ age, sex)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EED8D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Age, Sex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A4ABE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1EABD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7EC4B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1.327-2.723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D8A3C9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57596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EFA9C3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Model 3 (+ T, N stage)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22CE31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Age, Sex, T stage, N stage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55D42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B1E07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12FAE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1.362-2.810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E916C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0C8F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D538B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Model 4 (+ LVI, PNI)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E4A06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Age, Sex, T, N, LVI, PNI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2F7A0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8054E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0C4F92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1.339-2.766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9A6DC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  <w:tr w14:paraId="2062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BB140D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Model 5 (+ smoking)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222E10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Age, Sex, T, N, LVI, PNI, Smoking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A3F925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B83A4A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1.926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740AA5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1.340-2.770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6E3163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</w:tbl>
    <w:p w14:paraId="6576FEC8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Sequential adjustment was performed to assess the stability of the AL effect after incrementally adding covariate groups. HR, hazard ratio; CI, confidence interval; AL, anastomotic leakage; LVI, lymphovascular invasion; PNI, perineural invasion.</w:t>
      </w:r>
    </w:p>
    <w:p w14:paraId="5DC910A9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AL, anastomotic leakage; CI, confidence interval; HR, hazard ratio; LVI, lymphovascular invasion; N, nodal stage; PNI, perineural invasion; T, tumour stage</w:t>
      </w:r>
    </w:p>
    <w:p w14:paraId="0C4A5491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Table S5. Subgroup analysis of the association between anastomotic leakage and overall survival.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14:paraId="41F2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A3D417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Subgroup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CF0082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HR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0C2369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CI_lower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0EDC166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CI_upper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C6694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1281724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</w:t>
            </w:r>
          </w:p>
        </w:tc>
        <w:tc>
          <w:tcPr>
            <w:tcW w:w="1234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3069F5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n_AL</w:t>
            </w:r>
          </w:p>
        </w:tc>
      </w:tr>
      <w:tr w14:paraId="7F567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A29565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 ≤60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2D4A86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2.081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578021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1.266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EFFA8B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3.422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5279B4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D3742F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331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47DA1A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45</w:t>
            </w:r>
          </w:p>
        </w:tc>
      </w:tr>
      <w:tr w14:paraId="7E76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1B8D2B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Age &gt;60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128506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1.868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9563BD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1.084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81FA23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3.219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559325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0.024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9B61FD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261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0FEA41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46</w:t>
            </w:r>
          </w:p>
        </w:tc>
      </w:tr>
      <w:tr w14:paraId="74E9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C6152B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Male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71D67B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1.944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484D91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1.303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C939CF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2.901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ECFC5A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38A6F9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446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DE2CAD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72</w:t>
            </w:r>
          </w:p>
        </w:tc>
      </w:tr>
      <w:tr w14:paraId="64A9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1A4EFC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Female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B30D91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1.590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66BFB7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0.604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69607E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4.188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3BCFC5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0.348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245651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146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D5204F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19</w:t>
            </w:r>
          </w:p>
        </w:tc>
      </w:tr>
      <w:tr w14:paraId="6464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8CF48E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T1-2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0FEB46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2.026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2717F3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0.909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48A3D5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4.514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33C94C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0.084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F929A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C6DEF0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32</w:t>
            </w:r>
          </w:p>
        </w:tc>
      </w:tr>
      <w:tr w14:paraId="3CCA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9AFCCD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T3-4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83F9EE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1.927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3E01FC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1.277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C5F3D4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2.910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9DEA4E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2177F2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322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3CB895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59</w:t>
            </w:r>
          </w:p>
        </w:tc>
      </w:tr>
      <w:tr w14:paraId="13F5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DCF6EB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N0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5C1D49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1.023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9D07DB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0.475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D36616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2.205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80C3AC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0.954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8F7832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313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2FE659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49</w:t>
            </w:r>
          </w:p>
        </w:tc>
      </w:tr>
      <w:tr w14:paraId="159C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678876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N+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B88C48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2.442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5869DD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1.604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17DCC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3.717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137991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AE7F49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279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7D3299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42</w:t>
            </w:r>
          </w:p>
        </w:tc>
      </w:tr>
      <w:tr w14:paraId="5D045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8B9FEA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LVI-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B9E423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1.624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9FB263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1.016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B1D194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2.594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5FDA80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0.043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420B57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479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B97487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69</w:t>
            </w:r>
          </w:p>
        </w:tc>
      </w:tr>
      <w:tr w14:paraId="45A28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256394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LVI+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1CBA15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2.558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5F3086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1.404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202EB7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4.662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79A27F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B80545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E089D9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</w:t>
            </w:r>
          </w:p>
        </w:tc>
      </w:tr>
      <w:tr w14:paraId="79B8A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71123E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PNI-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273B0D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1.462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E157A3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0.926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A61CA6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2.308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CF23E6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0.103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92350F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498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89650D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69</w:t>
            </w:r>
          </w:p>
        </w:tc>
      </w:tr>
      <w:tr w14:paraId="62A5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47A4FD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PNI+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F06137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4.801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54E1BC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2.270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D59BF7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10.153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867AD5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E0100F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94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2FECA6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22</w:t>
            </w:r>
          </w:p>
        </w:tc>
      </w:tr>
      <w:tr w14:paraId="2B67A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F293FC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Non-smoker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690FFC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1.164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DBE061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0.604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FCB8D0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2.242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CF3737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0.650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8F3E1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263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6DBDF3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35</w:t>
            </w:r>
          </w:p>
        </w:tc>
      </w:tr>
      <w:tr w14:paraId="4A57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D6061F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Smoker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31A38C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2.638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8A3421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1.681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6A0F19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4.139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933705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0B8D4F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329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EF48FA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56</w:t>
            </w:r>
          </w:p>
        </w:tc>
      </w:tr>
      <w:tr w14:paraId="36220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1B30FF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CEA ≤5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3B56EF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1.820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6EE9DB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1.237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08B7BB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2.677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780839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AD3A91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949F7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80</w:t>
            </w:r>
          </w:p>
        </w:tc>
      </w:tr>
      <w:tr w14:paraId="14AD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CAFB1E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CEA &gt;5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22761A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4.879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853685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1.341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2FF800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17.756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B440DA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0.016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E3702C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72DEE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11</w:t>
            </w:r>
          </w:p>
        </w:tc>
      </w:tr>
      <w:tr w14:paraId="03AB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879130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BMI &lt;24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F485F2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2.150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1A17716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1.418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87C185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3.260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10384F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E16F98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428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E143BF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63</w:t>
            </w:r>
          </w:p>
        </w:tc>
      </w:tr>
      <w:tr w14:paraId="74B08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8928AD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BMI ≥24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2BC267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1.178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2C8682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0.522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E6B05A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2.656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115DCB0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0.694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098620F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150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272EC91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27</w:t>
            </w:r>
          </w:p>
        </w:tc>
      </w:tr>
    </w:tbl>
    <w:p w14:paraId="0DDF0EBC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HR, hazard ratio; CI, confidence interval; Bonferroni-corrected significance threshold α = 0.0028 (18 comparisons). p-values between 0.0028 and 0.05 are nominally significant but do not survive correction.</w:t>
      </w:r>
    </w:p>
    <w:p w14:paraId="3FCAA1FA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AL, anastomotic leakage; BMI, body mass index; CEA, carcinoembryonic antigen; CI, confidence interval; HR, hazard ratio; LVI, lymphovascular invasion; N, nodal stage; PNI, perineural invasion; T, tumour stage</w:t>
      </w:r>
    </w:p>
    <w:p w14:paraId="4F0A6A7D">
      <w:pPr>
        <w:spacing w:before="0" w:after="0" w:line="240" w:lineRule="auto"/>
        <w:jc w:val="left"/>
      </w:pPr>
    </w:p>
    <w:p w14:paraId="6AD09F0F">
      <w:pPr>
        <w:spacing w:before="120" w:after="60" w:line="240" w:lineRule="auto"/>
        <w:jc w:val="left"/>
        <w:rPr>
          <w:b w:val="0"/>
          <w:bCs/>
        </w:rPr>
      </w:pPr>
      <w:r>
        <w:rPr>
          <w:rFonts w:ascii="Arial" w:hAnsi="Arial" w:eastAsia="Arial" w:cs="Arial"/>
          <w:sz w:val="20"/>
          <w:szCs w:val="20"/>
        </w:rPr>
        <w:t>Supplementary Table S6. Risk stratification by nomogram-predicted 5-year overall survival in the 617 patients with complete model variables (8-variable nomogram: AL, age, sex, smoking history, T stage, N stage, LVI, PNI; C-index 0.715). Hazard ratios are referenced to the low-risk group.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</w:tblGrid>
      <w:tr w14:paraId="71C9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696375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Risk group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1C8AB07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n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3D0FEF5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5-year OS (%)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21E40A0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Median OS (months)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5187CB3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HR (95% CI)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</w:tcPr>
          <w:p w14:paraId="42D663E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p-value</w:t>
            </w:r>
          </w:p>
        </w:tc>
      </w:tr>
      <w:tr w14:paraId="4A53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C629B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Low risk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22F35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466606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86.4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5DDF6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Not reached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B3689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1 (reference)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E1390B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-</w:t>
            </w:r>
          </w:p>
        </w:tc>
      </w:tr>
      <w:tr w14:paraId="31C5E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9653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Intermediate risk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3A0A2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DB73DA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72.3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7D5DE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Not reached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5F80BA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2.23 (1.35-3.68)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68FEA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0.002</w:t>
            </w:r>
          </w:p>
        </w:tc>
      </w:tr>
      <w:tr w14:paraId="4DE0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F9E2D8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High risk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9237CA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207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C51366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47.5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2A0538E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49.8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5C88BBA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5.27 (3.31-8.39)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4E530E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&lt;0.001</w:t>
            </w:r>
          </w:p>
        </w:tc>
      </w:tr>
    </w:tbl>
    <w:p w14:paraId="34DC4330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Note: Patients were divided into low-, intermediate-, and high-risk groups based on tertiles of the nomogram-predicted 5-year survival probability. OS, overall survival; CI, confidence interval.</w:t>
      </w:r>
    </w:p>
    <w:p w14:paraId="28CBBAFB">
      <w:pPr>
        <w:spacing w:before="0" w:after="0" w:line="240" w:lineRule="auto"/>
        <w:jc w:val="left"/>
      </w:pPr>
      <w:r>
        <w:rPr>
          <w:rFonts w:ascii="Arial" w:hAnsi="Arial" w:eastAsia="Arial" w:cs="Arial"/>
          <w:sz w:val="18"/>
          <w:szCs w:val="18"/>
        </w:rPr>
        <w:t>Abbreviations: CI, confidence interval; HR, hazard ratio; OS, overall survival</w:t>
      </w:r>
    </w:p>
    <w:p w14:paraId="67C0CC33">
      <w:pPr>
        <w:spacing w:before="0" w:after="0" w:line="240" w:lineRule="auto"/>
        <w:jc w:val="left"/>
      </w:pPr>
      <w:r>
        <w:br w:type="page"/>
      </w:r>
    </w:p>
    <w:p w14:paraId="09B3E096">
      <w:pPr>
        <w:spacing w:before="0" w:after="0" w:line="240" w:lineRule="auto"/>
        <w:jc w:val="left"/>
      </w:pPr>
      <w:r>
        <w:drawing>
          <wp:inline distT="0" distB="0" distL="114300" distR="114300">
            <wp:extent cx="6119495" cy="5478780"/>
            <wp:effectExtent l="0" t="0" r="0" b="0"/>
            <wp:docPr id="1" name="Picture 1" descr="Forest plot showing hazard ratios for anastomotic leakage across 16 subgroups (age, sex, T stage, N stage, LVI, PNI, smoking, CEA), with HR, 95% CI, and p-values displayed to the right of each row. Interaction p-values are shown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orest plot showing hazard ratios for anastomotic leakage across 16 subgroups (age, sex, T stage, N stage, LVI, PNI, smoking, CEA), with HR, 95% CI, and p-values displayed to the right of each row. Interaction p-values are shown at the top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4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A50CB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Figure S1. Forest plot of subgroup analyses evaluating the association between anastomotic leakage (AL) and overall survival.</w:t>
      </w:r>
    </w:p>
    <w:p w14:paraId="5526FB6B">
      <w:pPr>
        <w:spacing w:before="0" w:after="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Note: Hazard ratios (HR) and 95% confidence intervals (CI) are shown for each subgroup. The vertical dashed line represents HR = 1 (no effect). Blue squares indicate nominally significant results (p &lt; 0.05); red squares indicate results that did not survive Bonferroni correction (α = 0.0028). LVI, lymphovascular invasion; PNI, perineural invasion; CEA, carcinoembryonic antigen; BMI, body mass index.</w:t>
      </w:r>
    </w:p>
    <w:p w14:paraId="331233E6">
      <w:pPr>
        <w:spacing w:before="0" w:after="0" w:line="240" w:lineRule="auto"/>
        <w:jc w:val="left"/>
      </w:pPr>
      <w:r>
        <w:br w:type="page"/>
      </w:r>
    </w:p>
    <w:p w14:paraId="19120BC0">
      <w:pPr>
        <w:spacing w:before="0" w:after="0" w:line="240" w:lineRule="auto"/>
        <w:jc w:val="left"/>
      </w:pPr>
      <w:r>
        <w:drawing>
          <wp:inline distT="0" distB="0" distL="114300" distR="114300">
            <wp:extent cx="6119495" cy="2720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B36D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Figure S2. Calibration curve of the nomogram for predicting 3-year and 5-year overall survival.</w:t>
      </w:r>
    </w:p>
    <w:p w14:paraId="0B4A0E16">
      <w:pPr>
        <w:spacing w:before="0" w:after="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Note: The x-axis represents the nomogram-predicted survival probability, and the y-axis represents the observed survival probability estimated by Kaplan-Meier method. The dashed line represents ideal calibration (predicted = observed). The solid line represents the bootstrap-corrected calibration curve (1000 resamples). Closer alignment to the dashed line indicates better calibration.</w:t>
      </w:r>
    </w:p>
    <w:p w14:paraId="770D0A27">
      <w:pPr>
        <w:spacing w:before="0" w:after="0" w:line="240" w:lineRule="auto"/>
        <w:jc w:val="left"/>
      </w:pPr>
      <w:r>
        <w:br w:type="page"/>
      </w:r>
    </w:p>
    <w:p w14:paraId="6B8CDAA9">
      <w:pPr>
        <w:spacing w:before="0" w:after="0" w:line="240" w:lineRule="auto"/>
        <w:jc w:val="left"/>
      </w:pPr>
      <w:r>
        <w:drawing>
          <wp:inline distT="0" distB="0" distL="114300" distR="114300">
            <wp:extent cx="6119495" cy="457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3D73">
      <w:pPr>
        <w:spacing w:before="120" w:after="6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Supplementary Figure S3. Decision curve analysis (DCA) of the nomogram for predicting overall survival.</w:t>
      </w:r>
    </w:p>
    <w:p w14:paraId="10F95517">
      <w:pPr>
        <w:spacing w:before="0" w:after="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Note: The x-axis represents the threshold probability, and the y-axis represents the net benefit. The nomogram model (incorporating AL, age, T stage, N stage, LVI, and PNI) is compared with the TNM-only model and the treat-all/treat-none strategies. The nomogram shows greater net benefit than TNM staging alone across threshold probabilities of 0.1–0.5, suggesting potential utility as a complementary tool to TNM staging, pending external validation.</w:t>
      </w:r>
    </w:p>
    <w:p w14:paraId="375316E7">
      <w:pPr>
        <w:spacing w:before="0" w:after="0" w:line="240" w:lineRule="auto"/>
        <w:jc w:val="left"/>
      </w:pPr>
      <w:r>
        <w:br w:type="page"/>
      </w:r>
    </w:p>
    <w:p w14:paraId="60615A39">
      <w:pPr>
        <w:spacing w:before="0" w:after="0" w:line="240" w:lineRule="auto"/>
        <w:jc w:val="left"/>
      </w:pPr>
    </w:p>
    <w:p w14:paraId="359EDBC6">
      <w:pPr>
        <w:spacing w:before="0" w:after="0" w:line="240" w:lineRule="auto"/>
        <w:jc w:val="left"/>
      </w:pPr>
      <w:bookmarkStart w:id="0" w:name="_GoBack"/>
      <w:r>
        <w:drawing>
          <wp:inline distT="0" distB="0" distL="114300" distR="114300">
            <wp:extent cx="6119495" cy="7577455"/>
            <wp:effectExtent l="0" t="0" r="190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5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647B691">
      <w:pPr>
        <w:spacing w:before="120" w:after="60" w:line="240" w:lineRule="auto"/>
        <w:jc w:val="left"/>
        <w:rPr>
          <w:b w:val="0"/>
          <w:bCs/>
        </w:rPr>
      </w:pPr>
      <w:r>
        <w:rPr>
          <w:rFonts w:ascii="Arial" w:hAnsi="Arial" w:eastAsia="Arial" w:cs="Arial"/>
          <w:sz w:val="20"/>
          <w:szCs w:val="20"/>
        </w:rPr>
        <w:t>Supplementary Figure S4. Participant flow diagram.</w:t>
      </w:r>
    </w:p>
    <w:p w14:paraId="680F85F0">
      <w:pPr>
        <w:spacing w:before="0" w:after="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Note: Numbers shown are those available at each analytical step. The 26 patients excluded from multivariable analysis represent the union of three overlapping groups (missing T category, missing N category, and Tis or pT0 disease), so the individual counts do not sum to 26. AL, anastomotic leakage; CR, pathological complete response.</w:t>
      </w:r>
    </w:p>
    <w:p w14:paraId="267E2A4E">
      <w:pPr>
        <w:spacing w:before="0" w:after="0" w:line="240" w:lineRule="auto"/>
        <w:jc w:val="left"/>
      </w:pPr>
    </w:p>
    <w:p w14:paraId="1553EF1E">
      <w:pPr>
        <w:spacing w:before="0" w:after="0" w:line="240" w:lineRule="auto"/>
        <w:jc w:val="left"/>
      </w:pPr>
    </w:p>
    <w:p w14:paraId="4E640F73">
      <w:pPr>
        <w:spacing w:before="0" w:after="0" w:line="240" w:lineRule="auto"/>
        <w:jc w:val="left"/>
      </w:pPr>
      <w:r>
        <w:drawing>
          <wp:inline distT="0" distB="0" distL="114300" distR="114300">
            <wp:extent cx="6119495" cy="43986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55AEB">
      <w:pPr>
        <w:spacing w:before="120" w:after="60" w:line="240" w:lineRule="auto"/>
        <w:jc w:val="left"/>
        <w:rPr>
          <w:b w:val="0"/>
          <w:bCs/>
        </w:rPr>
      </w:pPr>
      <w:r>
        <w:rPr>
          <w:rFonts w:ascii="Arial" w:hAnsi="Arial" w:eastAsia="Arial" w:cs="Arial"/>
          <w:sz w:val="20"/>
          <w:szCs w:val="20"/>
        </w:rPr>
        <w:t>Supplementary Figure S5. Overall survival by leakage severity grade.</w:t>
      </w:r>
    </w:p>
    <w:p w14:paraId="58BEA897">
      <w:pPr>
        <w:spacing w:before="0" w:after="0" w:line="240" w:lineRule="auto"/>
        <w:jc w:val="left"/>
      </w:pPr>
      <w:r>
        <w:rPr>
          <w:rFonts w:ascii="Arial" w:hAnsi="Arial" w:eastAsia="Arial" w:cs="Arial"/>
          <w:sz w:val="20"/>
          <w:szCs w:val="20"/>
        </w:rPr>
        <w:t>Note: Severity was graded retrospectively from recorded reinterventions following the structure of the Esophageal Complications Consensus Group classification: type I, conservative management or no intervention; type II, interventional drainage without thoracotomy; type III, surgical reintervention. Twenty-nine leaks had no recorded reintervention and were classified as type I. Curves are shown for the 592 patients with complete covariate data; log-rank p &lt; 0.001.</w:t>
      </w:r>
    </w:p>
    <w:p w14:paraId="619F99F7">
      <w:pPr>
        <w:spacing w:before="0" w:after="0" w:line="240" w:lineRule="auto"/>
        <w:jc w:val="left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042026"/>
    <w:rsid w:val="3AD4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782</Words>
  <Characters>4529</Characters>
  <Lines>0</Lines>
  <Paragraphs>0</Paragraphs>
  <TotalTime>3</TotalTime>
  <ScaleCrop>false</ScaleCrop>
  <LinksUpToDate>false</LinksUpToDate>
  <CharactersWithSpaces>5013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彭凯明</cp:lastModifiedBy>
  <dcterms:modified xsi:type="dcterms:W3CDTF">2026-09-07T05:06:49Z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eyJoZGlkIjoiMDY5NmFjMmM4ZTljMGJiZDAxN2JmYTc0NGI0NmFiNDgiLCJ1c2VySWQiOiIxNjUxMzcxOTYyIn0=</vt:lpwstr>
  </property>
  <property fmtid="{D5CDD505-2E9C-101B-9397-08002B2CF9AE}" pid="3" name="KSOProductBuildVer">
    <vt:lpwstr>2052-12.1.0.28599</vt:lpwstr>
  </property>
  <property fmtid="{D5CDD505-2E9C-101B-9397-08002B2CF9AE}" pid="4" name="ICV">
    <vt:lpwstr>3CDF89A598364126B3F707C77FE76A41_12</vt:lpwstr>
  </property>
</Properties>
</file>