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A8C0E" w14:textId="77777777" w:rsidR="00C37CA5" w:rsidRPr="0056793C" w:rsidRDefault="00C37CA5" w:rsidP="00C37CA5">
      <w:pPr>
        <w:rPr>
          <w:b/>
          <w:bCs/>
        </w:rPr>
      </w:pPr>
      <w:r w:rsidRPr="0056793C">
        <w:rPr>
          <w:rFonts w:hint="eastAsia"/>
          <w:b/>
          <w:bCs/>
        </w:rPr>
        <w:t>Appendix</w:t>
      </w:r>
    </w:p>
    <w:p w14:paraId="1CCBA8CA" w14:textId="77777777" w:rsidR="00C37CA5" w:rsidRPr="0056793C" w:rsidRDefault="00C37CA5" w:rsidP="00C37CA5">
      <w:pPr>
        <w:rPr>
          <w:b/>
          <w:bCs/>
        </w:rPr>
      </w:pPr>
      <w:r w:rsidRPr="0056793C">
        <w:rPr>
          <w:rFonts w:hint="eastAsia"/>
          <w:b/>
          <w:bCs/>
        </w:rPr>
        <w:t>Te</w:t>
      </w:r>
      <w:r>
        <w:rPr>
          <w:rFonts w:hint="eastAsia"/>
          <w:b/>
          <w:bCs/>
        </w:rPr>
        <w:t xml:space="preserve">xt </w:t>
      </w:r>
      <w:r w:rsidRPr="0056793C">
        <w:rPr>
          <w:rFonts w:hint="eastAsia"/>
          <w:b/>
          <w:bCs/>
        </w:rPr>
        <w:t xml:space="preserve">S1. </w:t>
      </w:r>
      <w:r>
        <w:rPr>
          <w:b/>
          <w:bCs/>
        </w:rPr>
        <w:t xml:space="preserve">Designing </w:t>
      </w:r>
      <w:r w:rsidRPr="0056793C">
        <w:rPr>
          <w:b/>
          <w:bCs/>
        </w:rPr>
        <w:t>Primer</w:t>
      </w:r>
      <w:r>
        <w:rPr>
          <w:b/>
          <w:bCs/>
        </w:rPr>
        <w:t>s</w:t>
      </w:r>
      <w:r w:rsidRPr="0056793C">
        <w:rPr>
          <w:b/>
          <w:bCs/>
        </w:rPr>
        <w:t xml:space="preserve"> and </w:t>
      </w:r>
      <w:r>
        <w:rPr>
          <w:b/>
          <w:bCs/>
        </w:rPr>
        <w:t xml:space="preserve">a </w:t>
      </w:r>
      <w:r w:rsidRPr="0056793C">
        <w:rPr>
          <w:b/>
          <w:bCs/>
        </w:rPr>
        <w:t xml:space="preserve">Probe </w:t>
      </w:r>
      <w:r>
        <w:rPr>
          <w:b/>
          <w:bCs/>
        </w:rPr>
        <w:t xml:space="preserve">for </w:t>
      </w:r>
      <w:r w:rsidRPr="001D1A62">
        <w:rPr>
          <w:b/>
          <w:bCs/>
          <w:i/>
          <w:iCs/>
        </w:rPr>
        <w:t>Pelophylax porosus brevipodus</w:t>
      </w:r>
      <w:r w:rsidRPr="001D1A62">
        <w:rPr>
          <w:b/>
          <w:bCs/>
        </w:rPr>
        <w:t xml:space="preserve"> </w:t>
      </w:r>
    </w:p>
    <w:p w14:paraId="4C170D99" w14:textId="77777777" w:rsidR="00C37CA5" w:rsidRDefault="00C37CA5" w:rsidP="00C37CA5">
      <w:pPr>
        <w:widowControl/>
        <w:jc w:val="both"/>
      </w:pPr>
      <w:r>
        <w:t xml:space="preserve">Species-specific primer pairs targeting </w:t>
      </w:r>
      <w:r w:rsidRPr="00BF1469">
        <w:rPr>
          <w:i/>
          <w:iCs/>
        </w:rPr>
        <w:t>Pelophylax porosus brevipodus</w:t>
      </w:r>
      <w:r>
        <w:t xml:space="preserve"> were designed. Sequence data for the target and non-target species (</w:t>
      </w:r>
      <w:r w:rsidRPr="00BF1469">
        <w:rPr>
          <w:i/>
          <w:iCs/>
        </w:rPr>
        <w:t>Pelophylax porosus porosus, Pelophylax nigromaculatus, Glandirana rugosa, Zhangixalus schlegelii, Lithobates catesbeianus, Dryophytes japonicus, and Fejervarya kawamurai</w:t>
      </w:r>
      <w:r>
        <w:t>) were obtained from NCBI. The specificity of the designed primers was first evaluated in silico using the Primer-BLAST tool provided by NCBI, and subsequently confirmed through in vitro analysis using tissue-derived DNA.</w:t>
      </w:r>
    </w:p>
    <w:p w14:paraId="2B71739C" w14:textId="77777777" w:rsidR="00C37CA5" w:rsidRDefault="00C37CA5" w:rsidP="00C37CA5">
      <w:pPr>
        <w:widowControl/>
        <w:ind w:firstLineChars="150" w:firstLine="315"/>
        <w:jc w:val="both"/>
      </w:pPr>
      <w:r>
        <w:t xml:space="preserve">Genomic DNA was extracted from tissue samples of </w:t>
      </w:r>
      <w:r w:rsidRPr="00BF1469">
        <w:rPr>
          <w:i/>
          <w:iCs/>
        </w:rPr>
        <w:t>P. p. brevipodus</w:t>
      </w:r>
      <w:r>
        <w:t xml:space="preserve"> and other paddy frog species that may inhabit the study area (</w:t>
      </w:r>
      <w:r w:rsidRPr="00BF1469">
        <w:rPr>
          <w:i/>
          <w:iCs/>
        </w:rPr>
        <w:t>P. nigromaculatus, Dryophytes leopardus, G. rugosa, and F. kawamurai</w:t>
      </w:r>
      <w:r>
        <w:t>) using the DNeasy Blood &amp; Tissue Kit (Qiagen), following the manufacturer’s instructions. DNA concentrations were measured using a Qubit 3.0 Fluorometer (Thermo Fisher Scientific, Waltham, MA, USA), and all samples were diluted with TE buffer to a final concentration of 50 pg/μL.</w:t>
      </w:r>
    </w:p>
    <w:p w14:paraId="3A6CF706" w14:textId="77777777" w:rsidR="00C37CA5" w:rsidRDefault="00C37CA5" w:rsidP="00C37CA5">
      <w:pPr>
        <w:widowControl/>
        <w:ind w:firstLineChars="150" w:firstLine="315"/>
        <w:jc w:val="both"/>
      </w:pPr>
      <w:r>
        <w:t>PCR assays were performed using tissue-derived DNA as templates. Each reaction consisted of 2 μL of template DNA, 1× TaqMan Environmental Master Mix, 0.1 μL of AmpErase Uracil N-glycosylase, 900 nM of each primer, and ultrapure water to a final volume of 20 μL. Thermal cycling conditions followed those described in the main text.</w:t>
      </w:r>
    </w:p>
    <w:p w14:paraId="014D625F" w14:textId="77777777" w:rsidR="00C37CA5" w:rsidRDefault="00C37CA5" w:rsidP="00C37CA5">
      <w:pPr>
        <w:widowControl/>
        <w:jc w:val="both"/>
      </w:pPr>
      <w:r>
        <w:t>To verify species-specific detection under field conditions, amplicons obtained from field-collected eDNA samples were subjected to Sanger sequencing. PCR amplification was conducted using the same reaction mixture and thermal cycling conditions as described above. Amplicons were confirmed by agarose gel electrophoresis, purified using the Wizard SV Gel and PCR Clean-Up System, and sequenced using the Sanger method. Consensus sequences were generated from forward and reverse reads, and the amplified DNA fragments were identified using BLAST.</w:t>
      </w:r>
      <w:r w:rsidRPr="00CB659E">
        <w:t xml:space="preserve"> </w:t>
      </w:r>
      <w:r>
        <w:t>The results of Sanger sequencing confirmed that the target species could be specifically amplified in field samples.</w:t>
      </w:r>
    </w:p>
    <w:p w14:paraId="10C38B0A" w14:textId="77777777" w:rsidR="00C37CA5" w:rsidRDefault="00C37CA5" w:rsidP="00C37CA5">
      <w:pPr>
        <w:widowControl/>
        <w:ind w:firstLineChars="150" w:firstLine="315"/>
        <w:jc w:val="both"/>
      </w:pPr>
      <w:r>
        <w:t xml:space="preserve">After probe design, specificity was further evaluated using real-time PCR with the same tissue-derived DNA samples described above. real-time PCR assays were conducted using the same instrument, reaction mixture, and thermal cycling conditions as described in the main text. </w:t>
      </w:r>
    </w:p>
    <w:p w14:paraId="38B9BEC6" w14:textId="77777777" w:rsidR="00C37CA5" w:rsidRDefault="00C37CA5" w:rsidP="00C37CA5">
      <w:pPr>
        <w:widowControl/>
        <w:ind w:firstLineChars="150" w:firstLine="315"/>
        <w:jc w:val="both"/>
      </w:pPr>
      <w:r>
        <w:t xml:space="preserve">To determine the limit of detection (LOD) and limit of quantification (LOQ), real-time PCR was performed using a dilution series ranging from 100 pg/reaction to 1 fg/reaction of tissue-derived DNA. The LOD was defined as the lowest concentration at which at least one replicate showed positive amplification, whereas the LOQ was defined as the lowest concentration at which all replicates showed positive amplification (Feist et al. 2018; Robinson et al. 2024). Positive amplification was determined based on the presence of exponential amplification curves. The reaction conditions were identical to those described in the main text. As a result, the LOD was 100 fg/reaction and the LOQ was 1 pg/reaction. For </w:t>
      </w:r>
      <w:r w:rsidRPr="0034499D">
        <w:rPr>
          <w:i/>
          <w:iCs/>
        </w:rPr>
        <w:t>D. leopardus</w:t>
      </w:r>
      <w:r>
        <w:t>, amplification was observed in one out of three replicates; however, no amplification was detected when the DNA was diluted tenfold. Therefore, the possibility of non-specific amplification in environmental DNA samples was considered to be low.</w:t>
      </w:r>
    </w:p>
    <w:p w14:paraId="48D8837D" w14:textId="77777777" w:rsidR="00C37CA5" w:rsidRDefault="00C37CA5" w:rsidP="00C37CA5">
      <w:pPr>
        <w:widowControl/>
        <w:ind w:firstLineChars="150" w:firstLine="315"/>
      </w:pPr>
      <w:r>
        <w:br w:type="page"/>
      </w:r>
    </w:p>
    <w:p w14:paraId="35393491" w14:textId="77777777" w:rsidR="00C37CA5" w:rsidRDefault="00C37CA5" w:rsidP="00C37CA5">
      <w:pPr>
        <w:ind w:firstLineChars="150" w:firstLine="315"/>
      </w:pPr>
      <w:r>
        <w:rPr>
          <w:noProof/>
        </w:rPr>
        <w:lastRenderedPageBreak/>
        <w:drawing>
          <wp:inline distT="0" distB="0" distL="0" distR="0" wp14:anchorId="69AB74FC" wp14:editId="71B3DF5B">
            <wp:extent cx="4784686" cy="2724881"/>
            <wp:effectExtent l="0" t="0" r="0" b="0"/>
            <wp:docPr id="6006518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51800" name="図 1"/>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4784686" cy="2724881"/>
                    </a:xfrm>
                    <a:prstGeom prst="rect">
                      <a:avLst/>
                    </a:prstGeom>
                    <a:noFill/>
                    <a:ln>
                      <a:noFill/>
                    </a:ln>
                  </pic:spPr>
                </pic:pic>
              </a:graphicData>
            </a:graphic>
          </wp:inline>
        </w:drawing>
      </w:r>
    </w:p>
    <w:p w14:paraId="6EA27690" w14:textId="77777777" w:rsidR="00C37CA5" w:rsidRDefault="00C37CA5" w:rsidP="00C37CA5">
      <w:r>
        <w:rPr>
          <w:rFonts w:hint="eastAsia"/>
        </w:rPr>
        <w:t xml:space="preserve">FigureS1. </w:t>
      </w:r>
      <w:r w:rsidRPr="00077221">
        <w:t xml:space="preserve">Changes in AIC values across different buffer scales. </w:t>
      </w:r>
      <w:r w:rsidRPr="00664CA9">
        <w:t>The 75 m buffer scale provided the best model fit (AIC = 458.61, ΔAIC = 0), followed closely by the 50 m scale (AIC = 458.90, ΔAIC = 0.29). Models with 25 m (AIC = 469.47, ΔAIC = 10.86) and 100 m (AIC = 476.30, ΔAIC = 17.69) buffers showed poorer support.</w:t>
      </w:r>
    </w:p>
    <w:p w14:paraId="4206B667" w14:textId="77777777" w:rsidR="00E023F9" w:rsidRDefault="00E023F9"/>
    <w:sectPr w:rsidR="00E02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A5"/>
    <w:rsid w:val="000C4033"/>
    <w:rsid w:val="00173ED8"/>
    <w:rsid w:val="002F50B1"/>
    <w:rsid w:val="004B42CB"/>
    <w:rsid w:val="005F2B46"/>
    <w:rsid w:val="006E1731"/>
    <w:rsid w:val="00866D74"/>
    <w:rsid w:val="00882A73"/>
    <w:rsid w:val="00906905"/>
    <w:rsid w:val="0095305D"/>
    <w:rsid w:val="0097131A"/>
    <w:rsid w:val="00B10170"/>
    <w:rsid w:val="00B260B7"/>
    <w:rsid w:val="00B85331"/>
    <w:rsid w:val="00C37CA5"/>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0F904"/>
  <w15:chartTrackingRefBased/>
  <w15:docId w15:val="{874D9ECE-F32A-4A70-B152-D7892CB1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CA5"/>
    <w:pPr>
      <w:widowControl w:val="0"/>
      <w:spacing w:after="0" w:line="240" w:lineRule="auto"/>
    </w:pPr>
    <w:rPr>
      <w:rFonts w:eastAsiaTheme="minorEastAsia"/>
      <w:sz w:val="21"/>
      <w:lang w:val="en-US" w:eastAsia="ja-JP"/>
    </w:rPr>
  </w:style>
  <w:style w:type="paragraph" w:styleId="Heading1">
    <w:name w:val="heading 1"/>
    <w:basedOn w:val="Normal"/>
    <w:next w:val="Normal"/>
    <w:link w:val="Heading1Char"/>
    <w:uiPriority w:val="9"/>
    <w:qFormat/>
    <w:rsid w:val="00C37CA5"/>
    <w:pPr>
      <w:keepNext/>
      <w:keepLines/>
      <w:widowControl/>
      <w:spacing w:before="360" w:after="80" w:line="278" w:lineRule="auto"/>
      <w:outlineLvl w:val="0"/>
    </w:pPr>
    <w:rPr>
      <w:rFonts w:asciiTheme="majorHAnsi" w:eastAsiaTheme="majorEastAsia" w:hAnsiTheme="majorHAnsi" w:cstheme="majorBidi"/>
      <w:color w:val="0F4761" w:themeColor="accent1" w:themeShade="BF"/>
      <w:sz w:val="40"/>
      <w:szCs w:val="40"/>
      <w:lang w:val="en-IN" w:eastAsia="en-US"/>
    </w:rPr>
  </w:style>
  <w:style w:type="paragraph" w:styleId="Heading2">
    <w:name w:val="heading 2"/>
    <w:basedOn w:val="Normal"/>
    <w:next w:val="Normal"/>
    <w:link w:val="Heading2Char"/>
    <w:uiPriority w:val="9"/>
    <w:semiHidden/>
    <w:unhideWhenUsed/>
    <w:qFormat/>
    <w:rsid w:val="00C37CA5"/>
    <w:pPr>
      <w:keepNext/>
      <w:keepLines/>
      <w:widowControl/>
      <w:spacing w:before="160" w:after="80" w:line="278" w:lineRule="auto"/>
      <w:outlineLvl w:val="1"/>
    </w:pPr>
    <w:rPr>
      <w:rFonts w:asciiTheme="majorHAnsi" w:eastAsiaTheme="majorEastAsia" w:hAnsiTheme="majorHAnsi" w:cstheme="majorBidi"/>
      <w:color w:val="0F4761" w:themeColor="accent1" w:themeShade="BF"/>
      <w:sz w:val="32"/>
      <w:szCs w:val="32"/>
      <w:lang w:val="en-IN" w:eastAsia="en-US"/>
    </w:rPr>
  </w:style>
  <w:style w:type="paragraph" w:styleId="Heading3">
    <w:name w:val="heading 3"/>
    <w:basedOn w:val="Normal"/>
    <w:next w:val="Normal"/>
    <w:link w:val="Heading3Char"/>
    <w:uiPriority w:val="9"/>
    <w:semiHidden/>
    <w:unhideWhenUsed/>
    <w:qFormat/>
    <w:rsid w:val="00C37CA5"/>
    <w:pPr>
      <w:keepNext/>
      <w:keepLines/>
      <w:widowControl/>
      <w:spacing w:before="160" w:after="80" w:line="278" w:lineRule="auto"/>
      <w:outlineLvl w:val="2"/>
    </w:pPr>
    <w:rPr>
      <w:rFonts w:eastAsiaTheme="majorEastAsia" w:cstheme="majorBidi"/>
      <w:color w:val="0F4761" w:themeColor="accent1" w:themeShade="BF"/>
      <w:sz w:val="28"/>
      <w:szCs w:val="28"/>
      <w:lang w:val="en-IN" w:eastAsia="en-US"/>
    </w:rPr>
  </w:style>
  <w:style w:type="paragraph" w:styleId="Heading4">
    <w:name w:val="heading 4"/>
    <w:basedOn w:val="Normal"/>
    <w:next w:val="Normal"/>
    <w:link w:val="Heading4Char"/>
    <w:uiPriority w:val="9"/>
    <w:semiHidden/>
    <w:unhideWhenUsed/>
    <w:qFormat/>
    <w:rsid w:val="00C37CA5"/>
    <w:pPr>
      <w:keepNext/>
      <w:keepLines/>
      <w:widowControl/>
      <w:spacing w:before="80" w:after="40" w:line="278" w:lineRule="auto"/>
      <w:outlineLvl w:val="3"/>
    </w:pPr>
    <w:rPr>
      <w:rFonts w:eastAsiaTheme="majorEastAsia" w:cstheme="majorBidi"/>
      <w:i/>
      <w:iCs/>
      <w:color w:val="0F4761" w:themeColor="accent1" w:themeShade="BF"/>
      <w:sz w:val="24"/>
      <w:lang w:val="en-IN" w:eastAsia="en-US"/>
    </w:rPr>
  </w:style>
  <w:style w:type="paragraph" w:styleId="Heading5">
    <w:name w:val="heading 5"/>
    <w:basedOn w:val="Normal"/>
    <w:next w:val="Normal"/>
    <w:link w:val="Heading5Char"/>
    <w:uiPriority w:val="9"/>
    <w:semiHidden/>
    <w:unhideWhenUsed/>
    <w:qFormat/>
    <w:rsid w:val="00C37CA5"/>
    <w:pPr>
      <w:keepNext/>
      <w:keepLines/>
      <w:widowControl/>
      <w:spacing w:before="80" w:after="40" w:line="278" w:lineRule="auto"/>
      <w:outlineLvl w:val="4"/>
    </w:pPr>
    <w:rPr>
      <w:rFonts w:eastAsiaTheme="majorEastAsia" w:cstheme="majorBidi"/>
      <w:color w:val="0F4761" w:themeColor="accent1" w:themeShade="BF"/>
      <w:sz w:val="24"/>
      <w:lang w:val="en-IN" w:eastAsia="en-US"/>
    </w:rPr>
  </w:style>
  <w:style w:type="paragraph" w:styleId="Heading6">
    <w:name w:val="heading 6"/>
    <w:basedOn w:val="Normal"/>
    <w:next w:val="Normal"/>
    <w:link w:val="Heading6Char"/>
    <w:uiPriority w:val="9"/>
    <w:semiHidden/>
    <w:unhideWhenUsed/>
    <w:qFormat/>
    <w:rsid w:val="00C37CA5"/>
    <w:pPr>
      <w:keepNext/>
      <w:keepLines/>
      <w:widowControl/>
      <w:spacing w:before="40" w:line="278" w:lineRule="auto"/>
      <w:outlineLvl w:val="5"/>
    </w:pPr>
    <w:rPr>
      <w:rFonts w:eastAsiaTheme="majorEastAsia" w:cstheme="majorBidi"/>
      <w:i/>
      <w:iCs/>
      <w:color w:val="595959" w:themeColor="text1" w:themeTint="A6"/>
      <w:sz w:val="24"/>
      <w:lang w:val="en-IN" w:eastAsia="en-US"/>
    </w:rPr>
  </w:style>
  <w:style w:type="paragraph" w:styleId="Heading7">
    <w:name w:val="heading 7"/>
    <w:basedOn w:val="Normal"/>
    <w:next w:val="Normal"/>
    <w:link w:val="Heading7Char"/>
    <w:uiPriority w:val="9"/>
    <w:semiHidden/>
    <w:unhideWhenUsed/>
    <w:qFormat/>
    <w:rsid w:val="00C37CA5"/>
    <w:pPr>
      <w:keepNext/>
      <w:keepLines/>
      <w:widowControl/>
      <w:spacing w:before="40" w:line="278" w:lineRule="auto"/>
      <w:outlineLvl w:val="6"/>
    </w:pPr>
    <w:rPr>
      <w:rFonts w:eastAsiaTheme="majorEastAsia" w:cstheme="majorBidi"/>
      <w:color w:val="595959" w:themeColor="text1" w:themeTint="A6"/>
      <w:sz w:val="24"/>
      <w:lang w:val="en-IN" w:eastAsia="en-US"/>
    </w:rPr>
  </w:style>
  <w:style w:type="paragraph" w:styleId="Heading8">
    <w:name w:val="heading 8"/>
    <w:basedOn w:val="Normal"/>
    <w:next w:val="Normal"/>
    <w:link w:val="Heading8Char"/>
    <w:uiPriority w:val="9"/>
    <w:semiHidden/>
    <w:unhideWhenUsed/>
    <w:qFormat/>
    <w:rsid w:val="00C37CA5"/>
    <w:pPr>
      <w:keepNext/>
      <w:keepLines/>
      <w:widowControl/>
      <w:spacing w:line="278" w:lineRule="auto"/>
      <w:outlineLvl w:val="7"/>
    </w:pPr>
    <w:rPr>
      <w:rFonts w:eastAsiaTheme="majorEastAsia" w:cstheme="majorBidi"/>
      <w:i/>
      <w:iCs/>
      <w:color w:val="272727" w:themeColor="text1" w:themeTint="D8"/>
      <w:sz w:val="24"/>
      <w:lang w:val="en-IN" w:eastAsia="en-US"/>
    </w:rPr>
  </w:style>
  <w:style w:type="paragraph" w:styleId="Heading9">
    <w:name w:val="heading 9"/>
    <w:basedOn w:val="Normal"/>
    <w:next w:val="Normal"/>
    <w:link w:val="Heading9Char"/>
    <w:uiPriority w:val="9"/>
    <w:semiHidden/>
    <w:unhideWhenUsed/>
    <w:qFormat/>
    <w:rsid w:val="00C37CA5"/>
    <w:pPr>
      <w:keepNext/>
      <w:keepLines/>
      <w:widowControl/>
      <w:spacing w:line="278" w:lineRule="auto"/>
      <w:outlineLvl w:val="8"/>
    </w:pPr>
    <w:rPr>
      <w:rFonts w:eastAsiaTheme="majorEastAsia" w:cstheme="majorBidi"/>
      <w:color w:val="272727" w:themeColor="text1" w:themeTint="D8"/>
      <w:sz w:val="24"/>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C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7C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7C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7C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C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C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C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C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CA5"/>
    <w:rPr>
      <w:rFonts w:eastAsiaTheme="majorEastAsia" w:cstheme="majorBidi"/>
      <w:color w:val="272727" w:themeColor="text1" w:themeTint="D8"/>
    </w:rPr>
  </w:style>
  <w:style w:type="paragraph" w:styleId="Title">
    <w:name w:val="Title"/>
    <w:basedOn w:val="Normal"/>
    <w:next w:val="Normal"/>
    <w:link w:val="TitleChar"/>
    <w:uiPriority w:val="10"/>
    <w:qFormat/>
    <w:rsid w:val="00C37CA5"/>
    <w:pPr>
      <w:widowControl/>
      <w:spacing w:after="80"/>
      <w:contextualSpacing/>
    </w:pPr>
    <w:rPr>
      <w:rFonts w:asciiTheme="majorHAnsi" w:eastAsiaTheme="majorEastAsia" w:hAnsiTheme="majorHAnsi" w:cstheme="majorBidi"/>
      <w:spacing w:val="-10"/>
      <w:kern w:val="28"/>
      <w:sz w:val="56"/>
      <w:szCs w:val="56"/>
      <w:lang w:val="en-IN" w:eastAsia="en-US"/>
    </w:rPr>
  </w:style>
  <w:style w:type="character" w:customStyle="1" w:styleId="TitleChar">
    <w:name w:val="Title Char"/>
    <w:basedOn w:val="DefaultParagraphFont"/>
    <w:link w:val="Title"/>
    <w:uiPriority w:val="10"/>
    <w:rsid w:val="00C37C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CA5"/>
    <w:pPr>
      <w:widowControl/>
      <w:numPr>
        <w:ilvl w:val="1"/>
      </w:numPr>
      <w:spacing w:after="160" w:line="278" w:lineRule="auto"/>
    </w:pPr>
    <w:rPr>
      <w:rFonts w:eastAsiaTheme="majorEastAsia" w:cstheme="majorBidi"/>
      <w:color w:val="595959" w:themeColor="text1" w:themeTint="A6"/>
      <w:spacing w:val="15"/>
      <w:sz w:val="28"/>
      <w:szCs w:val="28"/>
      <w:lang w:val="en-IN" w:eastAsia="en-US"/>
    </w:rPr>
  </w:style>
  <w:style w:type="character" w:customStyle="1" w:styleId="SubtitleChar">
    <w:name w:val="Subtitle Char"/>
    <w:basedOn w:val="DefaultParagraphFont"/>
    <w:link w:val="Subtitle"/>
    <w:uiPriority w:val="11"/>
    <w:rsid w:val="00C37C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CA5"/>
    <w:pPr>
      <w:widowControl/>
      <w:spacing w:before="160" w:after="160" w:line="278" w:lineRule="auto"/>
      <w:jc w:val="center"/>
    </w:pPr>
    <w:rPr>
      <w:rFonts w:eastAsiaTheme="minorHAnsi"/>
      <w:i/>
      <w:iCs/>
      <w:color w:val="404040" w:themeColor="text1" w:themeTint="BF"/>
      <w:sz w:val="24"/>
      <w:lang w:val="en-IN" w:eastAsia="en-US"/>
    </w:rPr>
  </w:style>
  <w:style w:type="character" w:customStyle="1" w:styleId="QuoteChar">
    <w:name w:val="Quote Char"/>
    <w:basedOn w:val="DefaultParagraphFont"/>
    <w:link w:val="Quote"/>
    <w:uiPriority w:val="29"/>
    <w:rsid w:val="00C37CA5"/>
    <w:rPr>
      <w:i/>
      <w:iCs/>
      <w:color w:val="404040" w:themeColor="text1" w:themeTint="BF"/>
    </w:rPr>
  </w:style>
  <w:style w:type="paragraph" w:styleId="ListParagraph">
    <w:name w:val="List Paragraph"/>
    <w:basedOn w:val="Normal"/>
    <w:uiPriority w:val="34"/>
    <w:qFormat/>
    <w:rsid w:val="00C37CA5"/>
    <w:pPr>
      <w:widowControl/>
      <w:spacing w:after="160" w:line="278" w:lineRule="auto"/>
      <w:ind w:left="720"/>
      <w:contextualSpacing/>
    </w:pPr>
    <w:rPr>
      <w:rFonts w:eastAsiaTheme="minorHAnsi"/>
      <w:sz w:val="24"/>
      <w:lang w:val="en-IN" w:eastAsia="en-US"/>
    </w:rPr>
  </w:style>
  <w:style w:type="character" w:styleId="IntenseEmphasis">
    <w:name w:val="Intense Emphasis"/>
    <w:basedOn w:val="DefaultParagraphFont"/>
    <w:uiPriority w:val="21"/>
    <w:qFormat/>
    <w:rsid w:val="00C37CA5"/>
    <w:rPr>
      <w:i/>
      <w:iCs/>
      <w:color w:val="0F4761" w:themeColor="accent1" w:themeShade="BF"/>
    </w:rPr>
  </w:style>
  <w:style w:type="paragraph" w:styleId="IntenseQuote">
    <w:name w:val="Intense Quote"/>
    <w:basedOn w:val="Normal"/>
    <w:next w:val="Normal"/>
    <w:link w:val="IntenseQuoteChar"/>
    <w:uiPriority w:val="30"/>
    <w:qFormat/>
    <w:rsid w:val="00C37CA5"/>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sz w:val="24"/>
      <w:lang w:val="en-IN" w:eastAsia="en-US"/>
    </w:rPr>
  </w:style>
  <w:style w:type="character" w:customStyle="1" w:styleId="IntenseQuoteChar">
    <w:name w:val="Intense Quote Char"/>
    <w:basedOn w:val="DefaultParagraphFont"/>
    <w:link w:val="IntenseQuote"/>
    <w:uiPriority w:val="30"/>
    <w:rsid w:val="00C37CA5"/>
    <w:rPr>
      <w:i/>
      <w:iCs/>
      <w:color w:val="0F4761" w:themeColor="accent1" w:themeShade="BF"/>
    </w:rPr>
  </w:style>
  <w:style w:type="character" w:styleId="IntenseReference">
    <w:name w:val="Intense Reference"/>
    <w:basedOn w:val="DefaultParagraphFont"/>
    <w:uiPriority w:val="32"/>
    <w:qFormat/>
    <w:rsid w:val="00C37C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2026-09-11T08:00:00Z</dcterms:created>
  <dcterms:modified xsi:type="dcterms:W3CDTF">2026-09-11T08:00:00Z</dcterms:modified>
</cp:coreProperties>
</file>