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EB1C3" w14:textId="77777777" w:rsidR="00A63372" w:rsidRDefault="00A63372" w:rsidP="00A63372">
      <w:pPr>
        <w:keepNext/>
        <w:spacing w:after="0" w:line="480" w:lineRule="auto"/>
        <w:rPr>
          <w:b/>
        </w:rPr>
      </w:pPr>
      <w:r>
        <w:rPr>
          <w:b/>
        </w:rPr>
        <w:t>Additional Files Legends</w:t>
      </w:r>
    </w:p>
    <w:p w14:paraId="467682E5" w14:textId="77777777" w:rsidR="00A63372" w:rsidRDefault="00A63372" w:rsidP="00A63372">
      <w:pPr>
        <w:spacing w:after="0" w:line="480" w:lineRule="auto"/>
        <w:jc w:val="both"/>
      </w:pPr>
      <w:r>
        <w:rPr>
          <w:b/>
        </w:rPr>
        <w:t>Additional file 1:</w:t>
      </w:r>
      <w:r>
        <w:t xml:space="preserve"> Additional_file_1_Table_S1.xlsx (XLSX). Tables S1A and S1B. Initial PDBe-KB interacting-partner screening and secondary PDBe-KB/PDBePISA interface screening. The tables document the screening evidence used to retain candidate mitonuclear interaction pairs.</w:t>
      </w:r>
    </w:p>
    <w:p w14:paraId="4B886B2D" w14:textId="77777777" w:rsidR="00A63372" w:rsidRDefault="00A63372" w:rsidP="00A63372">
      <w:pPr>
        <w:spacing w:after="0" w:line="480" w:lineRule="auto"/>
        <w:jc w:val="both"/>
      </w:pPr>
      <w:r>
        <w:rPr>
          <w:b/>
        </w:rPr>
        <w:t>Additional file 2:</w:t>
      </w:r>
      <w:r>
        <w:t xml:space="preserve"> Additional_file_2_Figure_S1.tif (TIF). Figure S1. TargetP 2.0 predictions for nine nuclear-encoded mitonuclear-interacting proteins. The figure shows sequence-level mitochondrial transit-peptide predictions used to prepare mature nuclear-encoded protein sequences for structural modeling.</w:t>
      </w:r>
    </w:p>
    <w:p w14:paraId="4B846AF9" w14:textId="77777777" w:rsidR="00A63372" w:rsidRDefault="00A63372" w:rsidP="00A63372">
      <w:pPr>
        <w:spacing w:after="0" w:line="480" w:lineRule="auto"/>
        <w:jc w:val="both"/>
      </w:pPr>
      <w:r>
        <w:rPr>
          <w:b/>
        </w:rPr>
        <w:t>Additional file 3:</w:t>
      </w:r>
      <w:r>
        <w:t xml:space="preserve"> Additional_file_3_Table_S2.xlsx (XLSX). Table S2. Nuclear-encoded protein sequences, mitochondrial targeting-peptide processing, and HADDOCK residue-numbering strategy. The table records the sequence-preparation and numbering information used for modeling and docking.</w:t>
      </w:r>
    </w:p>
    <w:p w14:paraId="3208B331" w14:textId="77777777" w:rsidR="00A63372" w:rsidRDefault="00A63372" w:rsidP="00A63372">
      <w:pPr>
        <w:spacing w:after="0" w:line="480" w:lineRule="auto"/>
        <w:jc w:val="both"/>
      </w:pPr>
      <w:r>
        <w:rPr>
          <w:b/>
        </w:rPr>
        <w:t>Additional file 4:</w:t>
      </w:r>
      <w:r>
        <w:t xml:space="preserve"> Additional_file_4_Table_S3.xlsx (XLSX). Table S3. AlphaFold 3 model-quality metrics for nuclear-encoded interacting proteins. The table reports the quality metrics used to select nuclear-encoded protein models.</w:t>
      </w:r>
    </w:p>
    <w:p w14:paraId="12CF2563" w14:textId="77777777" w:rsidR="00A63372" w:rsidRDefault="00A63372" w:rsidP="00A63372">
      <w:pPr>
        <w:spacing w:after="0" w:line="480" w:lineRule="auto"/>
        <w:jc w:val="both"/>
      </w:pPr>
      <w:r>
        <w:rPr>
          <w:b/>
        </w:rPr>
        <w:t>Additional file 5:</w:t>
      </w:r>
      <w:r>
        <w:t xml:space="preserve"> Additional_file_5_Supplementary_Data_1.xlsx (XLSX). Supplementary Data 1. AlphaFold 3 prediction-quality metrics for all mitochondrial protein model samples. The workbook contains 60 model samples and a summary of the 12 best models selected across six proteins and two haplogroups.</w:t>
      </w:r>
    </w:p>
    <w:p w14:paraId="2FD9FE7D" w14:textId="77777777" w:rsidR="00A63372" w:rsidRDefault="00A63372" w:rsidP="00A63372">
      <w:pPr>
        <w:spacing w:after="0" w:line="480" w:lineRule="auto"/>
        <w:jc w:val="both"/>
      </w:pPr>
      <w:r>
        <w:rPr>
          <w:b/>
        </w:rPr>
        <w:t>Additional file 6:</w:t>
      </w:r>
      <w:r>
        <w:t xml:space="preserve"> Additional_file_6_Table_S4.xlsx (XLSX). Table S4. HADDOCK restraint residues and residue-number mappings. The table lists docking restraints and the correspondence between sequence and model residue numbering.</w:t>
      </w:r>
    </w:p>
    <w:p w14:paraId="5904CBBD" w14:textId="77777777" w:rsidR="00A63372" w:rsidRDefault="00A63372" w:rsidP="00A63372">
      <w:pPr>
        <w:spacing w:after="0" w:line="480" w:lineRule="auto"/>
        <w:jc w:val="both"/>
      </w:pPr>
      <w:r>
        <w:rPr>
          <w:b/>
        </w:rPr>
        <w:t>Additional file 7:</w:t>
      </w:r>
      <w:r>
        <w:t xml:space="preserve"> Additional_file_7_Contact_Map_PLIP.xlsx (XLSX). Supplementary Data 2. Contact-map and PLIP data. The workbook contains network summaries, interaction counts, parsed PLIP </w:t>
      </w:r>
      <w:r>
        <w:lastRenderedPageBreak/>
        <w:t>interactions, T3-versus-I1 contact-edge differences, and all top-cluster inter-chain contact edges for the 11 candidate interfaces.</w:t>
      </w:r>
    </w:p>
    <w:p w14:paraId="2808F2B2" w14:textId="77777777" w:rsidR="00A63372" w:rsidRDefault="00A63372" w:rsidP="00A63372">
      <w:pPr>
        <w:spacing w:after="0" w:line="480" w:lineRule="auto"/>
        <w:jc w:val="both"/>
      </w:pPr>
      <w:r>
        <w:rPr>
          <w:b/>
        </w:rPr>
        <w:t>Additional file 8:</w:t>
      </w:r>
      <w:r>
        <w:t xml:space="preserve"> Additional_file_8_Structural_and_Docking_Models.zip (ZIP). Structural and docking models. The archive contains selected AlphaFold 3 structural models and the structural/docking model files supporting the interface analyses.</w:t>
      </w:r>
    </w:p>
    <w:p w14:paraId="7A5352C1" w14:textId="77777777" w:rsidR="00A63372" w:rsidRDefault="00A63372" w:rsidP="00A63372">
      <w:pPr>
        <w:spacing w:after="0" w:line="480" w:lineRule="auto"/>
        <w:jc w:val="both"/>
      </w:pPr>
      <w:r>
        <w:rPr>
          <w:b/>
        </w:rPr>
        <w:t>Additional file 9:</w:t>
      </w:r>
      <w:r>
        <w:t xml:space="preserve"> Additional_file_9_Figure_S2.tif (TIF). Figure S2. Representative docking conformations and local contacts for eight remaining candidate mitonuclear interfaces. The figure compares T3 and I1 conformations and substitution-adjacent contacts for the candidate interfaces not highlighted in Figure 5.</w:t>
      </w:r>
    </w:p>
    <w:p w14:paraId="699AA9E0" w14:textId="77777777" w:rsidR="00A63372" w:rsidRDefault="00A63372" w:rsidP="00A63372">
      <w:pPr>
        <w:spacing w:after="0" w:line="480" w:lineRule="auto"/>
        <w:jc w:val="both"/>
      </w:pPr>
      <w:r>
        <w:rPr>
          <w:b/>
        </w:rPr>
        <w:t>Additional file 10:</w:t>
      </w:r>
      <w:r>
        <w:t xml:space="preserve"> Additional_file_10_Table_S5.xlsx (XLSX). Table S5. Contact maps and PLIP results for all candidate mitonuclear interfaces in the T3 and I1 haplogroups. The table summarizes interface-level contact and noncovalent-interaction results.</w:t>
      </w:r>
    </w:p>
    <w:p w14:paraId="6D73E8A3" w14:textId="77777777" w:rsidR="00A63372" w:rsidRDefault="00A63372" w:rsidP="00A63372">
      <w:pPr>
        <w:spacing w:after="0" w:line="480" w:lineRule="auto"/>
        <w:jc w:val="both"/>
      </w:pPr>
      <w:r>
        <w:rPr>
          <w:b/>
        </w:rPr>
        <w:t>Additional file 11:</w:t>
      </w:r>
      <w:r>
        <w:t xml:space="preserve"> Additional_file_11_Source_Data_1.xlsx (XLSX). Source Data 1. Figure 4 HADDOCK scores, energy components, model-level electrostatic energies, and Welch-test/Benjamini–Hochberg results. The workbook provides the model-level values and statistical calculations underlying Figure 4.</w:t>
      </w:r>
    </w:p>
    <w:p w14:paraId="65B42C9C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372"/>
    <w:rsid w:val="00195413"/>
    <w:rsid w:val="0024628D"/>
    <w:rsid w:val="003A03A7"/>
    <w:rsid w:val="003D0186"/>
    <w:rsid w:val="007278E4"/>
    <w:rsid w:val="00A3738C"/>
    <w:rsid w:val="00A63372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5B0AB"/>
  <w15:chartTrackingRefBased/>
  <w15:docId w15:val="{6FCA25A9-09F5-4662-ADCB-7AA58F40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372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33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33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37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37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37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37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37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37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37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3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3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3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63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37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63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37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63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372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633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3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3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2631</Characters>
  <Application>Microsoft Office Word</Application>
  <DocSecurity>0</DocSecurity>
  <Lines>21</Lines>
  <Paragraphs>6</Paragraphs>
  <ScaleCrop>false</ScaleCrop>
  <Company>Springer Nature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2026-10-05T06:59:00Z</dcterms:created>
  <dcterms:modified xsi:type="dcterms:W3CDTF">2026-10-05T07:00:00Z</dcterms:modified>
</cp:coreProperties>
</file>