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E6C61" w14:textId="77777777" w:rsidR="00243AA1" w:rsidRDefault="00243AA1" w:rsidP="00243A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Supplementary Figure </w:t>
      </w:r>
    </w:p>
    <w:p w14:paraId="0130A7D9" w14:textId="77777777" w:rsidR="00243AA1" w:rsidRDefault="00243AA1" w:rsidP="00243AA1">
      <w:pPr>
        <w:widowControl/>
        <w:spacing w:line="360" w:lineRule="atLeast"/>
        <w:jc w:val="left"/>
        <w:rPr>
          <w:rFonts w:ascii="Times New Roman" w:eastAsia="SimSun" w:hAnsi="Times New Roman" w:cs="Times New Roman"/>
          <w:color w:val="000000"/>
          <w:kern w:val="0"/>
          <w:sz w:val="28"/>
          <w:szCs w:val="28"/>
        </w:rPr>
      </w:pPr>
    </w:p>
    <w:p w14:paraId="42A3E4CE" w14:textId="77777777" w:rsidR="00243AA1" w:rsidRDefault="00243AA1" w:rsidP="00243AA1">
      <w:pPr>
        <w:widowControl/>
        <w:spacing w:line="360" w:lineRule="atLeast"/>
        <w:jc w:val="left"/>
        <w:rPr>
          <w:rFonts w:ascii="Times New Roman" w:eastAsia="SimSu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</w:rPr>
        <w:t>Supplementary Figure S1. Fold change of maximum detrusor contraction pressure (MP) after single intravenous injection of graded amantadine hydrochloride in conscious rats. Data are presented as mean ± standard deviation. No statistically significant differences versus baseline were observed across all groups (all P &gt; 0.05).</w:t>
      </w:r>
    </w:p>
    <w:p w14:paraId="248D9CCA" w14:textId="77777777" w:rsidR="00243AA1" w:rsidRDefault="00243AA1" w:rsidP="00243AA1">
      <w:pPr>
        <w:widowControl/>
        <w:spacing w:line="360" w:lineRule="atLeast"/>
        <w:jc w:val="left"/>
        <w:rPr>
          <w:rFonts w:ascii="Times New Roman" w:eastAsia="SimSu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</w:rPr>
        <w:t>Supplementary Figure S2. Fold change of post-void residual volume (RV) after single intravenous injection of graded amantadine hydrochloride in conscious rats. Data are presented as mean ± standard deviation. No statistically significant differences versus baseline were observed across all groups (all P &gt; 0.05).</w:t>
      </w:r>
    </w:p>
    <w:p w14:paraId="67C4AA2D" w14:textId="77777777" w:rsidR="00243AA1" w:rsidRDefault="00243AA1" w:rsidP="00243AA1">
      <w:pPr>
        <w:rPr>
          <w:rFonts w:ascii="Times New Roman" w:hAnsi="Times New Roman" w:cs="Times New Roman"/>
          <w:b/>
          <w:sz w:val="28"/>
          <w:szCs w:val="28"/>
        </w:rPr>
      </w:pPr>
    </w:p>
    <w:p w14:paraId="7EC17468" w14:textId="77777777" w:rsidR="00243AA1" w:rsidRPr="003D060B" w:rsidRDefault="00243AA1" w:rsidP="00243AA1">
      <w:pPr>
        <w:rPr>
          <w:rFonts w:ascii="Times New Roman" w:hAnsi="Times New Roman" w:cs="Times New Roman"/>
          <w:b/>
          <w:sz w:val="28"/>
          <w:szCs w:val="28"/>
        </w:rPr>
      </w:pPr>
      <w:r w:rsidRPr="003D060B">
        <w:rPr>
          <w:rFonts w:ascii="Times New Roman" w:hAnsi="Times New Roman" w:cs="Times New Roman"/>
          <w:b/>
          <w:sz w:val="28"/>
          <w:szCs w:val="28"/>
        </w:rPr>
        <w:t>Effects on maximum detrusor contraction pressure (MP) (S1)</w:t>
      </w:r>
    </w:p>
    <w:p w14:paraId="5E9BC7D8" w14:textId="77777777" w:rsidR="00243AA1" w:rsidRPr="003D060B" w:rsidRDefault="00243AA1" w:rsidP="00243AA1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94E924C" w14:textId="45587CE4" w:rsidR="00243AA1" w:rsidRPr="003D060B" w:rsidRDefault="00243AA1" w:rsidP="00243AA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060B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25D5DD9A" wp14:editId="23681542">
            <wp:extent cx="2405380" cy="2236470"/>
            <wp:effectExtent l="0" t="0" r="0" b="0"/>
            <wp:docPr id="5470953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F2581" w14:textId="77777777" w:rsidR="00243AA1" w:rsidRPr="003D060B" w:rsidRDefault="00243AA1" w:rsidP="00243AA1">
      <w:pPr>
        <w:rPr>
          <w:rFonts w:ascii="Times New Roman" w:hAnsi="Times New Roman" w:cs="Times New Roman"/>
          <w:b/>
          <w:sz w:val="28"/>
          <w:szCs w:val="28"/>
        </w:rPr>
      </w:pPr>
    </w:p>
    <w:p w14:paraId="555EB308" w14:textId="77777777" w:rsidR="00243AA1" w:rsidRPr="003D060B" w:rsidRDefault="00243AA1" w:rsidP="00243AA1">
      <w:pPr>
        <w:rPr>
          <w:rFonts w:ascii="Times New Roman" w:hAnsi="Times New Roman" w:cs="Times New Roman"/>
          <w:b/>
          <w:sz w:val="28"/>
          <w:szCs w:val="28"/>
        </w:rPr>
      </w:pPr>
    </w:p>
    <w:p w14:paraId="2D072CC6" w14:textId="77777777" w:rsidR="00243AA1" w:rsidRDefault="00243AA1" w:rsidP="00243AA1">
      <w:pPr>
        <w:rPr>
          <w:b/>
        </w:rPr>
      </w:pPr>
      <w:r>
        <w:rPr>
          <w:b/>
        </w:rPr>
        <w:t>Effects on post-void residual volume (RV) (</w:t>
      </w:r>
      <w:r>
        <w:rPr>
          <w:rFonts w:hint="eastAsia"/>
          <w:b/>
        </w:rPr>
        <w:t>S</w:t>
      </w:r>
      <w:r>
        <w:rPr>
          <w:b/>
        </w:rPr>
        <w:t>2)</w:t>
      </w:r>
    </w:p>
    <w:p w14:paraId="074D6CDE" w14:textId="77777777" w:rsidR="00243AA1" w:rsidRDefault="00243AA1" w:rsidP="00243AA1">
      <w:pPr>
        <w:rPr>
          <w:b/>
        </w:rPr>
      </w:pPr>
    </w:p>
    <w:p w14:paraId="40563852" w14:textId="568627B9" w:rsidR="00243AA1" w:rsidRDefault="00243AA1" w:rsidP="00243AA1">
      <w:pPr>
        <w:rPr>
          <w:rFonts w:ascii="Calibri Light" w:hAnsi="Calibri Light" w:cs="Calibri Light"/>
          <w:b/>
          <w:color w:val="000000"/>
          <w:sz w:val="20"/>
          <w:szCs w:val="20"/>
        </w:rPr>
      </w:pPr>
      <w:r>
        <w:rPr>
          <w:rFonts w:ascii="Calibri Light" w:hAnsi="Calibri Light" w:cs="Calibri Light"/>
          <w:b/>
          <w:noProof/>
          <w:color w:val="000000"/>
          <w:sz w:val="20"/>
          <w:szCs w:val="20"/>
        </w:rPr>
        <w:lastRenderedPageBreak/>
        <w:drawing>
          <wp:inline distT="0" distB="0" distL="0" distR="0" wp14:anchorId="18A3130C" wp14:editId="72578A78">
            <wp:extent cx="2546350" cy="2370455"/>
            <wp:effectExtent l="0" t="0" r="6350" b="0"/>
            <wp:docPr id="1549784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B7A0E" w14:textId="77777777" w:rsidR="00243AA1" w:rsidRDefault="00243AA1" w:rsidP="00243AA1"/>
    <w:p w14:paraId="214643E1" w14:textId="77777777" w:rsidR="00243AA1" w:rsidRDefault="00243AA1" w:rsidP="00243AA1">
      <w:pPr>
        <w:spacing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79BA13A5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AA1"/>
    <w:rsid w:val="000C4033"/>
    <w:rsid w:val="00173ED8"/>
    <w:rsid w:val="00243AA1"/>
    <w:rsid w:val="002F50B1"/>
    <w:rsid w:val="004B42CB"/>
    <w:rsid w:val="005C6202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88A16"/>
  <w15:chartTrackingRefBased/>
  <w15:docId w15:val="{F269B9EC-67D7-4DC4-A0A1-CFF30F548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AA1"/>
    <w:pPr>
      <w:widowControl w:val="0"/>
      <w:jc w:val="both"/>
    </w:pPr>
    <w:rPr>
      <w:rFonts w:ascii="DengXian" w:eastAsia="DengXian" w:hAnsi="DengXian" w:cs="SimHei"/>
      <w:sz w:val="21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3AA1"/>
    <w:pPr>
      <w:keepNext/>
      <w:keepLines/>
      <w:widowControl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AA1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AA1"/>
    <w:pPr>
      <w:keepNext/>
      <w:keepLines/>
      <w:widowControl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AA1"/>
    <w:pPr>
      <w:keepNext/>
      <w:keepLines/>
      <w:widowControl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AA1"/>
    <w:pPr>
      <w:keepNext/>
      <w:keepLines/>
      <w:widowControl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AA1"/>
    <w:pPr>
      <w:keepNext/>
      <w:keepLines/>
      <w:widowControl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AA1"/>
    <w:pPr>
      <w:keepNext/>
      <w:keepLines/>
      <w:widowControl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AA1"/>
    <w:pPr>
      <w:keepNext/>
      <w:keepLines/>
      <w:widowControl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AA1"/>
    <w:pPr>
      <w:keepNext/>
      <w:keepLines/>
      <w:widowControl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AA1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3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AA1"/>
    <w:pPr>
      <w:widowControl/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3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AA1"/>
    <w:pPr>
      <w:widowControl/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3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AA1"/>
    <w:pPr>
      <w:widowControl/>
      <w:ind w:left="720"/>
      <w:contextualSpacing/>
      <w:jc w:val="left"/>
    </w:pPr>
    <w:rPr>
      <w:rFonts w:asciiTheme="minorHAnsi" w:eastAsiaTheme="minorHAnsi" w:hAnsiTheme="minorHAnsi" w:cstheme="minorBid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3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AA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A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2026-09-28T09:04:00Z</dcterms:created>
  <dcterms:modified xsi:type="dcterms:W3CDTF">2026-09-28T09:04:00Z</dcterms:modified>
</cp:coreProperties>
</file>