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 w:line="280"/>
      </w:pPr>
      <w:r>
        <w:rPr>
          <w:rFonts w:ascii="Cambria" w:cs="Cambria" w:eastAsia="Cambria" w:hAnsi="Cambria"/>
          <w:b/>
          <w:bCs/>
          <w:color w:val="0F151D"/>
          <w:sz w:val="22"/>
          <w:szCs w:val="22"/>
        </w:rPr>
        <w:t xml:space="preserve">Supplementary Table S1. Multivariable Cox model for cancer-specific survival</w:t>
      </w:r>
    </w:p>
    <w:p>
      <w:pPr>
        <w:spacing w:after="80" w:line="280"/>
      </w:pPr>
      <w:r>
        <w:rPr>
          <w:rFonts w:ascii="Calibri" w:cs="Calibri" w:eastAsia="Calibri" w:hAnsi="Calibri"/>
          <w:b/>
          <w:bCs/>
          <w:color w:val="0F151D"/>
          <w:sz w:val="19"/>
          <w:szCs w:val="19"/>
        </w:rPr>
        <w:t xml:space="preserve">Model A — the four factors entered separately</w:t>
      </w:r>
    </w:p>
    <w:tbl>
      <w:tblPr>
        <w:tblW w:type="dxa" w:w="9360"/>
        <w:tblBorders>
          <w:top w:val="single" w:color="C3CCD8" w:sz="4"/>
          <w:left w:val="none"/>
          <w:bottom w:val="single" w:color="C3CCD8" w:sz="4"/>
          <w:right w:val="none"/>
          <w:insideH w:val="single" w:color="E3E9F0" w:sz="2"/>
          <w:insideV w:val="none"/>
        </w:tblBorders>
      </w:tblPr>
      <w:tblGrid>
        <w:gridCol w:w="3744"/>
        <w:gridCol w:w="1404"/>
        <w:gridCol w:w="1498"/>
        <w:gridCol w:w="2714"/>
      </w:tblGrid>
      <w:tr>
        <w:trPr>
          <w:tblHeader/>
        </w:trPr>
        <w:tc>
          <w:tcPr>
            <w:tcW w:type="dxa" w:w="374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Variable</w:t>
            </w:r>
          </w:p>
        </w:tc>
        <w:tc>
          <w:tcPr>
            <w:tcW w:type="dxa" w:w="140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n</w:t>
            </w:r>
          </w:p>
        </w:tc>
        <w:tc>
          <w:tcPr>
            <w:tcW w:type="dxa" w:w="1498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Cancer deaths</w:t>
            </w:r>
          </w:p>
        </w:tc>
        <w:tc>
          <w:tcPr>
            <w:tcW w:type="dxa" w:w="271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Adjusted HR (95% CI)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Age ≥ 80 years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2,858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905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1.70 (1.57–1.83)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PSA ≥ 100 ng/mL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6,930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2,102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1.57 (1.47–1.67)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Liver or brain metastasis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569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264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2.47 (2.18–2.80)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Gleason score ≥ 9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10,023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2,885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1.77 (1.65–1.90)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Race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White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12,217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3,021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Black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2,797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688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0.96 (0.89–1.05)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Asian or Pacific Islander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1,211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222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0.73 (0.63–0.83)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Other or unknown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305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50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0.84 (0.64–1.11)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Marital status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Married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10,217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2,298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Not married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5,640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1,514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1.26 (1.18–1.35)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Unknown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673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169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1.10 (0.94–1.28)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Year of diagnosis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2018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2,236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1,070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2019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2,374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936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0.92 (0.84–1.01)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2020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2,387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795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0.94 (0.85–1.03)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2021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2,923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712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0.92 (0.83–1.02)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2022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3,143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381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0.85 (0.75–0.96)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3,467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87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0.70 (0.56–0.88)</w:t>
            </w:r>
          </w:p>
        </w:tc>
      </w:tr>
    </w:tbl>
    <w:p>
      <w:pPr>
        <w:spacing w:after="140" w:line="280"/>
      </w:pPr>
      <w:r>
        <w:rPr>
          <w:rFonts w:ascii="Calibri" w:cs="Calibri" w:eastAsia="Calibri" w:hAnsi="Calibri"/>
          <w:color w:val="0F151D"/>
          <w:sz w:val="21"/>
          <w:szCs w:val="21"/>
        </w:rPr>
        <w:t xml:space="preserve"/>
      </w:r>
    </w:p>
    <w:p>
      <w:pPr>
        <w:spacing w:after="80" w:line="280"/>
      </w:pPr>
      <w:r>
        <w:rPr>
          <w:rFonts w:ascii="Calibri" w:cs="Calibri" w:eastAsia="Calibri" w:hAnsi="Calibri"/>
          <w:b/>
          <w:bCs/>
          <w:color w:val="0F151D"/>
          <w:sz w:val="19"/>
          <w:szCs w:val="19"/>
        </w:rPr>
        <w:t xml:space="preserve">Model B — number of risk factors</w:t>
      </w:r>
    </w:p>
    <w:tbl>
      <w:tblPr>
        <w:tblW w:type="dxa" w:w="9360"/>
        <w:tblBorders>
          <w:top w:val="single" w:color="C3CCD8" w:sz="4"/>
          <w:left w:val="none"/>
          <w:bottom w:val="single" w:color="C3CCD8" w:sz="4"/>
          <w:right w:val="none"/>
          <w:insideH w:val="single" w:color="E3E9F0" w:sz="2"/>
          <w:insideV w:val="none"/>
        </w:tblBorders>
      </w:tblPr>
      <w:tblGrid>
        <w:gridCol w:w="3744"/>
        <w:gridCol w:w="1404"/>
        <w:gridCol w:w="1498"/>
        <w:gridCol w:w="2714"/>
      </w:tblGrid>
      <w:tr>
        <w:trPr>
          <w:tblHeader/>
        </w:trPr>
        <w:tc>
          <w:tcPr>
            <w:tcW w:type="dxa" w:w="374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Variable</w:t>
            </w:r>
          </w:p>
        </w:tc>
        <w:tc>
          <w:tcPr>
            <w:tcW w:type="dxa" w:w="140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n</w:t>
            </w:r>
          </w:p>
        </w:tc>
        <w:tc>
          <w:tcPr>
            <w:tcW w:type="dxa" w:w="1498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Cancer deaths</w:t>
            </w:r>
          </w:p>
        </w:tc>
        <w:tc>
          <w:tcPr>
            <w:tcW w:type="dxa" w:w="271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Adjusted HR (95% CI)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Number of risk factors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0 factors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3,349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343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1 factor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7,067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1,566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2.34 (2.08–2.63)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 factors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5,067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1,640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3.77 (3.36–4.24)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≥3 factors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1,047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432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5.94 (5.15–6.84)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Race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White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12,217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3,021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Black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2,797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688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0.95 (0.87–1.03)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Asian or Pacific Islander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1,211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222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0.72 (0.63–0.83)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Other or unknown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305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50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0.82 (0.62–1.09)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Marital status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Married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10,217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2,298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Not married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5,640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1,514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1.26 (1.18–1.34)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Unknown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673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169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1.09 (0.93–1.27)</w:t>
            </w:r>
          </w:p>
        </w:tc>
      </w:tr>
      <w:tr>
        <w:tc>
          <w:tcPr>
            <w:tcW w:type="dxa" w:w="3744"/>
            <w:gridSpan w:val="4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Year of diagnosis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2018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2,236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1,070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1.00 (reference)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2019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2,374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936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0.91 (0.84–1.00)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2020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2,387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795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0.93 (0.84–1.02)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2021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2,923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712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0.91 (0.83–1.01)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2022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3,143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381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0.84 (0.74–0.96)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2023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3,467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87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0.70 (0.56–0.88)</w:t>
            </w:r>
          </w:p>
        </w:tc>
      </w:tr>
      <w:tr>
        <w:tc>
          <w:tcPr>
            <w:tcW w:type="dxa" w:w="374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Per additional factor</w:t>
            </w:r>
          </w:p>
        </w:tc>
        <w:tc>
          <w:tcPr>
            <w:tcW w:type="dxa" w:w="140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16,530</w:t>
            </w:r>
          </w:p>
        </w:tc>
        <w:tc>
          <w:tcPr>
            <w:tcW w:type="dxa" w:w="149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3,981</w:t>
            </w:r>
          </w:p>
        </w:tc>
        <w:tc>
          <w:tcPr>
            <w:tcW w:type="dxa" w:w="2714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8414F"/>
                <w:sz w:val="14"/>
                <w:szCs w:val="14"/>
              </w:rPr>
              <w:t xml:space="preserve">1.72 (1.66–1.79)</w:t>
            </w:r>
          </w:p>
        </w:tc>
      </w:tr>
    </w:tbl>
    <w:p>
      <w:pPr>
        <w:spacing w:after="140" w:line="280"/>
      </w:pPr>
      <w:r>
        <w:rPr>
          <w:rFonts w:ascii="Calibri" w:cs="Calibri" w:eastAsia="Calibri" w:hAnsi="Calibri"/>
          <w:color w:val="0F151D"/>
          <w:sz w:val="21"/>
          <w:szCs w:val="21"/>
        </w:rPr>
        <w:t xml:space="preserve"/>
      </w:r>
    </w:p>
    <w:p>
      <w:pPr>
        <w:spacing w:after="140" w:line="280"/>
      </w:pPr>
      <w:r>
        <w:rPr>
          <w:rFonts w:ascii="Calibri" w:cs="Calibri" w:eastAsia="Calibri" w:hAnsi="Calibri"/>
          <w:color w:val="6B7684"/>
          <w:sz w:val="18"/>
          <w:szCs w:val="18"/>
        </w:rPr>
        <w:t xml:space="preserve">Every covariate is shown. The corresponding models for overall survival are Table 2 of the main text.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51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2026-09-01T06:46:29.739Z</dcterms:created>
  <dcterms:modified xsi:type="dcterms:W3CDTF">2026-09-01T06:46:29.739Z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