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50" w:line="280"/>
      </w:pPr>
      <w:r>
        <w:rPr>
          <w:rFonts w:ascii="Cambria" w:cs="Cambria" w:eastAsia="Cambria" w:hAnsi="Cambria"/>
          <w:b/>
          <w:bCs/>
          <w:color w:val="0F151D"/>
          <w:sz w:val="22"/>
          <w:szCs w:val="22"/>
        </w:rPr>
        <w:t xml:space="preserve">Supplementary Table S2. Candidate variables added to the final model one at a time</w:t>
      </w:r>
    </w:p>
    <w:p>
      <w:pPr>
        <w:spacing w:after="80" w:line="280"/>
      </w:pPr>
      <w:r>
        <w:rPr>
          <w:rFonts w:ascii="Calibri" w:cs="Calibri" w:eastAsia="Calibri" w:hAnsi="Calibri"/>
          <w:b/>
          <w:bCs/>
          <w:color w:val="0F151D"/>
          <w:sz w:val="19"/>
          <w:szCs w:val="19"/>
        </w:rPr>
        <w:t xml:space="preserve">Overall survival</w:t>
      </w:r>
    </w:p>
    <w:tbl>
      <w:tblPr>
        <w:tblW w:type="dxa" w:w="9360"/>
        <w:tblBorders>
          <w:top w:val="single" w:color="C3CCD8" w:sz="4"/>
          <w:left w:val="none"/>
          <w:bottom w:val="single" w:color="C3CCD8" w:sz="4"/>
          <w:right w:val="none"/>
          <w:insideH w:val="single" w:color="E3E9F0" w:sz="2"/>
          <w:insideV w:val="none"/>
        </w:tblBorders>
      </w:tblPr>
      <w:tblGrid>
        <w:gridCol w:w="2808"/>
        <w:gridCol w:w="1872"/>
        <w:gridCol w:w="1310"/>
        <w:gridCol w:w="1030"/>
        <w:gridCol w:w="2340"/>
      </w:tblGrid>
      <w:tr>
        <w:trPr>
          <w:tblHeader/>
        </w:trPr>
        <w:tc>
          <w:tcPr>
            <w:tcW w:type="dxa" w:w="2808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3"/>
                <w:szCs w:val="13"/>
              </w:rPr>
              <w:t xml:space="preserve">Candidate added</w:t>
            </w:r>
          </w:p>
        </w:tc>
        <w:tc>
          <w:tcPr>
            <w:tcW w:type="dxa" w:w="1872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3"/>
                <w:szCs w:val="13"/>
              </w:rPr>
              <w:t xml:space="preserve">Adjusted HR (95% CI)</w:t>
            </w:r>
          </w:p>
        </w:tc>
        <w:tc>
          <w:tcPr>
            <w:tcW w:type="dxa" w:w="1310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3"/>
                <w:szCs w:val="13"/>
              </w:rPr>
              <w:t xml:space="preserve">LR χ² (df)</w:t>
            </w:r>
          </w:p>
        </w:tc>
        <w:tc>
          <w:tcPr>
            <w:tcW w:type="dxa" w:w="1030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3"/>
                <w:szCs w:val="13"/>
              </w:rPr>
              <w:t xml:space="preserve">P</w:t>
            </w:r>
          </w:p>
        </w:tc>
        <w:tc>
          <w:tcPr>
            <w:tcW w:type="dxa" w:w="2340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3"/>
                <w:szCs w:val="13"/>
              </w:rPr>
              <w:t xml:space="preserve">Largest shift in the four HRs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Bone metastasis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1.47 (1.34–1.62)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73.4 (1)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&lt;0.001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2.4%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Lung metastasis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1.27 (1.16–1.40)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23 (1)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&lt;0.001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6.2%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Distant lymph-node metastasis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0.94 (0.88–1.00)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3.7 (1)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0.055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0.4%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Number of metastatic sites — 2 sites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1.20 (1.12–1.29)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44.5 (2)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&lt;0.001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18.2%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Number of metastatic sites — ≥3 sites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1.42 (1.25–1.61)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Regional node stage — N1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0.91 (0.86–0.97)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21 (2)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&lt;0.001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1.4%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Regional node stage — NX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1.11 (1.01–1.21)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T stage — T3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0.78 (0.71–0.84)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101.8 (3)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&lt;0.001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4.9%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T stage — T4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1.25 (1.15–1.36)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T stage — TX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1.24 (1.13–1.35)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Positive biopsy-core fraction — 51–80%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1.06 (0.94–1.20)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72 (3)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&lt;0.001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2.4%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Positive biopsy-core fraction — &gt;80%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1.24 (1.12–1.36)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Positive biopsy-core fraction — unknown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1.46 (1.31–1.62)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Hispanic origin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0.91 (0.83–0.99)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5.2 (1)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0.022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0.4%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Reporting facility (CoC accredited)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1.06 (0.99–1.14)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2.9 (1)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0.087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0.3%</w:t>
            </w:r>
          </w:p>
        </w:tc>
      </w:tr>
    </w:tbl>
    <w:p>
      <w:pPr>
        <w:spacing w:after="140" w:line="280"/>
      </w:pPr>
      <w:r>
        <w:rPr>
          <w:rFonts w:ascii="Calibri" w:cs="Calibri" w:eastAsia="Calibri" w:hAnsi="Calibri"/>
          <w:color w:val="0F151D"/>
          <w:sz w:val="21"/>
          <w:szCs w:val="21"/>
        </w:rPr>
        <w:t xml:space="preserve"/>
      </w:r>
    </w:p>
    <w:p>
      <w:pPr>
        <w:spacing w:after="80" w:line="280"/>
      </w:pPr>
      <w:r>
        <w:rPr>
          <w:rFonts w:ascii="Calibri" w:cs="Calibri" w:eastAsia="Calibri" w:hAnsi="Calibri"/>
          <w:b/>
          <w:bCs/>
          <w:color w:val="0F151D"/>
          <w:sz w:val="19"/>
          <w:szCs w:val="19"/>
        </w:rPr>
        <w:t xml:space="preserve">Cancer-specific survival</w:t>
      </w:r>
    </w:p>
    <w:tbl>
      <w:tblPr>
        <w:tblW w:type="dxa" w:w="9360"/>
        <w:tblBorders>
          <w:top w:val="single" w:color="C3CCD8" w:sz="4"/>
          <w:left w:val="none"/>
          <w:bottom w:val="single" w:color="C3CCD8" w:sz="4"/>
          <w:right w:val="none"/>
          <w:insideH w:val="single" w:color="E3E9F0" w:sz="2"/>
          <w:insideV w:val="none"/>
        </w:tblBorders>
      </w:tblPr>
      <w:tblGrid>
        <w:gridCol w:w="2808"/>
        <w:gridCol w:w="1872"/>
        <w:gridCol w:w="1310"/>
        <w:gridCol w:w="1030"/>
        <w:gridCol w:w="2340"/>
      </w:tblGrid>
      <w:tr>
        <w:trPr>
          <w:tblHeader/>
        </w:trPr>
        <w:tc>
          <w:tcPr>
            <w:tcW w:type="dxa" w:w="2808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3"/>
                <w:szCs w:val="13"/>
              </w:rPr>
              <w:t xml:space="preserve">Candidate added</w:t>
            </w:r>
          </w:p>
        </w:tc>
        <w:tc>
          <w:tcPr>
            <w:tcW w:type="dxa" w:w="1872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3"/>
                <w:szCs w:val="13"/>
              </w:rPr>
              <w:t xml:space="preserve">Adjusted HR (95% CI)</w:t>
            </w:r>
          </w:p>
        </w:tc>
        <w:tc>
          <w:tcPr>
            <w:tcW w:type="dxa" w:w="1310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3"/>
                <w:szCs w:val="13"/>
              </w:rPr>
              <w:t xml:space="preserve">LR χ² (df)</w:t>
            </w:r>
          </w:p>
        </w:tc>
        <w:tc>
          <w:tcPr>
            <w:tcW w:type="dxa" w:w="1030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3"/>
                <w:szCs w:val="13"/>
              </w:rPr>
              <w:t xml:space="preserve">P</w:t>
            </w:r>
          </w:p>
        </w:tc>
        <w:tc>
          <w:tcPr>
            <w:tcW w:type="dxa" w:w="2340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3"/>
                <w:szCs w:val="13"/>
              </w:rPr>
              <w:t xml:space="preserve">Largest shift in the four HRs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Bone metastasis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1.57 (1.41–1.75)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74.8 (1)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&lt;0.001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2.7%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Lung metastasis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1.35 (1.22–1.50)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28.7 (1)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&lt;0.001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7.8%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Distant lymph-node metastasis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0.97 (0.90–1.04)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0.7 (1)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0.391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0.2%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Number of metastatic sites — 2 sites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1.27 (1.18–1.38)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59.2 (2)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&lt;0.001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22.7%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Number of metastatic sites — ≥3 sites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1.56 (1.36–1.79)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Regional node stage — N1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0.94 (0.88–1.00)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10.3 (2)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0.006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1.1%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Regional node stage — NX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1.10 (1.00–1.22)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T stage — T3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0.80 (0.73–0.88)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84.1 (3)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&lt;0.001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5.5%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T stage — T4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1.32 (1.20–1.45)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T stage — TX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1.23 (1.12–1.36)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Positive biopsy-core fraction — 51–80%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1.04 (0.90–1.19)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70.3 (3)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&lt;0.001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3.0%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Positive biopsy-core fraction — &gt;80%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1.30 (1.16–1.45)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Positive biopsy-core fraction — unknown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1.51 (1.33–1.70)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Hispanic origin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0.92 (0.83–1.01)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3.2 (1)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0.073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0.4%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3"/>
                <w:szCs w:val="13"/>
              </w:rPr>
              <w:t xml:space="preserve">Reporting facility (CoC accredited)</w:t>
            </w:r>
          </w:p>
        </w:tc>
        <w:tc>
          <w:tcPr>
            <w:tcW w:type="dxa" w:w="1872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1.02 (0.95–1.11)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0.3 (1)</w:t>
            </w:r>
          </w:p>
        </w:tc>
        <w:tc>
          <w:tcPr>
            <w:tcW w:type="dxa" w:w="103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0.571</w:t>
            </w:r>
          </w:p>
        </w:tc>
        <w:tc>
          <w:tcPr>
            <w:tcW w:type="dxa" w:w="234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3"/>
                <w:szCs w:val="13"/>
              </w:rPr>
              <w:t xml:space="preserve">0.1%</w:t>
            </w:r>
          </w:p>
        </w:tc>
      </w:tr>
    </w:tbl>
    <w:p>
      <w:pPr>
        <w:spacing w:after="140" w:line="280"/>
      </w:pPr>
      <w:r>
        <w:rPr>
          <w:rFonts w:ascii="Calibri" w:cs="Calibri" w:eastAsia="Calibri" w:hAnsi="Calibri"/>
          <w:color w:val="0F151D"/>
          <w:sz w:val="21"/>
          <w:szCs w:val="21"/>
        </w:rPr>
        <w:t xml:space="preserve"/>
      </w:r>
    </w:p>
    <w:p>
      <w:pPr>
        <w:spacing w:after="140" w:line="280"/>
      </w:pPr>
      <w:r>
        <w:rPr>
          <w:rFonts w:ascii="Calibri" w:cs="Calibri" w:eastAsia="Calibri" w:hAnsi="Calibri"/>
          <w:color w:val="6B7684"/>
          <w:sz w:val="18"/>
          <w:szCs w:val="18"/>
        </w:rPr>
        <w:t xml:space="preserve">Each candidate variable was added to the final model separately. Candidates were not entered simultaneously, because the number of metastatic sites is a deterministic function of the individual site indicators. The last column gives the largest change in any of the four hazard ratios. Adding all nine candidates together raised the C-index from 0.628 to 0.667 for overall survival.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F151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2026-09-01T06:46:29.776Z</dcterms:created>
  <dcterms:modified xsi:type="dcterms:W3CDTF">2026-09-01T06:46:29.776Z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