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 w:line="280"/>
      </w:pPr>
      <w:r>
        <w:rPr>
          <w:rFonts w:ascii="Cambria" w:cs="Cambria" w:eastAsia="Cambria" w:hAnsi="Cambria"/>
          <w:b/>
          <w:bCs/>
          <w:color w:val="0F151D"/>
          <w:sz w:val="22"/>
          <w:szCs w:val="22"/>
        </w:rPr>
        <w:t xml:space="preserve">Table 2. Multivariable Cox model for overall survival</w:t>
      </w:r>
    </w:p>
    <w:p>
      <w:pPr>
        <w:spacing w:after="80" w:line="280"/>
      </w:pPr>
      <w:r>
        <w:rPr>
          <w:rFonts w:ascii="Calibri" w:cs="Calibri" w:eastAsia="Calibri" w:hAnsi="Calibri"/>
          <w:b/>
          <w:bCs/>
          <w:color w:val="0F151D"/>
          <w:sz w:val="19"/>
          <w:szCs w:val="19"/>
        </w:rPr>
        <w:t xml:space="preserve">Model A — the four factors entered separately</w:t>
      </w:r>
    </w:p>
    <w:tbl>
      <w:tblPr>
        <w:tblW w:type="dxa" w:w="9360"/>
        <w:tblBorders>
          <w:top w:val="single" w:color="C3CCD8" w:sz="4"/>
          <w:left w:val="none"/>
          <w:bottom w:val="single" w:color="C3CCD8" w:sz="4"/>
          <w:right w:val="none"/>
          <w:insideH w:val="single" w:color="E3E9F0" w:sz="2"/>
          <w:insideV w:val="none"/>
        </w:tblBorders>
      </w:tblPr>
      <w:tblGrid>
        <w:gridCol w:w="3744"/>
        <w:gridCol w:w="1404"/>
        <w:gridCol w:w="1404"/>
        <w:gridCol w:w="2808"/>
      </w:tblGrid>
      <w:tr>
        <w:trPr>
          <w:tblHeader/>
        </w:trPr>
        <w:tc>
          <w:tcPr>
            <w:tcW w:type="dxa" w:w="374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Variable</w:t>
            </w:r>
          </w:p>
        </w:tc>
        <w:tc>
          <w:tcPr>
            <w:tcW w:type="dxa" w:w="140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n</w:t>
            </w:r>
          </w:p>
        </w:tc>
        <w:tc>
          <w:tcPr>
            <w:tcW w:type="dxa" w:w="140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Deaths</w:t>
            </w:r>
          </w:p>
        </w:tc>
        <w:tc>
          <w:tcPr>
            <w:tcW w:type="dxa" w:w="2808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Adjusted HR (95% CI)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Age ≥ 80 years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2,858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1,253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1.89 (1.77–2.02)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PSA ≥ 100 ng/mL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6,930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2,646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1.48 (1.40–1.57)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Liver or brain metastasis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569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313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2.28 (2.04–2.56)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Gleason score ≥ 9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10,023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3,617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1.61 (1.52–1.71)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Race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White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12,217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3,867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Black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2,797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917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1.02 (0.94–1.10)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Asian or Pacific Islander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1,211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286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0.73 (0.64–0.82)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Other or unknown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305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60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0.79 (0.61–1.02)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Marital status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Married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10,217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2,919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Not married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5,640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1,983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1.30 (1.23–1.38)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Unknown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673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228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1.17 (1.02–1.34)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Year of diagnosis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2018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2,236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1,349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2019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2,374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1,204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0.94 (0.87–1.02)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2020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2,387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1,020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0.96 (0.88–1.05)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2021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2,923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925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0.96 (0.88–1.05)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2022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3,143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512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0.91 (0.82–1.02)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3,467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120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0.75 (0.61–0.91)</w:t>
            </w:r>
          </w:p>
        </w:tc>
      </w:tr>
    </w:tbl>
    <w:p>
      <w:pPr>
        <w:spacing w:after="140" w:line="280"/>
      </w:pPr>
      <w:r>
        <w:rPr>
          <w:rFonts w:ascii="Calibri" w:cs="Calibri" w:eastAsia="Calibri" w:hAnsi="Calibri"/>
          <w:color w:val="0F151D"/>
          <w:sz w:val="21"/>
          <w:szCs w:val="21"/>
        </w:rPr>
        <w:t xml:space="preserve"/>
      </w:r>
    </w:p>
    <w:p>
      <w:pPr>
        <w:spacing w:after="80" w:line="280"/>
      </w:pPr>
      <w:r>
        <w:rPr>
          <w:rFonts w:ascii="Calibri" w:cs="Calibri" w:eastAsia="Calibri" w:hAnsi="Calibri"/>
          <w:b/>
          <w:bCs/>
          <w:color w:val="0F151D"/>
          <w:sz w:val="19"/>
          <w:szCs w:val="19"/>
        </w:rPr>
        <w:t xml:space="preserve">Model B — number of risk factors</w:t>
      </w:r>
    </w:p>
    <w:tbl>
      <w:tblPr>
        <w:tblW w:type="dxa" w:w="9360"/>
        <w:tblBorders>
          <w:top w:val="single" w:color="C3CCD8" w:sz="4"/>
          <w:left w:val="none"/>
          <w:bottom w:val="single" w:color="C3CCD8" w:sz="4"/>
          <w:right w:val="none"/>
          <w:insideH w:val="single" w:color="E3E9F0" w:sz="2"/>
          <w:insideV w:val="none"/>
        </w:tblBorders>
      </w:tblPr>
      <w:tblGrid>
        <w:gridCol w:w="3744"/>
        <w:gridCol w:w="1404"/>
        <w:gridCol w:w="1404"/>
        <w:gridCol w:w="2808"/>
      </w:tblGrid>
      <w:tr>
        <w:trPr>
          <w:tblHeader/>
        </w:trPr>
        <w:tc>
          <w:tcPr>
            <w:tcW w:type="dxa" w:w="374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Variable</w:t>
            </w:r>
          </w:p>
        </w:tc>
        <w:tc>
          <w:tcPr>
            <w:tcW w:type="dxa" w:w="140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n</w:t>
            </w:r>
          </w:p>
        </w:tc>
        <w:tc>
          <w:tcPr>
            <w:tcW w:type="dxa" w:w="140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Deaths</w:t>
            </w:r>
          </w:p>
        </w:tc>
        <w:tc>
          <w:tcPr>
            <w:tcW w:type="dxa" w:w="2808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Adjusted HR (95% CI)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Number of risk factors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0 factors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3,349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494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1 factor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7,067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2,024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2.11 (1.91–2.32)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 factors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5,067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2,050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3.27 (2.96–3.61)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≥3 factors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1,047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562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5.38 (4.76–6.07)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Race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White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12,217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3,867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Black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2,797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917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0.98 (0.91–1.06)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Asian or Pacific Islander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1,211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286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0.73 (0.64–0.82)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Other or unknown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305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60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0.76 (0.59–0.99)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Marital status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Married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10,217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2,919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Not married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5,640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1,983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1.29 (1.22–1.37)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Unknown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673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228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1.15 (1.01–1.32)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Year of diagnosis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2018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2,236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1,349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2019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2,374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1,204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0.93 (0.86–1.01)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2020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2,387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1,020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0.96 (0.88–1.04)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2021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2,923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925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0.96 (0.88–1.05)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2022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3,143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512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0.91 (0.82–1.02)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3,467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120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0.75 (0.62–0.92)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Per additional factor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16,530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5,130</w:t>
            </w:r>
          </w:p>
        </w:tc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1.67 (1.62–1.73)</w:t>
            </w:r>
          </w:p>
        </w:tc>
      </w:tr>
    </w:tbl>
    <w:p>
      <w:pPr>
        <w:spacing w:after="140" w:line="280"/>
      </w:pPr>
      <w:r>
        <w:rPr>
          <w:rFonts w:ascii="Calibri" w:cs="Calibri" w:eastAsia="Calibri" w:hAnsi="Calibri"/>
          <w:color w:val="0F151D"/>
          <w:sz w:val="21"/>
          <w:szCs w:val="21"/>
        </w:rPr>
        <w:t xml:space="preserve"/>
      </w:r>
    </w:p>
    <w:p>
      <w:pPr>
        <w:spacing w:after="140" w:line="280"/>
      </w:pPr>
      <w:r>
        <w:rPr>
          <w:rFonts w:ascii="Calibri" w:cs="Calibri" w:eastAsia="Calibri" w:hAnsi="Calibri"/>
          <w:color w:val="6B7684"/>
          <w:sz w:val="18"/>
          <w:szCs w:val="18"/>
        </w:rPr>
        <w:t xml:space="preserve">Every covariate is shown. Proportional hazards did not hold; the hazard ratios are therefore averages over the follow-up period.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51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2026-09-01T06:46:29.689Z</dcterms:created>
  <dcterms:modified xsi:type="dcterms:W3CDTF">2026-09-01T06:46:29.689Z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