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0" w:line="280"/>
      </w:pPr>
      <w:r>
        <w:rPr>
          <w:rFonts w:ascii="Cambria" w:cs="Cambria" w:eastAsia="Cambria" w:hAnsi="Cambria"/>
          <w:b/>
          <w:bCs/>
          <w:color w:val="0F151D"/>
          <w:sz w:val="22"/>
          <w:szCs w:val="22"/>
        </w:rPr>
        <w:t xml:space="preserve">Table 1. Characteristics of the cohort by number of risk factors</w:t>
      </w:r>
    </w:p>
    <w:tbl>
      <w:tblPr>
        <w:tblW w:type="dxa" w:w="9360"/>
        <w:tblBorders>
          <w:top w:val="single" w:color="C3CCD8" w:sz="4"/>
          <w:left w:val="none"/>
          <w:bottom w:val="single" w:color="C3CCD8" w:sz="4"/>
          <w:right w:val="none"/>
          <w:insideH w:val="single" w:color="E3E9F0" w:sz="2"/>
          <w:insideV w:val="none"/>
        </w:tblBorders>
      </w:tblPr>
      <w:tblGrid>
        <w:gridCol w:w="2808"/>
        <w:gridCol w:w="1310"/>
        <w:gridCol w:w="1310"/>
        <w:gridCol w:w="1310"/>
        <w:gridCol w:w="1310"/>
        <w:gridCol w:w="1310"/>
      </w:tblGrid>
      <w:tr>
        <w:trPr>
          <w:tblHeader/>
        </w:trPr>
        <w:tc>
          <w:tcPr>
            <w:tcW w:type="dxa" w:w="2808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Characteristic</w:t>
            </w:r>
          </w:p>
        </w:tc>
        <w:tc>
          <w:tcPr>
            <w:tcW w:type="dxa" w:w="131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All (n = 16,530)</w:t>
            </w:r>
          </w:p>
        </w:tc>
        <w:tc>
          <w:tcPr>
            <w:tcW w:type="dxa" w:w="131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0 factors (n = 3,349)</w:t>
            </w:r>
          </w:p>
        </w:tc>
        <w:tc>
          <w:tcPr>
            <w:tcW w:type="dxa" w:w="131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1 factor (n = 7,067)</w:t>
            </w:r>
          </w:p>
        </w:tc>
        <w:tc>
          <w:tcPr>
            <w:tcW w:type="dxa" w:w="131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2 factors (n = 5,067)</w:t>
            </w:r>
          </w:p>
        </w:tc>
        <w:tc>
          <w:tcPr>
            <w:tcW w:type="dxa" w:w="1310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≥3 factors (n = 1,047)</w:t>
            </w:r>
          </w:p>
        </w:tc>
      </w:tr>
      <w:tr>
        <w:tc>
          <w:tcPr>
            <w:tcW w:type="dxa" w:w="2808"/>
            <w:gridSpan w:val="6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Age at diagnosis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&lt;60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13.6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14.5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14.9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13.3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2.9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60–69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34.6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42.7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37.5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30.9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7.2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70–79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34.5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42.8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39.8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27.9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4.9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≥80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17.3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27.9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85.1</w:t>
            </w:r>
          </w:p>
        </w:tc>
      </w:tr>
      <w:tr>
        <w:tc>
          <w:tcPr>
            <w:tcW w:type="dxa" w:w="2808"/>
            <w:gridSpan w:val="6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Race and ethnicity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White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73.9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73.5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75.4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71.7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76.1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Black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16.9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15.9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16.0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19.6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13.2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Asian or Pacific Islander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8.7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9.3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Other or unknown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1.4</w:t>
            </w:r>
          </w:p>
        </w:tc>
      </w:tr>
      <w:tr>
        <w:tc>
          <w:tcPr>
            <w:tcW w:type="dxa" w:w="2808"/>
            <w:gridSpan w:val="6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Marital status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Married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61.8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64.5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63.2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58.4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60.1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Not married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34.1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30.9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32.9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37.6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35.7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Unknown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4.1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4.2</w:t>
            </w:r>
          </w:p>
        </w:tc>
      </w:tr>
      <w:tr>
        <w:tc>
          <w:tcPr>
            <w:tcW w:type="dxa" w:w="2808"/>
            <w:gridSpan w:val="6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PSA at diagnosis (ng/mL)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&lt;20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24.7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46.4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29.4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8.7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1.1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20–99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33.4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53.6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42.3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14.2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1.0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100–999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32.6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21.6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59.9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79.8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≥1,000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17.1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18.1</w:t>
            </w:r>
          </w:p>
        </w:tc>
      </w:tr>
      <w:tr>
        <w:tc>
          <w:tcPr>
            <w:tcW w:type="dxa" w:w="2808"/>
            <w:gridSpan w:val="6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Clinical Gleason score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6–7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14.0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12.0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0.3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25.3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25.3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0.8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50.6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52.9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74.9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80.2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10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15.0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18.7</w:t>
            </w:r>
          </w:p>
        </w:tc>
      </w:tr>
      <w:tr>
        <w:tc>
          <w:tcPr>
            <w:tcW w:type="dxa" w:w="2808"/>
            <w:gridSpan w:val="6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Site of metastasis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Distant lymph node only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9.2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13.8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10.3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6.1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3.3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Bone only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78.5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76.6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79.7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80.4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67.3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Lung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6.2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6.8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6.0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Liver or brain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0.0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1.2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5.1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21.6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Other or unknown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3.4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1.7</w:t>
            </w:r>
          </w:p>
        </w:tc>
      </w:tr>
      <w:tr>
        <w:tc>
          <w:tcPr>
            <w:tcW w:type="dxa" w:w="2808"/>
            <w:gridSpan w:val="6"/>
            <w:shd w:fill="EDF2F8" w:color="auto" w:val="clear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</w:pPr>
            <w:r>
              <w:rPr>
                <w:rFonts w:ascii="Calibri" w:cs="Calibri" w:eastAsia="Calibri" w:hAnsi="Calibri"/>
                <w:b/>
                <w:bCs/>
                <w:color w:val="0F151D"/>
                <w:sz w:val="14"/>
                <w:szCs w:val="14"/>
              </w:rPr>
              <w:t xml:space="preserve">Recorded treatment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Chemotherapy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18.7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11.2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20.5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22.7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11.7</w:t>
            </w:r>
          </w:p>
        </w:tc>
      </w:tr>
      <w:tr>
        <w:tc>
          <w:tcPr>
            <w:tcW w:type="dxa" w:w="2808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left"/>
            </w:pPr>
            <w:r>
              <w:rPr>
                <w:rFonts w:ascii="Calibri" w:cs="Calibri" w:eastAsia="Calibri" w:hAnsi="Calibri"/>
                <w:color w:val="0F151D"/>
                <w:sz w:val="14"/>
                <w:szCs w:val="14"/>
              </w:rPr>
              <w:t xml:space="preserve">Radiotherapy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30.2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42.3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32.5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22.0</w:t>
            </w:r>
          </w:p>
        </w:tc>
        <w:tc>
          <w:tcPr>
            <w:tcW w:type="dxa" w:w="1310"/>
            <w:tcMar>
              <w:top w:type="dxa" w:w="18"/>
              <w:left w:type="dxa" w:w="70"/>
              <w:bottom w:type="dxa" w:w="18"/>
              <w:right w:type="dxa" w:w="70"/>
            </w:tcMar>
          </w:tcPr>
          <w:p>
            <w:pPr>
              <w:spacing w:after="0" w:line="200"/>
              <w:jc w:val="right"/>
            </w:pPr>
            <w:r>
              <w:rPr>
                <w:rFonts w:ascii="Calibri" w:cs="Calibri" w:eastAsia="Calibri" w:hAnsi="Calibri"/>
                <w:color w:val="38414F"/>
                <w:sz w:val="14"/>
                <w:szCs w:val="14"/>
              </w:rPr>
              <w:t xml:space="preserve">15.9</w:t>
            </w:r>
          </w:p>
        </w:tc>
      </w:tr>
    </w:tbl>
    <w:p>
      <w:pPr>
        <w:spacing w:after="140" w:line="280"/>
      </w:pPr>
      <w:r>
        <w:rPr>
          <w:rFonts w:ascii="Calibri" w:cs="Calibri" w:eastAsia="Calibri" w:hAnsi="Calibri"/>
          <w:color w:val="0F151D"/>
          <w:sz w:val="21"/>
          <w:szCs w:val="21"/>
        </w:rPr>
        <w:t xml:space="preserve"/>
      </w:r>
    </w:p>
    <w:p>
      <w:pPr>
        <w:spacing w:after="140" w:line="280"/>
      </w:pPr>
      <w:r>
        <w:rPr>
          <w:rFonts w:ascii="Calibri" w:cs="Calibri" w:eastAsia="Calibri" w:hAnsi="Calibri"/>
          <w:color w:val="6B7684"/>
          <w:sz w:val="18"/>
          <w:szCs w:val="18"/>
        </w:rPr>
        <w:t xml:space="preserve">Values are percentages within each column.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51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2026-09-01T06:46:29.639Z</dcterms:created>
  <dcterms:modified xsi:type="dcterms:W3CDTF">2026-09-01T06:46:29.640Z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