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4018B">
      <w:pPr>
        <w:rPr>
          <w:rFonts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lang w:bidi="ar"/>
        </w:rPr>
      </w:pPr>
      <w:bookmarkStart w:id="0" w:name="OLE_LINK61"/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lang w:bidi="ar"/>
        </w:rPr>
        <w:t>Electrochemical Detection of Propyl Gallate in Packaged Foods Using a SnS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vertAlign w:val="subscript"/>
          <w:lang w:bidi="ar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lang w:bidi="ar"/>
        </w:rPr>
        <w:t>-Co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vertAlign w:val="subscript"/>
          <w:lang w:bidi="ar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lang w:bidi="ar"/>
        </w:rPr>
        <w:t>Fe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vertAlign w:val="subscript"/>
          <w:lang w:bidi="ar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2A2B2E"/>
          <w:kern w:val="0"/>
          <w:sz w:val="28"/>
          <w:szCs w:val="28"/>
          <w:shd w:val="clear" w:color="auto" w:fill="FFFFFF"/>
          <w:lang w:bidi="ar"/>
        </w:rPr>
        <w:t>@N-CNTs Composite</w:t>
      </w:r>
    </w:p>
    <w:bookmarkEnd w:id="0"/>
    <w:p w14:paraId="278C2BB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Yili Zhang</w:t>
      </w: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, Jingyu Deng</w:t>
      </w: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 xml:space="preserve">, </w:t>
      </w:r>
      <w:bookmarkStart w:id="1" w:name="OLE_LINK154"/>
      <w:r>
        <w:rPr>
          <w:rFonts w:ascii="Times New Roman" w:hAnsi="Times New Roman" w:cs="Times New Roman"/>
          <w:sz w:val="24"/>
        </w:rPr>
        <w:t>Zitong Yang</w:t>
      </w:r>
      <w:bookmarkEnd w:id="1"/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hint="eastAsia" w:ascii="Times New Roman" w:hAnsi="Times New Roman" w:cs="Times New Roman"/>
          <w:sz w:val="24"/>
        </w:rPr>
        <w:t>Wenkai Qi</w:t>
      </w: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hint="eastAsia" w:ascii="Times New Roman" w:hAnsi="Times New Roman" w:cs="Times New Roman"/>
          <w:sz w:val="24"/>
        </w:rPr>
        <w:t>, Rui Xie</w:t>
      </w: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Yuxia Zhang</w:t>
      </w: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*</w:t>
      </w:r>
      <w:r>
        <w:rPr>
          <w:rFonts w:hint="eastAsia" w:ascii="Times New Roman" w:hAnsi="Times New Roman" w:cs="Times New Roman"/>
          <w:sz w:val="24"/>
        </w:rPr>
        <w:t>, Zhaohui Hou</w:t>
      </w: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*</w:t>
      </w:r>
    </w:p>
    <w:p w14:paraId="47757C1F">
      <w:pPr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bCs/>
          <w:sz w:val="24"/>
          <w:vertAlign w:val="superscript"/>
        </w:rPr>
        <w:t>a</w:t>
      </w:r>
      <w:r>
        <w:rPr>
          <w:rFonts w:ascii="Times New Roman" w:hAnsi="Times New Roman" w:cs="Times New Roman"/>
          <w:sz w:val="24"/>
        </w:rPr>
        <w:t>Key Laboratory of Hunan Province for Advanced Carbon-based Functional Materials, School of Chemistry and Chemical Engineering, Hunan Institute of Science and Technology, Yueyang 414006, China</w:t>
      </w:r>
    </w:p>
    <w:p w14:paraId="0127820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vertAlign w:val="superscript"/>
        </w:rPr>
        <w:t>b</w:t>
      </w:r>
      <w:r>
        <w:rPr>
          <w:rFonts w:hint="eastAsia" w:ascii="Times New Roman" w:hAnsi="Times New Roman" w:cs="Times New Roman"/>
          <w:sz w:val="24"/>
        </w:rPr>
        <w:t xml:space="preserve">School of Chemical Engineering and Materials, </w:t>
      </w:r>
      <w:bookmarkStart w:id="2" w:name="OLE_LINK93"/>
      <w:r>
        <w:rPr>
          <w:rFonts w:hint="eastAsia" w:ascii="Times New Roman" w:hAnsi="Times New Roman" w:cs="Times New Roman"/>
          <w:sz w:val="24"/>
        </w:rPr>
        <w:t>Yueyang University</w:t>
      </w:r>
      <w:bookmarkEnd w:id="2"/>
      <w:r>
        <w:rPr>
          <w:rFonts w:ascii="Times New Roman" w:hAnsi="Times New Roman" w:cs="Times New Roman"/>
          <w:sz w:val="24"/>
        </w:rPr>
        <w:t>, Yueyang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4140</w:t>
      </w:r>
      <w:r>
        <w:rPr>
          <w:rFonts w:hint="eastAsia" w:ascii="Times New Roman" w:hAnsi="Times New Roman" w:cs="Times New Roman"/>
          <w:sz w:val="24"/>
        </w:rPr>
        <w:t>11</w:t>
      </w:r>
      <w:r>
        <w:rPr>
          <w:rFonts w:ascii="Times New Roman" w:hAnsi="Times New Roman" w:cs="Times New Roman"/>
          <w:sz w:val="24"/>
        </w:rPr>
        <w:t>, China</w:t>
      </w:r>
    </w:p>
    <w:p w14:paraId="63B465C4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*Corresponding Author</w:t>
      </w:r>
    </w:p>
    <w:p w14:paraId="1AB0E985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mail addresses: </w:t>
      </w:r>
      <w:r>
        <w:fldChar w:fldCharType="begin"/>
      </w:r>
      <w:r>
        <w:instrText xml:space="preserve"> HYPERLINK "mailto:zhaohuihou@126.com" </w:instrText>
      </w:r>
      <w:r>
        <w:fldChar w:fldCharType="separate"/>
      </w:r>
      <w:r>
        <w:rPr>
          <w:rFonts w:hint="eastAsia" w:ascii="Times New Roman" w:hAnsi="Times New Roman" w:cs="Times New Roman"/>
          <w:sz w:val="24"/>
        </w:rPr>
        <w:t>zyxia2010</w:t>
      </w:r>
      <w:r>
        <w:rPr>
          <w:rFonts w:ascii="Times New Roman" w:hAnsi="Times New Roman" w:cs="Times New Roman"/>
          <w:sz w:val="24"/>
        </w:rPr>
        <w:t>@126.com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bCs/>
          <w:sz w:val="24"/>
        </w:rPr>
        <w:t xml:space="preserve"> (</w:t>
      </w:r>
      <w:r>
        <w:rPr>
          <w:rFonts w:hint="eastAsia" w:ascii="Times New Roman" w:hAnsi="Times New Roman" w:cs="Times New Roman"/>
          <w:bCs/>
          <w:sz w:val="24"/>
        </w:rPr>
        <w:t>Y</w:t>
      </w:r>
      <w:r>
        <w:rPr>
          <w:rFonts w:ascii="Times New Roman" w:hAnsi="Times New Roman" w:cs="Times New Roman"/>
          <w:bCs/>
          <w:sz w:val="24"/>
        </w:rPr>
        <w:t xml:space="preserve">. </w:t>
      </w:r>
      <w:r>
        <w:rPr>
          <w:rFonts w:hint="eastAsia" w:ascii="Times New Roman" w:hAnsi="Times New Roman" w:cs="Times New Roman"/>
          <w:bCs/>
          <w:sz w:val="24"/>
        </w:rPr>
        <w:t>Zhang</w:t>
      </w:r>
      <w:r>
        <w:rPr>
          <w:rFonts w:ascii="Times New Roman" w:hAnsi="Times New Roman" w:cs="Times New Roman"/>
          <w:bCs/>
          <w:sz w:val="24"/>
        </w:rPr>
        <w:t>), zhaohuihou@126.com (Z. Hou).</w:t>
      </w:r>
    </w:p>
    <w:p w14:paraId="0FFB660A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drawing>
          <wp:inline distT="0" distB="0" distL="114300" distR="114300">
            <wp:extent cx="5062220" cy="1649095"/>
            <wp:effectExtent l="0" t="0" r="5080" b="1905"/>
            <wp:docPr id="8" name="图片 8" descr="E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T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222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6557D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14:ligatures w14:val="standardContextual"/>
        </w:rPr>
        <w:t>Fig. S1 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 xml:space="preserve">TEM images of the </w:t>
      </w:r>
      <w:r>
        <w:rPr>
          <w:rFonts w:ascii="Times New Roman" w:hAnsi="Times New Roman" w:cs="Times New Roman"/>
          <w:color w:val="000000"/>
          <w:sz w:val="24"/>
          <w14:ligatures w14:val="standardContextual"/>
        </w:rPr>
        <w:t>SnS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-</w:t>
      </w:r>
      <w:r>
        <w:rPr>
          <w:rFonts w:ascii="Times New Roman" w:hAnsi="Times New Roman" w:cs="Times New Roman"/>
          <w:color w:val="000000"/>
          <w:sz w:val="24"/>
          <w14:ligatures w14:val="standardContextual"/>
        </w:rPr>
        <w:t>Co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1</w:t>
      </w:r>
      <w:r>
        <w:rPr>
          <w:rFonts w:ascii="Times New Roman" w:hAnsi="Times New Roman" w:cs="Times New Roman"/>
          <w:color w:val="000000"/>
          <w:sz w:val="24"/>
          <w14:ligatures w14:val="standardContextual"/>
        </w:rPr>
        <w:t>Fe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ascii="Times New Roman" w:hAnsi="Times New Roman" w:cs="Times New Roman"/>
          <w:color w:val="000000"/>
          <w:sz w:val="24"/>
          <w14:ligatures w14:val="standardContextual"/>
        </w:rPr>
        <w:t>@N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-</w:t>
      </w:r>
      <w:r>
        <w:rPr>
          <w:rFonts w:ascii="Times New Roman" w:hAnsi="Times New Roman" w:cs="Times New Roman"/>
          <w:color w:val="000000"/>
          <w:sz w:val="24"/>
          <w14:ligatures w14:val="standardContextual"/>
        </w:rPr>
        <w:t>CNTs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 xml:space="preserve"> composite: (a) overall morphology; (b) magnified view showing interfacial contact; (c) HRTEM image</w:t>
      </w:r>
    </w:p>
    <w:p w14:paraId="4E8A7DAB">
      <w:pPr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172085</wp:posOffset>
            </wp:positionV>
            <wp:extent cx="4549140" cy="2012950"/>
            <wp:effectExtent l="0" t="0" r="10160" b="6350"/>
            <wp:wrapNone/>
            <wp:docPr id="2" name="图片 2" descr="比表面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比表面积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03DA1F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58D3984C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48868EEC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6D25E27A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616E4DFE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5FB2E3DC">
      <w:pPr>
        <w:jc w:val="center"/>
        <w:rPr>
          <w:rFonts w:ascii="Times New Roman" w:hAnsi="Times New Roman" w:cs="Times New Roman"/>
          <w:b/>
          <w:bCs/>
          <w:color w:val="000000"/>
          <w:sz w:val="24"/>
          <w14:ligatures w14:val="standardContextual"/>
        </w:rPr>
      </w:pPr>
    </w:p>
    <w:p w14:paraId="6CDC5FE9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  <w:r>
        <w:rPr>
          <w:rFonts w:hint="eastAsia" w:ascii="Times New Roman" w:hAnsi="Times New Roman" w:cs="Times New Roman"/>
          <w:b/>
          <w:bCs/>
          <w:color w:val="000000"/>
          <w:sz w:val="24"/>
          <w14:ligatures w14:val="standardContextual"/>
        </w:rPr>
        <w:t xml:space="preserve">Fig. S2 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 xml:space="preserve"> (a) N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 xml:space="preserve"> adsorption-desorption isotherms, and (b) BJH pore size distributions of the N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noBreakHyphen/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CNTs, Co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1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Fe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@N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noBreakHyphen/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CNTs and SnS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noBreakHyphen/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Co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1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Fe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2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@N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noBreakHyphen/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CNTs.</w:t>
      </w:r>
    </w:p>
    <w:p w14:paraId="5D586A8C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</w:p>
    <w:p w14:paraId="23FC7545">
      <w:pPr>
        <w:jc w:val="center"/>
      </w:pPr>
      <w:r>
        <w:rPr>
          <w:rFonts w:hint="eastAsia"/>
        </w:rPr>
        <w:drawing>
          <wp:inline distT="0" distB="0" distL="114300" distR="114300">
            <wp:extent cx="3368675" cy="2752090"/>
            <wp:effectExtent l="0" t="0" r="9525" b="3810"/>
            <wp:docPr id="3" name="图片 3" descr="铁氰化钾 DPV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铁氰化钾 DPV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8675" cy="275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BADF0"/>
    <w:p w14:paraId="51BC89CE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  <w:bookmarkStart w:id="3" w:name="OLE_LINK1"/>
      <w:r>
        <w:rPr>
          <w:rFonts w:hint="eastAsia" w:ascii="Times New Roman" w:hAnsi="Times New Roman" w:cs="Times New Roman"/>
          <w:b/>
          <w:bCs/>
          <w:color w:val="000000"/>
          <w:sz w:val="24"/>
          <w14:ligatures w14:val="standardContextual"/>
        </w:rPr>
        <w:t xml:space="preserve">Fig. S3 </w:t>
      </w:r>
      <w:r>
        <w:rPr>
          <w:rFonts w:hint="eastAsia" w:ascii="Times New Roman" w:hAnsi="Times New Roman" w:cs="Times New Roman"/>
          <w:color w:val="000000"/>
          <w:sz w:val="24"/>
          <w14:ligatures w14:val="standardContextual"/>
        </w:rPr>
        <w:t>DPV curves measured in 2.5 mM Fe(CN)</w:t>
      </w:r>
      <w:r>
        <w:rPr>
          <w:rFonts w:hint="eastAsia" w:ascii="Times New Roman" w:hAnsi="Times New Roman" w:cs="Times New Roman"/>
          <w:color w:val="000000"/>
          <w:sz w:val="24"/>
          <w:vertAlign w:val="subscript"/>
          <w14:ligatures w14:val="standardContextual"/>
        </w:rPr>
        <w:t>6</w:t>
      </w:r>
      <w:r>
        <w:rPr>
          <w:rFonts w:hint="eastAsia" w:ascii="Times New Roman" w:hAnsi="Times New Roman" w:cs="Times New Roman"/>
          <w:color w:val="000000"/>
          <w:sz w:val="24"/>
          <w:vertAlign w:val="superscript"/>
          <w14:ligatures w14:val="standardContextual"/>
        </w:rPr>
        <w:t>3-/4-</w:t>
      </w:r>
    </w:p>
    <w:bookmarkEnd w:id="3"/>
    <w:p w14:paraId="48FF97D3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</w:p>
    <w:p w14:paraId="10705A63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</w:p>
    <w:p w14:paraId="41484E8C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  <w:r>
        <w:rPr>
          <w:rFonts w:ascii="Times New Roman" w:hAnsi="Times New Roman" w:cs="Times New Roman"/>
          <w:color w:val="000000"/>
          <w:sz w:val="24"/>
        </w:rPr>
        <w:drawing>
          <wp:inline distT="0" distB="0" distL="0" distR="0">
            <wp:extent cx="5278120" cy="4145280"/>
            <wp:effectExtent l="0" t="0" r="0" b="7620"/>
            <wp:docPr id="19690919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09199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14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A2EBF">
      <w:pPr>
        <w:jc w:val="center"/>
        <w:rPr>
          <w:rFonts w:ascii="Times New Roman" w:hAnsi="Times New Roman" w:cs="Times New Roman"/>
          <w:color w:val="000000"/>
          <w:sz w:val="24"/>
          <w14:ligatures w14:val="standardContextual"/>
        </w:rPr>
      </w:pPr>
    </w:p>
    <w:p w14:paraId="51E01FB7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hint="eastAsia" w:ascii="Times New Roman" w:hAnsi="Times New Roman" w:cs="Times New Roman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hint="eastAsia" w:ascii="Times New Roman" w:hAnsi="Times New Roman" w:cs="Times New Roman"/>
          <w:color w:val="404040"/>
          <w:sz w:val="24"/>
          <w:shd w:val="clear" w:color="auto" w:fill="FFFFFF"/>
          <w:lang w:bidi="ar"/>
        </w:rPr>
        <w:t>T</w:t>
      </w:r>
      <w:r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  <w:t>he relationship between the anodic peak potential (E</w:t>
      </w:r>
      <w:r>
        <w:rPr>
          <w:rFonts w:ascii="Times New Roman" w:hAnsi="Times New Roman" w:cs="Times New Roman"/>
          <w:color w:val="404040"/>
          <w:sz w:val="24"/>
          <w:shd w:val="clear" w:color="auto" w:fill="FFFFFF"/>
          <w:lang w:bidi="ar"/>
        </w:rPr>
        <w:t>pa</w:t>
      </w:r>
      <w:r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  <w:t>) and the natural logarithm of the scan rate (ln ν) was analyzed for the SnS</w:t>
      </w:r>
      <w:r>
        <w:rPr>
          <w:rFonts w:hint="eastAsia" w:ascii="Times New Roman" w:hAnsi="Times New Roman" w:eastAsia="宋体" w:cs="Times New Roman"/>
          <w:color w:val="404040"/>
          <w:sz w:val="24"/>
          <w:shd w:val="clear" w:color="auto" w:fill="FFFFFF"/>
          <w:vertAlign w:val="subscript"/>
          <w:lang w:bidi="ar"/>
        </w:rPr>
        <w:t>2</w:t>
      </w:r>
      <w:r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  <w:t>-Co</w:t>
      </w:r>
      <w:r>
        <w:rPr>
          <w:rFonts w:hint="eastAsia" w:ascii="Times New Roman" w:hAnsi="Times New Roman" w:eastAsia="宋体" w:cs="Times New Roman"/>
          <w:color w:val="404040"/>
          <w:sz w:val="24"/>
          <w:shd w:val="clear" w:color="auto" w:fill="FFFFFF"/>
          <w:vertAlign w:val="subscript"/>
          <w:lang w:bidi="ar"/>
        </w:rPr>
        <w:t>1</w:t>
      </w:r>
      <w:r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  <w:t>Fe</w:t>
      </w:r>
      <w:r>
        <w:rPr>
          <w:rFonts w:hint="eastAsia" w:ascii="Times New Roman" w:hAnsi="Times New Roman" w:eastAsia="宋体" w:cs="Times New Roman"/>
          <w:color w:val="404040"/>
          <w:sz w:val="24"/>
          <w:shd w:val="clear" w:color="auto" w:fill="FFFFFF"/>
          <w:vertAlign w:val="subscript"/>
          <w:lang w:bidi="ar"/>
        </w:rPr>
        <w:t>2</w:t>
      </w:r>
      <w:r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  <w:t>@N-CNTs/GCE in 0.1 M PBS containing 1 mM PG to evaluate the electron transfer kinetics.</w:t>
      </w:r>
    </w:p>
    <w:p w14:paraId="1E2D9084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550DD40B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0E8C9DC3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438D0DAB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15522C12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0C7164F1">
      <w:pPr>
        <w:jc w:val="center"/>
        <w:rPr>
          <w:rFonts w:ascii="Times New Roman" w:hAnsi="Times New Roman" w:eastAsia="Segoe UI" w:cs="Times New Roman"/>
          <w:color w:val="404040"/>
          <w:sz w:val="24"/>
          <w:shd w:val="clear" w:color="auto" w:fill="FFFFFF"/>
          <w:lang w:bidi="ar"/>
        </w:rPr>
      </w:pPr>
    </w:p>
    <w:p w14:paraId="753A2014">
      <w:pPr>
        <w:jc w:val="center"/>
        <w:rPr>
          <w:rFonts w:ascii="Times New Roman" w:hAnsi="Times New Roman" w:eastAsia="宋体" w:cs="Times New Roman"/>
          <w:color w:val="404040"/>
          <w:sz w:val="24"/>
          <w:shd w:val="clear" w:color="auto" w:fill="FFFFFF"/>
          <w:lang w:bidi="ar"/>
        </w:rPr>
      </w:pPr>
      <w:r>
        <w:rPr>
          <w:rFonts w:hint="eastAsia" w:ascii="Times New Roman" w:hAnsi="Times New Roman" w:eastAsia="宋体" w:cs="Times New Roman"/>
          <w:color w:val="404040"/>
          <w:sz w:val="24"/>
          <w:shd w:val="clear" w:color="auto" w:fill="FFFFFF"/>
          <w:lang w:bidi="ar"/>
        </w:rPr>
        <w:drawing>
          <wp:inline distT="0" distB="0" distL="114300" distR="114300">
            <wp:extent cx="5273040" cy="4115435"/>
            <wp:effectExtent l="0" t="0" r="0" b="14605"/>
            <wp:docPr id="7" name="图片 7" descr="PH与电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H与电位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1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D97C0">
      <w:pPr>
        <w:jc w:val="center"/>
        <w:rPr>
          <w:rFonts w:ascii="Times New Roman" w:hAnsi="Times New Roman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hint="eastAsia" w:ascii="Times New Roman" w:hAnsi="Times New Roman" w:cs="Times New Roman"/>
          <w:sz w:val="24"/>
        </w:rPr>
        <w:t>5 The linear plot between various pH values vs. the corresponding potential.</w:t>
      </w:r>
    </w:p>
    <w:p w14:paraId="22E37D97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0C55BF5C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509AD40F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5EC620A9">
      <w:pPr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71DFCBBB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hint="eastAsia"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  <w:drawing>
          <wp:inline distT="0" distB="0" distL="114300" distR="114300">
            <wp:extent cx="5274310" cy="4304665"/>
            <wp:effectExtent l="0" t="0" r="13970" b="8255"/>
            <wp:docPr id="4" name="图片 4" descr="重复性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重复性-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7CB0E">
      <w:pPr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2755B75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hint="eastAsia" w:ascii="Times New Roman" w:hAnsi="Times New Roman" w:cs="Times New Roman"/>
          <w:sz w:val="24"/>
        </w:rPr>
        <w:t>6 Repeatability of current responses for Electrode 1 (Batch A) over 12 consecutive measurements</w:t>
      </w:r>
    </w:p>
    <w:p w14:paraId="1E669976">
      <w:pPr>
        <w:rPr>
          <w:rFonts w:ascii="Times New Roman" w:hAnsi="Times New Roman" w:cs="Times New Roman"/>
          <w:sz w:val="24"/>
        </w:rPr>
      </w:pPr>
    </w:p>
    <w:p w14:paraId="611A0115">
      <w:pPr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3DA86BD4">
      <w:pPr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013D7EC2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hint="eastAsia"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  <w:drawing>
          <wp:inline distT="0" distB="0" distL="114300" distR="114300">
            <wp:extent cx="5277485" cy="4334510"/>
            <wp:effectExtent l="0" t="0" r="10795" b="8890"/>
            <wp:docPr id="5" name="图片 5" descr="重复性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重复性-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48AAE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ascii="Times New Roman" w:hAnsi="Times New Roman" w:cs="Times New Roman"/>
          <w:b/>
          <w:bCs/>
          <w:sz w:val="24"/>
        </w:rPr>
        <w:t>Fig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</w:t>
      </w:r>
      <w:r>
        <w:rPr>
          <w:rFonts w:hint="eastAsia" w:ascii="Times New Roman" w:hAnsi="Times New Roman" w:cs="Times New Roman"/>
          <w:sz w:val="24"/>
        </w:rPr>
        <w:t xml:space="preserve">7 </w:t>
      </w:r>
      <w:r>
        <w:rPr>
          <w:rFonts w:hint="eastAsia" w:ascii="Times New Roman" w:hAnsi="Times New Roman" w:eastAsia="宋体" w:cs="Times New Roman"/>
          <w:color w:val="404040"/>
          <w:sz w:val="24"/>
          <w:shd w:val="clear" w:color="auto" w:fill="FFFFFF"/>
          <w:lang w:bidi="ar"/>
        </w:rPr>
        <w:t>Repeatability (n=12) for a single electrode from Batch B</w:t>
      </w:r>
    </w:p>
    <w:p w14:paraId="0DB90384">
      <w:pPr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0DC896D1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hint="eastAsia"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  <w:drawing>
          <wp:inline distT="0" distB="0" distL="114300" distR="114300">
            <wp:extent cx="5276215" cy="4533265"/>
            <wp:effectExtent l="0" t="0" r="12065" b="8255"/>
            <wp:docPr id="6" name="图片 6" descr="XRD 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XRD 对比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6215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E8011">
      <w:pPr>
        <w:jc w:val="center"/>
        <w:rPr>
          <w:rFonts w:ascii="Times New Roman" w:hAnsi="Times New Roman" w:eastAsia="宋体" w:cs="Times New Roman"/>
          <w:b/>
          <w:bCs/>
          <w:color w:val="404040"/>
          <w:sz w:val="24"/>
          <w:shd w:val="clear" w:color="auto" w:fill="FFFFFF"/>
          <w:lang w:bidi="ar"/>
        </w:rPr>
      </w:pPr>
    </w:p>
    <w:p w14:paraId="5593EDD8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Fig. S</w:t>
      </w:r>
      <w:r>
        <w:rPr>
          <w:rFonts w:hint="eastAsia"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8</w: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t>. XRD analysis of the electrode after 50 CV cycles</w:t>
      </w:r>
    </w:p>
    <w:p w14:paraId="27185B93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6C7DE3A7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349361EC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15207613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195E7A7E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588DE11B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56019E87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172B7318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78EB0F38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6CB3DDB0">
      <w:pPr>
        <w:jc w:val="center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4B4C9D00">
      <w:pP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552FF0C6">
      <w:pPr>
        <w:spacing w:line="480" w:lineRule="auto"/>
        <w:ind w:firstLine="482" w:firstLineChars="200"/>
        <w:rPr>
          <w:rFonts w:ascii="Times New Roman" w:hAnsi="Times New Roman" w:cs="Times New Roman"/>
          <w:kern w:val="44"/>
          <w:sz w:val="24"/>
        </w:rPr>
      </w:pPr>
      <w:r>
        <w:rPr>
          <w:rFonts w:ascii="Times New Roman" w:hAnsi="Times New Roman" w:cs="Times New Roman"/>
          <w:b/>
          <w:bCs/>
          <w:kern w:val="44"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kern w:val="44"/>
          <w:sz w:val="24"/>
        </w:rPr>
        <w:t>S1</w:t>
      </w:r>
      <w:r>
        <w:rPr>
          <w:rFonts w:ascii="Times New Roman" w:hAnsi="Times New Roman" w:cs="Times New Roman"/>
          <w:b/>
          <w:bCs/>
          <w:kern w:val="44"/>
          <w:sz w:val="24"/>
        </w:rPr>
        <w:t>.</w:t>
      </w:r>
      <w:r>
        <w:rPr>
          <w:rFonts w:ascii="Times New Roman" w:hAnsi="Times New Roman" w:cs="Times New Roman"/>
          <w:kern w:val="44"/>
          <w:sz w:val="24"/>
        </w:rPr>
        <w:t xml:space="preserve"> Textural properties of 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N-CNTs, Co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vertAlign w:val="subscript"/>
          <w:lang w:bidi="ar"/>
        </w:rPr>
        <w:t>1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Fe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vertAlign w:val="subscript"/>
          <w:lang w:bidi="ar"/>
        </w:rPr>
        <w:t>2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@N-CNTs and SnS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vertAlign w:val="subscript"/>
          <w:lang w:bidi="ar"/>
        </w:rPr>
        <w:t>2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-Co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vertAlign w:val="subscript"/>
          <w:lang w:bidi="ar"/>
        </w:rPr>
        <w:t>1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Fe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vertAlign w:val="subscript"/>
          <w:lang w:bidi="ar"/>
        </w:rPr>
        <w:t>2</w:t>
      </w:r>
      <w:r>
        <w:rPr>
          <w:rFonts w:hint="eastAsia" w:ascii="Times New Roman" w:hAnsi="Times New Roman" w:eastAsia="宋体" w:cs="Times New Roman"/>
          <w:color w:val="2A2B2E"/>
          <w:kern w:val="0"/>
          <w:sz w:val="24"/>
          <w:shd w:val="clear" w:color="auto" w:fill="FFFFFF"/>
          <w:lang w:bidi="ar"/>
        </w:rPr>
        <w:t>@N-CNTs</w:t>
      </w:r>
      <w:r>
        <w:rPr>
          <w:rFonts w:ascii="Times New Roman" w:hAnsi="Times New Roman" w:cs="Times New Roman"/>
          <w:kern w:val="44"/>
          <w:sz w:val="24"/>
        </w:rPr>
        <w:t xml:space="preserve"> samples derived from N</w:t>
      </w:r>
      <w:r>
        <w:rPr>
          <w:rFonts w:hint="eastAsia" w:ascii="Times New Roman" w:hAnsi="Times New Roman" w:cs="Times New Roman"/>
          <w:kern w:val="44"/>
          <w:sz w:val="24"/>
          <w:vertAlign w:val="subscript"/>
        </w:rPr>
        <w:t>2</w:t>
      </w:r>
      <w:r>
        <w:rPr>
          <w:rFonts w:ascii="Times New Roman" w:hAnsi="Times New Roman" w:cs="Times New Roman"/>
          <w:kern w:val="44"/>
          <w:sz w:val="24"/>
        </w:rPr>
        <w:t xml:space="preserve"> physisorption.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0"/>
        <w:gridCol w:w="1989"/>
        <w:gridCol w:w="1650"/>
        <w:gridCol w:w="2405"/>
      </w:tblGrid>
      <w:tr w14:paraId="00957BFA">
        <w:tblPrEx>
          <w:tblBorders>
            <w:top w:val="single" w:color="auto" w:sz="12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6" w:type="pct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B34CBB9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ascii="Times New Roman" w:hAnsi="Times New Roman" w:cs="Times New Roman"/>
                <w:color w:val="0F1115"/>
                <w:kern w:val="0"/>
                <w:sz w:val="24"/>
              </w:rPr>
              <w:t>Sample</w:t>
            </w:r>
          </w:p>
        </w:tc>
        <w:tc>
          <w:tcPr>
            <w:tcW w:w="1169" w:type="pct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785259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ascii="Times New Roman" w:hAnsi="Times New Roman" w:cs="Times New Roman"/>
                <w:color w:val="0F1115"/>
                <w:sz w:val="24"/>
              </w:rPr>
              <w:t>BET surface area (m</w:t>
            </w:r>
            <w:r>
              <w:rPr>
                <w:rFonts w:hint="eastAsia" w:ascii="Times New Roman" w:hAnsi="Times New Roman" w:cs="Times New Roman"/>
                <w:color w:val="0F1115"/>
                <w:sz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F1115"/>
                <w:sz w:val="24"/>
              </w:rPr>
              <w:t xml:space="preserve"> g</w:t>
            </w:r>
            <w:r>
              <w:rPr>
                <w:rFonts w:hint="eastAsia" w:ascii="Times New Roman" w:hAnsi="Times New Roman" w:cs="Times New Roman"/>
                <w:color w:val="0F1115"/>
                <w:sz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color w:val="0F1115"/>
                <w:sz w:val="24"/>
              </w:rPr>
              <w:t>)</w:t>
            </w:r>
          </w:p>
        </w:tc>
        <w:tc>
          <w:tcPr>
            <w:tcW w:w="970" w:type="pct"/>
            <w:tcBorders>
              <w:bottom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9FBE783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color w:val="0F1115"/>
                <w:kern w:val="0"/>
                <w:sz w:val="24"/>
              </w:rPr>
              <w:t xml:space="preserve">Total pore volume </w:t>
            </w:r>
          </w:p>
          <w:p w14:paraId="2FED7BDC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ascii="Times New Roman" w:hAnsi="Times New Roman" w:cs="Times New Roman"/>
                <w:color w:val="0F1115"/>
                <w:kern w:val="0"/>
                <w:sz w:val="24"/>
              </w:rPr>
              <w:t>(cm</w:t>
            </w:r>
            <w:r>
              <w:rPr>
                <w:rFonts w:hint="eastAsia" w:ascii="Times New Roman" w:hAnsi="Times New Roman" w:cs="Times New Roman"/>
                <w:color w:val="0F1115"/>
                <w:sz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color w:val="0F1115"/>
                <w:kern w:val="0"/>
                <w:sz w:val="24"/>
              </w:rPr>
              <w:t xml:space="preserve"> g</w:t>
            </w:r>
            <w:r>
              <w:rPr>
                <w:rFonts w:hint="eastAsia" w:ascii="Times New Roman" w:hAnsi="Times New Roman" w:cs="Times New Roman"/>
                <w:color w:val="0F1115"/>
                <w:sz w:val="24"/>
                <w:vertAlign w:val="superscript"/>
              </w:rPr>
              <w:t>-1</w:t>
            </w:r>
            <w:r>
              <w:rPr>
                <w:rFonts w:ascii="Times New Roman" w:hAnsi="Times New Roman" w:cs="Times New Roman"/>
                <w:color w:val="0F1115"/>
                <w:kern w:val="0"/>
                <w:sz w:val="24"/>
              </w:rPr>
              <w:t>)</w:t>
            </w:r>
          </w:p>
        </w:tc>
        <w:tc>
          <w:tcPr>
            <w:tcW w:w="1414" w:type="pct"/>
            <w:tcBorders>
              <w:bottom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B576A5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Average pore size Dpore (nm)</w:t>
            </w:r>
          </w:p>
        </w:tc>
      </w:tr>
      <w:tr w14:paraId="574F1857">
        <w:tblPrEx>
          <w:tblBorders>
            <w:top w:val="single" w:color="auto" w:sz="12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6" w:type="pct"/>
            <w:tcBorders>
              <w:top w:val="single" w:color="auto" w:sz="12" w:space="0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1C1C5BE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N-CNTs</w:t>
            </w:r>
          </w:p>
        </w:tc>
        <w:tc>
          <w:tcPr>
            <w:tcW w:w="1169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CBCC0A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75.89</w:t>
            </w:r>
          </w:p>
        </w:tc>
        <w:tc>
          <w:tcPr>
            <w:tcW w:w="970" w:type="pct"/>
            <w:tcBorders>
              <w:top w:val="single" w:color="000000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5F5B96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kern w:val="0"/>
                <w:sz w:val="24"/>
              </w:rPr>
              <w:t>0.208</w:t>
            </w:r>
          </w:p>
        </w:tc>
        <w:tc>
          <w:tcPr>
            <w:tcW w:w="1414" w:type="pct"/>
            <w:tcBorders>
              <w:top w:val="single" w:color="auto" w:sz="12" w:space="0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493A52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8.36</w:t>
            </w:r>
          </w:p>
        </w:tc>
      </w:tr>
      <w:tr w14:paraId="16C57243">
        <w:tblPrEx>
          <w:tblBorders>
            <w:top w:val="single" w:color="auto" w:sz="12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6" w:type="pc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065B8B5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Co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vertAlign w:val="subscript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Fe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vertAlign w:val="sub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@N-CNTs</w:t>
            </w:r>
          </w:p>
        </w:tc>
        <w:tc>
          <w:tcPr>
            <w:tcW w:w="1169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96BB38C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77.99</w:t>
            </w:r>
          </w:p>
        </w:tc>
        <w:tc>
          <w:tcPr>
            <w:tcW w:w="970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D3D9C1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kern w:val="0"/>
                <w:sz w:val="24"/>
              </w:rPr>
              <w:t>0.140</w:t>
            </w:r>
          </w:p>
        </w:tc>
        <w:tc>
          <w:tcPr>
            <w:tcW w:w="1414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557711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sz w:val="24"/>
              </w:rPr>
              <w:t>6.36</w:t>
            </w:r>
          </w:p>
        </w:tc>
      </w:tr>
      <w:tr w14:paraId="1005E018">
        <w:tblPrEx>
          <w:tblBorders>
            <w:top w:val="single" w:color="auto" w:sz="12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46" w:type="pct"/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FBD38D3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SnS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vertAlign w:val="sub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-Co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vertAlign w:val="subscript"/>
                <w:lang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Fe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vertAlign w:val="sub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2A2B2E"/>
                <w:kern w:val="0"/>
                <w:sz w:val="24"/>
                <w:shd w:val="clear" w:color="auto" w:fill="FFFFFF"/>
                <w:lang w:bidi="ar"/>
              </w:rPr>
              <w:t>@N-CNTs</w:t>
            </w:r>
          </w:p>
        </w:tc>
        <w:tc>
          <w:tcPr>
            <w:tcW w:w="1169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39D13F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kern w:val="0"/>
                <w:sz w:val="24"/>
              </w:rPr>
              <w:t>59.30</w:t>
            </w:r>
          </w:p>
        </w:tc>
        <w:tc>
          <w:tcPr>
            <w:tcW w:w="970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1D0228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kern w:val="0"/>
                <w:sz w:val="24"/>
              </w:rPr>
              <w:t>0.108</w:t>
            </w:r>
          </w:p>
        </w:tc>
        <w:tc>
          <w:tcPr>
            <w:tcW w:w="1414" w:type="pct"/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5E868B7">
            <w:pPr>
              <w:widowControl/>
              <w:spacing w:after="0" w:line="300" w:lineRule="atLeast"/>
              <w:jc w:val="center"/>
              <w:rPr>
                <w:rFonts w:ascii="Times New Roman" w:hAnsi="Times New Roman" w:cs="Times New Roman"/>
                <w:color w:val="0F1115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0F1115"/>
                <w:kern w:val="0"/>
                <w:sz w:val="24"/>
              </w:rPr>
              <w:t>6.21</w:t>
            </w:r>
          </w:p>
        </w:tc>
      </w:tr>
    </w:tbl>
    <w:p w14:paraId="4C72A141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64A11EB7">
      <w:pPr>
        <w:jc w:val="center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14244619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Table. S2 Comparison of the electrochemical active surface areas (A) of different materials</w:t>
      </w:r>
    </w:p>
    <w:p w14:paraId="4EA1EAF9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tbl>
      <w:tblPr>
        <w:tblStyle w:val="5"/>
        <w:tblW w:w="4457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38"/>
        <w:gridCol w:w="2067"/>
        <w:gridCol w:w="2304"/>
      </w:tblGrid>
      <w:tr w14:paraId="4E8B1C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4C02DA5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M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aterials</w:t>
            </w:r>
          </w:p>
        </w:tc>
        <w:tc>
          <w:tcPr>
            <w:tcW w:w="1481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A3EEF4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Ip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 xml:space="preserve"> (μA)</w:t>
            </w:r>
          </w:p>
        </w:tc>
        <w:tc>
          <w:tcPr>
            <w:tcW w:w="1640" w:type="pct"/>
            <w:tcBorders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B12E293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A (cm²)</w:t>
            </w:r>
          </w:p>
        </w:tc>
      </w:tr>
      <w:tr w14:paraId="1B120C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DA3189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GCE</w:t>
            </w:r>
          </w:p>
        </w:tc>
        <w:tc>
          <w:tcPr>
            <w:tcW w:w="2109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AB3B6C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32.26</w:t>
            </w:r>
          </w:p>
        </w:tc>
        <w:tc>
          <w:tcPr>
            <w:tcW w:w="2345" w:type="dxa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13723B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0.0829</w:t>
            </w:r>
          </w:p>
        </w:tc>
      </w:tr>
      <w:tr w14:paraId="1251AF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E7C9753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SnS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/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GCE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CC5FC28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38.78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2675C6E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0.0997</w:t>
            </w:r>
          </w:p>
        </w:tc>
      </w:tr>
      <w:tr w14:paraId="2203F0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2D5A60D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N-CNTs/GCE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95033F7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43.25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4E64C24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0.111</w:t>
            </w:r>
          </w:p>
        </w:tc>
      </w:tr>
      <w:tr w14:paraId="638514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C3C7527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Co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Fe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@N-CNTs/GCE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67205B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62.61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D50E59A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0.161</w:t>
            </w:r>
          </w:p>
        </w:tc>
      </w:tr>
      <w:tr w14:paraId="0633BD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877" w:type="pct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376C828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SnS-Co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Fe</w:t>
            </w:r>
            <w:r>
              <w:rPr>
                <w:rFonts w:hint="eastAsia"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kern w:val="0"/>
                <w:sz w:val="24"/>
                <w:lang w:bidi="ar"/>
              </w:rPr>
              <w:t>@N-CNTs/GCE</w:t>
            </w:r>
          </w:p>
        </w:tc>
        <w:tc>
          <w:tcPr>
            <w:tcW w:w="2109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EE94672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89.45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6409227">
            <w:pPr>
              <w:widowControl/>
              <w:spacing w:line="300" w:lineRule="atLeast"/>
              <w:jc w:val="center"/>
              <w:rPr>
                <w:rFonts w:ascii="Times New Roman" w:hAnsi="Times New Roman" w:eastAsia="Segoe UI" w:cs="Times New Roman"/>
                <w:color w:val="0F1115"/>
                <w:sz w:val="24"/>
              </w:rPr>
            </w:pPr>
            <w:r>
              <w:rPr>
                <w:rFonts w:ascii="Times New Roman" w:hAnsi="Times New Roman" w:eastAsia="Segoe UI" w:cs="Times New Roman"/>
                <w:color w:val="0F1115"/>
                <w:kern w:val="0"/>
                <w:sz w:val="24"/>
                <w:lang w:bidi="ar"/>
              </w:rPr>
              <w:t>0.230</w:t>
            </w:r>
          </w:p>
        </w:tc>
      </w:tr>
    </w:tbl>
    <w:p w14:paraId="09E8A897">
      <w:pPr>
        <w:widowControl/>
        <w:jc w:val="left"/>
      </w:pPr>
    </w:p>
    <w:p w14:paraId="3D986EEA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1BE3DA7B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0F416180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5A46238C">
      <w:pPr>
        <w:jc w:val="center"/>
        <w:rPr>
          <w:rFonts w:ascii="Times New Roman" w:hAnsi="Times New Roman" w:eastAsia="宋体" w:cs="Times New Roman"/>
          <w:color w:val="404040"/>
          <w:sz w:val="24"/>
          <w:highlight w:val="yellow"/>
          <w:shd w:val="clear" w:color="auto" w:fill="FFFFFF"/>
          <w:lang w:bidi="ar"/>
        </w:rPr>
      </w:pPr>
    </w:p>
    <w:p w14:paraId="4FCE869A">
      <w:pPr>
        <w:spacing w:after="312" w:afterLines="100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  <w:bookmarkStart w:id="4" w:name="OLE_LINK3"/>
      <w:r>
        <w:rPr>
          <w:rFonts w:hint="eastAsia"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Table. S3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</w:rPr>
        <w:t xml:space="preserve"> Quantification of propyl gallate (PG) in food samples using a  </w: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t>SnS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  <w:vertAlign w:val="subscript"/>
        </w:rPr>
        <w:t>2</w: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t>-Co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  <w:vertAlign w:val="subscript"/>
        </w:rPr>
        <w:t>1</w: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t>Fe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  <w:vertAlign w:val="subscript"/>
        </w:rPr>
        <w:t>2</w: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t>@N-CNT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</w:rPr>
        <w:t>s modified electrode.</w:t>
      </w:r>
    </w:p>
    <w:bookmarkEnd w:id="4"/>
    <w:tbl>
      <w:tblPr>
        <w:tblStyle w:val="5"/>
        <w:tblW w:w="5000" w:type="pct"/>
        <w:jc w:val="center"/>
        <w:tblBorders>
          <w:top w:val="single" w:color="5B9BD5" w:sz="12" w:space="0"/>
          <w:left w:val="none" w:color="auto" w:sz="0" w:space="0"/>
          <w:bottom w:val="single" w:color="5B9BD5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77"/>
        <w:gridCol w:w="999"/>
        <w:gridCol w:w="1017"/>
        <w:gridCol w:w="1017"/>
        <w:gridCol w:w="1017"/>
        <w:gridCol w:w="1187"/>
        <w:gridCol w:w="1248"/>
        <w:gridCol w:w="908"/>
      </w:tblGrid>
      <w:tr w14:paraId="647982C0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1" w:hRule="atLeast"/>
          <w:jc w:val="center"/>
        </w:trPr>
        <w:tc>
          <w:tcPr>
            <w:tcW w:w="635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410EAC7E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Sample</w:t>
            </w:r>
          </w:p>
        </w:tc>
        <w:tc>
          <w:tcPr>
            <w:tcW w:w="589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6AFC42D9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Added (μM)</w:t>
            </w:r>
          </w:p>
        </w:tc>
        <w:tc>
          <w:tcPr>
            <w:tcW w:w="600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6A9D804E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Found (μM)</w:t>
            </w:r>
          </w:p>
        </w:tc>
        <w:tc>
          <w:tcPr>
            <w:tcW w:w="600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37502BBE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Found (μM)</w:t>
            </w:r>
          </w:p>
        </w:tc>
        <w:tc>
          <w:tcPr>
            <w:tcW w:w="600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19AAF816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Found (μM)</w:t>
            </w:r>
          </w:p>
        </w:tc>
        <w:tc>
          <w:tcPr>
            <w:tcW w:w="700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4EFC1239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Found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2"/>
              </w:rPr>
              <w:t xml:space="preserve"> (n=3)</w:t>
            </w: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 xml:space="preserve"> (μM)</w:t>
            </w:r>
          </w:p>
        </w:tc>
        <w:tc>
          <w:tcPr>
            <w:tcW w:w="736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3753F152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Recovery (%)</w:t>
            </w:r>
          </w:p>
        </w:tc>
        <w:tc>
          <w:tcPr>
            <w:tcW w:w="535" w:type="pct"/>
            <w:tcBorders>
              <w:top w:val="single" w:color="000000" w:sz="12" w:space="0"/>
              <w:bottom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79" w:type="dxa"/>
              <w:bottom w:w="52" w:type="dxa"/>
              <w:right w:w="79" w:type="dxa"/>
            </w:tcMar>
            <w:vAlign w:val="center"/>
          </w:tcPr>
          <w:p w14:paraId="2A5D9DBF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"/>
              </w:rPr>
              <w:t>RSD (%, n=3)</w:t>
            </w:r>
          </w:p>
        </w:tc>
      </w:tr>
      <w:tr w14:paraId="0BC8D233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635" w:type="pct"/>
            <w:vMerge w:val="restart"/>
            <w:tcBorders>
              <w:top w:val="single" w:color="000000" w:sz="4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2499DBD7">
            <w:pPr>
              <w:pStyle w:val="4"/>
              <w:widowControl/>
              <w:spacing w:beforeAutospacing="0" w:afterAutospacing="0" w:line="360" w:lineRule="auto"/>
              <w:jc w:val="center"/>
              <w:rPr>
                <w:rFonts w:ascii="Times New Roman" w:hAnsi="Times New Roman" w:eastAsia="宋体"/>
                <w:color w:val="000000"/>
                <w:kern w:val="2"/>
              </w:rPr>
            </w:pPr>
            <w:r>
              <w:rPr>
                <w:rFonts w:ascii="Times New Roman" w:hAnsi="Times New Roman" w:eastAsia="宋体"/>
                <w:color w:val="000000"/>
                <w:kern w:val="2"/>
              </w:rPr>
              <w:t>Biscuits</w:t>
            </w:r>
          </w:p>
        </w:tc>
        <w:tc>
          <w:tcPr>
            <w:tcW w:w="589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D9383A6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F2E4827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D92D9A3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5B3F10B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33320F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36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B857CA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35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B0AE39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14:paraId="393AFB2E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635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2349B8F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宋体"/>
                <w:color w:val="000000"/>
                <w:kern w:val="2"/>
              </w:rPr>
            </w:pPr>
          </w:p>
        </w:tc>
        <w:tc>
          <w:tcPr>
            <w:tcW w:w="589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27409D2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4D9EA0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48.95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6F53C2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47.55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9129EE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50.02</w:t>
            </w:r>
          </w:p>
        </w:tc>
        <w:tc>
          <w:tcPr>
            <w:tcW w:w="7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A67F1B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48.84</w:t>
            </w:r>
          </w:p>
        </w:tc>
        <w:tc>
          <w:tcPr>
            <w:tcW w:w="736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0B0F0D7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97.68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2F144F8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2.53</w:t>
            </w:r>
          </w:p>
        </w:tc>
      </w:tr>
      <w:tr w14:paraId="4388FB35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635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26C2DC18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宋体"/>
                <w:color w:val="000000"/>
                <w:kern w:val="2"/>
              </w:rPr>
            </w:pPr>
          </w:p>
        </w:tc>
        <w:tc>
          <w:tcPr>
            <w:tcW w:w="589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C824A08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4D5EC90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99.79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4854081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98.30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AC7F4D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98.59</w:t>
            </w:r>
          </w:p>
        </w:tc>
        <w:tc>
          <w:tcPr>
            <w:tcW w:w="7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44088757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98.89</w:t>
            </w:r>
          </w:p>
        </w:tc>
        <w:tc>
          <w:tcPr>
            <w:tcW w:w="736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63CE708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98.89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977C9E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0.63</w:t>
            </w:r>
          </w:p>
        </w:tc>
      </w:tr>
      <w:tr w14:paraId="77EEBA9E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635" w:type="pct"/>
            <w:vMerge w:val="continue"/>
            <w:tcBorders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919EFC0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 w:eastAsia="宋体"/>
                <w:color w:val="000000"/>
                <w:kern w:val="2"/>
              </w:rPr>
            </w:pPr>
          </w:p>
        </w:tc>
        <w:tc>
          <w:tcPr>
            <w:tcW w:w="589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30F8E3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6D08CC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201.99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9B6A22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198.66</w:t>
            </w:r>
          </w:p>
        </w:tc>
        <w:tc>
          <w:tcPr>
            <w:tcW w:w="6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E77EB3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197.49</w:t>
            </w:r>
          </w:p>
        </w:tc>
        <w:tc>
          <w:tcPr>
            <w:tcW w:w="700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988762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199.38</w:t>
            </w:r>
          </w:p>
        </w:tc>
        <w:tc>
          <w:tcPr>
            <w:tcW w:w="736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32A6F4B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99.69</w:t>
            </w:r>
          </w:p>
        </w:tc>
        <w:tc>
          <w:tcPr>
            <w:tcW w:w="535" w:type="pct"/>
            <w:tcBorders>
              <w:top w:val="nil"/>
              <w:bottom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DFC6D0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1.17</w:t>
            </w:r>
          </w:p>
        </w:tc>
      </w:tr>
      <w:tr w14:paraId="71C03F19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635" w:type="pct"/>
            <w:vMerge w:val="restar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C7A37E3">
            <w:pPr>
              <w:pStyle w:val="4"/>
              <w:widowControl/>
              <w:spacing w:beforeAutospacing="0" w:afterAutospac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eastAsia="宋体"/>
                <w:color w:val="000000"/>
                <w:kern w:val="2"/>
              </w:rPr>
              <w:t>Cured meat</w:t>
            </w:r>
          </w:p>
        </w:tc>
        <w:tc>
          <w:tcPr>
            <w:tcW w:w="589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7BEB5F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A56940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67A84B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5428A6C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00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4C50336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736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5190E6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35" w:type="pct"/>
            <w:tcBorders>
              <w:top w:val="nil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2D4957F6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</w:p>
        </w:tc>
      </w:tr>
      <w:tr w14:paraId="75139045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635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7418DE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 w14:paraId="28EDBF7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43D63AE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48.92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C9D81A3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49.95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1831106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49.09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C30DF9B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</w:rPr>
              <w:t>49.32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29FF21A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98.63</w:t>
            </w:r>
          </w:p>
        </w:tc>
        <w:tc>
          <w:tcPr>
            <w:tcW w:w="535" w:type="pct"/>
            <w:tcBorders>
              <w:tl2br w:val="nil"/>
              <w:tr2bl w:val="nil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 w14:paraId="3BBA4C72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1.12</w:t>
            </w:r>
          </w:p>
        </w:tc>
      </w:tr>
      <w:tr w14:paraId="06791C45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635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0A92A5A0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 w14:paraId="36E896A9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3E89954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99.63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D4EED6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98.57</w:t>
            </w:r>
          </w:p>
        </w:tc>
        <w:tc>
          <w:tcPr>
            <w:tcW w:w="6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7F56F1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98.11</w:t>
            </w:r>
          </w:p>
        </w:tc>
        <w:tc>
          <w:tcPr>
            <w:tcW w:w="700" w:type="pct"/>
            <w:tcBorders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DB4934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98.77</w:t>
            </w:r>
          </w:p>
        </w:tc>
        <w:tc>
          <w:tcPr>
            <w:tcW w:w="736" w:type="pct"/>
            <w:tcBorders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73842D7D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98.77</w:t>
            </w:r>
          </w:p>
        </w:tc>
        <w:tc>
          <w:tcPr>
            <w:tcW w:w="535" w:type="pct"/>
            <w:tcBorders>
              <w:tl2br w:val="nil"/>
              <w:tr2bl w:val="nil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 w14:paraId="30D214EA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0.79</w:t>
            </w:r>
          </w:p>
        </w:tc>
      </w:tr>
      <w:tr w14:paraId="0054B6E4">
        <w:tblPrEx>
          <w:tblBorders>
            <w:top w:val="single" w:color="5B9BD5" w:sz="12" w:space="0"/>
            <w:left w:val="none" w:color="auto" w:sz="0" w:space="0"/>
            <w:bottom w:val="single" w:color="5B9BD5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635" w:type="pct"/>
            <w:vMerge w:val="continue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6F3E2C93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589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9" w:type="dxa"/>
              <w:left w:w="9" w:type="dxa"/>
              <w:right w:w="9" w:type="dxa"/>
            </w:tcMar>
            <w:vAlign w:val="center"/>
          </w:tcPr>
          <w:p w14:paraId="3F40F55E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60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3A11FBA1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197.48</w:t>
            </w:r>
          </w:p>
        </w:tc>
        <w:tc>
          <w:tcPr>
            <w:tcW w:w="60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5EEF1937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197.54</w:t>
            </w:r>
          </w:p>
        </w:tc>
        <w:tc>
          <w:tcPr>
            <w:tcW w:w="60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15A748FF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195.98</w:t>
            </w:r>
          </w:p>
        </w:tc>
        <w:tc>
          <w:tcPr>
            <w:tcW w:w="700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4DA8155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197.00</w:t>
            </w:r>
          </w:p>
        </w:tc>
        <w:tc>
          <w:tcPr>
            <w:tcW w:w="736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14:paraId="44474EA5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98.50</w:t>
            </w:r>
          </w:p>
        </w:tc>
        <w:tc>
          <w:tcPr>
            <w:tcW w:w="535" w:type="pct"/>
            <w:tcBorders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52" w:type="dxa"/>
              <w:left w:w="105" w:type="dxa"/>
              <w:bottom w:w="52" w:type="dxa"/>
              <w:right w:w="105" w:type="dxa"/>
            </w:tcMar>
            <w:vAlign w:val="center"/>
          </w:tcPr>
          <w:p w14:paraId="7EA0F7F0">
            <w:pPr>
              <w:pStyle w:val="4"/>
              <w:widowControl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0.45</w:t>
            </w:r>
          </w:p>
        </w:tc>
      </w:tr>
    </w:tbl>
    <w:p w14:paraId="4CF8F051">
      <w:pPr>
        <w:rPr>
          <w:rFonts w:ascii="Times New Roman" w:hAnsi="Times New Roman" w:eastAsia="宋体" w:cs="Times New Roman"/>
          <w:color w:val="2A2B2E"/>
          <w:szCs w:val="21"/>
          <w:shd w:val="clear" w:color="auto" w:fill="FFFFFF"/>
        </w:rPr>
      </w:pPr>
    </w:p>
    <w:p w14:paraId="052822B5">
      <w:pPr>
        <w:pStyle w:val="4"/>
        <w:widowControl/>
        <w:jc w:val="center"/>
        <w:rPr>
          <w:rFonts w:ascii="Times New Roman" w:hAnsi="Times New Roman" w:eastAsia="宋体"/>
          <w:b/>
          <w:bCs/>
          <w:color w:val="2A2B2E"/>
          <w:shd w:val="clear" w:color="auto" w:fill="FFFFFF"/>
        </w:rPr>
      </w:pPr>
      <w:bookmarkStart w:id="5" w:name="OLE_LINK2"/>
    </w:p>
    <w:p w14:paraId="6FC81BFE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6AE6DFD9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36267C59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7D7D2730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455559DE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7665762F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2D73CF6E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4EE9673B">
      <w:pPr>
        <w:spacing w:after="312" w:afterLines="100"/>
        <w:rPr>
          <w:rFonts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</w:pPr>
    </w:p>
    <w:p w14:paraId="6B2A2C15">
      <w:pPr>
        <w:spacing w:after="312" w:afterLines="100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  <w:r>
        <w:rPr>
          <w:rFonts w:hint="eastAsia"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Table. S4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</w:rPr>
        <w:t xml:space="preserve">  Spiked recovery test results for HPLC analysis of propyl gallate (PG) in actual samples.</w:t>
      </w:r>
    </w:p>
    <w:bookmarkEnd w:id="5"/>
    <w:tbl>
      <w:tblPr>
        <w:tblStyle w:val="12"/>
        <w:tblW w:w="5000" w:type="pct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6"/>
        <w:gridCol w:w="1707"/>
        <w:gridCol w:w="1707"/>
      </w:tblGrid>
      <w:tr w14:paraId="4B01E30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39" w:hRule="atLeast"/>
          <w:jc w:val="center"/>
        </w:trPr>
        <w:tc>
          <w:tcPr>
            <w:tcW w:w="999" w:type="pct"/>
            <w:tcBorders>
              <w:bottom w:val="single" w:color="000000" w:themeColor="text1" w:sz="8" w:space="0"/>
            </w:tcBorders>
            <w:vAlign w:val="center"/>
          </w:tcPr>
          <w:p w14:paraId="4BE9FFD0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Sample</w:t>
            </w:r>
          </w:p>
        </w:tc>
        <w:tc>
          <w:tcPr>
            <w:tcW w:w="999" w:type="pct"/>
            <w:tcBorders>
              <w:bottom w:val="single" w:color="000000" w:themeColor="text1" w:sz="8" w:space="0"/>
            </w:tcBorders>
            <w:vAlign w:val="center"/>
          </w:tcPr>
          <w:p w14:paraId="6B07B4D6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Added (</w:t>
            </w: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  <w:lang w:val="el-GR"/>
              </w:rPr>
              <w:t>μ</w:t>
            </w: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M)</w:t>
            </w:r>
          </w:p>
        </w:tc>
        <w:tc>
          <w:tcPr>
            <w:tcW w:w="1000" w:type="pct"/>
            <w:tcBorders>
              <w:bottom w:val="single" w:color="000000" w:themeColor="text1" w:sz="8" w:space="0"/>
            </w:tcBorders>
            <w:vAlign w:val="center"/>
          </w:tcPr>
          <w:p w14:paraId="21B173A0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Found (</w:t>
            </w: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  <w:lang w:val="el-GR"/>
              </w:rPr>
              <w:t>μ</w:t>
            </w: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M)</w:t>
            </w:r>
          </w:p>
        </w:tc>
        <w:tc>
          <w:tcPr>
            <w:tcW w:w="1000" w:type="pct"/>
            <w:tcBorders>
              <w:bottom w:val="single" w:color="000000" w:themeColor="text1" w:sz="8" w:space="0"/>
            </w:tcBorders>
            <w:vAlign w:val="center"/>
          </w:tcPr>
          <w:p w14:paraId="2FAD7A99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Recovery (%)</w:t>
            </w:r>
          </w:p>
        </w:tc>
        <w:tc>
          <w:tcPr>
            <w:tcW w:w="1000" w:type="pct"/>
            <w:tcBorders>
              <w:bottom w:val="single" w:color="000000" w:themeColor="text1" w:sz="8" w:space="0"/>
            </w:tcBorders>
            <w:vAlign w:val="center"/>
          </w:tcPr>
          <w:p w14:paraId="2D44FF46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RSD (%, n=3)</w:t>
            </w:r>
          </w:p>
        </w:tc>
      </w:tr>
      <w:tr w14:paraId="67D999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restart"/>
            <w:tcBorders>
              <w:top w:val="single" w:color="000000" w:themeColor="text1" w:sz="8" w:space="0"/>
            </w:tcBorders>
            <w:vAlign w:val="center"/>
          </w:tcPr>
          <w:p w14:paraId="226FE2D5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biscuits</w:t>
            </w:r>
          </w:p>
          <w:p w14:paraId="395DC3F2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tcBorders>
              <w:top w:val="single" w:color="000000" w:themeColor="text1" w:sz="8" w:space="0"/>
            </w:tcBorders>
            <w:vAlign w:val="center"/>
          </w:tcPr>
          <w:p w14:paraId="5D32E817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tcBorders>
              <w:top w:val="single" w:color="000000" w:themeColor="text1" w:sz="8" w:space="0"/>
            </w:tcBorders>
            <w:vAlign w:val="center"/>
          </w:tcPr>
          <w:p w14:paraId="04FE97A5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tcBorders>
              <w:top w:val="single" w:color="000000" w:themeColor="text1" w:sz="8" w:space="0"/>
            </w:tcBorders>
            <w:vAlign w:val="center"/>
          </w:tcPr>
          <w:p w14:paraId="360C4DE3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tcBorders>
              <w:top w:val="single" w:color="000000" w:themeColor="text1" w:sz="8" w:space="0"/>
            </w:tcBorders>
            <w:vAlign w:val="center"/>
          </w:tcPr>
          <w:p w14:paraId="1114D91B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</w:tr>
      <w:tr w14:paraId="5D94DEB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21F21C7E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603BE4FD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50</w:t>
            </w:r>
          </w:p>
        </w:tc>
        <w:tc>
          <w:tcPr>
            <w:tcW w:w="1000" w:type="pct"/>
            <w:vAlign w:val="center"/>
          </w:tcPr>
          <w:p w14:paraId="74CCA83B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48.58</w:t>
            </w:r>
          </w:p>
        </w:tc>
        <w:tc>
          <w:tcPr>
            <w:tcW w:w="1000" w:type="pct"/>
            <w:vAlign w:val="center"/>
          </w:tcPr>
          <w:p w14:paraId="6A5ED5F8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97.16</w:t>
            </w:r>
          </w:p>
        </w:tc>
        <w:tc>
          <w:tcPr>
            <w:tcW w:w="1000" w:type="pct"/>
            <w:vAlign w:val="center"/>
          </w:tcPr>
          <w:p w14:paraId="534372B8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2.49</w:t>
            </w:r>
          </w:p>
        </w:tc>
      </w:tr>
      <w:tr w14:paraId="2C673F9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33305B69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612F9193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100</w:t>
            </w:r>
          </w:p>
        </w:tc>
        <w:tc>
          <w:tcPr>
            <w:tcW w:w="1000" w:type="pct"/>
            <w:vAlign w:val="center"/>
          </w:tcPr>
          <w:p w14:paraId="78F0AAB6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98.86</w:t>
            </w:r>
          </w:p>
        </w:tc>
        <w:tc>
          <w:tcPr>
            <w:tcW w:w="1000" w:type="pct"/>
            <w:vAlign w:val="center"/>
          </w:tcPr>
          <w:p w14:paraId="43D2010D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98.86</w:t>
            </w:r>
          </w:p>
        </w:tc>
        <w:tc>
          <w:tcPr>
            <w:tcW w:w="1000" w:type="pct"/>
            <w:vAlign w:val="center"/>
          </w:tcPr>
          <w:p w14:paraId="6A7F3027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7</w:t>
            </w:r>
          </w:p>
        </w:tc>
      </w:tr>
      <w:tr w14:paraId="799B373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0FFFE551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670D1D41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200</w:t>
            </w:r>
          </w:p>
        </w:tc>
        <w:tc>
          <w:tcPr>
            <w:tcW w:w="1000" w:type="pct"/>
            <w:vAlign w:val="center"/>
          </w:tcPr>
          <w:p w14:paraId="7D2835BB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200.55</w:t>
            </w:r>
          </w:p>
        </w:tc>
        <w:tc>
          <w:tcPr>
            <w:tcW w:w="1000" w:type="pct"/>
            <w:vAlign w:val="center"/>
          </w:tcPr>
          <w:p w14:paraId="0AA22F16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100.2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8</w:t>
            </w:r>
          </w:p>
        </w:tc>
        <w:tc>
          <w:tcPr>
            <w:tcW w:w="1000" w:type="pct"/>
            <w:vAlign w:val="center"/>
          </w:tcPr>
          <w:p w14:paraId="0AF5250E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</w:t>
            </w:r>
          </w:p>
        </w:tc>
      </w:tr>
      <w:tr w14:paraId="128E158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restart"/>
            <w:vAlign w:val="center"/>
          </w:tcPr>
          <w:p w14:paraId="52A139FA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Cured meat</w:t>
            </w:r>
          </w:p>
        </w:tc>
        <w:tc>
          <w:tcPr>
            <w:tcW w:w="999" w:type="pct"/>
            <w:vAlign w:val="center"/>
          </w:tcPr>
          <w:p w14:paraId="0E3A0A4F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vAlign w:val="center"/>
          </w:tcPr>
          <w:p w14:paraId="63AA2E0C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vAlign w:val="center"/>
          </w:tcPr>
          <w:p w14:paraId="12B568CA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  <w:tc>
          <w:tcPr>
            <w:tcW w:w="1000" w:type="pct"/>
            <w:vAlign w:val="center"/>
          </w:tcPr>
          <w:p w14:paraId="5481CC79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0</w:t>
            </w:r>
          </w:p>
        </w:tc>
      </w:tr>
      <w:tr w14:paraId="72E8A67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6FDD82A9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1FEA6F54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50</w:t>
            </w:r>
          </w:p>
        </w:tc>
        <w:tc>
          <w:tcPr>
            <w:tcW w:w="1000" w:type="pct"/>
            <w:vAlign w:val="center"/>
          </w:tcPr>
          <w:p w14:paraId="7FBDAC93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47.76</w:t>
            </w:r>
          </w:p>
        </w:tc>
        <w:tc>
          <w:tcPr>
            <w:tcW w:w="1000" w:type="pct"/>
            <w:vAlign w:val="center"/>
          </w:tcPr>
          <w:p w14:paraId="2A92730C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95.52</w:t>
            </w:r>
          </w:p>
        </w:tc>
        <w:tc>
          <w:tcPr>
            <w:tcW w:w="1000" w:type="pct"/>
            <w:vAlign w:val="center"/>
          </w:tcPr>
          <w:p w14:paraId="4F545FB6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3</w:t>
            </w:r>
          </w:p>
        </w:tc>
      </w:tr>
      <w:tr w14:paraId="6DAB20C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62477C98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6B83D12C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100</w:t>
            </w:r>
          </w:p>
        </w:tc>
        <w:tc>
          <w:tcPr>
            <w:tcW w:w="1000" w:type="pct"/>
            <w:vAlign w:val="center"/>
          </w:tcPr>
          <w:p w14:paraId="3AFC6BC9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96.1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5</w:t>
            </w:r>
          </w:p>
        </w:tc>
        <w:tc>
          <w:tcPr>
            <w:tcW w:w="1000" w:type="pct"/>
            <w:vAlign w:val="center"/>
          </w:tcPr>
          <w:p w14:paraId="00BFDFF4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96.1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5</w:t>
            </w:r>
          </w:p>
        </w:tc>
        <w:tc>
          <w:tcPr>
            <w:tcW w:w="1000" w:type="pct"/>
            <w:vAlign w:val="center"/>
          </w:tcPr>
          <w:p w14:paraId="5BFF56A0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1.50</w:t>
            </w:r>
          </w:p>
        </w:tc>
      </w:tr>
      <w:tr w14:paraId="0741CBE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9" w:type="pct"/>
            <w:vMerge w:val="continue"/>
            <w:vAlign w:val="center"/>
          </w:tcPr>
          <w:p w14:paraId="59163442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 w:val="24"/>
                <w:shd w:val="clear" w:color="auto" w:fill="FFFFFF"/>
              </w:rPr>
            </w:pPr>
          </w:p>
        </w:tc>
        <w:tc>
          <w:tcPr>
            <w:tcW w:w="999" w:type="pct"/>
            <w:vAlign w:val="center"/>
          </w:tcPr>
          <w:p w14:paraId="43DFB572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200</w:t>
            </w:r>
          </w:p>
        </w:tc>
        <w:tc>
          <w:tcPr>
            <w:tcW w:w="1000" w:type="pct"/>
            <w:vAlign w:val="center"/>
          </w:tcPr>
          <w:p w14:paraId="7840BEB6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196.28</w:t>
            </w:r>
          </w:p>
        </w:tc>
        <w:tc>
          <w:tcPr>
            <w:tcW w:w="1000" w:type="pct"/>
            <w:vAlign w:val="center"/>
          </w:tcPr>
          <w:p w14:paraId="66E14653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98.14</w:t>
            </w:r>
          </w:p>
        </w:tc>
        <w:tc>
          <w:tcPr>
            <w:tcW w:w="1000" w:type="pct"/>
            <w:vAlign w:val="center"/>
          </w:tcPr>
          <w:p w14:paraId="6B53C1E1">
            <w:pPr>
              <w:jc w:val="center"/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2A2B2E"/>
                <w:sz w:val="24"/>
                <w:shd w:val="clear" w:color="auto" w:fill="FFFFFF"/>
              </w:rPr>
              <w:t>9</w:t>
            </w:r>
          </w:p>
        </w:tc>
      </w:tr>
    </w:tbl>
    <w:p w14:paraId="02372306">
      <w:pPr>
        <w:rPr>
          <w:rFonts w:ascii="Times New Roman" w:hAnsi="Times New Roman" w:eastAsia="宋体" w:cs="Times New Roman"/>
          <w:color w:val="2A2B2E"/>
          <w:szCs w:val="21"/>
          <w:shd w:val="clear" w:color="auto" w:fill="FFFFFF"/>
        </w:rPr>
      </w:pPr>
    </w:p>
    <w:p w14:paraId="18475E12">
      <w:pPr>
        <w:pageBreakBefore/>
        <w:spacing w:after="312" w:afterLines="100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  <w:bookmarkStart w:id="6" w:name="OLE_LINK4"/>
      <w:r>
        <w:rPr>
          <w:rFonts w:hint="eastAsia" w:ascii="Times New Roman" w:hAnsi="Times New Roman" w:eastAsia="宋体" w:cs="Times New Roman"/>
          <w:b/>
          <w:bCs/>
          <w:color w:val="2A2B2E"/>
          <w:sz w:val="24"/>
          <w:shd w:val="clear" w:color="auto" w:fill="FFFFFF"/>
        </w:rPr>
        <w:t>Table. S5</w:t>
      </w:r>
      <w:r>
        <w:rPr>
          <w:rFonts w:hint="eastAsia" w:ascii="Times New Roman" w:hAnsi="Times New Roman" w:eastAsia="宋体" w:cs="Times New Roman"/>
          <w:color w:val="2A2B2E"/>
          <w:sz w:val="24"/>
          <w:shd w:val="clear" w:color="auto" w:fill="FFFFFF"/>
        </w:rPr>
        <w:t xml:space="preserve"> Comparison of previously reported modified electrodes for the detection of PG.</w:t>
      </w:r>
    </w:p>
    <w:bookmarkEnd w:id="6"/>
    <w:tbl>
      <w:tblPr>
        <w:tblStyle w:val="12"/>
        <w:tblW w:w="5035" w:type="pct"/>
        <w:tblInd w:w="4" w:type="dxa"/>
        <w:tblBorders>
          <w:top w:val="single" w:color="000000" w:themeColor="text1" w:sz="4" w:space="0"/>
          <w:left w:val="none" w:color="auto" w:sz="0" w:space="0"/>
          <w:bottom w:val="single" w:color="000000" w:themeColor="text1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368"/>
        <w:gridCol w:w="1453"/>
        <w:gridCol w:w="941"/>
        <w:gridCol w:w="1728"/>
        <w:gridCol w:w="119"/>
        <w:gridCol w:w="1086"/>
        <w:gridCol w:w="64"/>
      </w:tblGrid>
      <w:tr w14:paraId="6445C8B3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65" w:type="pct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04F0978F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Modified electrode</w:t>
            </w:r>
          </w:p>
        </w:tc>
        <w:tc>
          <w:tcPr>
            <w:tcW w:w="796" w:type="pct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1CF30A3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Technique</w:t>
            </w:r>
          </w:p>
        </w:tc>
        <w:tc>
          <w:tcPr>
            <w:tcW w:w="846" w:type="pct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32DB9B7A">
            <w:pP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Linear range (μM)</w:t>
            </w:r>
          </w:p>
        </w:tc>
        <w:tc>
          <w:tcPr>
            <w:tcW w:w="548" w:type="pct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2DE85357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LOD (μM)</w:t>
            </w:r>
          </w:p>
        </w:tc>
        <w:tc>
          <w:tcPr>
            <w:tcW w:w="1006" w:type="pct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44D1F70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Real sample matrix</w:t>
            </w:r>
          </w:p>
        </w:tc>
        <w:tc>
          <w:tcPr>
            <w:tcW w:w="738" w:type="pct"/>
            <w:gridSpan w:val="3"/>
            <w:tcBorders>
              <w:bottom w:val="single" w:color="000000" w:themeColor="text1" w:sz="4" w:space="0"/>
              <w:insideH w:val="single" w:sz="4" w:space="0"/>
            </w:tcBorders>
            <w:vAlign w:val="center"/>
          </w:tcPr>
          <w:p w14:paraId="45FF0A95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2A2B2E"/>
                <w:sz w:val="24"/>
                <w:shd w:val="clear" w:color="auto" w:fill="FFFFFF"/>
              </w:rPr>
              <w:t>Reference</w:t>
            </w:r>
          </w:p>
        </w:tc>
      </w:tr>
      <w:tr w14:paraId="61E73F3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64315B4F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Ag@Ti₃C₂Tₓ/CdTe QDs/GCE</w:t>
            </w:r>
          </w:p>
        </w:tc>
        <w:tc>
          <w:tcPr>
            <w:tcW w:w="796" w:type="pct"/>
            <w:vAlign w:val="center"/>
          </w:tcPr>
          <w:p w14:paraId="5488CF33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1F81A7C7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400</w:t>
            </w:r>
          </w:p>
        </w:tc>
        <w:tc>
          <w:tcPr>
            <w:tcW w:w="548" w:type="pct"/>
            <w:vAlign w:val="center"/>
          </w:tcPr>
          <w:p w14:paraId="4C0E4560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0.0032</w:t>
            </w:r>
          </w:p>
        </w:tc>
        <w:tc>
          <w:tcPr>
            <w:tcW w:w="1075" w:type="pct"/>
            <w:gridSpan w:val="2"/>
            <w:vAlign w:val="center"/>
          </w:tcPr>
          <w:p w14:paraId="5A8843A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Chicken meat, ice cream</w:t>
            </w:r>
          </w:p>
        </w:tc>
        <w:tc>
          <w:tcPr>
            <w:tcW w:w="632" w:type="pct"/>
            <w:vAlign w:val="center"/>
          </w:tcPr>
          <w:p w14:paraId="3899087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&lt;EndNote&gt;&lt;Cite&gt;&lt;Author&gt;Parasuraman&lt;/Author&gt;&lt;Year&gt;2026&lt;/Year&gt;&lt;RecNum&gt;58&lt;/RecNum&gt;&lt;DisplayText&gt;[1]&lt;/DisplayText&gt;&lt;record&gt;&lt;rec-number&gt;58&lt;/rec-number&gt;&lt;foreign-keys&gt;&lt;key app="EN" db-id="d9xfawesydas9defapwvts9kzvwz5e5t2zrp" timestamp="1775117296"&gt;58&lt;/key&gt;&lt;/foreign-keys&gt;&lt;ref-type name="Journal Article"&gt;17&lt;/ref-type&gt;&lt;contributors&gt;&lt;authors&gt;&lt;author&gt;Parasuraman, Balaji&lt;/author&gt;&lt;author&gt;Ganapathi, Bharathi&lt;/author&gt;&lt;author&gt;Jacob, George&lt;/author&gt;&lt;author&gt;Raghavan, Vimala&lt;/author&gt;&lt;author&gt;Thangavelu, Pazhanivel&lt;/author&gt;&lt;/authors&gt;&lt;/contributors&gt;&lt;titles&gt;&lt;title&gt;Ultrasensitive Detection of Propyl Gallate and Vanillin in Food Products Using a Ag Decorated MXene/CdTe Quantum Dots Based Electrochemical Sensor&lt;/title&gt;&lt;secondary-title&gt;ACS Applied Engineering Materials&lt;/secondary-title&gt;&lt;/titles&gt;&lt;periodical&gt;&lt;full-title&gt;ACS Applied Engineering Materials&lt;/full-title&gt;&lt;/periodical&gt;&lt;pages&gt;287-300&lt;/pages&gt;&lt;volume&gt;4&lt;/volume&gt;&lt;number&gt;1&lt;/number&gt;&lt;dates&gt;&lt;year&gt;2026&lt;/year&gt;&lt;/dates&gt;&lt;isbn&gt;2771-9545&lt;/isbn&gt;&lt;urls&gt;&lt;/urls&gt;&lt;electronic-resource-num&gt;https://doi.org/10.1021/acsaenm.5c00978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[1]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7181BEB1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7F70BD00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NiFeCo-LDH/G aerogel/SPCE</w:t>
            </w:r>
          </w:p>
        </w:tc>
        <w:tc>
          <w:tcPr>
            <w:tcW w:w="796" w:type="pct"/>
            <w:vAlign w:val="center"/>
          </w:tcPr>
          <w:p w14:paraId="230FA6A8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2A794609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0.001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297.43</w:t>
            </w:r>
          </w:p>
        </w:tc>
        <w:tc>
          <w:tcPr>
            <w:tcW w:w="548" w:type="pct"/>
            <w:vAlign w:val="center"/>
          </w:tcPr>
          <w:p w14:paraId="09809A4B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0.00087</w:t>
            </w:r>
          </w:p>
        </w:tc>
        <w:tc>
          <w:tcPr>
            <w:tcW w:w="1075" w:type="pct"/>
            <w:gridSpan w:val="2"/>
            <w:vAlign w:val="center"/>
          </w:tcPr>
          <w:p w14:paraId="25ABEC9D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Edible oils, cookies</w:t>
            </w:r>
          </w:p>
        </w:tc>
        <w:tc>
          <w:tcPr>
            <w:tcW w:w="632" w:type="pct"/>
            <w:vAlign w:val="center"/>
          </w:tcPr>
          <w:p w14:paraId="4FA113CF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&lt;EndNote&gt;&lt;Cite&gt;&lt;Author&gt;Stanley&lt;/Author&gt;&lt;Year&gt;2024&lt;/Year&gt;&lt;RecNum&gt;59&lt;/RecNum&gt;&lt;DisplayText&gt;[2]&lt;/DisplayText&gt;&lt;record&gt;&lt;rec-number&gt;59&lt;/rec-number&gt;&lt;foreign-keys&gt;&lt;key app="EN" db-id="d9xfawesydas9defapwvts9kzvwz5e5t2zrp" timestamp="1775117519"&gt;59&lt;/key&gt;&lt;/foreign-keys&gt;&lt;ref-type name="Journal Article"&gt;17&lt;/ref-type&gt;&lt;contributors&gt;&lt;authors&gt;&lt;author&gt;Stanley, Megha Maria&lt;/author&gt;&lt;author&gt;Sriram, Balasubramanian&lt;/author&gt;&lt;author&gt;Wang, Sea-Fue&lt;/author&gt;&lt;author&gt;Kogularasu, Sakthivel&lt;/author&gt;&lt;author&gt;Lee, Yen-Yi&lt;/author&gt;&lt;author&gt;George, Mary&lt;/author&gt;&lt;/authors&gt;&lt;/contributors&gt;&lt;titles&gt;&lt;title&gt;Rational confinement of ternary layered double hydroxide within three-dimensional graphene aerogel: An electrochemical tool for propyl gallate sensing&lt;/title&gt;&lt;secondary-title&gt;Chemical Engineering Journal&lt;/secondary-title&gt;&lt;/titles&gt;&lt;periodical&gt;&lt;full-title&gt;Chemical Engineering Journal&lt;/full-title&gt;&lt;/periodical&gt;&lt;pages&gt;149682&lt;/pages&gt;&lt;volume&gt;485&lt;/volume&gt;&lt;dates&gt;&lt;year&gt;2024&lt;/year&gt;&lt;/dates&gt;&lt;isbn&gt;1385-8947&lt;/isbn&gt;&lt;urls&gt;&lt;/urls&gt;&lt;electronic-resource-num&gt;https://doi.org/10.1016/j.cej.2024.149682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[2]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00C7990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197D8BFB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NiFe-Oxide@LIG</w:t>
            </w:r>
          </w:p>
        </w:tc>
        <w:tc>
          <w:tcPr>
            <w:tcW w:w="796" w:type="pct"/>
            <w:vAlign w:val="center"/>
          </w:tcPr>
          <w:p w14:paraId="006FE372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5F7535E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5</w:t>
            </w:r>
          </w:p>
        </w:tc>
        <w:tc>
          <w:tcPr>
            <w:tcW w:w="548" w:type="pct"/>
            <w:vAlign w:val="center"/>
          </w:tcPr>
          <w:p w14:paraId="2EA290B4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0.01</w:t>
            </w:r>
          </w:p>
        </w:tc>
        <w:tc>
          <w:tcPr>
            <w:tcW w:w="1075" w:type="pct"/>
            <w:gridSpan w:val="2"/>
            <w:vAlign w:val="center"/>
          </w:tcPr>
          <w:p w14:paraId="2D9612E6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Food samples</w:t>
            </w:r>
          </w:p>
        </w:tc>
        <w:tc>
          <w:tcPr>
            <w:tcW w:w="632" w:type="pct"/>
            <w:vAlign w:val="center"/>
          </w:tcPr>
          <w:p w14:paraId="715FBC4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&lt;EndNote&gt;&lt;Cite&gt;&lt;Author&gt;Chinnapaiyan&lt;/Author&gt;&lt;Year&gt;2025&lt;/Year&gt;&lt;RecNum&gt;60&lt;/RecNum&gt;&lt;DisplayText&gt;[3]&lt;/DisplayText&gt;&lt;record&gt;&lt;rec-number&gt;60&lt;/rec-number&gt;&lt;foreign-keys&gt;&lt;key app="EN" db-id="d9xfawesydas9defapwvts9kzvwz5e5t2zrp" timestamp="1775117688"&gt;60&lt;/key&gt;&lt;/foreign-keys&gt;&lt;ref-type name="Journal Article"&gt;17&lt;/ref-type&gt;&lt;contributors&gt;&lt;authors&gt;&lt;author&gt;Chinnapaiyan, Sathishkumar&lt;/author&gt;&lt;author&gt;Barveen, Nazar Riswana&lt;/author&gt;&lt;author&gt;Weng, Shih-Chiang&lt;/author&gt;&lt;author&gt;Kuo, Guan-Liang&lt;/author&gt;&lt;author&gt;Cheng, Yu-Wei&lt;/author&gt;&lt;author&gt;Wahyuono, Ruri Agung&lt;/author&gt;&lt;author&gt;Huang, Chi-Hsien&lt;/author&gt;&lt;/authors&gt;&lt;/contributors&gt;&lt;titles&gt;&lt;title&gt;Smartphone-based electrochemical sensing of propyl gallate in food samples by employing NiFe-Oxide decorated flexible laser-induced graphene electrode&lt;/title&gt;&lt;secondary-title&gt;&lt;style face="normal" font="default" size="100%"&gt;Sensors and&lt;/style&gt;&lt;style face="normal" font="default" charset="134" size="100%"&gt; &lt;/style&gt;&lt;style face="normal" font="default" size="100%"&gt;Actuators B: Chemical&lt;/style&gt;&lt;/secondary-title&gt;&lt;/titles&gt;&lt;periodical&gt;&lt;full-title&gt;Sensors and Actuators B: Chemical&lt;/full-title&gt;&lt;/periodical&gt;&lt;pages&gt;136763&lt;/pages&gt;&lt;volume&gt;423&lt;/volume&gt;&lt;dates&gt;&lt;year&gt;2025&lt;/year&gt;&lt;/dates&gt;&lt;isbn&gt;0925-4005&lt;/isbn&gt;&lt;urls&gt;&lt;/urls&gt;&lt;electronic-resource-num&gt;https://doi.org/10.1016/j.snb.2024.136763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[3]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2A72F7A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0446B7A1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SrTiO₃@g-C₃N₄/GCE</w:t>
            </w:r>
          </w:p>
        </w:tc>
        <w:tc>
          <w:tcPr>
            <w:tcW w:w="796" w:type="pct"/>
            <w:vAlign w:val="center"/>
          </w:tcPr>
          <w:p w14:paraId="27FF484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0785626A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1300</w:t>
            </w:r>
          </w:p>
        </w:tc>
        <w:tc>
          <w:tcPr>
            <w:tcW w:w="548" w:type="pct"/>
            <w:vAlign w:val="center"/>
          </w:tcPr>
          <w:p w14:paraId="231D25AF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0.014</w:t>
            </w:r>
          </w:p>
        </w:tc>
        <w:tc>
          <w:tcPr>
            <w:tcW w:w="1075" w:type="pct"/>
            <w:gridSpan w:val="2"/>
            <w:vAlign w:val="center"/>
          </w:tcPr>
          <w:p w14:paraId="303B6A01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Peanut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butter, noodles, cooking oil</w:t>
            </w:r>
          </w:p>
        </w:tc>
        <w:tc>
          <w:tcPr>
            <w:tcW w:w="632" w:type="pct"/>
            <w:vAlign w:val="center"/>
          </w:tcPr>
          <w:p w14:paraId="725E65C4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&lt;EndNote&gt;&lt;Cite&gt;&lt;Author&gt;Gopakumar&lt;/Author&gt;&lt;Year&gt;2025&lt;/Year&gt;&lt;RecNum&gt;63&lt;/RecNum&gt;&lt;DisplayText&gt;[4]&lt;/DisplayText&gt;&lt;record&gt;&lt;rec-number&gt;63&lt;/rec-number&gt;&lt;foreign-keys&gt;&lt;key app="EN" db-id="d9xfawesydas9defapwvts9kzvwz5e5t2zrp" timestamp="1775119683"&gt;63&lt;/key&gt;&lt;/foreign-keys&gt;&lt;ref-type name="Journal Article"&gt;17&lt;/ref-type&gt;&lt;contributors&gt;&lt;authors&gt;&lt;author&gt;Gopakumar, Gopika Meenakumari&lt;/author&gt;&lt;author&gt;Bindu, Aiswarya&lt;/author&gt;&lt;author&gt;Saraswathyamma, Beena&lt;/author&gt;&lt;author&gt;Ayari-Akkari, Amel&lt;/author&gt;&lt;author&gt;Akremi, Ali&lt;/author&gt;&lt;author&gt;Chen, Pin-Yi&lt;/author&gt;&lt;author&gt;Govindasamy, Mani &lt;/author&gt;&lt;/authors&gt;&lt;/contributors&gt;&lt;titles&gt;&lt;title&gt;Redefining the monitoring of antioxidants: Interfacial charge redistribution in SrTiO3@ GCN nanocomposite for improved electrochemical detection of propyl gallate in food matrices&lt;/title&gt;&lt;secondary-title&gt; Innovative Food Science &amp;amp; Emerging Technologies&lt;/secondary-title&gt;&lt;/titles&gt;&lt;pages&gt;104195&lt;/pages&gt;&lt;dates&gt;&lt;year&gt;2025&lt;/year&gt;&lt;/dates&gt;&lt;isbn&gt;1466-8564&lt;/isbn&gt;&lt;urls&gt;&lt;/urls&gt;&lt;electronic-resource-num&gt;https://doi.org/10.1016/j.ifset.2025.104195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[4]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4452FF15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1793324F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CdTe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QDs/Ti₃C₂Tₓ/GCE</w:t>
            </w:r>
          </w:p>
        </w:tc>
        <w:tc>
          <w:tcPr>
            <w:tcW w:w="796" w:type="pct"/>
            <w:vAlign w:val="center"/>
          </w:tcPr>
          <w:p w14:paraId="04FDD17A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1859E175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1000</w:t>
            </w:r>
          </w:p>
        </w:tc>
        <w:tc>
          <w:tcPr>
            <w:tcW w:w="548" w:type="pct"/>
            <w:vAlign w:val="center"/>
          </w:tcPr>
          <w:p w14:paraId="4B2AF874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0.052</w:t>
            </w:r>
          </w:p>
        </w:tc>
        <w:tc>
          <w:tcPr>
            <w:tcW w:w="1075" w:type="pct"/>
            <w:gridSpan w:val="2"/>
            <w:vAlign w:val="center"/>
          </w:tcPr>
          <w:p w14:paraId="4A8A67C3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Chicken meat, noodle</w:t>
            </w:r>
          </w:p>
        </w:tc>
        <w:tc>
          <w:tcPr>
            <w:tcW w:w="632" w:type="pct"/>
            <w:vAlign w:val="center"/>
          </w:tcPr>
          <w:p w14:paraId="3ABB73B7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&lt;EndNote&gt;&lt;Cite&gt;&lt;Author&gt;Parasuraman&lt;/Author&gt;&lt;Year&gt;2025&lt;/Year&gt;&lt;RecNum&gt;64&lt;/RecNum&gt;&lt;DisplayText&gt;[5]&lt;/DisplayText&gt;&lt;record&gt;&lt;rec-number&gt;64&lt;/rec-number&gt;&lt;foreign-keys&gt;&lt;key app="EN" db-id="d9xfawesydas9defapwvts9kzvwz5e5t2zrp" timestamp="1775120462"&gt;</w:instrTex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64&lt;/key&gt;&lt;/foreign-keys&gt;&lt;ref-type name="Journal Article"&gt;17&lt;/ref-type&gt;&lt;contributors&gt;&lt;authors&gt;&lt;author&gt;Parasuraman, Balaji&lt;/author&gt;&lt;author&gt;Bharathi, Ganapathi&lt;/author&gt;&lt;author&gt;Thangavelu, Pazhanivel&lt;/author&gt;&lt;/authors&gt;&lt;/contributors&gt;&lt;titles&gt;&lt;title&gt;Non‐Enzymati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c Electrochemical Sensor for Nanomolar Detection of Propyl Gallate in Food Samples Using (2D/0D) MXene/CdTe QDs Nanocomposites&lt;/title&gt;&lt;secondary-title&gt;ChemistrySelect&lt;/secondary-title&gt;&lt;/titles&gt;&lt;periodical&gt;&lt;full-title&gt;ChemistrySelect&lt;/full-title&gt;&lt;/periodical&gt;&lt;pages&gt;e03004&lt;/pages&gt;&lt;volume&gt;10&lt;/volume&gt;&lt;number&gt;34&lt;/number&gt;&lt;dates&gt;&lt;year&gt;2025&lt;/year&gt;&lt;/dates&gt;&lt;isbn&gt;2365-6549&lt;/isbn&gt;&lt;urls&gt;&lt;/urls&gt;&lt;electronic-resource-num&gt; https://doi.org/10.1002/slct.202503004&lt;/electronic-resource-num&gt;&lt;/record&gt;&lt;/Cite&gt;&lt;/EndNote&gt;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[5]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2019460B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3F10AD08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MoSe₂@g-C₃N₄/GCE</w:t>
            </w:r>
          </w:p>
        </w:tc>
        <w:tc>
          <w:tcPr>
            <w:tcW w:w="796" w:type="pct"/>
            <w:vAlign w:val="center"/>
          </w:tcPr>
          <w:p w14:paraId="7DCAF507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6E2707A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1285</w:t>
            </w:r>
          </w:p>
        </w:tc>
        <w:tc>
          <w:tcPr>
            <w:tcW w:w="548" w:type="pct"/>
            <w:vAlign w:val="center"/>
          </w:tcPr>
          <w:p w14:paraId="6A5E54AE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0.0735</w:t>
            </w:r>
          </w:p>
        </w:tc>
        <w:tc>
          <w:tcPr>
            <w:tcW w:w="1075" w:type="pct"/>
            <w:gridSpan w:val="2"/>
            <w:vAlign w:val="center"/>
          </w:tcPr>
          <w:p w14:paraId="3FE39983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Coffee cream, ice cream, edible oil</w:t>
            </w:r>
          </w:p>
        </w:tc>
        <w:tc>
          <w:tcPr>
            <w:tcW w:w="632" w:type="pct"/>
            <w:vAlign w:val="center"/>
          </w:tcPr>
          <w:p w14:paraId="19850B90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&lt;EndNote&gt;&lt;Cite&gt;&lt;Author&gt;Sakthivel&lt;/Author&gt;&lt;Year&gt;2025&lt;/Year&gt;&lt;RecNum&gt;1&lt;/RecNum&gt;&lt;DisplayText&gt;[6]&lt;/DisplayText&gt;&lt;record&gt;&lt;rec-number&gt;1&lt;/rec-number&gt;&lt;foreign-keys&gt;&lt;key app="EN" db-id="d9xfawesydas9defapwvts9kzvwz5e5t2zrp" timestamp="1773832907"&gt;1&lt;/key&gt;&lt;/foreign-keys&gt;&lt;ref-type name="Journal Article"&gt;17&lt;/ref-type&gt;&lt;contributors&gt;&lt;authors&gt;&lt;author&gt;Sakthivel, Nirmal Kumar&lt;/author&gt;&lt;author&gt;Veerasamy, Rakesh Prasad&lt;/author&gt;&lt;author&gt;Akremi, Ali&lt;/author&gt;&lt;author&gt;Alshahrani, Thamraa&lt;/author&gt;&lt;author&gt;Govindasamy, Mani&lt;/author&gt;&lt;/authors&gt;&lt;/contributors&gt;&lt;titles&gt;&lt;title&gt;Enhanced electrochemical detection of propyl gallate in foods using molybdenum diselenide decorated on graphitic carbon nitride modified electrode&lt;/title&gt;&lt;secondary-title&gt;Food Chemistry&lt;/secondary-title&gt;&lt;/titles&gt;&lt;periodical&gt;&lt;full-title&gt;Food Chemistry&lt;/full-title&gt;&lt;/periodical&gt;&lt;pages&gt;145836-145836&lt;/pages&gt;&lt;volume&gt;493&lt;/volume&gt;&lt;number&gt;Pt 2&lt;/number&gt;&lt;dates&gt;&lt;year&gt;2025&lt;/year&gt;&lt;/dates&gt;&lt;isbn&gt;1873-7072&lt;/isbn&gt;&lt;urls&gt;&lt;/urls&gt;&lt;electronic-resource-num&gt;https://doi.org/10.1016/j.foodchem.2025.145836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[6]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193E90BF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04A0C65A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Mo₂C@fGO/GCE</w:t>
            </w:r>
          </w:p>
        </w:tc>
        <w:tc>
          <w:tcPr>
            <w:tcW w:w="796" w:type="pct"/>
            <w:vAlign w:val="center"/>
          </w:tcPr>
          <w:p w14:paraId="26E62092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657C4B84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750</w:t>
            </w:r>
          </w:p>
        </w:tc>
        <w:tc>
          <w:tcPr>
            <w:tcW w:w="548" w:type="pct"/>
            <w:vAlign w:val="center"/>
          </w:tcPr>
          <w:p w14:paraId="6C69F5EB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0.457</w:t>
            </w:r>
          </w:p>
        </w:tc>
        <w:tc>
          <w:tcPr>
            <w:tcW w:w="1075" w:type="pct"/>
            <w:gridSpan w:val="2"/>
            <w:vAlign w:val="center"/>
          </w:tcPr>
          <w:p w14:paraId="380C38F3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Edible oils, snacks</w:t>
            </w:r>
          </w:p>
        </w:tc>
        <w:tc>
          <w:tcPr>
            <w:tcW w:w="632" w:type="pct"/>
            <w:vAlign w:val="center"/>
          </w:tcPr>
          <w:p w14:paraId="47F1906D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&lt;EndNote&gt;&lt;Cite&gt;&lt;Author&gt;Abraham&lt;/Author&gt;&lt;Year&gt;2025&lt;/Year&gt;&lt;RecNum&gt;66&lt;/RecNum&gt;&lt;DisplayText&gt;[7]&lt;/DisplayText&gt;&lt;record&gt;&lt;rec-number&gt;66&lt;/rec-number&gt;&lt;foreign-keys&gt;&lt;key app="EN" db-id="d9xfawesydas9defapwvts9kzvwz5e5t2zrp" timestamp="1775120862"&gt;66&lt;/</w:instrTex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key&gt;&lt;/foreign-keys&gt;&lt;ref-type name="Journal Article"&gt;17&lt;/ref-type&gt;&lt;contributors&gt;&lt;authors&gt;&lt;author&gt;Abraham, Sneha&lt;/author&gt;&lt;author&gt;Bhagavathsingh, Jebasingh&lt;/author&gt;&lt;author&gt;Shaji, Ephrin&lt;/author&gt;&lt;author&gt;Thaliyakuzhy, Zavier&lt;/author&gt;&lt;author&gt;Abd‐Rabboh, Hisham SM&lt;/author&gt;&lt;author&gt;Kuo, Chih‐Yu&lt;/author&gt;&lt;author&gt;Govindasamy, Mani&lt;/author&gt;&lt;/authors&gt;&lt;/contributors&gt;&lt;titles&gt;&lt;title&gt;Electrochemical Detection of Food Antioxidant Propyl Gallate Using a Mo2C‐Modified Benzimidazole–Graphene Oxide Nanostructure&lt;/title&gt;&lt;seconda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ry-title&gt;Advanced Materials Technologies&lt;/secondary-title&gt;&lt;/titles&gt;&lt;periodical&gt;&lt;full-title&gt;Advanced Materials Technologies&lt;/full-title&gt;&lt;/periodical&gt;&lt;pages&gt;e00878&lt;/pages&gt;&lt;volume&gt;10&lt;/volume&gt;&lt;number&gt;20&lt;/number&gt;&lt;dates&gt;&lt;year&gt;2025&lt;/year&gt;&lt;/dates&gt;&lt;isbn&gt;2365-709X&lt;/isbn&gt;&lt;urls&gt;&lt;/urls&gt;&lt;electronic-resource-num&gt;https://doi.org/10.1002/admt.202500878Digital 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[7]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7516259A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1043BF7D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SrAl₂O₄/FCNF/GCE</w:t>
            </w:r>
          </w:p>
        </w:tc>
        <w:tc>
          <w:tcPr>
            <w:tcW w:w="796" w:type="pct"/>
            <w:vAlign w:val="center"/>
          </w:tcPr>
          <w:p w14:paraId="1215D88F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i-t</w:t>
            </w:r>
          </w:p>
        </w:tc>
        <w:tc>
          <w:tcPr>
            <w:tcW w:w="846" w:type="pct"/>
            <w:vAlign w:val="center"/>
          </w:tcPr>
          <w:p w14:paraId="6B2197A0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-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1104.75</w:t>
            </w:r>
          </w:p>
        </w:tc>
        <w:tc>
          <w:tcPr>
            <w:tcW w:w="548" w:type="pct"/>
            <w:vAlign w:val="center"/>
          </w:tcPr>
          <w:p w14:paraId="02C2BF61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0.075</w:t>
            </w:r>
          </w:p>
        </w:tc>
        <w:tc>
          <w:tcPr>
            <w:tcW w:w="1075" w:type="pct"/>
            <w:gridSpan w:val="2"/>
            <w:vAlign w:val="center"/>
          </w:tcPr>
          <w:p w14:paraId="04348F3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Canola oil</w:t>
            </w:r>
          </w:p>
        </w:tc>
        <w:tc>
          <w:tcPr>
            <w:tcW w:w="632" w:type="pct"/>
            <w:vAlign w:val="center"/>
          </w:tcPr>
          <w:p w14:paraId="6F679D9B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begin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instrText xml:space="preserve"> ADDIN EN.CITE &lt;EndNote&gt;&lt;Cite&gt;&lt;Author&gt;Priscillal&lt;/Author&gt;&lt;Year&gt;2022&lt;/Year&gt;&lt;RecNum&gt;67&lt;/RecNum&gt;&lt;DisplayText&gt;[8]&lt;/DisplayText&gt;&lt;record&gt;&lt;rec-number&gt;67&lt;/rec-number&gt;&lt;foreign-keys&gt;&lt;key app="EN" db-id="d9xfawesydas9defapwvts9kzvwz5e5t2zrp" timestamp="1775120989"&gt;67&lt;/key&gt;&lt;/foreign-keys&gt;&lt;ref-type name="Journal Article"&gt;17&lt;/ref-type&gt;&lt;contributors&gt;&lt;authors&gt;&lt;author&gt;Priscillal, I Jenisha Daisy&lt;/author&gt;&lt;author&gt;Wang, Sea-Fue&lt;/author&gt;&lt;/authors&gt;&lt;/contributors&gt;&lt;titles&gt;&lt;title&gt;Synchronously activated strontium aluminate nanoflakes anchored functionalized carbon nanofiber nanocomposite for sensitive amperometric detection of food additive: Propyl gallate&lt;/title&gt;&lt;secondary-title&gt; Food chemistry&lt;/secondary-title&gt;&lt;/titles&gt;&lt;pages&gt;133119&lt;/pages&gt;&lt;volume&gt;389&lt;/volume&gt;&lt;dates&gt;&lt;year&gt;2022&lt;/year&gt;&lt;/dates&gt;&lt;isbn&gt;0308-8146&lt;/isbn&gt;&lt;urls&gt;&lt;/urls&gt;&lt;electronic-resource-num&gt;https://doi.org/10.1016/j.foodchem.2022.133119&lt;/electronic-resource-num&gt;&lt;/record&gt;&lt;/Cite&gt;&lt;/EndNote&gt;</w:instrTex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[8]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fldChar w:fldCharType="end"/>
            </w:r>
          </w:p>
        </w:tc>
      </w:tr>
      <w:tr w14:paraId="70545C9D">
        <w:tblPrEx>
          <w:tblBorders>
            <w:top w:val="single" w:color="000000" w:themeColor="text1" w:sz="4" w:space="0"/>
            <w:left w:val="none" w:color="auto" w:sz="0" w:space="0"/>
            <w:bottom w:val="single" w:color="000000" w:themeColor="text1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7" w:type="pct"/>
          <w:trHeight w:val="680" w:hRule="atLeast"/>
        </w:trPr>
        <w:tc>
          <w:tcPr>
            <w:tcW w:w="1065" w:type="pct"/>
            <w:vAlign w:val="center"/>
          </w:tcPr>
          <w:p w14:paraId="6DAD8200">
            <w:pPr>
              <w:jc w:val="center"/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SnS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-Co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  <w:vertAlign w:val="subscript"/>
              </w:rPr>
              <w:t>1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Fe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2A2B2E"/>
                <w:szCs w:val="21"/>
                <w:shd w:val="clear" w:color="auto" w:fill="FFFFFF"/>
              </w:rPr>
              <w:t>@N-CNTs/GCE</w:t>
            </w:r>
          </w:p>
        </w:tc>
        <w:tc>
          <w:tcPr>
            <w:tcW w:w="796" w:type="pct"/>
            <w:vAlign w:val="center"/>
          </w:tcPr>
          <w:p w14:paraId="346119FC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DPV</w:t>
            </w:r>
          </w:p>
        </w:tc>
        <w:tc>
          <w:tcPr>
            <w:tcW w:w="846" w:type="pct"/>
            <w:vAlign w:val="center"/>
          </w:tcPr>
          <w:p w14:paraId="0C2EA640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0.1-1000</w:t>
            </w:r>
          </w:p>
        </w:tc>
        <w:tc>
          <w:tcPr>
            <w:tcW w:w="548" w:type="pct"/>
            <w:vAlign w:val="center"/>
          </w:tcPr>
          <w:p w14:paraId="74ACA696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0.049</w:t>
            </w:r>
          </w:p>
        </w:tc>
        <w:tc>
          <w:tcPr>
            <w:tcW w:w="1075" w:type="pct"/>
            <w:gridSpan w:val="2"/>
            <w:vAlign w:val="center"/>
          </w:tcPr>
          <w:p w14:paraId="1E7FB152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Biscuits</w:t>
            </w:r>
            <w:r>
              <w:rPr>
                <w:rFonts w:hint="eastAsia"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, c</w:t>
            </w: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ured meat</w:t>
            </w:r>
          </w:p>
        </w:tc>
        <w:tc>
          <w:tcPr>
            <w:tcW w:w="632" w:type="pct"/>
            <w:vAlign w:val="center"/>
          </w:tcPr>
          <w:p w14:paraId="23C24EC3">
            <w:pPr>
              <w:jc w:val="center"/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2A2B2E"/>
                <w:szCs w:val="21"/>
                <w:shd w:val="clear" w:color="auto" w:fill="FFFFFF"/>
              </w:rPr>
              <w:t>This work</w:t>
            </w:r>
          </w:p>
        </w:tc>
      </w:tr>
    </w:tbl>
    <w:p w14:paraId="6F71E1B4">
      <w:pP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</w:p>
    <w:p w14:paraId="7EEC9B2A">
      <w:pPr>
        <w:pageBreakBefore/>
        <w:rPr>
          <w:rFonts w:ascii="Times New Roman" w:hAnsi="Times New Roman" w:eastAsia="宋体" w:cs="Times New Roman"/>
          <w:color w:val="2A2B2E"/>
          <w:szCs w:val="21"/>
          <w:highlight w:val="yellow"/>
          <w:shd w:val="clear" w:color="auto" w:fill="FFFFFF"/>
        </w:rPr>
      </w:pPr>
      <w:r>
        <w:rPr>
          <w:rFonts w:ascii="Times New Roman" w:hAnsi="Times New Roman" w:eastAsia="宋体" w:cs="Times New Roman"/>
          <w:b/>
          <w:bCs/>
          <w:color w:val="2A2B2E"/>
          <w:sz w:val="28"/>
          <w:szCs w:val="28"/>
          <w:shd w:val="clear" w:color="auto" w:fill="FFFFFF"/>
        </w:rPr>
        <w:t>References</w:t>
      </w:r>
      <w:r>
        <w:rPr>
          <w:rFonts w:hint="eastAsia" w:ascii="Times New Roman" w:hAnsi="Times New Roman" w:eastAsia="宋体" w:cs="Times New Roman"/>
          <w:b/>
          <w:bCs/>
          <w:color w:val="2A2B2E"/>
          <w:sz w:val="28"/>
          <w:szCs w:val="28"/>
          <w:shd w:val="clear" w:color="auto" w:fill="FFFFFF"/>
        </w:rPr>
        <w:t xml:space="preserve"> </w:t>
      </w:r>
    </w:p>
    <w:p w14:paraId="77A3585B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fldChar w:fldCharType="begin"/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instrText xml:space="preserve"> ADDIN EN.REFLIST </w:instrText>
      </w: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fldChar w:fldCharType="separate"/>
      </w:r>
      <w:r>
        <w:rPr>
          <w:rFonts w:ascii="Times New Roman" w:hAnsi="Times New Roman" w:cs="Times New Roman"/>
          <w:sz w:val="24"/>
        </w:rPr>
        <w:t xml:space="preserve">[1] B. Parasuraman, B. Ganapathi, G. Jacob, V. Raghavan, P. Thangavelu, Ultrasensitive Detection of Propyl Gallate and Vanillin in Food Products Using a Ag Decorated MXene/CdTe Quantum Dots Based Electrochemical Sensor, ACS Applied Engineering Materials. 4 (2026) 287-300, </w:t>
      </w:r>
      <w:r>
        <w:fldChar w:fldCharType="begin"/>
      </w:r>
      <w:r>
        <w:instrText xml:space="preserve"> HYPERLINK "https://doi.org/10.1021/acsaenm.5c00978"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https://doi.org/10.1021/acsaenm.5c00978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1C5A53F5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[2] M.M. Stanley, B. Sriram, S.-F. Wang, S. Kogularasu, Y.-Y. Lee, M. George, Rational confinement of ternary layered double hydroxide within three-dimensional graphene aerogel: An electrochemical tool for propyl gallate sensing, Chemical Engineering Journal. 485 (2024) 149682, </w:t>
      </w:r>
      <w:r>
        <w:fldChar w:fldCharType="begin"/>
      </w:r>
      <w:r>
        <w:instrText xml:space="preserve"> HYPERLINK "https://doi.org/10.1016/j.cej.2024.149682"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https://doi.org/10.1016/j.cej.2024.149682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192D0C1D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[3] S. Chinnapaiyan, N.R. Barveen, S.-C. Weng, G.-L. Kuo, Y.-W. Cheng, R.A. Wahyuono, C.-H. Huang, Smartphone-based electrochemical sensing of propyl gallate in food samples by employing NiFe-Oxide decorated flexible laser-induced graphene electrode, Sensors and Actuators B: Chemical. 423 (2025) 136763, </w:t>
      </w:r>
      <w:r>
        <w:fldChar w:fldCharType="begin"/>
      </w:r>
      <w:r>
        <w:instrText xml:space="preserve"> HYPERLINK "https://doi.org/10.1016/j.snb.2024.136763"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https://doi.org/10.1016/j.snb.2024.136763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2AFDA00C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[4] G.M. Gopakumar, A. Bindu, B. Saraswathyamma, A. Ayari-Akkari, A. Akremi, P.-Y. Chen, M. Govindasamy, Redefining the monitoring of antioxidants: Interfacial charge redistribution in SrTiO3@ GCN nanocomposite for improved electrochemical detection of propyl gallate in food matrices, Innovative Food Science &amp; Emerging Technologies. </w:t>
      </w:r>
      <w:bookmarkStart w:id="7" w:name="_GoBack"/>
      <w:bookmarkEnd w:id="7"/>
      <w:r>
        <w:fldChar w:fldCharType="begin"/>
      </w:r>
      <w:r>
        <w:instrText xml:space="preserve"> HYPERLINK "https://doi.org/10.1016/j.ifset.2025.104195"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https://doi.org/10.1016/j.ifset.2025.104195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6582FF4E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[5] B. Parasuraman, G. Bharathi, P. Thangavelu, Non‐Enzymatic Electrochemical Sensor for Nanomolar Detection of Propyl Gallate in Food Samples Using (2D/0D) MXene/CdTe QDs Nanocomposites, ChemistrySelect. 10 (2025) e03004, </w:t>
      </w:r>
      <w:r>
        <w:fldChar w:fldCharType="begin"/>
      </w:r>
      <w:r>
        <w:instrText xml:space="preserve"> HYPERLINK "https://doi.org/10.1002/slct.202503004"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https://doi.org/10.1002/slct.202503004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1292A00E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[6] N.K. Sakthivel, R.P. Veerasamy, A. Akremi, T. Alshahrani, M. Govindasamy, Enhanced electrochemical detection of propyl gallate in foods using molybdenum diselenide decorated on graphitic carbon nitride modified electrode, Food Chemistry. 493 (2025) 145836-145836, </w:t>
      </w:r>
      <w:r>
        <w:fldChar w:fldCharType="begin"/>
      </w:r>
      <w:r>
        <w:instrText xml:space="preserve"> HYPERLINK "https://doi.org/10.1016/j.foodchem.2025.145836"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https://doi.org/10.1016/j.foodchem.2025.145836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4918CFE3">
      <w:pPr>
        <w:pStyle w:val="16"/>
        <w:spacing w:after="0"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[7] S. Abraham, J. Bhagavathsingh, E. Shaji, Z. Thaliyakuzhy, H.S. Abd‐Rabboh, C.Y. Kuo, M. Govindasamy, Electrochemical Detection of Food Antioxidant Propyl Gallate Using a Mo2C‐Modified Benzimidazole–Graphene Oxide Nanostructure, Advanced Materials Technologies. 10 (2025) e00878, </w:t>
      </w:r>
      <w:r>
        <w:fldChar w:fldCharType="begin"/>
      </w:r>
      <w:r>
        <w:instrText xml:space="preserve"> HYPERLINK "https://doi.org/10.1002/admt.202500878Digital"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https://doi.org/10.1002/admt.202500878Digital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</w:p>
    <w:p w14:paraId="1DE1667B">
      <w:pPr>
        <w:pStyle w:val="16"/>
        <w:spacing w:line="360" w:lineRule="auto"/>
        <w:ind w:left="480" w:hanging="480" w:hanging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[8] I.J.D. Priscillal, S.-F. Wang, Synchronously activated strontium aluminate nanoflakes anchored functionalized carbon nanofiber nanocomposite for sensitive amperometric detection of food additive: Propyl gallate, Food chemistry. 389 (2022) 133119, </w:t>
      </w:r>
      <w:r>
        <w:fldChar w:fldCharType="begin"/>
      </w:r>
      <w:r>
        <w:instrText xml:space="preserve"> HYPERLINK "https://doi.org/10.1016/j.foodchem.2022.133119" </w:instrText>
      </w:r>
      <w:r>
        <w:fldChar w:fldCharType="separate"/>
      </w:r>
      <w:r>
        <w:rPr>
          <w:rStyle w:val="9"/>
          <w:rFonts w:ascii="Times New Roman" w:hAnsi="Times New Roman" w:cs="Times New Roman"/>
          <w:sz w:val="24"/>
        </w:rPr>
        <w:t>https://doi.org/10.1016/j.foodchem.2022.133119</w:t>
      </w:r>
      <w:r>
        <w:rPr>
          <w:rStyle w:val="9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641A6381">
      <w:pPr>
        <w:spacing w:line="360" w:lineRule="auto"/>
        <w:ind w:left="480" w:hanging="480" w:hangingChars="200"/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</w:pPr>
      <w:r>
        <w:rPr>
          <w:rFonts w:ascii="Times New Roman" w:hAnsi="Times New Roman" w:eastAsia="宋体" w:cs="Times New Roman"/>
          <w:color w:val="2A2B2E"/>
          <w:sz w:val="24"/>
          <w:shd w:val="clear" w:color="auto" w:fill="FFFFFF"/>
        </w:rPr>
        <w:fldChar w:fldCharType="end"/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546441"/>
    <w:multiLevelType w:val="singleLevel"/>
    <w:tmpl w:val="1B546441"/>
    <w:lvl w:ilvl="0" w:tentative="0">
      <w:start w:val="5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electrochemistr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9xfawesydas9defapwvts9kzvwz5e5t2zrp&quot;&gt;体系二&lt;record-ids&gt;&lt;item&gt;1&lt;/item&gt;&lt;item&gt;58&lt;/item&gt;&lt;item&gt;59&lt;/item&gt;&lt;item&gt;60&lt;/item&gt;&lt;item&gt;63&lt;/item&gt;&lt;item&gt;64&lt;/item&gt;&lt;item&gt;66&lt;/item&gt;&lt;item&gt;67&lt;/item&gt;&lt;/record-ids&gt;&lt;/item&gt;&lt;/Libraries&gt;"/>
  </w:docVars>
  <w:rsids>
    <w:rsidRoot w:val="61061DDC"/>
    <w:rsid w:val="000153CA"/>
    <w:rsid w:val="00034190"/>
    <w:rsid w:val="00146378"/>
    <w:rsid w:val="001966A8"/>
    <w:rsid w:val="00230DAA"/>
    <w:rsid w:val="002365D3"/>
    <w:rsid w:val="002B79F8"/>
    <w:rsid w:val="002D0302"/>
    <w:rsid w:val="002D0610"/>
    <w:rsid w:val="002F7BFC"/>
    <w:rsid w:val="00303C74"/>
    <w:rsid w:val="003059BC"/>
    <w:rsid w:val="003765E2"/>
    <w:rsid w:val="003A1969"/>
    <w:rsid w:val="004472DC"/>
    <w:rsid w:val="004656B8"/>
    <w:rsid w:val="00467903"/>
    <w:rsid w:val="004C2162"/>
    <w:rsid w:val="005350F4"/>
    <w:rsid w:val="00543345"/>
    <w:rsid w:val="00543EE9"/>
    <w:rsid w:val="00612F16"/>
    <w:rsid w:val="0062732B"/>
    <w:rsid w:val="006275B7"/>
    <w:rsid w:val="006665D4"/>
    <w:rsid w:val="006A12ED"/>
    <w:rsid w:val="006F3D42"/>
    <w:rsid w:val="00753CAF"/>
    <w:rsid w:val="00760921"/>
    <w:rsid w:val="0077586A"/>
    <w:rsid w:val="00777A2D"/>
    <w:rsid w:val="00797A2A"/>
    <w:rsid w:val="0084670B"/>
    <w:rsid w:val="0085329E"/>
    <w:rsid w:val="00901CC3"/>
    <w:rsid w:val="00987968"/>
    <w:rsid w:val="009F13DE"/>
    <w:rsid w:val="00A7110E"/>
    <w:rsid w:val="00A823FA"/>
    <w:rsid w:val="00B43B48"/>
    <w:rsid w:val="00B631D1"/>
    <w:rsid w:val="00B72111"/>
    <w:rsid w:val="00BC28EB"/>
    <w:rsid w:val="00C02596"/>
    <w:rsid w:val="00C3301E"/>
    <w:rsid w:val="00C36974"/>
    <w:rsid w:val="00CF42E6"/>
    <w:rsid w:val="00D528BA"/>
    <w:rsid w:val="00D94885"/>
    <w:rsid w:val="00DD0FE8"/>
    <w:rsid w:val="00DD7DAA"/>
    <w:rsid w:val="00E10F5D"/>
    <w:rsid w:val="00E12005"/>
    <w:rsid w:val="00E371FE"/>
    <w:rsid w:val="00EA5C11"/>
    <w:rsid w:val="00ED07BB"/>
    <w:rsid w:val="00F83DDF"/>
    <w:rsid w:val="020411DA"/>
    <w:rsid w:val="03404493"/>
    <w:rsid w:val="047B14FB"/>
    <w:rsid w:val="0A1B7A08"/>
    <w:rsid w:val="0A2D14EA"/>
    <w:rsid w:val="0ADD6A6C"/>
    <w:rsid w:val="0C7C4062"/>
    <w:rsid w:val="0D116EA1"/>
    <w:rsid w:val="0D4E1EA3"/>
    <w:rsid w:val="0FAE4E7B"/>
    <w:rsid w:val="0FB56209"/>
    <w:rsid w:val="11196913"/>
    <w:rsid w:val="13203999"/>
    <w:rsid w:val="13DB6E3D"/>
    <w:rsid w:val="13E45D66"/>
    <w:rsid w:val="154E30EE"/>
    <w:rsid w:val="16DC53FA"/>
    <w:rsid w:val="17854713"/>
    <w:rsid w:val="18CD45C3"/>
    <w:rsid w:val="1A703458"/>
    <w:rsid w:val="1B524284"/>
    <w:rsid w:val="1BD6553D"/>
    <w:rsid w:val="1EE73F05"/>
    <w:rsid w:val="1F4153C3"/>
    <w:rsid w:val="20801F1B"/>
    <w:rsid w:val="20A076CA"/>
    <w:rsid w:val="21D7200F"/>
    <w:rsid w:val="22D40072"/>
    <w:rsid w:val="22DF649D"/>
    <w:rsid w:val="237F75A5"/>
    <w:rsid w:val="239D1036"/>
    <w:rsid w:val="24831FDA"/>
    <w:rsid w:val="24857B00"/>
    <w:rsid w:val="25090731"/>
    <w:rsid w:val="26153106"/>
    <w:rsid w:val="26D146C4"/>
    <w:rsid w:val="26EF3957"/>
    <w:rsid w:val="26FD373F"/>
    <w:rsid w:val="294361DC"/>
    <w:rsid w:val="2A8F792B"/>
    <w:rsid w:val="2BDF21EC"/>
    <w:rsid w:val="2C8C39F6"/>
    <w:rsid w:val="2CD755B9"/>
    <w:rsid w:val="2FD91648"/>
    <w:rsid w:val="30607673"/>
    <w:rsid w:val="30AD0B0B"/>
    <w:rsid w:val="31863F29"/>
    <w:rsid w:val="31905D36"/>
    <w:rsid w:val="325955C0"/>
    <w:rsid w:val="33A65CE5"/>
    <w:rsid w:val="347E456C"/>
    <w:rsid w:val="35510DBF"/>
    <w:rsid w:val="36FF1994"/>
    <w:rsid w:val="378620B5"/>
    <w:rsid w:val="378D51F2"/>
    <w:rsid w:val="38740160"/>
    <w:rsid w:val="38F848ED"/>
    <w:rsid w:val="395104A1"/>
    <w:rsid w:val="395872A2"/>
    <w:rsid w:val="3B023801"/>
    <w:rsid w:val="3F52287D"/>
    <w:rsid w:val="3F8426CF"/>
    <w:rsid w:val="41AE46E3"/>
    <w:rsid w:val="42605149"/>
    <w:rsid w:val="42FC322C"/>
    <w:rsid w:val="45085EB8"/>
    <w:rsid w:val="48FA1FBB"/>
    <w:rsid w:val="49311755"/>
    <w:rsid w:val="4949077F"/>
    <w:rsid w:val="497C6E74"/>
    <w:rsid w:val="4B4B4D50"/>
    <w:rsid w:val="4E920EE8"/>
    <w:rsid w:val="4EC70B92"/>
    <w:rsid w:val="4FDD43E5"/>
    <w:rsid w:val="50111F0D"/>
    <w:rsid w:val="52326C6A"/>
    <w:rsid w:val="525F10E1"/>
    <w:rsid w:val="526037D7"/>
    <w:rsid w:val="52AB093A"/>
    <w:rsid w:val="56350AD7"/>
    <w:rsid w:val="56C236AA"/>
    <w:rsid w:val="577E2BD6"/>
    <w:rsid w:val="57A44166"/>
    <w:rsid w:val="5947124D"/>
    <w:rsid w:val="5A723910"/>
    <w:rsid w:val="5A992578"/>
    <w:rsid w:val="5BF925A6"/>
    <w:rsid w:val="5C272000"/>
    <w:rsid w:val="5D8B5B27"/>
    <w:rsid w:val="5E337FF2"/>
    <w:rsid w:val="5F685A79"/>
    <w:rsid w:val="5FE175D9"/>
    <w:rsid w:val="61061DDC"/>
    <w:rsid w:val="64F47DAF"/>
    <w:rsid w:val="6502427A"/>
    <w:rsid w:val="65AA28FD"/>
    <w:rsid w:val="66430FEE"/>
    <w:rsid w:val="672524A2"/>
    <w:rsid w:val="676E209B"/>
    <w:rsid w:val="67E97973"/>
    <w:rsid w:val="6873723D"/>
    <w:rsid w:val="68B41D2F"/>
    <w:rsid w:val="6A2D7FEB"/>
    <w:rsid w:val="6A3B3D8A"/>
    <w:rsid w:val="6A521800"/>
    <w:rsid w:val="6AAB53B4"/>
    <w:rsid w:val="6D1B05CF"/>
    <w:rsid w:val="6E71421E"/>
    <w:rsid w:val="6EF235B1"/>
    <w:rsid w:val="6FB05360"/>
    <w:rsid w:val="6FB90C50"/>
    <w:rsid w:val="70C745CA"/>
    <w:rsid w:val="71CE12E4"/>
    <w:rsid w:val="724E4FA2"/>
    <w:rsid w:val="73262C77"/>
    <w:rsid w:val="755A3C5E"/>
    <w:rsid w:val="75970A0E"/>
    <w:rsid w:val="764C17F9"/>
    <w:rsid w:val="768A26DC"/>
    <w:rsid w:val="778E4093"/>
    <w:rsid w:val="792151BF"/>
    <w:rsid w:val="7E4234E1"/>
    <w:rsid w:val="7EA5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954F72"/>
      <w:u w:val="single"/>
    </w:rPr>
  </w:style>
  <w:style w:type="character" w:styleId="9">
    <w:name w:val="Hyperlink"/>
    <w:basedOn w:val="6"/>
    <w:qFormat/>
    <w:uiPriority w:val="0"/>
    <w:rPr>
      <w:color w:val="0563C1"/>
      <w:u w:val="single"/>
    </w:rPr>
  </w:style>
  <w:style w:type="character" w:customStyle="1" w:styleId="10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12">
    <w:name w:val="清单表 6 彩色1"/>
    <w:basedOn w:val="5"/>
    <w:qFormat/>
    <w:uiPriority w:val="5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4" w:space="0"/>
        <w:bottom w:val="single" w:color="000000" w:themeColor="text1" w:sz="4" w:space="0"/>
      </w:tblBorders>
    </w:tblPr>
    <w:tblStylePr w:type="firstRow">
      <w:rPr>
        <w:b/>
        <w:bCs/>
      </w:rPr>
      <w:tcPr>
        <w:tcBorders>
          <w:bottom w:val="single" w:color="000000" w:themeColor="text1" w:sz="4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table" w:customStyle="1" w:styleId="13">
    <w:name w:val="无格式表格 21"/>
    <w:basedOn w:val="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5">
    <w:name w:val="EndNote Bibliography Title 字符"/>
    <w:basedOn w:val="6"/>
    <w:link w:val="14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16">
    <w:name w:val="EndNote Bibliography"/>
    <w:basedOn w:val="1"/>
    <w:link w:val="17"/>
    <w:qFormat/>
    <w:uiPriority w:val="0"/>
    <w:pPr>
      <w:spacing w:line="240" w:lineRule="auto"/>
    </w:pPr>
    <w:rPr>
      <w:rFonts w:ascii="Calibri" w:hAnsi="Calibri" w:cs="Calibri"/>
      <w:sz w:val="20"/>
    </w:rPr>
  </w:style>
  <w:style w:type="character" w:customStyle="1" w:styleId="17">
    <w:name w:val="EndNote Bibliography 字符"/>
    <w:basedOn w:val="6"/>
    <w:link w:val="16"/>
    <w:qFormat/>
    <w:uiPriority w:val="0"/>
    <w:rPr>
      <w:rFonts w:ascii="Calibri" w:hAnsi="Calibri" w:cs="Calibri" w:eastAsiaTheme="minorEastAsia"/>
      <w:kern w:val="2"/>
      <w:szCs w:val="24"/>
    </w:rPr>
  </w:style>
  <w:style w:type="character" w:customStyle="1" w:styleId="18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tiff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323</Words>
  <Characters>1892</Characters>
  <Lines>112</Lines>
  <Paragraphs>31</Paragraphs>
  <TotalTime>33</TotalTime>
  <ScaleCrop>false</ScaleCrop>
  <LinksUpToDate>false</LinksUpToDate>
  <CharactersWithSpaces>2150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2026-04-03T09:12:00Z</dcterms:created>
  <dc:creator>！</dc:creator>
  <cp:lastModifiedBy>玉霞</cp:lastModifiedBy>
  <cp:lastPrinted>2026-04-02T02:33:00Z</cp:lastPrinted>
  <dcterms:modified xsi:type="dcterms:W3CDTF">2026-08-19T07:53:26Z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F9D9E86ADEA74084AFE740F61447C53D_11</vt:lpwstr>
  </property>
  <property fmtid="{D5CDD505-2E9C-101B-9397-08002B2CF9AE}" pid="4" name="KSOTemplateDocerSaveRecord">
    <vt:lpwstr>eyJoZGlkIjoiZTYwMGQzY2ZmNTU5NzQ2NTAzZjA3YzdjOTM4MmY5MTciLCJ1c2VySWQiOiI0MzA1MzUwMTAifQ==</vt:lpwstr>
  </property>
</Properties>
</file>