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D4E860" w14:textId="77777777" w:rsidR="00B4507A" w:rsidRDefault="003457EB">
      <w:pPr>
        <w:pStyle w:val="Title"/>
        <w:jc w:val="center"/>
      </w:pPr>
      <w:r>
        <w:t>Additional file 1</w:t>
      </w:r>
    </w:p>
    <w:p w14:paraId="24E37103" w14:textId="77777777" w:rsidR="00B4507A" w:rsidRDefault="003457EB">
      <w:pPr>
        <w:spacing w:after="120" w:line="480" w:lineRule="auto"/>
        <w:jc w:val="center"/>
      </w:pPr>
      <w:r>
        <w:rPr>
          <w:b/>
        </w:rPr>
        <w:t>Evidence retrieval and included-source characteristics</w:t>
      </w:r>
    </w:p>
    <w:p w14:paraId="4473342A" w14:textId="77777777" w:rsidR="00B4507A" w:rsidRDefault="003457EB">
      <w:pPr>
        <w:pStyle w:val="Heading1"/>
      </w:pPr>
      <w:r>
        <w:t>Purpose</w:t>
      </w:r>
    </w:p>
    <w:p w14:paraId="12A51251" w14:textId="77777777" w:rsidR="00B4507A" w:rsidRDefault="003457EB">
      <w:pPr>
        <w:spacing w:line="480" w:lineRule="auto"/>
      </w:pPr>
      <w:r>
        <w:t>This supporting file documents the evidence retrieval and interpretation used to revise the manuscript "Viral Hepatitis in Somalia: An Updated Critical Review of Epidemiology and Public Health Priorities." It supports transparent editorial review. It is not a PRISMA checklist or flow diagram because an auditable search export, screening record, risk-of-bias appraisal and verified prospective protocol registration were not available for a full systematic update.</w:t>
      </w:r>
    </w:p>
    <w:p w14:paraId="61BC65D8" w14:textId="77777777" w:rsidR="00B4507A" w:rsidRDefault="003457EB">
      <w:pPr>
        <w:pStyle w:val="Heading1"/>
      </w:pPr>
      <w:r>
        <w:t>Information sources and search</w:t>
      </w:r>
    </w:p>
    <w:p w14:paraId="139C070F" w14:textId="77777777" w:rsidR="00B4507A" w:rsidRDefault="003457EB">
      <w:pPr>
        <w:spacing w:line="480" w:lineRule="auto"/>
      </w:pPr>
      <w:r>
        <w:t>A structured, targeted update was performed on 6 September 2026 in PubMed/MEDLINE and official WHO sources. The literature update focused on reports published through 31 December 2025. The core PubMed expression was: (Somalia[Title/Abstract] OR Somali[Title/Abstract]) AND (hepatitis[Title/Abstract] OR HBV[Title/Abstract] OR HCV[Title/Abstract] OR HDV[Title/Abstract] OR HEV[Title/Abstract] OR HAV[Title/Abstract]). Reference lists of the historical Somalia meta-analysis and recent primary studies were checked</w:t>
      </w:r>
      <w:r>
        <w:t xml:space="preserve"> for additional relevant studies.</w:t>
      </w:r>
    </w:p>
    <w:p w14:paraId="63C77A07" w14:textId="77777777" w:rsidR="00B4507A" w:rsidRDefault="003457EB">
      <w:pPr>
        <w:pStyle w:val="Heading1"/>
      </w:pPr>
      <w:r>
        <w:t>Selection and interpretation</w:t>
      </w:r>
    </w:p>
    <w:p w14:paraId="76A1457E" w14:textId="77777777" w:rsidR="00B4507A" w:rsidRDefault="003457EB">
      <w:pPr>
        <w:spacing w:line="480" w:lineRule="auto"/>
      </w:pPr>
      <w:r>
        <w:t>Eligible sources reported hepatitis A–E epidemiology, seroprevalence, risk factors, prevention, vaccination, testing, treatment or service delivery in Somalia. Somali diaspora studies were included only as clearly labelled context-specific evidence. Studies with no Somali population or setting, non-human evidence, unverified media accounts and sources without usable data were excluded from quantitative claims. No new pooled estimate was calculated because the included studies differ in sampling frame, perio</w:t>
      </w:r>
      <w:r>
        <w:t>d, test strategy and population. Facility, blood-donor, dialysis and student results are presented as setting-specific findings, not national prevalence.</w:t>
      </w:r>
    </w:p>
    <w:p w14:paraId="23F3E2A5" w14:textId="77777777" w:rsidR="00B4507A" w:rsidRDefault="003457EB">
      <w:pPr>
        <w:spacing w:line="480" w:lineRule="auto"/>
      </w:pPr>
      <w:r>
        <w:t>A United States Centers for Medicare &amp; Medicaid Services Open Data assessment was not retained: those data concern United States programme or claims contexts and do not identify Somali-origin populations or provide Somalia surveillance. It is therefore not an appropriate source for Somalia burden estimates or public-health coverage claims.</w:t>
      </w:r>
    </w:p>
    <w:p w14:paraId="5E4A8EC2" w14:textId="77777777" w:rsidR="00B4507A" w:rsidRDefault="003457EB">
      <w:pPr>
        <w:pStyle w:val="Heading1"/>
      </w:pPr>
      <w:r>
        <w:t>Included evidence</w:t>
      </w:r>
    </w:p>
    <w:p w14:paraId="6D5398DE" w14:textId="77777777" w:rsidR="00B4507A" w:rsidRDefault="003457EB">
      <w:pPr>
        <w:keepNext/>
        <w:spacing w:before="140" w:line="480" w:lineRule="auto"/>
      </w:pPr>
      <w:r>
        <w:rPr>
          <w:b/>
        </w:rPr>
        <w:t>Table S1. Included evidence and interpretation limits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2376"/>
        <w:gridCol w:w="3168"/>
        <w:gridCol w:w="2880"/>
      </w:tblGrid>
      <w:tr w:rsidR="00B4507A" w14:paraId="2EF61109" w14:textId="77777777">
        <w:trPr>
          <w:cantSplit/>
          <w:tblHeader/>
          <w:jc w:val="center"/>
        </w:trPr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1C682C" w14:textId="77777777" w:rsidR="00B4507A" w:rsidRDefault="003457EB">
            <w:pPr>
              <w:spacing w:line="240" w:lineRule="auto"/>
              <w:jc w:val="center"/>
            </w:pPr>
            <w:r>
              <w:rPr>
                <w:b/>
                <w:sz w:val="17"/>
              </w:rPr>
              <w:t>Source</w:t>
            </w:r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D52CA3" w14:textId="77777777" w:rsidR="00B4507A" w:rsidRDefault="003457EB">
            <w:pPr>
              <w:spacing w:line="240" w:lineRule="auto"/>
              <w:jc w:val="center"/>
            </w:pPr>
            <w:r>
              <w:rPr>
                <w:b/>
                <w:sz w:val="17"/>
              </w:rPr>
              <w:t>Design / population</w:t>
            </w:r>
          </w:p>
        </w:tc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1E3C16" w14:textId="77777777" w:rsidR="00B4507A" w:rsidRDefault="003457EB">
            <w:pPr>
              <w:spacing w:line="240" w:lineRule="auto"/>
              <w:jc w:val="center"/>
            </w:pPr>
            <w:r>
              <w:rPr>
                <w:b/>
                <w:sz w:val="17"/>
              </w:rPr>
              <w:t>Key information retained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F3EDC9" w14:textId="77777777" w:rsidR="00B4507A" w:rsidRDefault="003457EB">
            <w:pPr>
              <w:spacing w:line="240" w:lineRule="auto"/>
              <w:jc w:val="center"/>
            </w:pPr>
            <w:r>
              <w:rPr>
                <w:b/>
                <w:sz w:val="17"/>
              </w:rPr>
              <w:t>Critical limit</w:t>
            </w:r>
          </w:p>
        </w:tc>
      </w:tr>
      <w:tr w:rsidR="00B4507A" w14:paraId="6F6B2DB4" w14:textId="77777777">
        <w:trPr>
          <w:cantSplit/>
          <w:jc w:val="center"/>
        </w:trPr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0F85804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Hassan-Kadle et al. 2018 [3]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25571D0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Systematic review and meta-analysis; 29 historical studies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2FC02AA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Historical pooled HAV, HBV, HCV, HDV and HEV markers.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8FF263F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1977–2016, heterogeneous sources; not a current national survey.</w:t>
            </w:r>
          </w:p>
        </w:tc>
      </w:tr>
      <w:tr w:rsidR="00B4507A" w14:paraId="5A233077" w14:textId="77777777">
        <w:trPr>
          <w:cantSplit/>
          <w:jc w:val="center"/>
        </w:trPr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DC5451A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Burans et al. 1994 [4]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3F8FA3F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Acute-hepatitis case series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1A509D8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20 of 31 cases had anti-HEV IgM.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3777DD5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Outbreak/clinical setting.</w:t>
            </w:r>
          </w:p>
        </w:tc>
      </w:tr>
      <w:tr w:rsidR="00B4507A" w14:paraId="43EAB60B" w14:textId="77777777">
        <w:trPr>
          <w:cantSplit/>
          <w:jc w:val="center"/>
        </w:trPr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3072824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Chaabna et al. 2016 [5]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49B9791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Regional HCV systematic review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01248C7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HCV evidence is sparse and heterogeneous.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87ECF7C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Country estimates are limited by source studies.</w:t>
            </w:r>
          </w:p>
        </w:tc>
      </w:tr>
      <w:tr w:rsidR="00B4507A" w14:paraId="4B37B5DC" w14:textId="77777777">
        <w:trPr>
          <w:cantSplit/>
          <w:jc w:val="center"/>
        </w:trPr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E56905A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Jeele et al. 2021 [6]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9EC83B1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Cross-sectional; 220 haemodialysis patients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1850395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HBV 7.3%; HCV 3.2%.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6E71C5B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High-risk clinical population.</w:t>
            </w:r>
          </w:p>
        </w:tc>
      </w:tr>
      <w:tr w:rsidR="00B4507A" w14:paraId="757C2834" w14:textId="77777777">
        <w:trPr>
          <w:cantSplit/>
          <w:jc w:val="center"/>
        </w:trPr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348A651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Mohamud et al. 2024 [7]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52152C3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Cross-sectional; 494 blood donors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A70B471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HBV 9.7%; prior vaccination self-reported by 15%.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0C73656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Selected donor population.</w:t>
            </w:r>
          </w:p>
        </w:tc>
      </w:tr>
      <w:tr w:rsidR="00B4507A" w14:paraId="23062D00" w14:textId="77777777">
        <w:trPr>
          <w:cantSplit/>
          <w:jc w:val="center"/>
        </w:trPr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71F3E1D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Hassan et al. 2024 [8]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49EC111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Cross-sectional; 384 pregnant women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9617D8C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HBsAg 11.2%.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C1A2B91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One antenatal facility.</w:t>
            </w:r>
          </w:p>
        </w:tc>
      </w:tr>
      <w:tr w:rsidR="00B4507A" w14:paraId="44E8B938" w14:textId="77777777">
        <w:trPr>
          <w:cantSplit/>
          <w:jc w:val="center"/>
        </w:trPr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EF90BE0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Mohamud et al. 2025 [9]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3497706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Cross-sectional antenatal study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4681B89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HBsAg 13.3%; selected risk-factor associations.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8F54870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One facility; cross-sectional.</w:t>
            </w:r>
          </w:p>
        </w:tc>
      </w:tr>
      <w:tr w:rsidR="00B4507A" w14:paraId="38163899" w14:textId="77777777">
        <w:trPr>
          <w:cantSplit/>
          <w:jc w:val="center"/>
        </w:trPr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F166C97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Hassan-Kadle et al. 2025 [10]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A50AF21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Retrospective tertiary-hospital tests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45B4966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HBsAg 2.8%; anti-HCV 0.4% in tested records.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D1BA1AD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Test records and referral population.</w:t>
            </w:r>
          </w:p>
        </w:tc>
      </w:tr>
      <w:tr w:rsidR="00B4507A" w14:paraId="7A2F30DC" w14:textId="77777777">
        <w:trPr>
          <w:cantSplit/>
          <w:jc w:val="center"/>
        </w:trPr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7861BC0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Ali et al. 2023 [11]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EE36A3D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Cross-sectional; 247 medical students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56FB006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Full vaccine series self-reported by 2.8%.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8C0DEC6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Single institution; self-report.</w:t>
            </w:r>
          </w:p>
        </w:tc>
      </w:tr>
      <w:tr w:rsidR="00B4507A" w14:paraId="0D8255EA" w14:textId="77777777">
        <w:trPr>
          <w:cantSplit/>
          <w:jc w:val="center"/>
        </w:trPr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F726D71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Hassan et al. 2023 [12]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3DD7C1D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Cross-sectional; 569 health-sciences students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2EF4C50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Full vaccine series self-reported by 33.4%.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14F627D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Single setting; self-report.</w:t>
            </w:r>
          </w:p>
        </w:tc>
      </w:tr>
      <w:tr w:rsidR="00B4507A" w14:paraId="4BD46659" w14:textId="77777777">
        <w:trPr>
          <w:cantSplit/>
          <w:jc w:val="center"/>
        </w:trPr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C26B943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Mohamed et al. 2022 [13]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49E3593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Community study; Minnesota Somalis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47A3A5E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Diaspora chronic hepatitis burden and care context.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01E0C8D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Not Somalia national evidence.</w:t>
            </w:r>
          </w:p>
        </w:tc>
      </w:tr>
      <w:tr w:rsidR="00B4507A" w14:paraId="75DE7719" w14:textId="77777777">
        <w:trPr>
          <w:cantSplit/>
          <w:jc w:val="center"/>
        </w:trPr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E67382E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WHO [1,2,14,15]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8E2FA01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Global reports, policy and data portal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69DC22B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Global burden and prevention/monitoring framework.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D2EC23D" w14:textId="77777777" w:rsidR="00B4507A" w:rsidRDefault="003457EB">
            <w:pPr>
              <w:spacing w:line="240" w:lineRule="auto"/>
            </w:pPr>
            <w:r>
              <w:rPr>
                <w:sz w:val="16"/>
              </w:rPr>
              <w:t>Does not supply unverified Somalia coverage estimates.</w:t>
            </w:r>
          </w:p>
        </w:tc>
      </w:tr>
    </w:tbl>
    <w:p w14:paraId="728BEB39" w14:textId="77777777" w:rsidR="00B4507A" w:rsidRDefault="003457EB">
      <w:pPr>
        <w:spacing w:line="480" w:lineRule="auto"/>
      </w:pPr>
      <w:r>
        <w:rPr>
          <w:b/>
          <w:sz w:val="18"/>
        </w:rPr>
        <w:t xml:space="preserve">Legend. </w:t>
      </w:r>
      <w:r>
        <w:rPr>
          <w:sz w:val="18"/>
        </w:rPr>
        <w:t>Citation numbers correspond to the main manuscript. HAV hepatitis A virus; HBV hepatitis B virus; HCV hepatitis C virus; HDV hepatitis D virus; HEV hepatitis E virus; HBsAg hepatitis B surface antigen.</w:t>
      </w:r>
    </w:p>
    <w:p w14:paraId="7CCBCE2F" w14:textId="77777777" w:rsidR="00B4507A" w:rsidRDefault="003457EB">
      <w:pPr>
        <w:pStyle w:val="Heading1"/>
      </w:pPr>
      <w:r>
        <w:t>Data items</w:t>
      </w:r>
    </w:p>
    <w:p w14:paraId="31B1D13E" w14:textId="77777777" w:rsidR="00B4507A" w:rsidRDefault="003457EB">
      <w:pPr>
        <w:spacing w:line="480" w:lineRule="auto"/>
      </w:pPr>
      <w:r>
        <w:t>For each source, the revision captured setting, period, population, sample size or test denominator where reported, assay/marker, key result, reported risk factors or service implication and major generalizability limits. The review deliberately did not infer national prevalence from non-representative denominators.</w:t>
      </w:r>
    </w:p>
    <w:p w14:paraId="0DB50E38" w14:textId="77777777" w:rsidR="00B4507A" w:rsidRDefault="003457EB">
      <w:pPr>
        <w:pStyle w:val="Heading1"/>
      </w:pPr>
      <w:r>
        <w:t>Protocol and reporting note</w:t>
      </w:r>
    </w:p>
    <w:p w14:paraId="75EF33E3" w14:textId="77777777" w:rsidR="00B4507A" w:rsidRDefault="003457EB">
      <w:pPr>
        <w:spacing w:line="480" w:lineRule="auto"/>
      </w:pPr>
      <w:r>
        <w:t>This manuscript is submitted as a JEGH Review article. It should not be converted to a Research article or described as a de novo systematic review unless the author performs and records a new systematic search, duplicate screening, data extraction, risk-of-bias assessment, protocol decision and PRISMA 2020 flow accounting. No verified public PROSPERO registration is cited in this submission.</w:t>
      </w:r>
    </w:p>
    <w:sectPr w:rsidR="00B4507A" w:rsidSect="00034616">
      <w:headerReference w:type="default" r:id="rId8"/>
      <w:footerReference w:type="default" r:id="rId9"/>
      <w:pgSz w:w="12240" w:h="15840"/>
      <w:pgMar w:top="1224" w:right="1080" w:bottom="1152" w:left="1296" w:header="432" w:footer="432" w:gutter="0"/>
      <w:lnNumType w:countBy="1" w:distance="36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B26E8D" w14:textId="77777777" w:rsidR="003457EB" w:rsidRDefault="003457EB">
      <w:pPr>
        <w:spacing w:line="240" w:lineRule="auto"/>
      </w:pPr>
      <w:r>
        <w:separator/>
      </w:r>
    </w:p>
  </w:endnote>
  <w:endnote w:type="continuationSeparator" w:id="0">
    <w:p w14:paraId="04114C4E" w14:textId="77777777" w:rsidR="003457EB" w:rsidRDefault="003457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90C053" w14:textId="77777777" w:rsidR="00B4507A" w:rsidRDefault="003457EB">
    <w:pPr>
      <w:pStyle w:val="Footer"/>
      <w:jc w:val="center"/>
    </w:pPr>
    <w:r>
      <w:rPr>
        <w:sz w:val="18"/>
      </w:rPr>
      <w:t xml:space="preserve">Page </w:t>
    </w:r>
    <w:r>
      <w:fldChar w:fldCharType="begin"/>
    </w:r>
    <w:r>
      <w:instrText>PAGE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E37113" w14:textId="77777777" w:rsidR="003457EB" w:rsidRDefault="003457EB">
      <w:pPr>
        <w:spacing w:line="240" w:lineRule="auto"/>
      </w:pPr>
      <w:r>
        <w:separator/>
      </w:r>
    </w:p>
  </w:footnote>
  <w:footnote w:type="continuationSeparator" w:id="0">
    <w:p w14:paraId="02197DF0" w14:textId="77777777" w:rsidR="003457EB" w:rsidRDefault="003457E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D806D5" w14:textId="77777777" w:rsidR="00B4507A" w:rsidRDefault="003457EB">
    <w:pPr>
      <w:pStyle w:val="Header"/>
      <w:jc w:val="right"/>
    </w:pPr>
    <w:r>
      <w:rPr>
        <w:i/>
        <w:sz w:val="18"/>
      </w:rPr>
      <w:t>Additional file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4650163">
    <w:abstractNumId w:val="8"/>
  </w:num>
  <w:num w:numId="2" w16cid:durableId="1250382288">
    <w:abstractNumId w:val="6"/>
  </w:num>
  <w:num w:numId="3" w16cid:durableId="427048488">
    <w:abstractNumId w:val="5"/>
  </w:num>
  <w:num w:numId="4" w16cid:durableId="863634191">
    <w:abstractNumId w:val="4"/>
  </w:num>
  <w:num w:numId="5" w16cid:durableId="285088005">
    <w:abstractNumId w:val="7"/>
  </w:num>
  <w:num w:numId="6" w16cid:durableId="1368213927">
    <w:abstractNumId w:val="3"/>
  </w:num>
  <w:num w:numId="7" w16cid:durableId="700322889">
    <w:abstractNumId w:val="2"/>
  </w:num>
  <w:num w:numId="8" w16cid:durableId="474178698">
    <w:abstractNumId w:val="1"/>
  </w:num>
  <w:num w:numId="9" w16cid:durableId="18968441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57EB"/>
    <w:rsid w:val="0084392F"/>
    <w:rsid w:val="00A325A4"/>
    <w:rsid w:val="00AA1D8D"/>
    <w:rsid w:val="00B4507A"/>
    <w:rsid w:val="00B47730"/>
    <w:rsid w:val="00CB0664"/>
    <w:rsid w:val="00D55B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11AAD5"/>
  <w14:defaultImageDpi w14:val="300"/>
  <w15:docId w15:val="{03041F2B-8938-9B40-B8DA-64FC69053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eastAsia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40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4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40"/>
      <w:outlineLvl w:val="2"/>
    </w:pPr>
    <w:rPr>
      <w:rFonts w:asciiTheme="majorHAnsi" w:eastAsiaTheme="majorEastAsia" w:hAnsiTheme="majorHAnsi" w:cstheme="majorBidi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1 — Evidence retrieval and included-source characteristics</dc:title>
  <dc:subject/>
  <dc:creator>Dr Abdulrazaq Y. Ahmed</dc:creator>
  <cp:keywords/>
  <dc:description>generated by python-docx</dc:description>
  <cp:lastModifiedBy>Dr Abdulrazaq Yusuf Ahmed</cp:lastModifiedBy>
  <cp:revision>2</cp:revision>
  <dcterms:created xsi:type="dcterms:W3CDTF">2026-09-06T06:21:00Z</dcterms:created>
  <dcterms:modified xsi:type="dcterms:W3CDTF">2026-09-06T06:21:00Z</dcterms:modified>
  <cp:category/>
</cp:coreProperties>
</file>