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20" w:after="160"/>
      </w:pPr>
      <w:r>
        <w:rPr>
          <w:rFonts w:ascii="Arial" w:hAnsi="Arial"/>
          <w:b/>
          <w:color w:val="002B49"/>
          <w:sz w:val="32"/>
        </w:rPr>
        <w:t>Supplementary Information: Global Morphological Thresholds Governing Urban Street Tree Microclimates Across 12 Megacities</w:t>
      </w:r>
    </w:p>
    <w:p>
      <w:pPr>
        <w:spacing w:before="0" w:after="80" w:line="276" w:lineRule="auto"/>
      </w:pPr>
      <w:r>
        <w:rPr>
          <w:rFonts w:ascii="Arial" w:hAnsi="Arial"/>
          <w:color w:val="212529"/>
          <w:sz w:val="18"/>
        </w:rPr>
        <w:t>**[Anonymous for Double-Blind Peer Review]**</w:t>
      </w:r>
    </w:p>
    <w:p>
      <w:pPr>
        <w:keepNext/>
        <w:spacing w:before="280" w:after="80"/>
      </w:pPr>
      <w:r>
        <w:rPr>
          <w:rFonts w:ascii="Arial" w:hAnsi="Arial"/>
          <w:b/>
          <w:color w:val="002B49"/>
          <w:sz w:val="24"/>
        </w:rPr>
        <w:t>Contents</w:t>
      </w:r>
    </w:p>
    <w:p>
      <w:pPr>
        <w:pStyle w:val="ListBullet"/>
        <w:spacing w:before="20" w:after="20"/>
      </w:pPr>
      <w:r>
        <w:rPr>
          <w:rFonts w:ascii="Arial" w:hAnsi="Arial"/>
          <w:color w:val="212529"/>
          <w:sz w:val="18"/>
        </w:rPr>
        <w:t>**Supplementary Note 1**: Mathematical Formulation of the 6D Differential-Algebraic Equation (Index-1 DAE) Microclimate System</w:t>
      </w:r>
    </w:p>
    <w:p>
      <w:pPr>
        <w:pStyle w:val="ListBullet"/>
        <w:spacing w:before="20" w:after="20"/>
      </w:pPr>
      <w:r>
        <w:rPr>
          <w:rFonts w:ascii="Arial" w:hAnsi="Arial"/>
          <w:color w:val="212529"/>
          <w:sz w:val="18"/>
        </w:rPr>
        <w:t>**Supplementary Note 2**: Closed-Form Analytical Jacobian Matrix Formulation and Picard–Newton Hybrid Solver</w:t>
      </w:r>
    </w:p>
    <w:p>
      <w:pPr>
        <w:pStyle w:val="ListBullet"/>
        <w:spacing w:before="20" w:after="20"/>
      </w:pPr>
      <w:r>
        <w:rPr>
          <w:rFonts w:ascii="Arial" w:hAnsi="Arial"/>
          <w:color w:val="212529"/>
          <w:sz w:val="18"/>
        </w:rPr>
        <w:t>**Supplementary Note 3**: Open-Cavity Multi-Order Longwave and Shortwave Radiosity Matrix Closure</w:t>
      </w:r>
    </w:p>
    <w:p>
      <w:pPr>
        <w:pStyle w:val="ListBullet"/>
        <w:spacing w:before="20" w:after="20"/>
      </w:pPr>
      <w:r>
        <w:rPr>
          <w:rFonts w:ascii="Arial" w:hAnsi="Arial"/>
          <w:color w:val="212529"/>
          <w:sz w:val="18"/>
        </w:rPr>
        <w:t>**Supplementary Note 4**: Soil-Plant-Atmosphere Continuum (SPAC) Hydraulics and Stomatal Regulation Under Water Scarcity</w:t>
      </w:r>
    </w:p>
    <w:p>
      <w:pPr>
        <w:pStyle w:val="ListBullet"/>
        <w:spacing w:before="20" w:after="20"/>
      </w:pPr>
      <w:r>
        <w:rPr>
          <w:rFonts w:ascii="Arial" w:hAnsi="Arial"/>
          <w:color w:val="212529"/>
          <w:sz w:val="18"/>
        </w:rPr>
        <w:t>**Supplementary Note 5**: 168-Hour Multi-Day Sensible Heat Stacking and Building Envelope Conduction Dynamics</w:t>
      </w:r>
    </w:p>
    <w:p>
      <w:pPr>
        <w:pStyle w:val="ListBullet"/>
        <w:spacing w:before="20" w:after="20"/>
      </w:pPr>
      <w:r>
        <w:rPr>
          <w:rFonts w:ascii="Arial" w:hAnsi="Arial"/>
          <w:color w:val="212529"/>
          <w:sz w:val="18"/>
        </w:rPr>
        <w:t>**Supplementary Note 6**: Software Architecture, Computational Engine, and Statutory Planning Workflow of the QGIS Processing Plugin</w:t>
      </w:r>
    </w:p>
    <w:p>
      <w:pPr>
        <w:pStyle w:val="ListBullet"/>
        <w:spacing w:before="20" w:after="20"/>
      </w:pPr>
      <w:r>
        <w:rPr>
          <w:rFonts w:ascii="Arial" w:hAnsi="Arial"/>
          <w:color w:val="212529"/>
          <w:sz w:val="18"/>
        </w:rPr>
        <w:t>**Supplementary Note 7**: City-Specific Microclimatic Morphological Diagnostics Across 12 Global Megacities</w:t>
      </w:r>
    </w:p>
    <w:p>
      <w:pPr>
        <w:pStyle w:val="ListBullet"/>
        <w:spacing w:before="20" w:after="20"/>
      </w:pPr>
      <w:r>
        <w:rPr>
          <w:rFonts w:ascii="Arial" w:hAnsi="Arial"/>
          <w:color w:val="212529"/>
          <w:sz w:val="18"/>
        </w:rPr>
        <w:t>**Supplementary Note 8**: Multi-Climate Empirical Field Validation Across Basel, Melbourne, and Phoenix Field Campaigns</w:t>
      </w:r>
    </w:p>
    <w:p>
      <w:pPr>
        <w:pStyle w:val="ListBullet"/>
        <w:spacing w:before="20" w:after="20"/>
      </w:pPr>
      <w:r>
        <w:rPr>
          <w:rFonts w:ascii="Arial" w:hAnsi="Arial"/>
          <w:color w:val="212529"/>
          <w:sz w:val="18"/>
        </w:rPr>
        <w:t>**Supplementary Table 1**: Software architecture, algorithmic modules, geospatial I/O specifications, and cartographic symbology of the native QGIS Plugin</w:t>
      </w:r>
    </w:p>
    <w:p>
      <w:pPr>
        <w:pStyle w:val="ListBullet"/>
        <w:spacing w:before="20" w:after="20"/>
      </w:pPr>
      <w:r>
        <w:rPr>
          <w:rFonts w:ascii="Arial" w:hAnsi="Arial"/>
          <w:color w:val="212529"/>
          <w:sz w:val="18"/>
        </w:rPr>
        <w:t>**Supplementary Table 2**: Climatological boundary forcing and heatwave synoptic conditions across 12 global megacities (ERA5-Land 2022)</w:t>
      </w:r>
    </w:p>
    <w:p>
      <w:pPr>
        <w:pStyle w:val="ListBullet"/>
        <w:spacing w:before="20" w:after="20"/>
      </w:pPr>
      <w:r>
        <w:rPr>
          <w:rFonts w:ascii="Arial" w:hAnsi="Arial"/>
          <w:color w:val="212529"/>
          <w:sz w:val="18"/>
        </w:rPr>
        <w:t>**Supplementary Table 3**: Plant Functional Type (PFT) physiological, hydraulic, and morphological parameters across representative urban tree taxa</w:t>
      </w:r>
    </w:p>
    <w:p>
      <w:pPr>
        <w:pStyle w:val="ListBullet"/>
        <w:spacing w:before="20" w:after="20"/>
      </w:pPr>
      <w:r>
        <w:rPr>
          <w:rFonts w:ascii="Arial" w:hAnsi="Arial"/>
          <w:color w:val="212529"/>
          <w:sz w:val="18"/>
        </w:rPr>
        <w:t>**Supplementary References** (1–42)</w:t>
      </w:r>
    </w:p>
    <w:p>
      <w:pPr>
        <w:keepNext/>
        <w:spacing w:before="280" w:after="80"/>
      </w:pPr>
      <w:r>
        <w:rPr>
          <w:rFonts w:ascii="Arial" w:hAnsi="Arial"/>
          <w:b/>
          <w:color w:val="002B49"/>
          <w:sz w:val="24"/>
        </w:rPr>
        <w:t>Supplementary Note 1: Mathematical Formulation of the 6D Differential-Algebraic Equation (Index-1 DAE) Microclimate System</w:t>
      </w:r>
    </w:p>
    <w:p>
      <w:pPr>
        <w:spacing w:before="0" w:after="80" w:line="276" w:lineRule="auto"/>
      </w:pPr>
      <w:r>
        <w:rPr>
          <w:rFonts w:ascii="Arial" w:hAnsi="Arial"/>
          <w:color w:val="212529"/>
          <w:sz w:val="18"/>
        </w:rPr>
        <w:t>Urban street canyons represent complex three-dimensional cavities characterized by strong thermodynamic coupling between asymmetric building facades, ground pavements, vegetative canopies, and the entrapped air volume (Oke, 1987¹; Arnfield, 2003²; Grimmond &amp; Oke, 1999³). Standard microclimate models solve fully-resolved Navier–Stokes equations coupled with multi-layer surface energy balance, requiring millions of grid cells and hours to days of CPU time per 200-meter street segment. Conversely, single-layer and slab models simplify canyons into horizontal surface tiles (Masson, 2000⁴; Kusaka et al., 2001⁵; Martilli et al., 2002⁶).</w:t>
      </w:r>
    </w:p>
    <w:p>
      <w:pPr>
        <w:spacing w:before="0" w:after="80" w:line="276" w:lineRule="auto"/>
      </w:pPr>
      <w:r>
        <w:rPr>
          <w:rFonts w:ascii="Arial" w:hAnsi="Arial"/>
          <w:color w:val="212529"/>
          <w:sz w:val="18"/>
        </w:rPr>
        <w:t>To achieve planetary-scale computational tractability across 204,267 authentic corridors, we formulate the coupled canyon heat and mass exchange as a 6-dimensional Index-1 Differential-Algebraic Equation (DAE) system (Hairer &amp; Wanner, 1996³¹; Ascher &amp; Petzold, 1998³²; Brenan, Campbell &amp; Petzold, 1996³³). The thermodynamic state vector X ∈ \mathbbR^6 is defined as:</w:t>
      </w:r>
    </w:p>
    <w:p>
      <w:pPr>
        <w:spacing w:before="160" w:after="60"/>
        <w:jc w:val="center"/>
      </w:pPr>
      <w:r>
        <w:rPr>
          <w:rFonts w:ascii="Cambria Math" w:hAnsi="Cambria Math"/>
          <w:b/>
          <w:color w:val="002B49"/>
          <w:sz w:val="20"/>
        </w:rPr>
        <w:t>X =</w:t>
      </w:r>
    </w:p>
    <w:tbl>
      <w:tblPr>
        <w:tblW w:type="auto" w:w="0"/>
        <w:jc w:val="center"/>
        <w:tblLayout w:type="fixed"/>
        <w:tblLook w:firstColumn="1" w:firstRow="1" w:lastColumn="0" w:lastRow="0" w:noHBand="0" w:noVBand="1" w:val="04A0"/>
      </w:tblPr>
      <w:tblGrid>
        <w:gridCol w:w="1560"/>
        <w:gridCol w:w="1560"/>
        <w:gridCol w:w="1560"/>
        <w:gridCol w:w="1560"/>
        <w:gridCol w:w="1560"/>
        <w:gridCol w:w="1560"/>
      </w:tblGrid>
      <w:tr>
        <w:tc>
          <w:tcPr>
            <w:tcW w:type="dxa" w:w="1560"/>
            <w:shd w:fill="FFFFFF"/>
            <w:tcMar>
              <w:top w:w="40" w:type="dxa"/>
              <w:bottom w:w="40" w:type="dxa"/>
              <w:left w:w="40" w:type="dxa"/>
              <w:right w:w="40" w:type="dxa"/>
            </w:tcMar>
          </w:tcPr>
          <w:p>
            <w:pPr>
              <w:jc w:val="center"/>
            </w:pPr>
            <w:r>
              <w:rPr>
                <w:rFonts w:ascii="Cambria Math" w:hAnsi="Cambria Math"/>
                <w:i/>
                <w:color w:val="212529"/>
                <w:sz w:val="16"/>
              </w:rPr>
              <w:t>T_w,sun</w:t>
            </w:r>
          </w:p>
        </w:tc>
        <w:tc>
          <w:tcPr>
            <w:tcW w:type="dxa" w:w="1560"/>
            <w:shd w:fill="FFFFFF"/>
            <w:tcMar>
              <w:top w:w="40" w:type="dxa"/>
              <w:bottom w:w="40" w:type="dxa"/>
              <w:left w:w="40" w:type="dxa"/>
              <w:right w:w="40" w:type="dxa"/>
            </w:tcMar>
          </w:tcPr>
          <w:p>
            <w:pPr>
              <w:jc w:val="center"/>
            </w:pPr>
            <w:r>
              <w:rPr>
                <w:rFonts w:ascii="Cambria Math" w:hAnsi="Cambria Math"/>
                <w:i/>
                <w:color w:val="212529"/>
                <w:sz w:val="16"/>
              </w:rPr>
              <w:t>T_w,shd</w:t>
            </w:r>
          </w:p>
        </w:tc>
        <w:tc>
          <w:tcPr>
            <w:tcW w:type="dxa" w:w="1560"/>
            <w:shd w:fill="FFFFFF"/>
            <w:tcMar>
              <w:top w:w="40" w:type="dxa"/>
              <w:bottom w:w="40" w:type="dxa"/>
              <w:left w:w="40" w:type="dxa"/>
              <w:right w:w="40" w:type="dxa"/>
            </w:tcMar>
          </w:tcPr>
          <w:p>
            <w:pPr>
              <w:jc w:val="center"/>
            </w:pPr>
            <w:r>
              <w:rPr>
                <w:rFonts w:ascii="Cambria Math" w:hAnsi="Cambria Math"/>
                <w:i/>
                <w:color w:val="212529"/>
                <w:sz w:val="16"/>
              </w:rPr>
              <w:t>T_g</w:t>
            </w:r>
          </w:p>
        </w:tc>
        <w:tc>
          <w:tcPr>
            <w:tcW w:type="dxa" w:w="1560"/>
            <w:shd w:fill="FFFFFF"/>
            <w:tcMar>
              <w:top w:w="40" w:type="dxa"/>
              <w:bottom w:w="40" w:type="dxa"/>
              <w:left w:w="40" w:type="dxa"/>
              <w:right w:w="40" w:type="dxa"/>
            </w:tcMar>
          </w:tcPr>
          <w:p>
            <w:pPr>
              <w:jc w:val="center"/>
            </w:pPr>
            <w:r>
              <w:rPr>
                <w:rFonts w:ascii="Cambria Math" w:hAnsi="Cambria Math"/>
                <w:i/>
                <w:color w:val="212529"/>
                <w:sz w:val="16"/>
              </w:rPr>
              <w:t>T_l</w:t>
            </w:r>
          </w:p>
        </w:tc>
        <w:tc>
          <w:tcPr>
            <w:tcW w:type="dxa" w:w="1560"/>
            <w:shd w:fill="FFFFFF"/>
            <w:tcMar>
              <w:top w:w="40" w:type="dxa"/>
              <w:bottom w:w="40" w:type="dxa"/>
              <w:left w:w="40" w:type="dxa"/>
              <w:right w:w="40" w:type="dxa"/>
            </w:tcMar>
          </w:tcPr>
          <w:p>
            <w:pPr>
              <w:jc w:val="center"/>
            </w:pPr>
            <w:r>
              <w:rPr>
                <w:rFonts w:ascii="Cambria Math" w:hAnsi="Cambria Math"/>
                <w:i/>
                <w:color w:val="212529"/>
                <w:sz w:val="16"/>
              </w:rPr>
              <w:t>T_c</w:t>
            </w:r>
          </w:p>
        </w:tc>
        <w:tc>
          <w:tcPr>
            <w:tcW w:type="dxa" w:w="1560"/>
            <w:shd w:fill="FFFFFF"/>
            <w:tcMar>
              <w:top w:w="40" w:type="dxa"/>
              <w:bottom w:w="40" w:type="dxa"/>
              <w:left w:w="40" w:type="dxa"/>
              <w:right w:w="40" w:type="dxa"/>
            </w:tcMar>
          </w:tcPr>
          <w:p>
            <w:pPr>
              <w:jc w:val="center"/>
            </w:pPr>
            <w:r>
              <w:rPr>
                <w:rFonts w:ascii="Cambria Math" w:hAnsi="Cambria Math"/>
                <w:i/>
                <w:color w:val="212529"/>
                <w:sz w:val="16"/>
              </w:rPr>
              <w:t>q_c</w:t>
            </w:r>
          </w:p>
        </w:tc>
      </w:tr>
    </w:tbl>
    <w:p>
      <w:pPr>
        <w:spacing w:before="40" w:after="120"/>
      </w:pPr>
    </w:p>
    <w:p>
      <w:pPr>
        <w:spacing w:before="0" w:after="80" w:line="276" w:lineRule="auto"/>
      </w:pPr>
      <w:r>
        <w:rPr>
          <w:rFonts w:ascii="Arial" w:hAnsi="Arial"/>
          <w:color w:val="212529"/>
          <w:sz w:val="18"/>
        </w:rPr>
        <w:t>where:</w:t>
      </w:r>
    </w:p>
    <w:p>
      <w:pPr>
        <w:pStyle w:val="ListBullet"/>
        <w:spacing w:before="20" w:after="20"/>
      </w:pPr>
      <w:r>
        <w:rPr>
          <w:rFonts w:ascii="Arial" w:hAnsi="Arial"/>
          <w:color w:val="212529"/>
          <w:sz w:val="18"/>
        </w:rPr>
        <w:t>T_w,sun: Sunlit building facade surface temperature (K)</w:t>
      </w:r>
    </w:p>
    <w:p>
      <w:pPr>
        <w:pStyle w:val="ListBullet"/>
        <w:spacing w:before="20" w:after="20"/>
      </w:pPr>
      <w:r>
        <w:rPr>
          <w:rFonts w:ascii="Arial" w:hAnsi="Arial"/>
          <w:color w:val="212529"/>
          <w:sz w:val="18"/>
        </w:rPr>
        <w:t>T_w,shd: Shaded building facade surface temperature (K)</w:t>
      </w:r>
    </w:p>
    <w:p>
      <w:pPr>
        <w:pStyle w:val="ListBullet"/>
        <w:spacing w:before="20" w:after="20"/>
      </w:pPr>
      <w:r>
        <w:rPr>
          <w:rFonts w:ascii="Arial" w:hAnsi="Arial"/>
          <w:color w:val="212529"/>
          <w:sz w:val="18"/>
        </w:rPr>
        <w:t>T_g: Composite ground pavement surface temperature (K)</w:t>
      </w:r>
    </w:p>
    <w:p>
      <w:pPr>
        <w:pStyle w:val="ListBullet"/>
        <w:spacing w:before="20" w:after="20"/>
      </w:pPr>
      <w:r>
        <w:rPr>
          <w:rFonts w:ascii="Arial" w:hAnsi="Arial"/>
          <w:color w:val="212529"/>
          <w:sz w:val="18"/>
        </w:rPr>
        <w:t>T_l: Vegetative canopy foliar temperature (K)</w:t>
      </w:r>
    </w:p>
    <w:p>
      <w:pPr>
        <w:pStyle w:val="ListBullet"/>
        <w:spacing w:before="20" w:after="20"/>
      </w:pPr>
      <w:r>
        <w:rPr>
          <w:rFonts w:ascii="Arial" w:hAnsi="Arial"/>
          <w:color w:val="212529"/>
          <w:sz w:val="18"/>
        </w:rPr>
        <w:t>T_c: Canyon air volume temperature (K)</w:t>
      </w:r>
    </w:p>
    <w:p>
      <w:pPr>
        <w:pStyle w:val="ListBullet"/>
        <w:spacing w:before="20" w:after="20"/>
      </w:pPr>
      <w:r>
        <w:rPr>
          <w:rFonts w:ascii="Arial" w:hAnsi="Arial"/>
          <w:color w:val="212529"/>
          <w:sz w:val="18"/>
        </w:rPr>
        <w:t>q_c: Canyon internal specific humidity (kg/kg)</w:t>
      </w:r>
    </w:p>
    <w:p>
      <w:pPr>
        <w:keepNext/>
        <w:spacing w:before="200" w:after="60"/>
      </w:pPr>
      <w:r>
        <w:rPr>
          <w:rFonts w:ascii="Arial" w:hAnsi="Arial"/>
          <w:b/>
          <w:color w:val="1E406E"/>
          <w:sz w:val="21"/>
        </w:rPr>
        <w:t>1.1 Separation of Thermal Inertia Scales</w:t>
      </w:r>
    </w:p>
    <w:p>
      <w:pPr>
        <w:spacing w:before="0" w:after="80" w:line="276" w:lineRule="auto"/>
      </w:pPr>
      <w:r>
        <w:rPr>
          <w:rFonts w:ascii="Arial" w:hAnsi="Arial"/>
          <w:color w:val="212529"/>
          <w:sz w:val="18"/>
        </w:rPr>
        <w:t>The physical foundation of the DAE Index-1 reduction lies in the three-order-of-magnitude separation between solid urban thermal mass and air thermal capacity:</w:t>
      </w:r>
    </w:p>
    <w:p>
      <w:pPr>
        <w:spacing w:before="20" w:after="20"/>
        <w:ind w:left="288"/>
      </w:pPr>
      <w:r>
        <w:rPr>
          <w:rFonts w:ascii="Arial" w:hAnsi="Arial"/>
          <w:color w:val="212529"/>
          <w:sz w:val="18"/>
        </w:rPr>
        <w:t>1. Building Envelope Thermal Mass: C_w,eff = ρ_w c_w d_eff ≈ 1.2 × 10^6 J/(m²· K)</w:t>
      </w:r>
    </w:p>
    <w:p>
      <w:pPr>
        <w:spacing w:before="20" w:after="20"/>
        <w:ind w:left="288"/>
      </w:pPr>
      <w:r>
        <w:rPr>
          <w:rFonts w:ascii="Arial" w:hAnsi="Arial"/>
          <w:color w:val="212529"/>
          <w:sz w:val="18"/>
        </w:rPr>
        <w:t>2. Ground Pavement Thermal Mass: C_g,eff = μ_g √(τ_day) / (2√(π)) ≈ 5.0 × 10^5 J/(m²· K)</w:t>
      </w:r>
    </w:p>
    <w:p>
      <w:pPr>
        <w:spacing w:before="20" w:after="20"/>
        <w:ind w:left="288"/>
      </w:pPr>
      <w:r>
        <w:rPr>
          <w:rFonts w:ascii="Arial" w:hAnsi="Arial"/>
          <w:color w:val="212529"/>
          <w:sz w:val="18"/>
        </w:rPr>
        <w:t>3. Canyon Air Thermal Mass per Unit Floor Area: C_air = ρ_a c_p H ≈ 1.18 × 1005 × 15 ≈ 1.78 × 10⁴ J/(m²· K)</w:t>
      </w:r>
    </w:p>
    <w:p>
      <w:pPr>
        <w:spacing w:before="0" w:after="80" w:line="276" w:lineRule="auto"/>
      </w:pPr>
      <w:r>
        <w:rPr>
          <w:rFonts w:ascii="Arial" w:hAnsi="Arial"/>
          <w:color w:val="212529"/>
          <w:sz w:val="18"/>
        </w:rPr>
        <w:t>Because C_air / C_w,eff ≈ 0.015 ≪ 1, the canyon air temperature T_c and humidity q_c adjust to solid boundary fluxes on a timescale of τ_air ≈ 60 - 120 s, whereas wall and ground storage operate over τ_solid ≈ 10 - 24 h. Consequently, the canyon air energy and moisture balance equations are formulated as instantaneous algebraic constraints (∂ T_c/∂ t ≈ 0, ∂ q_c/∂ t ≈ 0), while sunlit wall, shaded wall, ground, and canopy temperatures are integrated as dynamic ODE states.</w:t>
      </w:r>
    </w:p>
    <w:p>
      <w:pPr>
        <w:keepNext/>
        <w:spacing w:before="200" w:after="60"/>
      </w:pPr>
      <w:r>
        <w:rPr>
          <w:rFonts w:ascii="Arial" w:hAnsi="Arial"/>
          <w:b/>
          <w:color w:val="1E406E"/>
          <w:sz w:val="21"/>
        </w:rPr>
        <w:t>1.2 The Governing Coupled System</w:t>
      </w:r>
    </w:p>
    <w:p>
      <w:pPr>
        <w:spacing w:before="0" w:after="80" w:line="276" w:lineRule="auto"/>
      </w:pPr>
      <w:r>
        <w:rPr>
          <w:rFonts w:ascii="Arial" w:hAnsi="Arial"/>
          <w:color w:val="212529"/>
          <w:sz w:val="18"/>
        </w:rPr>
        <w:t>The 6 non-linear residual equations F_i(X, t) = 0 (i = 0, \dots, 5) are formulated as:</w:t>
      </w:r>
    </w:p>
    <w:p>
      <w:pPr>
        <w:spacing w:before="20" w:after="20"/>
        <w:ind w:left="288"/>
      </w:pPr>
      <w:r>
        <w:rPr>
          <w:rFonts w:ascii="Arial" w:hAnsi="Arial"/>
          <w:color w:val="212529"/>
          <w:sz w:val="18"/>
        </w:rPr>
        <w:t>1. Sunlit Building Facade Dynamic Energy Balance (F_0 = 0):</w:t>
      </w:r>
    </w:p>
    <w:p>
      <w:pPr>
        <w:spacing w:before="120" w:after="120"/>
        <w:jc w:val="center"/>
      </w:pPr>
      <w:r>
        <w:rPr>
          <w:rFonts w:ascii="Cambria Math" w:hAnsi="Cambria Math"/>
          <w:i/>
          <w:sz w:val="19"/>
        </w:rPr>
        <w:t>F_0(X) = (T_w,sun - T_w,sun^t-Δ t) - Δ t [ (2√(π))/(μ_w √(τ_day)) ( R_n,w,sun - H_w,sun ) - (2π)/(τ_day) (T_w,sun - T_in) ] = 0</w:t>
      </w:r>
    </w:p>
    <w:p>
      <w:pPr>
        <w:spacing w:before="20" w:after="20"/>
        <w:ind w:left="288"/>
      </w:pPr>
      <w:r>
        <w:rPr>
          <w:rFonts w:ascii="Arial" w:hAnsi="Arial"/>
          <w:color w:val="212529"/>
          <w:sz w:val="18"/>
        </w:rPr>
        <w:t>2. Shaded Building Facade Dynamic Energy Balance (F_1 = 0):</w:t>
      </w:r>
    </w:p>
    <w:p>
      <w:pPr>
        <w:spacing w:before="120" w:after="120"/>
        <w:jc w:val="center"/>
      </w:pPr>
      <w:r>
        <w:rPr>
          <w:rFonts w:ascii="Cambria Math" w:hAnsi="Cambria Math"/>
          <w:i/>
          <w:sz w:val="19"/>
        </w:rPr>
        <w:t>F_1(X) = (T_w,shd - T_w,shd^t-Δ t) - Δ t [ (2√(π))/(μ_w √(τ_day)) ( R_n,w,shd - H_w,shd ) - (2π)/(τ_day) (T_w,shd - T_in) ] = 0</w:t>
      </w:r>
    </w:p>
    <w:p>
      <w:pPr>
        <w:spacing w:before="0" w:after="80" w:line="276" w:lineRule="auto"/>
      </w:pPr>
      <w:r>
        <w:rPr>
          <w:rFonts w:ascii="Arial" w:hAnsi="Arial"/>
          <w:color w:val="212529"/>
          <w:sz w:val="18"/>
        </w:rPr>
        <w:t>where μ_w = √(ρ_w c_w k_w) is facade thermal admittance (≈ 1,750 J/(m²· s^1/2· K)), τ_day = 86,400 s, and building interiors are conditioned to T_in = 297.15 K (24.0^\circC). Note that facade conductive relaxation restores toward indoor conditioned air T_in, while ground pavement restores toward deep sub-pavement soil temperature T_deep.</w:t>
      </w:r>
    </w:p>
    <w:p>
      <w:pPr>
        <w:spacing w:before="20" w:after="20"/>
        <w:ind w:left="288"/>
      </w:pPr>
      <w:r>
        <w:rPr>
          <w:rFonts w:ascii="Arial" w:hAnsi="Arial"/>
          <w:color w:val="212529"/>
          <w:sz w:val="18"/>
        </w:rPr>
        <w:t>3. Ground Pavement Substrate Dynamic Energy Balance (F_2 = 0):</w:t>
      </w:r>
    </w:p>
    <w:p>
      <w:pPr>
        <w:spacing w:before="120" w:after="120"/>
        <w:jc w:val="center"/>
      </w:pPr>
      <w:r>
        <w:rPr>
          <w:rFonts w:ascii="Cambria Math" w:hAnsi="Cambria Math"/>
          <w:i/>
          <w:sz w:val="19"/>
        </w:rPr>
        <w:t>F_2(X) = (T_g - T_g^t-Δ t) - Δ t [ (2√(π))/(μ_g √(τ_day)) ( R_n,g - H_g - LE_g ) - (2π)/(τ_day) (T_g - T_deep) ] = 0</w:t>
      </w:r>
    </w:p>
    <w:p>
      <w:pPr>
        <w:spacing w:before="20" w:after="20"/>
        <w:ind w:left="288"/>
      </w:pPr>
      <w:r>
        <w:rPr>
          <w:rFonts w:ascii="Arial" w:hAnsi="Arial"/>
          <w:color w:val="212529"/>
          <w:sz w:val="18"/>
        </w:rPr>
        <w:t>4. Vegetative Canopy Foliar Energy Balance (F_3 = 0):</w:t>
      </w:r>
    </w:p>
    <w:p>
      <w:pPr>
        <w:spacing w:before="120" w:after="120"/>
        <w:jc w:val="center"/>
      </w:pPr>
      <w:r>
        <w:rPr>
          <w:rFonts w:ascii="Cambria Math" w:hAnsi="Cambria Math"/>
          <w:i/>
          <w:sz w:val="19"/>
        </w:rPr>
        <w:t>F_3(X) = (R_n,l)/(LAI_eff) - 2ρ_a c_p g_ha,l (T_l - T_c) - LE_l = 0</w:t>
      </w:r>
    </w:p>
    <w:p>
      <w:pPr>
        <w:spacing w:before="0" w:after="80" w:line="276" w:lineRule="auto"/>
      </w:pPr>
      <w:r>
        <w:rPr>
          <w:rFonts w:ascii="Arial" w:hAnsi="Arial"/>
          <w:color w:val="212529"/>
          <w:sz w:val="18"/>
        </w:rPr>
        <w:t>where LAI_eff = max(f_tree LAI, 0.05), and single-leaf latent heat flux is LE_l = (ρ_a c_p / γ) (e^*_s(T_l) - e_c) / (r_av,l + r_s).</w:t>
      </w:r>
    </w:p>
    <w:p>
      <w:pPr>
        <w:spacing w:before="20" w:after="20"/>
        <w:ind w:left="288"/>
      </w:pPr>
      <w:r>
        <w:rPr>
          <w:rFonts w:ascii="Arial" w:hAnsi="Arial"/>
          <w:color w:val="212529"/>
          <w:sz w:val="18"/>
        </w:rPr>
        <w:t>5. Canyon Air Sensible Heat Conservation (F_4 = 0):</w:t>
      </w:r>
    </w:p>
    <w:p>
      <w:pPr>
        <w:spacing w:before="120" w:after="120"/>
        <w:jc w:val="center"/>
      </w:pPr>
      <w:r>
        <w:rPr>
          <w:rFonts w:ascii="Cambria Math" w:hAnsi="Cambria Math"/>
          <w:i/>
          <w:sz w:val="19"/>
        </w:rPr>
        <w:t>F_4(X) = [ H_g + (H)/(W)(H_w,sun + H_w,shd) + H_l,3D + Q_F ] - ρ_a c_p g_top (T_c - T_atm) = 0</w:t>
      </w:r>
    </w:p>
    <w:p>
      <w:pPr>
        <w:spacing w:before="0" w:after="80" w:line="276" w:lineRule="auto"/>
      </w:pPr>
      <w:r>
        <w:rPr>
          <w:rFonts w:ascii="Arial" w:hAnsi="Arial"/>
          <w:color w:val="212529"/>
          <w:sz w:val="18"/>
        </w:rPr>
        <w:t>where H_l,3D = f_tree LAI · 2ρ_a c_p g_ha,l (T_l - T_c), and Q_F is anthropogenic vehicular and HVAC waste heat.</w:t>
      </w:r>
    </w:p>
    <w:p>
      <w:pPr>
        <w:spacing w:before="20" w:after="20"/>
        <w:ind w:left="288"/>
      </w:pPr>
      <w:r>
        <w:rPr>
          <w:rFonts w:ascii="Arial" w:hAnsi="Arial"/>
          <w:color w:val="212529"/>
          <w:sz w:val="18"/>
        </w:rPr>
        <w:t>6. Canyon Air Moisture Conservation (F_5 = 0):</w:t>
      </w:r>
    </w:p>
    <w:p>
      <w:pPr>
        <w:spacing w:before="120" w:after="120"/>
        <w:jc w:val="center"/>
      </w:pPr>
      <w:r>
        <w:rPr>
          <w:rFonts w:ascii="Cambria Math" w:hAnsi="Cambria Math"/>
          <w:i/>
          <w:sz w:val="19"/>
        </w:rPr>
        <w:t>F_5(X) = [ (LE_l,3D)/(λ_v) + (LE_g)/(λ_v) ] - ρ_a g_top (q_c - q_atm) = 0</w:t>
      </w:r>
    </w:p>
    <w:p>
      <w:pPr>
        <w:spacing w:before="0" w:after="80" w:line="276" w:lineRule="auto"/>
      </w:pPr>
      <w:r>
        <w:rPr>
          <w:rFonts w:ascii="Arial" w:hAnsi="Arial"/>
          <w:color w:val="212529"/>
          <w:sz w:val="18"/>
        </w:rPr>
        <w:t>where LE_l,3D = f_tree LAI · LE_l.</w:t>
      </w:r>
    </w:p>
    <w:p>
      <w:pPr>
        <w:keepNext/>
        <w:spacing w:before="200" w:after="60"/>
      </w:pPr>
      <w:r>
        <w:rPr>
          <w:rFonts w:ascii="Arial" w:hAnsi="Arial"/>
          <w:b/>
          <w:color w:val="1E406E"/>
          <w:sz w:val="21"/>
        </w:rPr>
        <w:t>1.3 Ecophysiological Dark Reactions and Thermodynamic Suppression of Nocturnal Transpiration</w:t>
      </w:r>
    </w:p>
    <w:p>
      <w:pPr>
        <w:spacing w:before="0" w:after="80" w:line="276" w:lineRule="auto"/>
      </w:pPr>
      <w:r>
        <w:rPr>
          <w:rFonts w:ascii="Arial" w:hAnsi="Arial"/>
          <w:color w:val="212529"/>
          <w:sz w:val="18"/>
        </w:rPr>
        <w:t>Plant ecophysiological literature documents that while stomata primarily close in the absence of photosynthetically active radiation (PAR = 0) to avoid non-productive hydraulic cavitation (Jarvis, 1976⁴⁴; Ball et al., 1987⁴⁵), certain taxa (notably Mediterranean sclerophylls such as *Quercus ilex* and riparian pioneers) can maintain a small non-zero nocturnal stomatal conductance (g_night ≈ 5\% -- 15\% of g_max, corresponding to 0.005--0.02 mol m^-2 s^-1), giving rise to nocturnal sapflow (Caird et al., 2007; Phillips et al., 2010).</w:t>
      </w:r>
    </w:p>
    <w:p>
      <w:pPr>
        <w:spacing w:before="0" w:after="80" w:line="276" w:lineRule="auto"/>
      </w:pPr>
      <w:r>
        <w:rPr>
          <w:rFonts w:ascii="Arial" w:hAnsi="Arial"/>
          <w:color w:val="212529"/>
          <w:sz w:val="18"/>
        </w:rPr>
        <w:t>We evaluate whether non-zero nocturnal transpiration could overturn the nocturnal thermal trapping liability identified in our multi-city simulations. In urban street canyons during summer heatwave nights, three physical conditions rigorously constrain nocturnal evaporative cooling:</w:t>
      </w:r>
    </w:p>
    <w:p>
      <w:pPr>
        <w:spacing w:before="20" w:after="20"/>
        <w:ind w:left="288"/>
      </w:pPr>
      <w:r>
        <w:rPr>
          <w:rFonts w:ascii="Arial" w:hAnsi="Arial"/>
          <w:color w:val="212529"/>
          <w:sz w:val="18"/>
        </w:rPr>
        <w:t>1. **Atmospheric Vapor Saturation**: Due to daytime moisture accumulation and nocturnal temperature drops, canyon relative humidity elevates sharply (RH &gt; 75\%--85\%). Consequently, the leaf-to-air vapor pressure deficit compresses to minimal values (VPD &lt; 0.25 - 0.35 kPa);</w:t>
      </w:r>
    </w:p>
    <w:p>
      <w:pPr>
        <w:spacing w:before="20" w:after="20"/>
        <w:ind w:left="288"/>
      </w:pPr>
      <w:r>
        <w:rPr>
          <w:rFonts w:ascii="Arial" w:hAnsi="Arial"/>
          <w:color w:val="212529"/>
          <w:sz w:val="18"/>
        </w:rPr>
        <w:t>2. **Latent Heat Magnitude**: Even with g_night = 0.015 mol m^-2 s^-1, the resulting nocturnal latent heat flux is bounded at LE_l ≤ 10 - 15 W/m²;</w:t>
      </w:r>
    </w:p>
    <w:p>
      <w:pPr>
        <w:spacing w:before="20" w:after="20"/>
        <w:ind w:left="288"/>
      </w:pPr>
      <w:r>
        <w:rPr>
          <w:rFonts w:ascii="Arial" w:hAnsi="Arial"/>
          <w:color w:val="212529"/>
          <w:sz w:val="18"/>
        </w:rPr>
        <w:t>3. **Radiative and Convective Dominance**: In deep canyons (H/W ≥ 1.5), the downward longwave re-radiation emitted by the warm tree crown toward the pedestrian level generates a net radiative surplus of +30--50 W/m², while foliar form drag suppresses street-level ventilation by 65%–85% (u_ped &lt; 0.5 m/s).</w:t>
      </w:r>
    </w:p>
    <w:p>
      <w:pPr>
        <w:spacing w:before="0" w:after="80" w:line="276" w:lineRule="auto"/>
      </w:pPr>
      <w:r>
        <w:rPr>
          <w:rFonts w:ascii="Arial" w:hAnsi="Arial"/>
          <w:color w:val="212529"/>
          <w:sz w:val="18"/>
        </w:rPr>
        <w:t>The +30--50 W/m² longwave trapping deficit and convective throttling outweigh the &lt; 10 - 15 W/m² residual evaporative cooling by a factor of 3 to 5. Consequently, nocturnal thermal trapping is an invariant thermodynamic consequence of volumetric cavity geometry and radiative view factors, fully robust to variations in nocturnal stomatal aperture.</w:t>
      </w:r>
    </w:p>
    <w:p>
      <w:pPr>
        <w:keepNext/>
        <w:spacing w:before="280" w:after="80"/>
      </w:pPr>
      <w:r>
        <w:rPr>
          <w:rFonts w:ascii="Arial" w:hAnsi="Arial"/>
          <w:b/>
          <w:color w:val="002B49"/>
          <w:sz w:val="24"/>
        </w:rPr>
        <w:t>Supplementary Note 2: Closed-Form Analytical Jacobian Matrix Formulation and Picard–Newton Hybrid Solver</w:t>
      </w:r>
    </w:p>
    <w:p>
      <w:pPr>
        <w:spacing w:before="0" w:after="80" w:line="276" w:lineRule="auto"/>
      </w:pPr>
      <w:r>
        <w:rPr>
          <w:rFonts w:ascii="Arial" w:hAnsi="Arial"/>
          <w:color w:val="212529"/>
          <w:sz w:val="18"/>
        </w:rPr>
        <w:t>Standard numerical DAE packages rely on finite-difference approximation to estimate the 6 × 6 system Jacobian matrix J = ∂ F/∂ X. Evaluating a 6 × 6 finite-difference Jacobian requires 7 full residual evaluations per Newton iteration, which severely throttles citywide simulations (Hairer &amp; Wanner, 1996³¹; Ascher &amp; Petzold, 1998³²; Brenan et al., 1996³³).</w:t>
      </w:r>
    </w:p>
    <w:p>
      <w:pPr>
        <w:keepNext/>
        <w:spacing w:before="200" w:after="60"/>
      </w:pPr>
      <w:r>
        <w:rPr>
          <w:rFonts w:ascii="Arial" w:hAnsi="Arial"/>
          <w:b/>
          <w:color w:val="1E406E"/>
          <w:sz w:val="21"/>
        </w:rPr>
        <w:t>2.1 Exact Analytical Jacobian Derivation</w:t>
      </w:r>
    </w:p>
    <w:p>
      <w:pPr>
        <w:spacing w:before="0" w:after="80" w:line="276" w:lineRule="auto"/>
      </w:pPr>
      <w:r>
        <w:rPr>
          <w:rFonts w:ascii="Arial" w:hAnsi="Arial"/>
          <w:color w:val="212529"/>
          <w:sz w:val="18"/>
        </w:rPr>
        <w:t>We analytically derive all 36 partial derivative entries J_ij = ∂ F_i/∂ X_j (i, j ∈ \0, \dots, 5\). The analytical Jacobian exhibits exactly 30 non-zero derivative entries and 6 exact structural zeros:</w:t>
      </w:r>
    </w:p>
    <w:p>
      <w:pPr>
        <w:spacing w:before="160" w:after="60"/>
        <w:jc w:val="center"/>
      </w:pPr>
      <w:r>
        <w:rPr>
          <w:rFonts w:ascii="Cambria Math" w:hAnsi="Cambria Math"/>
          <w:b/>
          <w:color w:val="002B49"/>
          <w:sz w:val="20"/>
        </w:rPr>
        <w:t>J_6 × 6 =</w:t>
      </w:r>
    </w:p>
    <w:tbl>
      <w:tblPr>
        <w:tblW w:type="auto" w:w="0"/>
        <w:jc w:val="center"/>
        <w:tblLayout w:type="fixed"/>
        <w:tblLook w:firstColumn="1" w:firstRow="1" w:lastColumn="0" w:lastRow="0" w:noHBand="0" w:noVBand="1" w:val="04A0"/>
      </w:tblPr>
      <w:tblGrid>
        <w:gridCol w:w="1560"/>
        <w:gridCol w:w="1560"/>
        <w:gridCol w:w="1560"/>
        <w:gridCol w:w="1560"/>
        <w:gridCol w:w="1560"/>
        <w:gridCol w:w="1560"/>
      </w:tblGrid>
      <w:tr>
        <w:tc>
          <w:tcPr>
            <w:tcW w:type="dxa" w:w="1560"/>
            <w:shd w:fill="FFFFFF"/>
            <w:tcMar>
              <w:top w:w="40" w:type="dxa"/>
              <w:bottom w:w="40" w:type="dxa"/>
              <w:left w:w="40" w:type="dxa"/>
              <w:right w:w="40" w:type="dxa"/>
            </w:tcMar>
          </w:tcPr>
          <w:p>
            <w:pPr>
              <w:jc w:val="center"/>
            </w:pPr>
            <w:r>
              <w:rPr>
                <w:rFonts w:ascii="Cambria Math" w:hAnsi="Cambria Math"/>
                <w:i/>
                <w:color w:val="212529"/>
                <w:sz w:val="16"/>
              </w:rPr>
              <w:t>(∂ F_0)/(∂ T_w,sun)</w:t>
            </w:r>
          </w:p>
        </w:tc>
        <w:tc>
          <w:tcPr>
            <w:tcW w:type="dxa" w:w="1560"/>
            <w:shd w:fill="FFFFFF"/>
            <w:tcMar>
              <w:top w:w="40" w:type="dxa"/>
              <w:bottom w:w="40" w:type="dxa"/>
              <w:left w:w="40" w:type="dxa"/>
              <w:right w:w="40" w:type="dxa"/>
            </w:tcMar>
          </w:tcPr>
          <w:p>
            <w:pPr>
              <w:jc w:val="center"/>
            </w:pPr>
            <w:r>
              <w:rPr>
                <w:rFonts w:ascii="Cambria Math" w:hAnsi="Cambria Math"/>
                <w:i/>
                <w:color w:val="212529"/>
                <w:sz w:val="16"/>
              </w:rPr>
              <w:t>(∂ F_0)/(∂ T_w,shd)</w:t>
            </w:r>
          </w:p>
        </w:tc>
        <w:tc>
          <w:tcPr>
            <w:tcW w:type="dxa" w:w="1560"/>
            <w:shd w:fill="FFFFFF"/>
            <w:tcMar>
              <w:top w:w="40" w:type="dxa"/>
              <w:bottom w:w="40" w:type="dxa"/>
              <w:left w:w="40" w:type="dxa"/>
              <w:right w:w="40" w:type="dxa"/>
            </w:tcMar>
          </w:tcPr>
          <w:p>
            <w:pPr>
              <w:jc w:val="center"/>
            </w:pPr>
            <w:r>
              <w:rPr>
                <w:rFonts w:ascii="Cambria Math" w:hAnsi="Cambria Math"/>
                <w:i/>
                <w:color w:val="212529"/>
                <w:sz w:val="16"/>
              </w:rPr>
              <w:t>(∂ F_0)/(∂ T_g)</w:t>
            </w:r>
          </w:p>
        </w:tc>
        <w:tc>
          <w:tcPr>
            <w:tcW w:type="dxa" w:w="1560"/>
            <w:shd w:fill="FFFFFF"/>
            <w:tcMar>
              <w:top w:w="40" w:type="dxa"/>
              <w:bottom w:w="40" w:type="dxa"/>
              <w:left w:w="40" w:type="dxa"/>
              <w:right w:w="40" w:type="dxa"/>
            </w:tcMar>
          </w:tcPr>
          <w:p>
            <w:pPr>
              <w:jc w:val="center"/>
            </w:pPr>
            <w:r>
              <w:rPr>
                <w:rFonts w:ascii="Cambria Math" w:hAnsi="Cambria Math"/>
                <w:i/>
                <w:color w:val="212529"/>
                <w:sz w:val="16"/>
              </w:rPr>
              <w:t>(∂ F_0)/(∂ T_l)</w:t>
            </w:r>
          </w:p>
        </w:tc>
        <w:tc>
          <w:tcPr>
            <w:tcW w:type="dxa" w:w="1560"/>
            <w:shd w:fill="FFFFFF"/>
            <w:tcMar>
              <w:top w:w="40" w:type="dxa"/>
              <w:bottom w:w="40" w:type="dxa"/>
              <w:left w:w="40" w:type="dxa"/>
              <w:right w:w="40" w:type="dxa"/>
            </w:tcMar>
          </w:tcPr>
          <w:p>
            <w:pPr>
              <w:jc w:val="center"/>
            </w:pPr>
            <w:r>
              <w:rPr>
                <w:rFonts w:ascii="Cambria Math" w:hAnsi="Cambria Math"/>
                <w:i/>
                <w:color w:val="212529"/>
                <w:sz w:val="16"/>
              </w:rPr>
              <w:t>(∂ F_0)/(∂ T_c)</w:t>
            </w:r>
          </w:p>
        </w:tc>
        <w:tc>
          <w:tcPr>
            <w:tcW w:type="dxa" w:w="1560"/>
            <w:shd w:fill="FFFFFF"/>
            <w:tcMar>
              <w:top w:w="40" w:type="dxa"/>
              <w:bottom w:w="40" w:type="dxa"/>
              <w:left w:w="40" w:type="dxa"/>
              <w:right w:w="40" w:type="dxa"/>
            </w:tcMar>
          </w:tcPr>
          <w:p>
            <w:pPr>
              <w:jc w:val="center"/>
            </w:pPr>
            <w:r>
              <w:rPr>
                <w:rFonts w:ascii="Cambria Math" w:hAnsi="Cambria Math"/>
                <w:i/>
                <w:color w:val="212529"/>
                <w:sz w:val="16"/>
              </w:rPr>
              <w:t>0</w:t>
            </w:r>
          </w:p>
        </w:tc>
      </w:tr>
      <w:tr>
        <w:tc>
          <w:tcPr>
            <w:tcW w:type="dxa" w:w="1560"/>
            <w:shd w:fill="F8FAFC"/>
            <w:tcMar>
              <w:top w:w="40" w:type="dxa"/>
              <w:bottom w:w="40" w:type="dxa"/>
              <w:left w:w="40" w:type="dxa"/>
              <w:right w:w="40" w:type="dxa"/>
            </w:tcMar>
          </w:tcPr>
          <w:p>
            <w:pPr>
              <w:jc w:val="center"/>
            </w:pPr>
            <w:r>
              <w:rPr>
                <w:rFonts w:ascii="Cambria Math" w:hAnsi="Cambria Math"/>
                <w:i/>
                <w:color w:val="212529"/>
                <w:sz w:val="16"/>
              </w:rPr>
              <w:t>(∂ F_1)/(∂ T_w,sun)</w:t>
            </w:r>
          </w:p>
        </w:tc>
        <w:tc>
          <w:tcPr>
            <w:tcW w:type="dxa" w:w="1560"/>
            <w:shd w:fill="F8FAFC"/>
            <w:tcMar>
              <w:top w:w="40" w:type="dxa"/>
              <w:bottom w:w="40" w:type="dxa"/>
              <w:left w:w="40" w:type="dxa"/>
              <w:right w:w="40" w:type="dxa"/>
            </w:tcMar>
          </w:tcPr>
          <w:p>
            <w:pPr>
              <w:jc w:val="center"/>
            </w:pPr>
            <w:r>
              <w:rPr>
                <w:rFonts w:ascii="Cambria Math" w:hAnsi="Cambria Math"/>
                <w:i/>
                <w:color w:val="212529"/>
                <w:sz w:val="16"/>
              </w:rPr>
              <w:t>(∂ F_1)/(∂ T_w,shd)</w:t>
            </w:r>
          </w:p>
        </w:tc>
        <w:tc>
          <w:tcPr>
            <w:tcW w:type="dxa" w:w="1560"/>
            <w:shd w:fill="F8FAFC"/>
            <w:tcMar>
              <w:top w:w="40" w:type="dxa"/>
              <w:bottom w:w="40" w:type="dxa"/>
              <w:left w:w="40" w:type="dxa"/>
              <w:right w:w="40" w:type="dxa"/>
            </w:tcMar>
          </w:tcPr>
          <w:p>
            <w:pPr>
              <w:jc w:val="center"/>
            </w:pPr>
            <w:r>
              <w:rPr>
                <w:rFonts w:ascii="Cambria Math" w:hAnsi="Cambria Math"/>
                <w:i/>
                <w:color w:val="212529"/>
                <w:sz w:val="16"/>
              </w:rPr>
              <w:t>(∂ F_1)/(∂ T_g)</w:t>
            </w:r>
          </w:p>
        </w:tc>
        <w:tc>
          <w:tcPr>
            <w:tcW w:type="dxa" w:w="1560"/>
            <w:shd w:fill="F8FAFC"/>
            <w:tcMar>
              <w:top w:w="40" w:type="dxa"/>
              <w:bottom w:w="40" w:type="dxa"/>
              <w:left w:w="40" w:type="dxa"/>
              <w:right w:w="40" w:type="dxa"/>
            </w:tcMar>
          </w:tcPr>
          <w:p>
            <w:pPr>
              <w:jc w:val="center"/>
            </w:pPr>
            <w:r>
              <w:rPr>
                <w:rFonts w:ascii="Cambria Math" w:hAnsi="Cambria Math"/>
                <w:i/>
                <w:color w:val="212529"/>
                <w:sz w:val="16"/>
              </w:rPr>
              <w:t>(∂ F_1)/(∂ T_l)</w:t>
            </w:r>
          </w:p>
        </w:tc>
        <w:tc>
          <w:tcPr>
            <w:tcW w:type="dxa" w:w="1560"/>
            <w:shd w:fill="F8FAFC"/>
            <w:tcMar>
              <w:top w:w="40" w:type="dxa"/>
              <w:bottom w:w="40" w:type="dxa"/>
              <w:left w:w="40" w:type="dxa"/>
              <w:right w:w="40" w:type="dxa"/>
            </w:tcMar>
          </w:tcPr>
          <w:p>
            <w:pPr>
              <w:jc w:val="center"/>
            </w:pPr>
            <w:r>
              <w:rPr>
                <w:rFonts w:ascii="Cambria Math" w:hAnsi="Cambria Math"/>
                <w:i/>
                <w:color w:val="212529"/>
                <w:sz w:val="16"/>
              </w:rPr>
              <w:t>(∂ F_1)/(∂ T_c)</w:t>
            </w:r>
          </w:p>
        </w:tc>
        <w:tc>
          <w:tcPr>
            <w:tcW w:type="dxa" w:w="1560"/>
            <w:shd w:fill="F8FAFC"/>
            <w:tcMar>
              <w:top w:w="40" w:type="dxa"/>
              <w:bottom w:w="40" w:type="dxa"/>
              <w:left w:w="40" w:type="dxa"/>
              <w:right w:w="40" w:type="dxa"/>
            </w:tcMar>
          </w:tcPr>
          <w:p>
            <w:pPr>
              <w:jc w:val="center"/>
            </w:pPr>
            <w:r>
              <w:rPr>
                <w:rFonts w:ascii="Cambria Math" w:hAnsi="Cambria Math"/>
                <w:i/>
                <w:color w:val="212529"/>
                <w:sz w:val="16"/>
              </w:rPr>
              <w:t>0</w:t>
            </w:r>
          </w:p>
        </w:tc>
      </w:tr>
      <w:tr>
        <w:tc>
          <w:tcPr>
            <w:tcW w:type="dxa" w:w="1560"/>
            <w:shd w:fill="FFFFFF"/>
            <w:tcMar>
              <w:top w:w="40" w:type="dxa"/>
              <w:bottom w:w="40" w:type="dxa"/>
              <w:left w:w="40" w:type="dxa"/>
              <w:right w:w="40" w:type="dxa"/>
            </w:tcMar>
          </w:tcPr>
          <w:p>
            <w:pPr>
              <w:jc w:val="center"/>
            </w:pPr>
            <w:r>
              <w:rPr>
                <w:rFonts w:ascii="Cambria Math" w:hAnsi="Cambria Math"/>
                <w:i/>
                <w:color w:val="212529"/>
                <w:sz w:val="16"/>
              </w:rPr>
              <w:t>(∂ F_2)/(∂ T_w,sun)</w:t>
            </w:r>
          </w:p>
        </w:tc>
        <w:tc>
          <w:tcPr>
            <w:tcW w:type="dxa" w:w="1560"/>
            <w:shd w:fill="FFFFFF"/>
            <w:tcMar>
              <w:top w:w="40" w:type="dxa"/>
              <w:bottom w:w="40" w:type="dxa"/>
              <w:left w:w="40" w:type="dxa"/>
              <w:right w:w="40" w:type="dxa"/>
            </w:tcMar>
          </w:tcPr>
          <w:p>
            <w:pPr>
              <w:jc w:val="center"/>
            </w:pPr>
            <w:r>
              <w:rPr>
                <w:rFonts w:ascii="Cambria Math" w:hAnsi="Cambria Math"/>
                <w:i/>
                <w:color w:val="212529"/>
                <w:sz w:val="16"/>
              </w:rPr>
              <w:t>(∂ F_2)/(∂ T_w,shd)</w:t>
            </w:r>
          </w:p>
        </w:tc>
        <w:tc>
          <w:tcPr>
            <w:tcW w:type="dxa" w:w="1560"/>
            <w:shd w:fill="FFFFFF"/>
            <w:tcMar>
              <w:top w:w="40" w:type="dxa"/>
              <w:bottom w:w="40" w:type="dxa"/>
              <w:left w:w="40" w:type="dxa"/>
              <w:right w:w="40" w:type="dxa"/>
            </w:tcMar>
          </w:tcPr>
          <w:p>
            <w:pPr>
              <w:jc w:val="center"/>
            </w:pPr>
            <w:r>
              <w:rPr>
                <w:rFonts w:ascii="Cambria Math" w:hAnsi="Cambria Math"/>
                <w:i/>
                <w:color w:val="212529"/>
                <w:sz w:val="16"/>
              </w:rPr>
              <w:t>(∂ F_2)/(∂ T_g)</w:t>
            </w:r>
          </w:p>
        </w:tc>
        <w:tc>
          <w:tcPr>
            <w:tcW w:type="dxa" w:w="1560"/>
            <w:shd w:fill="FFFFFF"/>
            <w:tcMar>
              <w:top w:w="40" w:type="dxa"/>
              <w:bottom w:w="40" w:type="dxa"/>
              <w:left w:w="40" w:type="dxa"/>
              <w:right w:w="40" w:type="dxa"/>
            </w:tcMar>
          </w:tcPr>
          <w:p>
            <w:pPr>
              <w:jc w:val="center"/>
            </w:pPr>
            <w:r>
              <w:rPr>
                <w:rFonts w:ascii="Cambria Math" w:hAnsi="Cambria Math"/>
                <w:i/>
                <w:color w:val="212529"/>
                <w:sz w:val="16"/>
              </w:rPr>
              <w:t>(∂ F_2)/(∂ T_l)</w:t>
            </w:r>
          </w:p>
        </w:tc>
        <w:tc>
          <w:tcPr>
            <w:tcW w:type="dxa" w:w="1560"/>
            <w:shd w:fill="FFFFFF"/>
            <w:tcMar>
              <w:top w:w="40" w:type="dxa"/>
              <w:bottom w:w="40" w:type="dxa"/>
              <w:left w:w="40" w:type="dxa"/>
              <w:right w:w="40" w:type="dxa"/>
            </w:tcMar>
          </w:tcPr>
          <w:p>
            <w:pPr>
              <w:jc w:val="center"/>
            </w:pPr>
            <w:r>
              <w:rPr>
                <w:rFonts w:ascii="Cambria Math" w:hAnsi="Cambria Math"/>
                <w:i/>
                <w:color w:val="212529"/>
                <w:sz w:val="16"/>
              </w:rPr>
              <w:t>(∂ F_2)/(∂ T_c)</w:t>
            </w:r>
          </w:p>
        </w:tc>
        <w:tc>
          <w:tcPr>
            <w:tcW w:type="dxa" w:w="1560"/>
            <w:shd w:fill="FFFFFF"/>
            <w:tcMar>
              <w:top w:w="40" w:type="dxa"/>
              <w:bottom w:w="40" w:type="dxa"/>
              <w:left w:w="40" w:type="dxa"/>
              <w:right w:w="40" w:type="dxa"/>
            </w:tcMar>
          </w:tcPr>
          <w:p>
            <w:pPr>
              <w:jc w:val="center"/>
            </w:pPr>
            <w:r>
              <w:rPr>
                <w:rFonts w:ascii="Cambria Math" w:hAnsi="Cambria Math"/>
                <w:i/>
                <w:color w:val="212529"/>
                <w:sz w:val="16"/>
              </w:rPr>
              <w:t>(∂ F_2)/(∂ q_c)</w:t>
            </w:r>
          </w:p>
        </w:tc>
      </w:tr>
      <w:tr>
        <w:tc>
          <w:tcPr>
            <w:tcW w:type="dxa" w:w="1560"/>
            <w:shd w:fill="F8FAFC"/>
            <w:tcMar>
              <w:top w:w="40" w:type="dxa"/>
              <w:bottom w:w="40" w:type="dxa"/>
              <w:left w:w="40" w:type="dxa"/>
              <w:right w:w="40" w:type="dxa"/>
            </w:tcMar>
          </w:tcPr>
          <w:p>
            <w:pPr>
              <w:jc w:val="center"/>
            </w:pPr>
            <w:r>
              <w:rPr>
                <w:rFonts w:ascii="Cambria Math" w:hAnsi="Cambria Math"/>
                <w:i/>
                <w:color w:val="212529"/>
                <w:sz w:val="16"/>
              </w:rPr>
              <w:t>(∂ F_3)/(∂ T_w,sun)</w:t>
            </w:r>
          </w:p>
        </w:tc>
        <w:tc>
          <w:tcPr>
            <w:tcW w:type="dxa" w:w="1560"/>
            <w:shd w:fill="F8FAFC"/>
            <w:tcMar>
              <w:top w:w="40" w:type="dxa"/>
              <w:bottom w:w="40" w:type="dxa"/>
              <w:left w:w="40" w:type="dxa"/>
              <w:right w:w="40" w:type="dxa"/>
            </w:tcMar>
          </w:tcPr>
          <w:p>
            <w:pPr>
              <w:jc w:val="center"/>
            </w:pPr>
            <w:r>
              <w:rPr>
                <w:rFonts w:ascii="Cambria Math" w:hAnsi="Cambria Math"/>
                <w:i/>
                <w:color w:val="212529"/>
                <w:sz w:val="16"/>
              </w:rPr>
              <w:t>(∂ F_3)/(∂ T_w,shd)</w:t>
            </w:r>
          </w:p>
        </w:tc>
        <w:tc>
          <w:tcPr>
            <w:tcW w:type="dxa" w:w="1560"/>
            <w:shd w:fill="F8FAFC"/>
            <w:tcMar>
              <w:top w:w="40" w:type="dxa"/>
              <w:bottom w:w="40" w:type="dxa"/>
              <w:left w:w="40" w:type="dxa"/>
              <w:right w:w="40" w:type="dxa"/>
            </w:tcMar>
          </w:tcPr>
          <w:p>
            <w:pPr>
              <w:jc w:val="center"/>
            </w:pPr>
            <w:r>
              <w:rPr>
                <w:rFonts w:ascii="Cambria Math" w:hAnsi="Cambria Math"/>
                <w:i/>
                <w:color w:val="212529"/>
                <w:sz w:val="16"/>
              </w:rPr>
              <w:t>(∂ F_3)/(∂ T_g)</w:t>
            </w:r>
          </w:p>
        </w:tc>
        <w:tc>
          <w:tcPr>
            <w:tcW w:type="dxa" w:w="1560"/>
            <w:shd w:fill="F8FAFC"/>
            <w:tcMar>
              <w:top w:w="40" w:type="dxa"/>
              <w:bottom w:w="40" w:type="dxa"/>
              <w:left w:w="40" w:type="dxa"/>
              <w:right w:w="40" w:type="dxa"/>
            </w:tcMar>
          </w:tcPr>
          <w:p>
            <w:pPr>
              <w:jc w:val="center"/>
            </w:pPr>
            <w:r>
              <w:rPr>
                <w:rFonts w:ascii="Cambria Math" w:hAnsi="Cambria Math"/>
                <w:i/>
                <w:color w:val="212529"/>
                <w:sz w:val="16"/>
              </w:rPr>
              <w:t>(∂ F_3)/(∂ T_l)</w:t>
            </w:r>
          </w:p>
        </w:tc>
        <w:tc>
          <w:tcPr>
            <w:tcW w:type="dxa" w:w="1560"/>
            <w:shd w:fill="F8FAFC"/>
            <w:tcMar>
              <w:top w:w="40" w:type="dxa"/>
              <w:bottom w:w="40" w:type="dxa"/>
              <w:left w:w="40" w:type="dxa"/>
              <w:right w:w="40" w:type="dxa"/>
            </w:tcMar>
          </w:tcPr>
          <w:p>
            <w:pPr>
              <w:jc w:val="center"/>
            </w:pPr>
            <w:r>
              <w:rPr>
                <w:rFonts w:ascii="Cambria Math" w:hAnsi="Cambria Math"/>
                <w:i/>
                <w:color w:val="212529"/>
                <w:sz w:val="16"/>
              </w:rPr>
              <w:t>(∂ F_3)/(∂ T_c)</w:t>
            </w:r>
          </w:p>
        </w:tc>
        <w:tc>
          <w:tcPr>
            <w:tcW w:type="dxa" w:w="1560"/>
            <w:shd w:fill="F8FAFC"/>
            <w:tcMar>
              <w:top w:w="40" w:type="dxa"/>
              <w:bottom w:w="40" w:type="dxa"/>
              <w:left w:w="40" w:type="dxa"/>
              <w:right w:w="40" w:type="dxa"/>
            </w:tcMar>
          </w:tcPr>
          <w:p>
            <w:pPr>
              <w:jc w:val="center"/>
            </w:pPr>
            <w:r>
              <w:rPr>
                <w:rFonts w:ascii="Cambria Math" w:hAnsi="Cambria Math"/>
                <w:i/>
                <w:color w:val="212529"/>
                <w:sz w:val="16"/>
              </w:rPr>
              <w:t>(∂ F_3)/(∂ q_c)</w:t>
            </w:r>
          </w:p>
        </w:tc>
      </w:tr>
      <w:tr>
        <w:tc>
          <w:tcPr>
            <w:tcW w:type="dxa" w:w="1560"/>
            <w:shd w:fill="FFFFFF"/>
            <w:tcMar>
              <w:top w:w="40" w:type="dxa"/>
              <w:bottom w:w="40" w:type="dxa"/>
              <w:left w:w="40" w:type="dxa"/>
              <w:right w:w="40" w:type="dxa"/>
            </w:tcMar>
          </w:tcPr>
          <w:p>
            <w:pPr>
              <w:jc w:val="center"/>
            </w:pPr>
            <w:r>
              <w:rPr>
                <w:rFonts w:ascii="Cambria Math" w:hAnsi="Cambria Math"/>
                <w:i/>
                <w:color w:val="212529"/>
                <w:sz w:val="16"/>
              </w:rPr>
              <w:t>(∂ F_4)/(∂ T_w,sun)</w:t>
            </w:r>
          </w:p>
        </w:tc>
        <w:tc>
          <w:tcPr>
            <w:tcW w:type="dxa" w:w="1560"/>
            <w:shd w:fill="FFFFFF"/>
            <w:tcMar>
              <w:top w:w="40" w:type="dxa"/>
              <w:bottom w:w="40" w:type="dxa"/>
              <w:left w:w="40" w:type="dxa"/>
              <w:right w:w="40" w:type="dxa"/>
            </w:tcMar>
          </w:tcPr>
          <w:p>
            <w:pPr>
              <w:jc w:val="center"/>
            </w:pPr>
            <w:r>
              <w:rPr>
                <w:rFonts w:ascii="Cambria Math" w:hAnsi="Cambria Math"/>
                <w:i/>
                <w:color w:val="212529"/>
                <w:sz w:val="16"/>
              </w:rPr>
              <w:t>(∂ F_4)/(∂ T_w,shd)</w:t>
            </w:r>
          </w:p>
        </w:tc>
        <w:tc>
          <w:tcPr>
            <w:tcW w:type="dxa" w:w="1560"/>
            <w:shd w:fill="FFFFFF"/>
            <w:tcMar>
              <w:top w:w="40" w:type="dxa"/>
              <w:bottom w:w="40" w:type="dxa"/>
              <w:left w:w="40" w:type="dxa"/>
              <w:right w:w="40" w:type="dxa"/>
            </w:tcMar>
          </w:tcPr>
          <w:p>
            <w:pPr>
              <w:jc w:val="center"/>
            </w:pPr>
            <w:r>
              <w:rPr>
                <w:rFonts w:ascii="Cambria Math" w:hAnsi="Cambria Math"/>
                <w:i/>
                <w:color w:val="212529"/>
                <w:sz w:val="16"/>
              </w:rPr>
              <w:t>(∂ F_4)/(∂ T_g)</w:t>
            </w:r>
          </w:p>
        </w:tc>
        <w:tc>
          <w:tcPr>
            <w:tcW w:type="dxa" w:w="1560"/>
            <w:shd w:fill="FFFFFF"/>
            <w:tcMar>
              <w:top w:w="40" w:type="dxa"/>
              <w:bottom w:w="40" w:type="dxa"/>
              <w:left w:w="40" w:type="dxa"/>
              <w:right w:w="40" w:type="dxa"/>
            </w:tcMar>
          </w:tcPr>
          <w:p>
            <w:pPr>
              <w:jc w:val="center"/>
            </w:pPr>
            <w:r>
              <w:rPr>
                <w:rFonts w:ascii="Cambria Math" w:hAnsi="Cambria Math"/>
                <w:i/>
                <w:color w:val="212529"/>
                <w:sz w:val="16"/>
              </w:rPr>
              <w:t>(∂ F_4)/(∂ T_l)</w:t>
            </w:r>
          </w:p>
        </w:tc>
        <w:tc>
          <w:tcPr>
            <w:tcW w:type="dxa" w:w="1560"/>
            <w:shd w:fill="FFFFFF"/>
            <w:tcMar>
              <w:top w:w="40" w:type="dxa"/>
              <w:bottom w:w="40" w:type="dxa"/>
              <w:left w:w="40" w:type="dxa"/>
              <w:right w:w="40" w:type="dxa"/>
            </w:tcMar>
          </w:tcPr>
          <w:p>
            <w:pPr>
              <w:jc w:val="center"/>
            </w:pPr>
            <w:r>
              <w:rPr>
                <w:rFonts w:ascii="Cambria Math" w:hAnsi="Cambria Math"/>
                <w:i/>
                <w:color w:val="212529"/>
                <w:sz w:val="16"/>
              </w:rPr>
              <w:t>(∂ F_4)/(∂ T_c)</w:t>
            </w:r>
          </w:p>
        </w:tc>
        <w:tc>
          <w:tcPr>
            <w:tcW w:type="dxa" w:w="1560"/>
            <w:shd w:fill="FFFFFF"/>
            <w:tcMar>
              <w:top w:w="40" w:type="dxa"/>
              <w:bottom w:w="40" w:type="dxa"/>
              <w:left w:w="40" w:type="dxa"/>
              <w:right w:w="40" w:type="dxa"/>
            </w:tcMar>
          </w:tcPr>
          <w:p>
            <w:pPr>
              <w:jc w:val="center"/>
            </w:pPr>
            <w:r>
              <w:rPr>
                <w:rFonts w:ascii="Cambria Math" w:hAnsi="Cambria Math"/>
                <w:i/>
                <w:color w:val="212529"/>
                <w:sz w:val="16"/>
              </w:rPr>
              <w:t>0</w:t>
            </w:r>
          </w:p>
        </w:tc>
      </w:tr>
      <w:tr>
        <w:tc>
          <w:tcPr>
            <w:tcW w:type="dxa" w:w="1560"/>
            <w:shd w:fill="F8FAFC"/>
            <w:tcMar>
              <w:top w:w="40" w:type="dxa"/>
              <w:bottom w:w="40" w:type="dxa"/>
              <w:left w:w="40" w:type="dxa"/>
              <w:right w:w="40" w:type="dxa"/>
            </w:tcMar>
          </w:tcPr>
          <w:p>
            <w:pPr>
              <w:jc w:val="center"/>
            </w:pPr>
            <w:r>
              <w:rPr>
                <w:rFonts w:ascii="Cambria Math" w:hAnsi="Cambria Math"/>
                <w:i/>
                <w:color w:val="212529"/>
                <w:sz w:val="16"/>
              </w:rPr>
              <w:t>0</w:t>
            </w:r>
          </w:p>
        </w:tc>
        <w:tc>
          <w:tcPr>
            <w:tcW w:type="dxa" w:w="1560"/>
            <w:shd w:fill="F8FAFC"/>
            <w:tcMar>
              <w:top w:w="40" w:type="dxa"/>
              <w:bottom w:w="40" w:type="dxa"/>
              <w:left w:w="40" w:type="dxa"/>
              <w:right w:w="40" w:type="dxa"/>
            </w:tcMar>
          </w:tcPr>
          <w:p>
            <w:pPr>
              <w:jc w:val="center"/>
            </w:pPr>
            <w:r>
              <w:rPr>
                <w:rFonts w:ascii="Cambria Math" w:hAnsi="Cambria Math"/>
                <w:i/>
                <w:color w:val="212529"/>
                <w:sz w:val="16"/>
              </w:rPr>
              <w:t>0</w:t>
            </w:r>
          </w:p>
        </w:tc>
        <w:tc>
          <w:tcPr>
            <w:tcW w:type="dxa" w:w="1560"/>
            <w:shd w:fill="F8FAFC"/>
            <w:tcMar>
              <w:top w:w="40" w:type="dxa"/>
              <w:bottom w:w="40" w:type="dxa"/>
              <w:left w:w="40" w:type="dxa"/>
              <w:right w:w="40" w:type="dxa"/>
            </w:tcMar>
          </w:tcPr>
          <w:p>
            <w:pPr>
              <w:jc w:val="center"/>
            </w:pPr>
            <w:r>
              <w:rPr>
                <w:rFonts w:ascii="Cambria Math" w:hAnsi="Cambria Math"/>
                <w:i/>
                <w:color w:val="212529"/>
                <w:sz w:val="16"/>
              </w:rPr>
              <w:t>(∂ F_5)/(∂ T_g)</w:t>
            </w:r>
          </w:p>
        </w:tc>
        <w:tc>
          <w:tcPr>
            <w:tcW w:type="dxa" w:w="1560"/>
            <w:shd w:fill="F8FAFC"/>
            <w:tcMar>
              <w:top w:w="40" w:type="dxa"/>
              <w:bottom w:w="40" w:type="dxa"/>
              <w:left w:w="40" w:type="dxa"/>
              <w:right w:w="40" w:type="dxa"/>
            </w:tcMar>
          </w:tcPr>
          <w:p>
            <w:pPr>
              <w:jc w:val="center"/>
            </w:pPr>
            <w:r>
              <w:rPr>
                <w:rFonts w:ascii="Cambria Math" w:hAnsi="Cambria Math"/>
                <w:i/>
                <w:color w:val="212529"/>
                <w:sz w:val="16"/>
              </w:rPr>
              <w:t>(∂ F_5)/(∂ T_l)</w:t>
            </w:r>
          </w:p>
        </w:tc>
        <w:tc>
          <w:tcPr>
            <w:tcW w:type="dxa" w:w="1560"/>
            <w:shd w:fill="F8FAFC"/>
            <w:tcMar>
              <w:top w:w="40" w:type="dxa"/>
              <w:bottom w:w="40" w:type="dxa"/>
              <w:left w:w="40" w:type="dxa"/>
              <w:right w:w="40" w:type="dxa"/>
            </w:tcMar>
          </w:tcPr>
          <w:p>
            <w:pPr>
              <w:jc w:val="center"/>
            </w:pPr>
            <w:r>
              <w:rPr>
                <w:rFonts w:ascii="Cambria Math" w:hAnsi="Cambria Math"/>
                <w:i/>
                <w:color w:val="212529"/>
                <w:sz w:val="16"/>
              </w:rPr>
              <w:t>0</w:t>
            </w:r>
          </w:p>
        </w:tc>
        <w:tc>
          <w:tcPr>
            <w:tcW w:type="dxa" w:w="1560"/>
            <w:shd w:fill="F8FAFC"/>
            <w:tcMar>
              <w:top w:w="40" w:type="dxa"/>
              <w:bottom w:w="40" w:type="dxa"/>
              <w:left w:w="40" w:type="dxa"/>
              <w:right w:w="40" w:type="dxa"/>
            </w:tcMar>
          </w:tcPr>
          <w:p>
            <w:pPr>
              <w:jc w:val="center"/>
            </w:pPr>
            <w:r>
              <w:rPr>
                <w:rFonts w:ascii="Cambria Math" w:hAnsi="Cambria Math"/>
                <w:i/>
                <w:color w:val="212529"/>
                <w:sz w:val="16"/>
              </w:rPr>
              <w:t>(∂ F_5)/(∂ q_c)</w:t>
            </w:r>
          </w:p>
        </w:tc>
      </w:tr>
    </w:tbl>
    <w:p>
      <w:pPr>
        <w:spacing w:before="40" w:after="120"/>
      </w:pPr>
    </w:p>
    <w:p>
      <w:pPr>
        <w:spacing w:before="0" w:after="80" w:line="276" w:lineRule="auto"/>
      </w:pPr>
      <w:r>
        <w:rPr>
          <w:rFonts w:ascii="Arial" w:hAnsi="Arial"/>
          <w:color w:val="212529"/>
          <w:sz w:val="18"/>
        </w:rPr>
        <w:t>#### Structural Zeros:</w:t>
      </w:r>
    </w:p>
    <w:p>
      <w:pPr>
        <w:pStyle w:val="ListBullet"/>
        <w:spacing w:before="20" w:after="20"/>
      </w:pPr>
      <w:r>
        <w:rPr>
          <w:rFonts w:ascii="Arial" w:hAnsi="Arial"/>
          <w:color w:val="212529"/>
          <w:sz w:val="18"/>
        </w:rPr>
        <w:t>J_0,5 = ∂ F_0 / ∂ q_c ≡ 0: Building facade energy balance has no direct vapor coupling.</w:t>
      </w:r>
    </w:p>
    <w:p>
      <w:pPr>
        <w:pStyle w:val="ListBullet"/>
        <w:spacing w:before="20" w:after="20"/>
      </w:pPr>
      <w:r>
        <w:rPr>
          <w:rFonts w:ascii="Arial" w:hAnsi="Arial"/>
          <w:color w:val="212529"/>
          <w:sz w:val="18"/>
        </w:rPr>
        <w:t>J_1,5 = ∂ F_1 / ∂ q_c ≡ 0: Shaded facade energy balance has no direct vapor coupling.</w:t>
      </w:r>
    </w:p>
    <w:p>
      <w:pPr>
        <w:pStyle w:val="ListBullet"/>
        <w:spacing w:before="20" w:after="20"/>
      </w:pPr>
      <w:r>
        <w:rPr>
          <w:rFonts w:ascii="Arial" w:hAnsi="Arial"/>
          <w:color w:val="212529"/>
          <w:sz w:val="18"/>
        </w:rPr>
        <w:t>J_4,5 = ∂ F_4 / ∂ q_c ≡ 0: Sensible heat conservation depends on humidity only through lagged aerodynamic buoyancy.</w:t>
      </w:r>
    </w:p>
    <w:p>
      <w:pPr>
        <w:pStyle w:val="ListBullet"/>
        <w:spacing w:before="20" w:after="20"/>
      </w:pPr>
      <w:r>
        <w:rPr>
          <w:rFonts w:ascii="Arial" w:hAnsi="Arial"/>
          <w:color w:val="212529"/>
          <w:sz w:val="18"/>
        </w:rPr>
        <w:t>J_5,0 = ∂ F_5 / ∂ T_w,sun ≡ 0: Dry masonry facade emits zero moisture flux.</w:t>
      </w:r>
    </w:p>
    <w:p>
      <w:pPr>
        <w:pStyle w:val="ListBullet"/>
        <w:spacing w:before="20" w:after="20"/>
      </w:pPr>
      <w:r>
        <w:rPr>
          <w:rFonts w:ascii="Arial" w:hAnsi="Arial"/>
          <w:color w:val="212529"/>
          <w:sz w:val="18"/>
        </w:rPr>
        <w:t>J_5,1 = ∂ F_5 / ∂ T_w,shd ≡ 0: Shaded masonry facade emits zero moisture flux.</w:t>
      </w:r>
    </w:p>
    <w:p>
      <w:pPr>
        <w:pStyle w:val="ListBullet"/>
        <w:spacing w:before="20" w:after="20"/>
      </w:pPr>
      <w:r>
        <w:rPr>
          <w:rFonts w:ascii="Arial" w:hAnsi="Arial"/>
          <w:color w:val="212529"/>
          <w:sz w:val="18"/>
        </w:rPr>
        <w:t>J_5,4 = ∂ F_5 / ∂ T_c ≡ 0: Richardson stability correction in roof exchange g_top is decoupled via lagged Picard iterations.</w:t>
      </w:r>
    </w:p>
    <w:p>
      <w:pPr>
        <w:spacing w:before="0" w:after="80" w:line="276" w:lineRule="auto"/>
      </w:pPr>
      <w:r>
        <w:rPr>
          <w:rFonts w:ascii="Arial" w:hAnsi="Arial"/>
          <w:color w:val="212529"/>
          <w:sz w:val="18"/>
        </w:rPr>
        <w:t>#### Analytical Non-Zero Derivatives:</w:t>
      </w:r>
    </w:p>
    <w:p>
      <w:pPr>
        <w:spacing w:before="20" w:after="20"/>
        <w:ind w:left="288"/>
      </w:pPr>
      <w:r>
        <w:rPr>
          <w:rFonts w:ascii="Arial" w:hAnsi="Arial"/>
          <w:color w:val="212529"/>
          <w:sz w:val="18"/>
        </w:rPr>
        <w:t>1. **Quartic Radiative Transfer Derivatives**:</w:t>
      </w:r>
    </w:p>
    <w:p>
      <w:pPr>
        <w:spacing w:before="120" w:after="120"/>
        <w:jc w:val="center"/>
      </w:pPr>
      <w:r>
        <w:rPr>
          <w:rFonts w:ascii="Cambria Math" w:hAnsi="Cambria Math"/>
          <w:i/>
          <w:sz w:val="19"/>
        </w:rPr>
        <w:t>(∂ L_k)/(∂ T_k) = 4 ε_k σ T_k³      (k ∈ \w,sun, w,shd, g, l\)</w:t>
      </w:r>
    </w:p>
    <w:p>
      <w:pPr>
        <w:spacing w:before="120" w:after="120"/>
        <w:jc w:val="center"/>
      </w:pPr>
      <w:r>
        <w:rPr>
          <w:rFonts w:ascii="Cambria Math" w:hAnsi="Cambria Math"/>
          <w:i/>
          <w:sz w:val="19"/>
        </w:rPr>
        <w:t>(∂ R_n,w,sun)/(∂ T_w,sun) = -4ε_w σ T_w,sun³,      (∂ R_n,w,sun)/(∂ T_w,shd) = ε_w F_w → w,opp · 4ε_w σ T_w,shd³</w:t>
      </w:r>
    </w:p>
    <w:p>
      <w:pPr>
        <w:spacing w:before="120" w:after="120"/>
        <w:jc w:val="center"/>
      </w:pPr>
      <w:r>
        <w:rPr>
          <w:rFonts w:ascii="Cambria Math" w:hAnsi="Cambria Math"/>
          <w:i/>
          <w:sz w:val="19"/>
        </w:rPr>
        <w:t>(∂ R_n,g)/(∂ T_g) = -4ε_g σ T_g³,      (∂ R_n,g)/(∂ T_w) = ε_g F_g → w · 4ε_w σ T_w³</w:t>
      </w:r>
    </w:p>
    <w:p>
      <w:pPr>
        <w:spacing w:before="120" w:after="120"/>
        <w:jc w:val="center"/>
      </w:pPr>
      <w:r>
        <w:rPr>
          <w:rFonts w:ascii="Cambria Math" w:hAnsi="Cambria Math"/>
          <w:i/>
          <w:sz w:val="19"/>
        </w:rPr>
        <w:t>(∂ R_n,l)/(∂ T_l) = -8 (1 - τ_lw) ε_l σ T_l³</w:t>
      </w:r>
    </w:p>
    <w:p>
      <w:pPr>
        <w:spacing w:before="20" w:after="20"/>
        <w:ind w:left="288"/>
      </w:pPr>
      <w:r>
        <w:rPr>
          <w:rFonts w:ascii="Arial" w:hAnsi="Arial"/>
          <w:color w:val="212529"/>
          <w:sz w:val="18"/>
        </w:rPr>
        <w:t>2. **Convective Transfer Derivatives**:</w:t>
      </w:r>
    </w:p>
    <w:p>
      <w:pPr>
        <w:spacing w:before="120" w:after="120"/>
        <w:jc w:val="center"/>
      </w:pPr>
      <w:r>
        <w:rPr>
          <w:rFonts w:ascii="Cambria Math" w:hAnsi="Cambria Math"/>
          <w:i/>
          <w:sz w:val="19"/>
        </w:rPr>
        <w:t>(∂ H_k)/(∂ T_k) = h_c,k,      (∂ H_k)/(∂ T_c) = -h_c,k</w:t>
      </w:r>
    </w:p>
    <w:p>
      <w:pPr>
        <w:spacing w:before="20" w:after="20"/>
        <w:ind w:left="288"/>
      </w:pPr>
      <w:r>
        <w:rPr>
          <w:rFonts w:ascii="Arial" w:hAnsi="Arial"/>
          <w:color w:val="212529"/>
          <w:sz w:val="18"/>
        </w:rPr>
        <w:t>3. **Latent Heat and Stomatal Derivatives**:</w:t>
      </w:r>
    </w:p>
    <w:p>
      <w:pPr>
        <w:spacing w:before="0" w:after="80" w:line="276" w:lineRule="auto"/>
      </w:pPr>
      <w:r>
        <w:rPr>
          <w:rFonts w:ascii="Arial" w:hAnsi="Arial"/>
          <w:color w:val="212529"/>
          <w:sz w:val="18"/>
        </w:rPr>
        <w:t>Via Clausius–Clapeyron relation and Tetens saturation curve:</w:t>
      </w:r>
    </w:p>
    <w:p>
      <w:pPr>
        <w:spacing w:before="120" w:after="120"/>
        <w:jc w:val="center"/>
      </w:pPr>
      <w:r>
        <w:rPr>
          <w:rFonts w:ascii="Cambria Math" w:hAnsi="Cambria Math"/>
          <w:i/>
          <w:sz w:val="19"/>
        </w:rPr>
        <w:t>(∂ e^*_s(T))/(∂ T) = e^*_s(T) · (17.27 × 237.3)/((T - 273.15 + 237.3)²),      (∂ e_c)/(∂ q_c) = (P_atm × 0.622)/((0.622 + 0.378 q_c)²)</w:t>
      </w:r>
    </w:p>
    <w:p>
      <w:pPr>
        <w:spacing w:before="120" w:after="120"/>
        <w:jc w:val="center"/>
      </w:pPr>
      <w:r>
        <w:rPr>
          <w:rFonts w:ascii="Cambria Math" w:hAnsi="Cambria Math"/>
          <w:i/>
          <w:sz w:val="19"/>
        </w:rPr>
        <w:t>(∂ LE_l)/(∂ T_l) = (ρ_a c_p)/(γ (r_av,l + r_s)) (∂ e^*_s(T_l))/(∂ T_l),      (∂ LE_l)/(∂ q_c) = -(ρ_a c_p)/(γ (r_av,l + r_s)) (∂ e_c)/(∂ q_c)</w:t>
      </w:r>
    </w:p>
    <w:p>
      <w:pPr>
        <w:spacing w:before="20" w:after="20"/>
        <w:ind w:left="288"/>
      </w:pPr>
      <w:r>
        <w:rPr>
          <w:rFonts w:ascii="Arial" w:hAnsi="Arial"/>
          <w:color w:val="212529"/>
          <w:sz w:val="18"/>
        </w:rPr>
        <w:t>4. **Diagonal Dynamic Transient Residual Derivatives (Force-Restore Matrix Entries)**:</w:t>
      </w:r>
    </w:p>
    <w:p>
      <w:pPr>
        <w:spacing w:before="120" w:after="120"/>
        <w:jc w:val="center"/>
      </w:pPr>
      <w:r>
        <w:rPr>
          <w:rFonts w:ascii="Cambria Math" w:hAnsi="Cambria Math"/>
          <w:i/>
          <w:sz w:val="19"/>
        </w:rPr>
        <w:t>(∂ F_0)/(∂ T_w,sun) = 1 - Δ t [ (2√(π))/(μ_w √(τ_day)) ( (∂ R_n,w,sun)/(∂ T_w,sun) - h_c,w ) - (2π)/(τ_day) ]</w:t>
      </w:r>
    </w:p>
    <w:p>
      <w:pPr>
        <w:spacing w:before="120" w:after="120"/>
        <w:jc w:val="center"/>
      </w:pPr>
      <w:r>
        <w:rPr>
          <w:rFonts w:ascii="Cambria Math" w:hAnsi="Cambria Math"/>
          <w:i/>
          <w:sz w:val="19"/>
        </w:rPr>
        <w:t>(∂ F_1)/(∂ T_w,shd) = 1 - Δ t [ (2√(π))/(μ_w √(τ_day)) ( (∂ R_n,w,shd)/(∂ T_w,shd) - h_c,w ) - (2π)/(τ_day) ]</w:t>
      </w:r>
    </w:p>
    <w:p>
      <w:pPr>
        <w:spacing w:before="120" w:after="120"/>
        <w:jc w:val="center"/>
      </w:pPr>
      <w:r>
        <w:rPr>
          <w:rFonts w:ascii="Cambria Math" w:hAnsi="Cambria Math"/>
          <w:i/>
          <w:sz w:val="19"/>
        </w:rPr>
        <w:t>(∂ F_2)/(∂ T_g) = 1 - Δ t [ (2√(π))/(μ_g √(τ_day)) ( (∂ R_n,g)/(∂ T_g) - h_c,g - (∂ LE_g)/(∂ T_g) ) - (2π)/(τ_day) ]</w:t>
      </w:r>
    </w:p>
    <w:p>
      <w:pPr>
        <w:spacing w:before="0" w:after="80" w:line="276" w:lineRule="auto"/>
      </w:pPr>
      <w:r>
        <w:rPr>
          <w:rFonts w:ascii="Arial" w:hAnsi="Arial"/>
          <w:color w:val="212529"/>
          <w:sz w:val="18"/>
        </w:rPr>
        <w:t>where the linear restoration term - (2π)/(τ_day) derives directly from differentiating the harmonic relaxation toward constant boundary setpoints (T_in for facades and T_deep for ground pavement).</w:t>
      </w:r>
    </w:p>
    <w:p>
      <w:pPr>
        <w:keepNext/>
        <w:spacing w:before="200" w:after="60"/>
      </w:pPr>
      <w:r>
        <w:rPr>
          <w:rFonts w:ascii="Arial" w:hAnsi="Arial"/>
          <w:b/>
          <w:color w:val="1E406E"/>
          <w:sz w:val="21"/>
        </w:rPr>
        <w:t>2.2 Picard–Newton Hybrid Convergence Acceleration</w:t>
      </w:r>
    </w:p>
    <w:p>
      <w:pPr>
        <w:spacing w:before="0" w:after="80" w:line="276" w:lineRule="auto"/>
      </w:pPr>
      <w:r>
        <w:rPr>
          <w:rFonts w:ascii="Arial" w:hAnsi="Arial"/>
          <w:color w:val="212529"/>
          <w:sz w:val="18"/>
        </w:rPr>
        <w:t>Building upon stiff differential-algebraic equation solvers and continuous-time numerical schemes (Hindmarsh et al., 2005³⁴), the system is solved using an adaptive two-stage Picard–Newton hybrid algorithm verified under formal computational validation principles (Roache, 1998³⁵):</w:t>
      </w:r>
    </w:p>
    <w:p>
      <w:pPr>
        <w:spacing w:before="20" w:after="20"/>
        <w:ind w:left="288"/>
      </w:pPr>
      <w:r>
        <w:rPr>
          <w:rFonts w:ascii="Arial" w:hAnsi="Arial"/>
          <w:color w:val="212529"/>
          <w:sz w:val="18"/>
        </w:rPr>
        <w:t>1. **Picard Warm-Up Stage**: 1 relaxation step linearizes longwave radiation using the previous timestep's effective radiation coefficients h_rad,ij = 4 σ \barT³ F_ij.</w:t>
      </w:r>
    </w:p>
    <w:p>
      <w:pPr>
        <w:spacing w:before="20" w:after="20"/>
        <w:ind w:left="288"/>
      </w:pPr>
      <w:r>
        <w:rPr>
          <w:rFonts w:ascii="Arial" w:hAnsi="Arial"/>
          <w:color w:val="212529"/>
          <w:sz w:val="18"/>
        </w:rPr>
        <w:t>2. **Analytical Newton–Raphson Stage**: The solution is refined by exact Newton steps equipped with Armijo backtracking line search:</w:t>
      </w:r>
    </w:p>
    <w:p>
      <w:pPr>
        <w:spacing w:before="120" w:after="120"/>
        <w:jc w:val="center"/>
      </w:pPr>
      <w:r>
        <w:rPr>
          <w:rFonts w:ascii="Cambria Math" w:hAnsi="Cambria Math"/>
          <w:i/>
          <w:sz w:val="19"/>
        </w:rPr>
        <w:t>X^(k+1) = X^(k) - α^(k) J^-1(X^(k)) F(X^(k))</w:t>
      </w:r>
    </w:p>
    <w:p>
      <w:pPr>
        <w:spacing w:before="0" w:after="80" w:line="276" w:lineRule="auto"/>
      </w:pPr>
      <w:r>
        <w:rPr>
          <w:rFonts w:ascii="Arial" w:hAnsi="Arial"/>
          <w:color w:val="212529"/>
          <w:sz w:val="18"/>
        </w:rPr>
        <w:t>Because the exact analytical Jacobian is used, the system exhibits asymptotic quadratic convergence (\|F(X^(k+1))\| ≤ C \|F(X^(k))\|²), achieving strict convergence (\|F\| &lt; 10^-5) in 1–3 iterations per timestep across all 204,267 corridors (~1.0 ms execution per step).</w:t>
      </w:r>
    </w:p>
    <w:p>
      <w:pPr>
        <w:keepNext/>
        <w:spacing w:before="280" w:after="80"/>
      </w:pPr>
      <w:r>
        <w:rPr>
          <w:rFonts w:ascii="Arial" w:hAnsi="Arial"/>
          <w:b/>
          <w:color w:val="002B49"/>
          <w:sz w:val="24"/>
        </w:rPr>
        <w:t>Supplementary Note 3: Open-Cavity Multi-Order Longwave and Shortwave Radiosity Matrix Closure</w:t>
      </w:r>
    </w:p>
    <w:p>
      <w:pPr>
        <w:spacing w:before="0" w:after="80" w:line="276" w:lineRule="auto"/>
      </w:pPr>
      <w:r>
        <w:rPr>
          <w:rFonts w:ascii="Arial" w:hAnsi="Arial"/>
          <w:color w:val="212529"/>
          <w:sz w:val="18"/>
        </w:rPr>
        <w:t>Inside an urban street canyon, radiant energy undergoes infinite multi-order reflections between facing vertical walls, ground pavements, tree crowns, and the open sky vault (Harman, Best &amp; Belcher, 2004⁹; Ali-Toudert &amp; Mayer, 2006¹¹; Lee, Mayer &amp; Chen, 2016¹²; Jänicke et al., 2012³⁷).</w:t>
      </w:r>
    </w:p>
    <w:p>
      <w:pPr>
        <w:keepNext/>
        <w:spacing w:before="200" w:after="60"/>
      </w:pPr>
      <w:r>
        <w:rPr>
          <w:rFonts w:ascii="Arial" w:hAnsi="Arial"/>
          <w:b/>
          <w:color w:val="1E406E"/>
          <w:sz w:val="21"/>
        </w:rPr>
        <w:t>3.1 Geometric View Factor Closed-Form Formulation</w:t>
      </w:r>
    </w:p>
    <w:p>
      <w:pPr>
        <w:spacing w:before="0" w:after="80" w:line="276" w:lineRule="auto"/>
      </w:pPr>
      <w:r>
        <w:rPr>
          <w:rFonts w:ascii="Arial" w:hAnsi="Arial"/>
          <w:color w:val="212529"/>
          <w:sz w:val="18"/>
        </w:rPr>
        <w:t>Using Hottel's crossed-string method for infinite 2D open rectangular cavities (Hottel &amp; Sarofim, 1967¹⁰):</w:t>
      </w:r>
    </w:p>
    <w:p>
      <w:pPr>
        <w:pStyle w:val="ListBullet"/>
        <w:spacing w:before="20" w:after="20"/>
      </w:pPr>
      <w:r>
        <w:rPr>
          <w:rFonts w:ascii="Arial" w:hAnsi="Arial"/>
          <w:color w:val="212529"/>
          <w:sz w:val="18"/>
        </w:rPr>
        <w:t>F_r → s = √(1 + (H/W)²) - H/W</w:t>
      </w:r>
    </w:p>
    <w:p>
      <w:pPr>
        <w:pStyle w:val="ListBullet"/>
        <w:spacing w:before="20" w:after="20"/>
      </w:pPr>
      <w:r>
        <w:rPr>
          <w:rFonts w:ascii="Arial" w:hAnsi="Arial"/>
          <w:color w:val="212529"/>
          <w:sz w:val="18"/>
        </w:rPr>
        <w:t>F_w → s = 0.5 [1 + W/H - √(1 + (W/H)²)]</w:t>
      </w:r>
    </w:p>
    <w:p>
      <w:pPr>
        <w:pStyle w:val="ListBullet"/>
        <w:spacing w:before="20" w:after="20"/>
      </w:pPr>
      <w:r>
        <w:rPr>
          <w:rFonts w:ascii="Arial" w:hAnsi="Arial"/>
          <w:color w:val="212529"/>
          <w:sz w:val="18"/>
        </w:rPr>
        <w:t>F_w → w = √(1 + (W/H)²) - W/H</w:t>
      </w:r>
    </w:p>
    <w:p>
      <w:pPr>
        <w:pStyle w:val="ListBullet"/>
        <w:spacing w:before="20" w:after="20"/>
      </w:pPr>
      <w:r>
        <w:rPr>
          <w:rFonts w:ascii="Arial" w:hAnsi="Arial"/>
          <w:color w:val="212529"/>
          <w:sz w:val="18"/>
        </w:rPr>
        <w:t>F_w → r = 0.5 [1 + H/W - √(1 + (H/W)²)]</w:t>
      </w:r>
    </w:p>
    <w:p>
      <w:pPr>
        <w:keepNext/>
        <w:spacing w:before="200" w:after="60"/>
      </w:pPr>
      <w:r>
        <w:rPr>
          <w:rFonts w:ascii="Arial" w:hAnsi="Arial"/>
          <w:b/>
          <w:color w:val="1E406E"/>
          <w:sz w:val="21"/>
        </w:rPr>
        <w:t>3.2 Matrix Radiosity Formulation</w:t>
      </w:r>
    </w:p>
    <w:p>
      <w:pPr>
        <w:spacing w:before="0" w:after="80" w:line="276" w:lineRule="auto"/>
      </w:pPr>
      <w:r>
        <w:rPr>
          <w:rFonts w:ascii="Arial" w:hAnsi="Arial"/>
          <w:color w:val="212529"/>
          <w:sz w:val="18"/>
        </w:rPr>
        <w:t>The net longwave radiosity B_i (W/m²) leaving surface i ∈ \w_1, w_2, r, g, can\ satisfies the linear radiosity equation system:</w:t>
      </w:r>
    </w:p>
    <w:p>
      <w:pPr>
        <w:spacing w:before="120" w:after="120"/>
        <w:jc w:val="center"/>
      </w:pPr>
      <w:r>
        <w:rPr>
          <w:rFonts w:ascii="Cambria Math" w:hAnsi="Cambria Math"/>
          <w:i/>
          <w:sz w:val="19"/>
        </w:rPr>
        <w:t>B_i = ε_i σ T_i⁴ + (1 - ε_i) ∑_j=1^N F_ij B_j</w:t>
      </w:r>
    </w:p>
    <w:p>
      <w:pPr>
        <w:spacing w:before="0" w:after="80" w:line="276" w:lineRule="auto"/>
      </w:pPr>
      <w:r>
        <w:rPr>
          <w:rFonts w:ascii="Arial" w:hAnsi="Arial"/>
          <w:color w:val="212529"/>
          <w:sz w:val="18"/>
        </w:rPr>
        <w:t>In matrix notation:</w:t>
      </w:r>
    </w:p>
    <w:p>
      <w:pPr>
        <w:spacing w:before="120" w:after="120"/>
        <w:jc w:val="center"/>
      </w:pPr>
      <w:r>
        <w:rPr>
          <w:rFonts w:ascii="Cambria Math" w:hAnsi="Cambria Math"/>
          <w:i/>
          <w:sz w:val="19"/>
        </w:rPr>
        <w:t>A B = E</w:t>
      </w:r>
    </w:p>
    <w:p>
      <w:pPr>
        <w:spacing w:before="0" w:after="80" w:line="276" w:lineRule="auto"/>
      </w:pPr>
      <w:r>
        <w:rPr>
          <w:rFonts w:ascii="Arial" w:hAnsi="Arial"/>
          <w:color w:val="212529"/>
          <w:sz w:val="18"/>
        </w:rPr>
        <w:t>where:</w:t>
      </w:r>
    </w:p>
    <w:p>
      <w:pPr>
        <w:spacing w:before="120" w:after="120"/>
        <w:jc w:val="center"/>
      </w:pPr>
      <w:r>
        <w:rPr>
          <w:rFonts w:ascii="Cambria Math" w:hAnsi="Cambria Math"/>
          <w:i/>
          <w:sz w:val="19"/>
        </w:rPr>
        <w:t>A_ij = \delta_ij - (1 - ε_i) F_ij</w:t>
      </w:r>
    </w:p>
    <w:p>
      <w:pPr>
        <w:spacing w:before="120" w:after="120"/>
        <w:jc w:val="center"/>
      </w:pPr>
      <w:r>
        <w:rPr>
          <w:rFonts w:ascii="Cambria Math" w:hAnsi="Cambria Math"/>
          <w:i/>
          <w:sz w:val="19"/>
        </w:rPr>
        <w:t>E_i = ε_i σ T_i⁴ + (1 - ε_i) F_i → s L_sky^\downarrow</w:t>
      </w:r>
    </w:p>
    <w:p>
      <w:pPr>
        <w:spacing w:before="0" w:after="80" w:line="276" w:lineRule="auto"/>
      </w:pPr>
      <w:r>
        <w:rPr>
          <w:rFonts w:ascii="Arial" w:hAnsi="Arial"/>
          <w:color w:val="212529"/>
          <w:sz w:val="18"/>
        </w:rPr>
        <w:t>The net radiative flux density absorbed by surface i is exactly:</w:t>
      </w:r>
    </w:p>
    <w:p>
      <w:pPr>
        <w:spacing w:before="120" w:after="120"/>
        <w:jc w:val="center"/>
      </w:pPr>
      <w:r>
        <w:rPr>
          <w:rFonts w:ascii="Cambria Math" w:hAnsi="Cambria Math"/>
          <w:i/>
          <w:sz w:val="19"/>
        </w:rPr>
        <w:t>R_n,i = (ε_i)/(1 - ε_i) (B_i - σ T_i⁴)</w:t>
      </w:r>
    </w:p>
    <w:p>
      <w:pPr>
        <w:spacing w:before="0" w:after="80" w:line="276" w:lineRule="auto"/>
      </w:pPr>
      <w:r>
        <w:rPr>
          <w:rFonts w:ascii="Arial" w:hAnsi="Arial"/>
          <w:color w:val="212529"/>
          <w:sz w:val="18"/>
        </w:rPr>
        <w:t>This closed matrix formulation guarantees strict energy conservation (∑ R_n,i + L_out = L_sky^\downarrow) with zero numerical drift over 168-hour heatwave runs.</w:t>
      </w:r>
    </w:p>
    <w:p>
      <w:pPr>
        <w:keepNext/>
        <w:spacing w:before="280" w:after="80"/>
      </w:pPr>
      <w:r>
        <w:rPr>
          <w:rFonts w:ascii="Arial" w:hAnsi="Arial"/>
          <w:b/>
          <w:color w:val="002B49"/>
          <w:sz w:val="24"/>
        </w:rPr>
        <w:t>Supplementary Note 4: Soil-Plant-Atmosphere Continuum (SPAC) Hydraulics and Stomatal Regulation Under Water Scarcity</w:t>
      </w:r>
    </w:p>
    <w:p>
      <w:pPr>
        <w:spacing w:before="0" w:after="80" w:line="276" w:lineRule="auto"/>
      </w:pPr>
      <w:r>
        <w:rPr>
          <w:rFonts w:ascii="Arial" w:hAnsi="Arial"/>
          <w:color w:val="212529"/>
          <w:sz w:val="18"/>
        </w:rPr>
        <w:t>Urban tree cooling is modulated by the plant vascular system linking soil moisture to atmospheric evaporative demand (Konarska et al., 2016²¹; Rahman et al., 2016²²). We implement a multi-layer Soil-Plant-Atmosphere Continuum (SPAC) model coupled with a Ball–Berry–Jarvis stomatal conductance formulation (Ball, Woodrow &amp; Berry, 1987²³; Jarvis, 1976²⁴) incorporating xylem cavitation vulnerability and embolism thresholds (Choat et al., 2012²⁵; Sperry, Donnelly &amp; Tyree, 2006²⁶; Tyree &amp; Sperry, 1989²⁷; McDowell et al., 2008²⁸; Cavelier, 1996²⁹; Canny, 1995³⁰):</w:t>
      </w:r>
    </w:p>
    <w:p>
      <w:pPr>
        <w:spacing w:before="120" w:after="120"/>
        <w:jc w:val="center"/>
      </w:pPr>
      <w:r>
        <w:rPr>
          <w:rFonts w:ascii="Cambria Math" w:hAnsi="Cambria Math"/>
          <w:i/>
          <w:sz w:val="19"/>
        </w:rPr>
        <w:t>g_st = g_max · f(I_par) · f(T_can) · f(VPD) · f(ψ_soil) + g_min</w:t>
      </w:r>
    </w:p>
    <w:p>
      <w:pPr>
        <w:keepNext/>
        <w:spacing w:before="200" w:after="60"/>
      </w:pPr>
      <w:r>
        <w:rPr>
          <w:rFonts w:ascii="Arial" w:hAnsi="Arial"/>
          <w:b/>
          <w:color w:val="1E406E"/>
          <w:sz w:val="21"/>
        </w:rPr>
        <w:t>4.1 Nocturnal Stomatal Invariance Proof</w:t>
      </w:r>
    </w:p>
    <w:p>
      <w:pPr>
        <w:spacing w:before="0" w:after="80" w:line="276" w:lineRule="auto"/>
      </w:pPr>
      <w:r>
        <w:rPr>
          <w:rFonts w:ascii="Arial" w:hAnsi="Arial"/>
          <w:color w:val="212529"/>
          <w:sz w:val="18"/>
        </w:rPr>
        <w:t>During nocturnal hours (I_par = 0), f(I_par) = 0. Consequently, g_st = g_min ≈ 0.0001 - 0.0003 m/s (cuticular leakage). Even under full municipal irrigation (ψ_soil = ψ_fc), the stomatal resistance r_s = 1/g_st &gt; 3000 s/m. Concurrently, nocturnal relative humidity rises (RH &gt; 80\%), collapsing VPD &lt; 0.4 kPa.</w:t>
      </w:r>
    </w:p>
    <w:p>
      <w:pPr>
        <w:spacing w:before="0" w:after="80" w:line="276" w:lineRule="auto"/>
      </w:pPr>
      <w:r>
        <w:rPr>
          <w:rFonts w:ascii="Arial" w:hAnsi="Arial"/>
          <w:color w:val="212529"/>
          <w:sz w:val="18"/>
        </w:rPr>
        <w:t>As a result, nocturnal latent heat flux LE_night = ρ_a L_v (q_sat - q_c) / (r_a + r_s) &lt; 4.5 W/m², which accounts for less than 4.2% of the canyon net radiation balance. This mathematically proves that nocturnal thermal liabilities are thermodynamically invariant to municipal irrigation, explaining why well-watered Mediterranean and humid subtropical metropolises still experience intense nocturnal thermal trapping.</w:t>
      </w:r>
    </w:p>
    <w:p>
      <w:pPr>
        <w:keepNext/>
        <w:spacing w:before="280" w:after="80"/>
      </w:pPr>
      <w:r>
        <w:rPr>
          <w:rFonts w:ascii="Arial" w:hAnsi="Arial"/>
          <w:b/>
          <w:color w:val="002B49"/>
          <w:sz w:val="24"/>
        </w:rPr>
        <w:t>Supplementary Note 5: 168-Hour Multi-Day Sensible Heat Stacking and Building Envelope Conduction Dynamics</w:t>
      </w:r>
    </w:p>
    <w:p>
      <w:pPr>
        <w:spacing w:before="0" w:after="80" w:line="276" w:lineRule="auto"/>
      </w:pPr>
      <w:r>
        <w:rPr>
          <w:rFonts w:ascii="Arial" w:hAnsi="Arial"/>
          <w:color w:val="212529"/>
          <w:sz w:val="18"/>
        </w:rPr>
        <w:t>In compact cities during prolonged heatwaves, heat trapped in building masonry and asphalt pavements is not purged overnight, causing sensible heat accumulation and daytime heat storage re-release (Masson, 2000⁴; Christen &amp; Vogt, 2004⁸; Santamouris, 2014¹⁶; Manoli et al., 2019¹⁷; Järvi, Grimmond &amp; Christen, 2011³⁹):</w:t>
      </w:r>
    </w:p>
    <w:p>
      <w:pPr>
        <w:spacing w:before="120" w:after="120"/>
        <w:jc w:val="center"/>
      </w:pPr>
      <w:r>
        <w:rPr>
          <w:rFonts w:ascii="Cambria Math" w:hAnsi="Cambria Math"/>
          <w:i/>
          <w:sz w:val="19"/>
        </w:rPr>
        <w:t>ΔΔ T_stack = \barT_day7 - \barT_day1</w:t>
      </w:r>
    </w:p>
    <w:p>
      <w:pPr>
        <w:spacing w:before="0" w:after="80" w:line="276" w:lineRule="auto"/>
      </w:pPr>
      <w:r>
        <w:rPr>
          <w:rFonts w:ascii="Arial" w:hAnsi="Arial"/>
          <w:color w:val="212529"/>
          <w:sz w:val="18"/>
        </w:rPr>
        <w:t>The building envelope conduction is solved via an explicit finite-difference 1D multi-layer conduction scheme across N_l = 8 internal spatial nodes (x ∈ [0, d_w]):</w:t>
      </w:r>
    </w:p>
    <w:p>
      <w:pPr>
        <w:spacing w:before="120" w:after="120"/>
        <w:jc w:val="center"/>
      </w:pPr>
      <w:r>
        <w:rPr>
          <w:rFonts w:ascii="Cambria Math" w:hAnsi="Cambria Math"/>
          <w:i/>
          <w:sz w:val="19"/>
        </w:rPr>
        <w:t>ρ_w c_w (∂ T(x, t))/(∂ t) = k_w (∂² T(x, t))/(∂ x²)</w:t>
      </w:r>
    </w:p>
    <w:p>
      <w:pPr>
        <w:spacing w:before="0" w:after="80" w:line="276" w:lineRule="auto"/>
      </w:pPr>
      <w:r>
        <w:rPr>
          <w:rFonts w:ascii="Arial" w:hAnsi="Arial"/>
          <w:color w:val="212529"/>
          <w:sz w:val="18"/>
        </w:rPr>
        <w:t>When tree crowns obstruct nocturnal ventilation (u_ped &lt; 0.5 m/s), the convective heat transfer coefficient h_c,w = 5.7 + 3.8 u_ped drops from 14.2 W/(m²· K) to 7.1 W/(m²· K). Consequently, the masonry wall cannot purge its stored daytime enthalpy. Over 7 consecutive days, this produces a positive cumulative temperature drift reaching +0.81 K in Tokyo and +0.64 K in London.</w:t>
      </w:r>
    </w:p>
    <w:p>
      <w:pPr>
        <w:keepNext/>
        <w:spacing w:before="280" w:after="80"/>
      </w:pPr>
      <w:r>
        <w:rPr>
          <w:rFonts w:ascii="Arial" w:hAnsi="Arial"/>
          <w:b/>
          <w:color w:val="002B49"/>
          <w:sz w:val="24"/>
        </w:rPr>
        <w:t>Supplementary Note 6: Software Architecture, Computational Engine, and Statutory Planning Workflow of the QGIS Processing Plugin</w:t>
      </w:r>
    </w:p>
    <w:p>
      <w:pPr>
        <w:spacing w:before="0" w:after="80" w:line="276" w:lineRule="auto"/>
      </w:pPr>
      <w:r>
        <w:rPr>
          <w:rFonts w:ascii="Arial" w:hAnsi="Arial"/>
          <w:color w:val="212529"/>
          <w:sz w:val="18"/>
        </w:rPr>
        <w:t>To operationalize the findings for urban planners and municipal authorities, we developed an open-source QGIS Processing Plugin (`urban_canyon_microclimate`), translating computational fluid and microclimate physics into operational GIS screening tools (Bruse &amp; Fleer, 1998¹³; Maronga et al., 2015¹⁴; Blocken, 2014³⁶; Lindberg et al., 2018³⁸).</w:t>
      </w:r>
    </w:p>
    <w:p>
      <w:pPr>
        <w:spacing w:before="20" w:after="20"/>
        <w:ind w:left="288"/>
      </w:pPr>
      <w:r>
        <w:rPr>
          <w:rFonts w:ascii="Arial" w:hAnsi="Arial"/>
          <w:color w:val="212529"/>
          <w:sz w:val="18"/>
        </w:rPr>
        <w:t>1. **Input Preprocessor**: Ingests OpenStreetMap (OSM) highway polylines, building footprint polygons with LiDAR height attributes, and ERA5 weather netCDF caches.</w:t>
      </w:r>
    </w:p>
    <w:p>
      <w:pPr>
        <w:spacing w:before="20" w:after="20"/>
        <w:ind w:left="288"/>
      </w:pPr>
      <w:r>
        <w:rPr>
          <w:rFonts w:ascii="Arial" w:hAnsi="Arial"/>
          <w:color w:val="212529"/>
          <w:sz w:val="18"/>
        </w:rPr>
        <w:t>2. **Morphological Extractor**: Calculates 3D canyon metrics per street segment: height-to-width ratio (H/W), sky view factor (SVF), street orientation angle (θ ∈ [0, 180^°]), and tree crown cover fraction (f_tree).</w:t>
      </w:r>
    </w:p>
    <w:p>
      <w:pPr>
        <w:spacing w:before="20" w:after="20"/>
        <w:ind w:left="288"/>
      </w:pPr>
      <w:r>
        <w:rPr>
          <w:rFonts w:ascii="Arial" w:hAnsi="Arial"/>
          <w:color w:val="212529"/>
          <w:sz w:val="18"/>
        </w:rPr>
        <w:t>3. **High-Speed DAE Engine**: Executes the vectorized 6D DAE kernel compiled via NumPy/Numba C-extensions, processing 10,000 segments per minute.</w:t>
      </w:r>
    </w:p>
    <w:p>
      <w:pPr>
        <w:spacing w:before="20" w:after="20"/>
        <w:ind w:left="288"/>
      </w:pPr>
      <w:r>
        <w:rPr>
          <w:rFonts w:ascii="Arial" w:hAnsi="Arial"/>
          <w:color w:val="212529"/>
          <w:sz w:val="18"/>
        </w:rPr>
        <w:t>4. **Zoning Classifier**: Categorizes segments into the statutory tri-color regulatory scheme:</w:t>
      </w:r>
    </w:p>
    <w:p>
      <w:pPr>
        <w:pStyle w:val="ListBullet"/>
        <w:spacing w:before="20" w:after="20"/>
      </w:pPr>
      <w:r>
        <w:rPr>
          <w:rFonts w:ascii="Arial" w:hAnsi="Arial"/>
          <w:color w:val="212529"/>
          <w:sz w:val="18"/>
        </w:rPr>
        <w:t>Crimson Red Line (H/W ≥ H/W^*): Canopy-Restricted / Facade Greening Regime.</w:t>
      </w:r>
    </w:p>
    <w:p>
      <w:pPr>
        <w:pStyle w:val="ListBullet"/>
        <w:spacing w:before="20" w:after="20"/>
      </w:pPr>
      <w:r>
        <w:rPr>
          <w:rFonts w:ascii="Arial" w:hAnsi="Arial"/>
          <w:color w:val="212529"/>
          <w:sz w:val="18"/>
        </w:rPr>
        <w:t>Amber Gold Line (0.7 H/W^* ≤ H/W &lt; H/W^*): Adaptive Balancing Buffer.</w:t>
      </w:r>
    </w:p>
    <w:p>
      <w:pPr>
        <w:pStyle w:val="ListBullet"/>
        <w:spacing w:before="20" w:after="20"/>
      </w:pPr>
      <w:r>
        <w:rPr>
          <w:rFonts w:ascii="Arial" w:hAnsi="Arial"/>
          <w:color w:val="212529"/>
          <w:sz w:val="18"/>
        </w:rPr>
        <w:t>Forest Green Line (H/W &lt; 0.7 H/W^*): Priority Canopy Greening Zone.</w:t>
      </w:r>
    </w:p>
    <w:p>
      <w:pPr>
        <w:spacing w:before="20" w:after="20"/>
        <w:ind w:left="288"/>
      </w:pPr>
      <w:r>
        <w:rPr>
          <w:rFonts w:ascii="Arial" w:hAnsi="Arial"/>
          <w:color w:val="212529"/>
          <w:sz w:val="18"/>
        </w:rPr>
        <w:t>5. **Cartographic Exporter**: Outputs styled GeoPackage/Shapefile layers with pre-configured QML symbology ready for municipal regulatory masterplanning.</w:t>
      </w:r>
    </w:p>
    <w:p>
      <w:pPr>
        <w:keepNext/>
        <w:spacing w:before="280" w:after="80"/>
      </w:pPr>
      <w:r>
        <w:rPr>
          <w:rFonts w:ascii="Arial" w:hAnsi="Arial"/>
          <w:b/>
          <w:color w:val="002B49"/>
          <w:sz w:val="24"/>
        </w:rPr>
        <w:t>Supplementary Note 7: City-Specific Microclimatic Morphological Diagnostics Across 12 Global Megacities</w:t>
      </w:r>
    </w:p>
    <w:p>
      <w:pPr>
        <w:spacing w:before="0" w:after="80" w:line="276" w:lineRule="auto"/>
      </w:pPr>
      <w:r>
        <w:rPr>
          <w:rFonts w:ascii="Arial" w:hAnsi="Arial"/>
          <w:color w:val="212529"/>
          <w:sz w:val="18"/>
        </w:rPr>
        <w:t>Across all 12 megacities, microclimatic simulations incorporate authentic boundary-layer forcing and future climate projections (Bowler et al., 2010¹⁵; Broadbent et al., 2020¹⁸; Krayenhoff et al., 2018¹⁹; Muñoz-Sabater et al., 2021⁴⁰; Eyring et al., 2016⁴¹).</w:t>
      </w:r>
    </w:p>
    <w:p>
      <w:pPr>
        <w:keepNext/>
        <w:spacing w:before="200" w:after="60"/>
      </w:pPr>
      <w:r>
        <w:rPr>
          <w:rFonts w:ascii="Arial" w:hAnsi="Arial"/>
          <w:b/>
          <w:color w:val="1E406E"/>
          <w:sz w:val="21"/>
        </w:rPr>
        <w:t>7.1 Mediterranean Basin Megacities (Athens &amp; Madrid)</w:t>
      </w:r>
    </w:p>
    <w:p>
      <w:pPr>
        <w:spacing w:before="0" w:after="80" w:line="276" w:lineRule="auto"/>
      </w:pPr>
      <w:r>
        <w:rPr>
          <w:rFonts w:ascii="Arial" w:hAnsi="Arial"/>
          <w:color w:val="212529"/>
          <w:sz w:val="18"/>
        </w:rPr>
        <w:t>Within the high-density morphological core of **Athens** (34,482 segments, 1,150.23 km), characterized by ubiquitous 5–7 story concrete *polykatoikia* blocks separated by narrow corridors (mean H/W = 2.06), **87.9% of street length (1010.66 km)** inverts into a nocturnal liability (ΔUTCI = +0.77 K, Δ T_mrt = +0.71 K), while net cooling accounts for 2.8% (32.15 km) along wide boulevards, and 9.3% (107.42 km) operates in buffer equilibrium. Within the compact historic and mid-rise core of **Madrid** (6,672 segments, 156.15 km), **67.2% of street length (104.89 km)** inverts into a thermal trap (ΔUTCI = +0.48 K, Δ T_mrt = +0.83 K), with net cooling reaching 12.9% (20.14 km) and buffer accounting for 19.9% (31.12 km).</w:t>
      </w:r>
    </w:p>
    <w:p>
      <w:pPr>
        <w:keepNext/>
        <w:spacing w:before="200" w:after="60"/>
      </w:pPr>
      <w:r>
        <w:rPr>
          <w:rFonts w:ascii="Arial" w:hAnsi="Arial"/>
          <w:b/>
          <w:color w:val="1E406E"/>
          <w:sz w:val="21"/>
        </w:rPr>
        <w:t>7.2 Equatorial Tropical Rainforest (Singapore)</w:t>
      </w:r>
    </w:p>
    <w:p>
      <w:pPr>
        <w:spacing w:before="0" w:after="80" w:line="276" w:lineRule="auto"/>
      </w:pPr>
      <w:r>
        <w:rPr>
          <w:rFonts w:ascii="Arial" w:hAnsi="Arial"/>
          <w:color w:val="212529"/>
          <w:sz w:val="18"/>
        </w:rPr>
        <w:t>Within the high-density commercial and high-rise residential core of **Singapore** (7,243 segments, 155.99 km; mean H/W = 3.03), high humidity (80%–95%), calm ambient winds, and high-rise commercial towers restrict baseline ventilation; adding mature tree crowns (f_tree=0.30) with genuine tropical evergreen physiological traits (PFT 7) traps ground sensible heat and throttles cavity ventilation, resulting in **58.3% of street length (90.91 km)** inverting into nocturnal thermal debt (ΔUTCI = +0.54 K, Δ T_mrt = +0.32 K), while 10.6% (16.52 km) maintains net cooling and **31.1% (48.55 km)** operates in buffer equilibrium.</w:t>
      </w:r>
    </w:p>
    <w:p>
      <w:pPr>
        <w:keepNext/>
        <w:spacing w:before="200" w:after="60"/>
      </w:pPr>
      <w:r>
        <w:rPr>
          <w:rFonts w:ascii="Arial" w:hAnsi="Arial"/>
          <w:b/>
          <w:color w:val="1E406E"/>
          <w:sz w:val="21"/>
        </w:rPr>
        <w:t>7.3 East Asian High-Density Megacities (Tokyo, Wuhan, Beijing)</w:t>
      </w:r>
    </w:p>
    <w:p>
      <w:pPr>
        <w:spacing w:before="0" w:after="80" w:line="276" w:lineRule="auto"/>
      </w:pPr>
      <w:r>
        <w:rPr>
          <w:rFonts w:ascii="Arial" w:hAnsi="Arial"/>
          <w:color w:val="212529"/>
          <w:sz w:val="18"/>
        </w:rPr>
        <w:t>Within the high-density core fabric of **Tokyo** (Cfa; 6,955 segments, 165.92 km), narrow micro-block residential alleyways (median width W = 6.5 m, median H/W = 1.61; network-wide mean W = 11.7 m, mean H/W = 1.82) cause **87.2% of street length (144.69 km)** to invert into nocturnal thermal liabilities (ΔUTCI = +1.31 K, Δ T_mrt = +0.56 K), with 1.9% (3.18 km) in neutral buffer and 10.9% (18.05 km) achieving net cooling along wider avenues. Within the compact urban core of **Beijing** (Dwa; 18,578 segments, 839.78 km), **24.2% of street length (203.12 km)** inverts into nocturnal liabilities (ΔUTCI = +0.60 K, Δ T_mrt = +0.59 K), while wide arterial boulevards deliver **57.3% net cooling (481.33 km)** and 18.5% (155.33 km) maintains buffer equilibrium. Within the dense central core of **Wuhan** (Cfa; 4,543 segments, 228.53 km), **29.7% of street length (67.93 km)** inverts into nocturnal debt (ΔUTCI = +0.58 K), while **43.8% (100.01 km)** along the city's wide arterial grid achieves net cooling and **26.5% (60.59 km)** remains in buffer.</w:t>
      </w:r>
    </w:p>
    <w:p>
      <w:pPr>
        <w:keepNext/>
        <w:spacing w:before="200" w:after="60"/>
      </w:pPr>
      <w:r>
        <w:rPr>
          <w:rFonts w:ascii="Arial" w:hAnsi="Arial"/>
          <w:b/>
          <w:color w:val="1E406E"/>
          <w:sz w:val="21"/>
        </w:rPr>
        <w:t>7.4 Hot Arid / Desert Metropolises (Cairo &amp; Phoenix)</w:t>
      </w:r>
    </w:p>
    <w:p>
      <w:pPr>
        <w:spacing w:before="0" w:after="80" w:line="276" w:lineRule="auto"/>
      </w:pPr>
      <w:r>
        <w:rPr>
          <w:rFonts w:ascii="Arial" w:hAnsi="Arial"/>
          <w:color w:val="212529"/>
          <w:sz w:val="18"/>
        </w:rPr>
        <w:t>Within the high-density historic and central core of **Cairo** (49,816 segments, 1,335.72 km), evaluating street trees under standard municipal drip irrigation (θ = 0.28 m³/m³) preserves daytime transpiration, delivering **35.5% net cooling (473.91 km)**, while **40.2% (536.52 km)** in deep historic alleys experiences nocturnal thermal liabilities (ΔUTCI = +0.38 K, Δ T_mrt = +0.47 K), and **24.4% (325.28 km)** remains in buffer. Within the central urban core of **Phoenix** (6,596 segments, 188.03 km), wide arterial boulevards (W = 24 - 48 m; network-wide mean W = 13.8 m including residential collectors, mean H/W = 0.99) under municipal irrigation achieve **97.1% net cooling (182.61 km)**, with **0.0% (0.00 km)** thermal traps and 2.9% (5.41 km) in buffer equilibrium. During extreme Sonoran desert summer nights where nocturnal air temperatures remain near or above human skin temperature (T_a ≈ 34^\circC-36^\circC), vegetative wind deceleration suppresses turbulent convective heat gain from ambient air to the human body (convective crossover gain mitigation), maintaining beneficial biometeorological cooling (ΔUTCI = -0.32 K).</w:t>
      </w:r>
    </w:p>
    <w:p>
      <w:pPr>
        <w:keepNext/>
        <w:spacing w:before="200" w:after="60"/>
      </w:pPr>
      <w:r>
        <w:rPr>
          <w:rFonts w:ascii="Arial" w:hAnsi="Arial"/>
          <w:b/>
          <w:color w:val="1E406E"/>
          <w:sz w:val="21"/>
        </w:rPr>
        <w:t>7.5 Temperate European Oceanic Core (London &amp; Basel)</w:t>
      </w:r>
    </w:p>
    <w:p>
      <w:pPr>
        <w:spacing w:before="0" w:after="80" w:line="276" w:lineRule="auto"/>
      </w:pPr>
      <w:r>
        <w:rPr>
          <w:rFonts w:ascii="Arial" w:hAnsi="Arial"/>
          <w:color w:val="212529"/>
          <w:sz w:val="18"/>
        </w:rPr>
        <w:t>Within the dense urban core of **London** (7,681 segments, 117.07 km), **37.8% (44.20 km)** experiences nocturnal wind deceleration that functions as a beneficial wind-shelter buffer under cool summer night baselines (15^\circC - 18^\circC; ΔUTCI = +1.44 K, Δ T_mrt = +0.74 K), while **32.1% (37.62 km)** delivers net all-day cooling and **30.1% (35.25 km)** operates in neutral buffer equilibrium. In **Basel's urban core** (15,524 segments, 389.27 km), moderate mid-rise building fabrics (H/W = 1.62, W = 10.6 m) combined with cool temperate oceanic summer night baselines (15^\circC - 18^\circC) limit thermal liabilities to **0.5% (2.08 km)**, with **62.8% (244.41 km)** delivering net cooling and **36.7% (142.78 km)** in buffer equilibrium (ΔUTCI = +0.90 K).</w:t>
      </w:r>
    </w:p>
    <w:p>
      <w:pPr>
        <w:keepNext/>
        <w:spacing w:before="200" w:after="60"/>
      </w:pPr>
      <w:r>
        <w:rPr>
          <w:rFonts w:ascii="Arial" w:hAnsi="Arial"/>
          <w:b/>
          <w:color w:val="1E406E"/>
          <w:sz w:val="21"/>
        </w:rPr>
        <w:t>7.6 Southern Hemisphere Metropolises (Sydney &amp; São Paulo)</w:t>
      </w:r>
    </w:p>
    <w:p>
      <w:pPr>
        <w:spacing w:before="0" w:after="80" w:line="276" w:lineRule="auto"/>
      </w:pPr>
      <w:r>
        <w:rPr>
          <w:rFonts w:ascii="Arial" w:hAnsi="Arial"/>
          <w:color w:val="212529"/>
          <w:sz w:val="18"/>
        </w:rPr>
        <w:t>Within the high-density CBD and eastern corridor of **Sydney** (15,517 segments, 334.09 km), deep CBD canyons and coastal corridors result in **39.5% wind-shelter buffer (131.97 km)** under cool maritime night baselines (ΔUTCI = +1.41 K, Δ T_mrt = +0.68 K), **4.9% net cooling (16.37 km)**, and **55.6% neutral buffer (185.76 km)**. Within the high-rise compact core of **São Paulo** (30,660 segments, 837.48 km), dense high-rise topography exhibits **48.0% wind-shelter buffer (401.78 km)** under cool highland night baselines (ΔUTCI = +0.74 K, Δ T_mrt = +0.33 K), with **14.3% (120.13 km)** net cooling and **37.7% (315.58 km)** in neutral buffer.</w:t>
      </w:r>
    </w:p>
    <w:p>
      <w:pPr>
        <w:keepNext/>
        <w:spacing w:before="280" w:after="80"/>
      </w:pPr>
      <w:r>
        <w:rPr>
          <w:rFonts w:ascii="Arial" w:hAnsi="Arial"/>
          <w:b/>
          <w:color w:val="002B49"/>
          <w:sz w:val="24"/>
        </w:rPr>
        <w:t>Supplementary Note 8: Multi-Climate Empirical Field Validation Across Basel, Melbourne, and Phoenix Field Campaigns</w:t>
      </w:r>
    </w:p>
    <w:p>
      <w:pPr>
        <w:keepNext/>
        <w:spacing w:before="200" w:after="60"/>
      </w:pPr>
      <w:r>
        <w:rPr>
          <w:rFonts w:ascii="Arial" w:hAnsi="Arial"/>
          <w:b/>
          <w:color w:val="1E406E"/>
          <w:sz w:val="21"/>
        </w:rPr>
        <w:t>8.1 Experimental Sites and Observational Provenance</w:t>
      </w:r>
    </w:p>
    <w:p>
      <w:pPr>
        <w:spacing w:before="0" w:after="80" w:line="276" w:lineRule="auto"/>
      </w:pPr>
      <w:r>
        <w:rPr>
          <w:rFonts w:ascii="Arial" w:hAnsi="Arial"/>
          <w:color w:val="212529"/>
          <w:sz w:val="18"/>
        </w:rPr>
        <w:t>To ensure that the 6D Index-1 DAE model generalises across disparate climatic zones without site-specific parameter overfitting, the model was benchmarked against in-situ empirical measurements from three independent field campaigns across three continents:</w:t>
      </w:r>
    </w:p>
    <w:p>
      <w:pPr>
        <w:spacing w:before="20" w:after="20"/>
        <w:ind w:left="288"/>
      </w:pPr>
      <w:r>
        <w:rPr>
          <w:rFonts w:ascii="Arial" w:hAnsi="Arial"/>
          <w:color w:val="212529"/>
          <w:sz w:val="18"/>
        </w:rPr>
        <w:t>1. **Basel BUBBLE Intensive Observational Period (Europe, Cfb, Temperate Oceanic)**:</w:t>
      </w:r>
    </w:p>
    <w:p>
      <w:pPr>
        <w:spacing w:before="0" w:after="80" w:line="276" w:lineRule="auto"/>
      </w:pPr>
      <w:r>
        <w:rPr>
          <w:rFonts w:ascii="Arial" w:hAnsi="Arial"/>
          <w:color w:val="212529"/>
          <w:sz w:val="18"/>
        </w:rPr>
        <w:t>Conducted during the Basel Urban Boundary Layer Experiment (BUBBLE; June 20–23, 2002; Rotach et al. 2005; Christen &amp; Vogt 2004)⁷,⁸. The benchmark pairs an unvegetated urban canyon (BUBBLE Ue1; Basel-Sperrstrasse, H/W = 1.0, W = 14.5 m, f_tree = 0.0, orientation 340^°) against a mature tree-lined canyon (BUBBLE Ue2; Basel-Spalenring, H/W = 1.38, W = 13.0 m, f_tree = 0.35, orientation 335^°). Ground and building facade surface temperatures were continuously logged at hourly intervals across a 72-hour heatwave window using calibrated radiometers and surface infrared thermometry.</w:t>
      </w:r>
    </w:p>
    <w:p>
      <w:pPr>
        <w:spacing w:before="20" w:after="20"/>
        <w:ind w:left="288"/>
      </w:pPr>
      <w:r>
        <w:rPr>
          <w:rFonts w:ascii="Arial" w:hAnsi="Arial"/>
          <w:color w:val="212529"/>
          <w:sz w:val="18"/>
        </w:rPr>
        <w:t>2. **Melbourne Aspect Ratio Field Experiment (Oceania, Cfa, Temperate / Subtropical)**:</w:t>
      </w:r>
    </w:p>
    <w:p>
      <w:pPr>
        <w:spacing w:before="0" w:after="80" w:line="276" w:lineRule="auto"/>
      </w:pPr>
      <w:r>
        <w:rPr>
          <w:rFonts w:ascii="Arial" w:hAnsi="Arial"/>
          <w:color w:val="212529"/>
          <w:sz w:val="18"/>
        </w:rPr>
        <w:t>Conducted by Coutts et al. (2016)²⁰ in metropolitan Melbourne during the severe heatwave of January 14–17, 2014, with ambient peak air temperatures reaching 41.8^\circC. Microclimatic stations were deployed across three contrasting canyon geometries: shallow (H/W = 0.5, W = 20 m), medium (H/W = 1.1), and deep canyon (H/W = 2.2, W = 8 m). Continuous surface infrared temperatures (T_g) and 1.5-m aspirated air temperatures (T_c) were recorded at 15-minute intervals (aggregated to hourly means), capturing the divergent thermodynamic response of open versus enclosed canopy envelopes. Universal Thermal Climate Index (UTCI) strain is evaluated under standard operational biometeorological procedures (Bröde et al., 2012⁴²).</w:t>
      </w:r>
    </w:p>
    <w:p>
      <w:pPr>
        <w:spacing w:before="20" w:after="20"/>
        <w:ind w:left="288"/>
      </w:pPr>
      <w:r>
        <w:rPr>
          <w:rFonts w:ascii="Arial" w:hAnsi="Arial"/>
          <w:color w:val="212529"/>
          <w:sz w:val="18"/>
        </w:rPr>
        <w:t>3. **Phoenix CAP LTER Desert Canyon Benchmark (North America, BWh, Hyper-Arid Desert)**:</w:t>
      </w:r>
    </w:p>
    <w:p>
      <w:pPr>
        <w:spacing w:before="0" w:after="80" w:line="276" w:lineRule="auto"/>
      </w:pPr>
      <w:r>
        <w:rPr>
          <w:rFonts w:ascii="Arial" w:hAnsi="Arial"/>
          <w:color w:val="212529"/>
          <w:sz w:val="18"/>
        </w:rPr>
        <w:t>Derived from the Central Arizona–Phoenix Long-Term Ecological Research (CAP LTER) micrometeorological monitoring network in Phoenix, Arizona, during an extreme desert heatwave (July 2022; ambient peak temperature exceeding 43.6^\circC, relative humidity &lt; 15\%). The array contrasts unshaded asphalt pavement against a drip-irrigated urban canyon with mature broadleaf crowns (*Parkinsonia florida* and *Fraxinus velutina*), capturing extreme ground thermal loading (&gt;60^\circC) and soil-plant-atmosphere hydraulic coupling under active municipal drip irrigation (θ = 0.28 m³/m³).</w:t>
      </w:r>
    </w:p>
    <w:p>
      <w:pPr>
        <w:keepNext/>
        <w:spacing w:before="200" w:after="60"/>
      </w:pPr>
      <w:r>
        <w:rPr>
          <w:rFonts w:ascii="Arial" w:hAnsi="Arial"/>
          <w:b/>
          <w:color w:val="1E406E"/>
          <w:sz w:val="21"/>
        </w:rPr>
        <w:t>8.2 Simulation Setup and Spin-Up Protocol</w:t>
      </w:r>
    </w:p>
    <w:p>
      <w:pPr>
        <w:spacing w:before="0" w:after="80" w:line="276" w:lineRule="auto"/>
      </w:pPr>
      <w:r>
        <w:rPr>
          <w:rFonts w:ascii="Arial" w:hAnsi="Arial"/>
          <w:color w:val="212529"/>
          <w:sz w:val="18"/>
        </w:rPr>
        <w:t>Simulations across all three sites were executed strictly using uncalibrated ERA5-Land reanalysis forcing (surface solar irradiance `ssrd`, downward thermal infrared `strd`, 2-m air temperature, 2-m dewpoint, and 10-m wind speed). To eliminate arbitrary initial state bias, each simulation was preceded by a 48-hour periodic spin-up until sub-pavement thermal drift satisfied |Δ T_substrate| &lt; 0.01 K. Hourly model outputs were phase-aligned to exact local standard time (LST) and solar hour angle.</w:t>
      </w:r>
    </w:p>
    <w:p>
      <w:pPr>
        <w:keepNext/>
        <w:spacing w:before="200" w:after="60"/>
      </w:pPr>
      <w:r>
        <w:rPr>
          <w:rFonts w:ascii="Arial" w:hAnsi="Arial"/>
          <w:b/>
          <w:color w:val="1E406E"/>
          <w:sz w:val="21"/>
        </w:rPr>
        <w:t>8.3 Cross-Continental Validation Metrics and Physical Implications</w:t>
      </w:r>
    </w:p>
    <w:p>
      <w:pPr>
        <w:spacing w:before="0" w:after="80" w:line="276" w:lineRule="auto"/>
      </w:pPr>
      <w:r>
        <w:rPr>
          <w:rFonts w:ascii="Arial" w:hAnsi="Arial"/>
          <w:color w:val="212529"/>
          <w:sz w:val="18"/>
        </w:rPr>
        <w:t>Quantitative evaluation across the 432 paired hourly field observations confirms robust predictive accuracy across contrasting thermal and morphological regimes:</w:t>
      </w:r>
    </w:p>
    <w:tbl>
      <w:tblPr>
        <w:tblW w:type="auto" w:w="0"/>
        <w:jc w:val="center"/>
        <w:tblLayout w:type="fixed"/>
        <w:tblLook w:firstColumn="1" w:firstRow="1" w:lastColumn="0" w:lastRow="0" w:noHBand="0" w:noVBand="1" w:val="04A0"/>
      </w:tblPr>
      <w:tblGrid>
        <w:gridCol w:w="1337"/>
        <w:gridCol w:w="1337"/>
        <w:gridCol w:w="1337"/>
        <w:gridCol w:w="1337"/>
        <w:gridCol w:w="1337"/>
        <w:gridCol w:w="1337"/>
        <w:gridCol w:w="1337"/>
      </w:tblGrid>
      <w:tr>
        <w:tc>
          <w:tcPr>
            <w:tcW w:type="dxa" w:w="1337"/>
            <w:shd w:fill="002B49"/>
            <w:tcMar>
              <w:top w:w="70" w:type="dxa"/>
              <w:bottom w:w="70" w:type="dxa"/>
              <w:left w:w="50" w:type="dxa"/>
              <w:right w:w="50" w:type="dxa"/>
            </w:tcMar>
          </w:tcPr>
          <w:p>
            <w:pPr>
              <w:jc w:val="center"/>
            </w:pPr>
            <w:r>
              <w:rPr>
                <w:rFonts w:ascii="Arial" w:hAnsi="Arial"/>
                <w:b/>
                <w:color w:val="FFFFFF"/>
                <w:sz w:val="15"/>
              </w:rPr>
              <w:t>Site &amp; Component</w:t>
            </w:r>
          </w:p>
        </w:tc>
        <w:tc>
          <w:tcPr>
            <w:tcW w:type="dxa" w:w="1337"/>
            <w:shd w:fill="002B49"/>
            <w:tcMar>
              <w:top w:w="70" w:type="dxa"/>
              <w:bottom w:w="70" w:type="dxa"/>
              <w:left w:w="50" w:type="dxa"/>
              <w:right w:w="50" w:type="dxa"/>
            </w:tcMar>
          </w:tcPr>
          <w:p>
            <w:pPr>
              <w:jc w:val="center"/>
            </w:pPr>
            <w:r>
              <w:rPr>
                <w:rFonts w:ascii="Arial" w:hAnsi="Arial"/>
                <w:b/>
                <w:color w:val="FFFFFF"/>
                <w:sz w:val="15"/>
              </w:rPr>
              <w:t>Köppen</w:t>
            </w:r>
          </w:p>
        </w:tc>
        <w:tc>
          <w:tcPr>
            <w:tcW w:type="dxa" w:w="1337"/>
            <w:shd w:fill="002B49"/>
            <w:tcMar>
              <w:top w:w="70" w:type="dxa"/>
              <w:bottom w:w="70" w:type="dxa"/>
              <w:left w:w="50" w:type="dxa"/>
              <w:right w:w="50" w:type="dxa"/>
            </w:tcMar>
          </w:tcPr>
          <w:p>
            <w:pPr>
              <w:jc w:val="center"/>
            </w:pPr>
            <w:r>
              <w:rPr>
                <w:rFonts w:ascii="Arial" w:hAnsi="Arial"/>
                <w:b/>
                <w:color w:val="FFFFFF"/>
                <w:sz w:val="15"/>
              </w:rPr>
              <w:t>Aspect Ratio (H/W)</w:t>
            </w:r>
          </w:p>
        </w:tc>
        <w:tc>
          <w:tcPr>
            <w:tcW w:type="dxa" w:w="1337"/>
            <w:shd w:fill="002B49"/>
            <w:tcMar>
              <w:top w:w="70" w:type="dxa"/>
              <w:bottom w:w="70" w:type="dxa"/>
              <w:left w:w="50" w:type="dxa"/>
              <w:right w:w="50" w:type="dxa"/>
            </w:tcMar>
          </w:tcPr>
          <w:p>
            <w:pPr>
              <w:jc w:val="center"/>
            </w:pPr>
            <w:r>
              <w:rPr>
                <w:rFonts w:ascii="Arial" w:hAnsi="Arial"/>
                <w:b/>
                <w:color w:val="FFFFFF"/>
                <w:sz w:val="15"/>
              </w:rPr>
              <w:t>Sample Size (N)</w:t>
            </w:r>
          </w:p>
        </w:tc>
        <w:tc>
          <w:tcPr>
            <w:tcW w:type="dxa" w:w="1337"/>
            <w:shd w:fill="002B49"/>
            <w:tcMar>
              <w:top w:w="70" w:type="dxa"/>
              <w:bottom w:w="70" w:type="dxa"/>
              <w:left w:w="50" w:type="dxa"/>
              <w:right w:w="50" w:type="dxa"/>
            </w:tcMar>
          </w:tcPr>
          <w:p>
            <w:pPr>
              <w:jc w:val="center"/>
            </w:pPr>
            <w:r>
              <w:rPr>
                <w:rFonts w:ascii="Arial" w:hAnsi="Arial"/>
                <w:b/>
                <w:color w:val="FFFFFF"/>
                <w:sz w:val="15"/>
              </w:rPr>
              <w:t>R²</w:t>
            </w:r>
          </w:p>
        </w:tc>
        <w:tc>
          <w:tcPr>
            <w:tcW w:type="dxa" w:w="1337"/>
            <w:shd w:fill="002B49"/>
            <w:tcMar>
              <w:top w:w="70" w:type="dxa"/>
              <w:bottom w:w="70" w:type="dxa"/>
              <w:left w:w="50" w:type="dxa"/>
              <w:right w:w="50" w:type="dxa"/>
            </w:tcMar>
          </w:tcPr>
          <w:p>
            <w:pPr>
              <w:jc w:val="center"/>
            </w:pPr>
            <w:r>
              <w:rPr>
                <w:rFonts w:ascii="Arial" w:hAnsi="Arial"/>
                <w:b/>
                <w:color w:val="FFFFFF"/>
                <w:sz w:val="15"/>
              </w:rPr>
              <w:t>RMSE (K)</w:t>
            </w:r>
          </w:p>
        </w:tc>
        <w:tc>
          <w:tcPr>
            <w:tcW w:type="dxa" w:w="1337"/>
            <w:shd w:fill="002B49"/>
            <w:tcMar>
              <w:top w:w="70" w:type="dxa"/>
              <w:bottom w:w="70" w:type="dxa"/>
              <w:left w:w="50" w:type="dxa"/>
              <w:right w:w="50" w:type="dxa"/>
            </w:tcMar>
          </w:tcPr>
          <w:p>
            <w:pPr>
              <w:jc w:val="center"/>
            </w:pPr>
            <w:r>
              <w:rPr>
                <w:rFonts w:ascii="Arial" w:hAnsi="Arial"/>
                <w:b/>
                <w:color w:val="FFFFFF"/>
                <w:sz w:val="15"/>
              </w:rPr>
              <w:t>MBE (K)</w:t>
            </w:r>
          </w:p>
        </w:tc>
      </w:tr>
      <w:tr>
        <w:tc>
          <w:tcPr>
            <w:tcW w:type="dxa" w:w="1337"/>
            <w:shd w:fill="FFFFFF"/>
            <w:tcMar>
              <w:top w:w="45" w:type="dxa"/>
              <w:bottom w:w="45" w:type="dxa"/>
              <w:left w:w="45" w:type="dxa"/>
              <w:right w:w="45" w:type="dxa"/>
            </w:tcMar>
          </w:tcPr>
          <w:p>
            <w:pPr>
              <w:jc w:val="left"/>
            </w:pPr>
            <w:r>
              <w:rPr>
                <w:rFonts w:ascii="Arial" w:hAnsi="Arial"/>
                <w:b/>
                <w:color w:val="212529"/>
                <w:sz w:val="14"/>
              </w:rPr>
              <w:t>**Basel Ue1 Ground (Unshaded)**</w:t>
            </w:r>
          </w:p>
        </w:tc>
        <w:tc>
          <w:tcPr>
            <w:tcW w:type="dxa" w:w="1337"/>
            <w:shd w:fill="FFFFFF"/>
            <w:tcMar>
              <w:top w:w="45" w:type="dxa"/>
              <w:bottom w:w="45" w:type="dxa"/>
              <w:left w:w="45" w:type="dxa"/>
              <w:right w:w="45" w:type="dxa"/>
            </w:tcMar>
          </w:tcPr>
          <w:p>
            <w:pPr>
              <w:jc w:val="center"/>
            </w:pPr>
            <w:r>
              <w:rPr>
                <w:rFonts w:ascii="Arial" w:hAnsi="Arial"/>
                <w:color w:val="212529"/>
                <w:sz w:val="14"/>
              </w:rPr>
              <w:t>Cfb</w:t>
            </w:r>
          </w:p>
        </w:tc>
        <w:tc>
          <w:tcPr>
            <w:tcW w:type="dxa" w:w="1337"/>
            <w:shd w:fill="FFFFFF"/>
            <w:tcMar>
              <w:top w:w="45" w:type="dxa"/>
              <w:bottom w:w="45" w:type="dxa"/>
              <w:left w:w="45" w:type="dxa"/>
              <w:right w:w="45" w:type="dxa"/>
            </w:tcMar>
          </w:tcPr>
          <w:p>
            <w:pPr>
              <w:jc w:val="center"/>
            </w:pPr>
            <w:r>
              <w:rPr>
                <w:rFonts w:ascii="Arial" w:hAnsi="Arial"/>
                <w:color w:val="212529"/>
                <w:sz w:val="14"/>
              </w:rPr>
              <w:t>1.00</w:t>
            </w:r>
          </w:p>
        </w:tc>
        <w:tc>
          <w:tcPr>
            <w:tcW w:type="dxa" w:w="1337"/>
            <w:shd w:fill="FFFFFF"/>
            <w:tcMar>
              <w:top w:w="45" w:type="dxa"/>
              <w:bottom w:w="45" w:type="dxa"/>
              <w:left w:w="45" w:type="dxa"/>
              <w:right w:w="45" w:type="dxa"/>
            </w:tcMar>
          </w:tcPr>
          <w:p>
            <w:pPr>
              <w:jc w:val="center"/>
            </w:pPr>
            <w:r>
              <w:rPr>
                <w:rFonts w:ascii="Arial" w:hAnsi="Arial"/>
                <w:color w:val="212529"/>
                <w:sz w:val="14"/>
              </w:rPr>
              <w:t>72</w:t>
            </w:r>
          </w:p>
        </w:tc>
        <w:tc>
          <w:tcPr>
            <w:tcW w:type="dxa" w:w="1337"/>
            <w:shd w:fill="FFFFFF"/>
            <w:tcMar>
              <w:top w:w="45" w:type="dxa"/>
              <w:bottom w:w="45" w:type="dxa"/>
              <w:left w:w="45" w:type="dxa"/>
              <w:right w:w="45" w:type="dxa"/>
            </w:tcMar>
          </w:tcPr>
          <w:p>
            <w:pPr>
              <w:jc w:val="center"/>
            </w:pPr>
            <w:r>
              <w:rPr>
                <w:rFonts w:ascii="Arial" w:hAnsi="Arial"/>
                <w:color w:val="212529"/>
                <w:sz w:val="14"/>
              </w:rPr>
              <w:t>0.871</w:t>
            </w:r>
          </w:p>
        </w:tc>
        <w:tc>
          <w:tcPr>
            <w:tcW w:type="dxa" w:w="1337"/>
            <w:shd w:fill="FFFFFF"/>
            <w:tcMar>
              <w:top w:w="45" w:type="dxa"/>
              <w:bottom w:w="45" w:type="dxa"/>
              <w:left w:w="45" w:type="dxa"/>
              <w:right w:w="45" w:type="dxa"/>
            </w:tcMar>
          </w:tcPr>
          <w:p>
            <w:pPr>
              <w:jc w:val="center"/>
            </w:pPr>
            <w:r>
              <w:rPr>
                <w:rFonts w:ascii="Arial" w:hAnsi="Arial"/>
                <w:color w:val="212529"/>
                <w:sz w:val="14"/>
              </w:rPr>
              <w:t>1.60</w:t>
            </w:r>
          </w:p>
        </w:tc>
        <w:tc>
          <w:tcPr>
            <w:tcW w:type="dxa" w:w="1337"/>
            <w:shd w:fill="FFFFFF"/>
            <w:tcMar>
              <w:top w:w="45" w:type="dxa"/>
              <w:bottom w:w="45" w:type="dxa"/>
              <w:left w:w="45" w:type="dxa"/>
              <w:right w:w="45" w:type="dxa"/>
            </w:tcMar>
          </w:tcPr>
          <w:p>
            <w:pPr>
              <w:jc w:val="center"/>
            </w:pPr>
            <w:r>
              <w:rPr>
                <w:rFonts w:ascii="Arial" w:hAnsi="Arial"/>
                <w:color w:val="212529"/>
                <w:sz w:val="14"/>
              </w:rPr>
              <w:t>-0.11</w:t>
            </w:r>
          </w:p>
        </w:tc>
      </w:tr>
      <w:tr>
        <w:tc>
          <w:tcPr>
            <w:tcW w:type="dxa" w:w="1337"/>
            <w:shd w:fill="F8FAFC"/>
            <w:tcMar>
              <w:top w:w="45" w:type="dxa"/>
              <w:bottom w:w="45" w:type="dxa"/>
              <w:left w:w="45" w:type="dxa"/>
              <w:right w:w="45" w:type="dxa"/>
            </w:tcMar>
          </w:tcPr>
          <w:p>
            <w:pPr>
              <w:jc w:val="left"/>
            </w:pPr>
            <w:r>
              <w:rPr>
                <w:rFonts w:ascii="Arial" w:hAnsi="Arial"/>
                <w:b/>
                <w:color w:val="212529"/>
                <w:sz w:val="14"/>
              </w:rPr>
              <w:t>**Basel Ue1 Wall (Unshaded)**</w:t>
            </w:r>
          </w:p>
        </w:tc>
        <w:tc>
          <w:tcPr>
            <w:tcW w:type="dxa" w:w="1337"/>
            <w:shd w:fill="F8FAFC"/>
            <w:tcMar>
              <w:top w:w="45" w:type="dxa"/>
              <w:bottom w:w="45" w:type="dxa"/>
              <w:left w:w="45" w:type="dxa"/>
              <w:right w:w="45" w:type="dxa"/>
            </w:tcMar>
          </w:tcPr>
          <w:p>
            <w:pPr>
              <w:jc w:val="center"/>
            </w:pPr>
            <w:r>
              <w:rPr>
                <w:rFonts w:ascii="Arial" w:hAnsi="Arial"/>
                <w:color w:val="212529"/>
                <w:sz w:val="14"/>
              </w:rPr>
              <w:t>Cfb</w:t>
            </w:r>
          </w:p>
        </w:tc>
        <w:tc>
          <w:tcPr>
            <w:tcW w:type="dxa" w:w="1337"/>
            <w:shd w:fill="F8FAFC"/>
            <w:tcMar>
              <w:top w:w="45" w:type="dxa"/>
              <w:bottom w:w="45" w:type="dxa"/>
              <w:left w:w="45" w:type="dxa"/>
              <w:right w:w="45" w:type="dxa"/>
            </w:tcMar>
          </w:tcPr>
          <w:p>
            <w:pPr>
              <w:jc w:val="center"/>
            </w:pPr>
            <w:r>
              <w:rPr>
                <w:rFonts w:ascii="Arial" w:hAnsi="Arial"/>
                <w:color w:val="212529"/>
                <w:sz w:val="14"/>
              </w:rPr>
              <w:t>1.00</w:t>
            </w:r>
          </w:p>
        </w:tc>
        <w:tc>
          <w:tcPr>
            <w:tcW w:type="dxa" w:w="1337"/>
            <w:shd w:fill="F8FAFC"/>
            <w:tcMar>
              <w:top w:w="45" w:type="dxa"/>
              <w:bottom w:w="45" w:type="dxa"/>
              <w:left w:w="45" w:type="dxa"/>
              <w:right w:w="45" w:type="dxa"/>
            </w:tcMar>
          </w:tcPr>
          <w:p>
            <w:pPr>
              <w:jc w:val="center"/>
            </w:pPr>
            <w:r>
              <w:rPr>
                <w:rFonts w:ascii="Arial" w:hAnsi="Arial"/>
                <w:color w:val="212529"/>
                <w:sz w:val="14"/>
              </w:rPr>
              <w:t>72</w:t>
            </w:r>
          </w:p>
        </w:tc>
        <w:tc>
          <w:tcPr>
            <w:tcW w:type="dxa" w:w="1337"/>
            <w:shd w:fill="F8FAFC"/>
            <w:tcMar>
              <w:top w:w="45" w:type="dxa"/>
              <w:bottom w:w="45" w:type="dxa"/>
              <w:left w:w="45" w:type="dxa"/>
              <w:right w:w="45" w:type="dxa"/>
            </w:tcMar>
          </w:tcPr>
          <w:p>
            <w:pPr>
              <w:jc w:val="center"/>
            </w:pPr>
            <w:r>
              <w:rPr>
                <w:rFonts w:ascii="Arial" w:hAnsi="Arial"/>
                <w:color w:val="212529"/>
                <w:sz w:val="14"/>
              </w:rPr>
              <w:t>0.835</w:t>
            </w:r>
          </w:p>
        </w:tc>
        <w:tc>
          <w:tcPr>
            <w:tcW w:type="dxa" w:w="1337"/>
            <w:shd w:fill="F8FAFC"/>
            <w:tcMar>
              <w:top w:w="45" w:type="dxa"/>
              <w:bottom w:w="45" w:type="dxa"/>
              <w:left w:w="45" w:type="dxa"/>
              <w:right w:w="45" w:type="dxa"/>
            </w:tcMar>
          </w:tcPr>
          <w:p>
            <w:pPr>
              <w:jc w:val="center"/>
            </w:pPr>
            <w:r>
              <w:rPr>
                <w:rFonts w:ascii="Arial" w:hAnsi="Arial"/>
                <w:color w:val="212529"/>
                <w:sz w:val="14"/>
              </w:rPr>
              <w:t>1.22</w:t>
            </w:r>
          </w:p>
        </w:tc>
        <w:tc>
          <w:tcPr>
            <w:tcW w:type="dxa" w:w="1337"/>
            <w:shd w:fill="F8FAFC"/>
            <w:tcMar>
              <w:top w:w="45" w:type="dxa"/>
              <w:bottom w:w="45" w:type="dxa"/>
              <w:left w:w="45" w:type="dxa"/>
              <w:right w:w="45" w:type="dxa"/>
            </w:tcMar>
          </w:tcPr>
          <w:p>
            <w:pPr>
              <w:jc w:val="center"/>
            </w:pPr>
            <w:r>
              <w:rPr>
                <w:rFonts w:ascii="Arial" w:hAnsi="Arial"/>
                <w:color w:val="212529"/>
                <w:sz w:val="14"/>
              </w:rPr>
              <w:t>-0.30</w:t>
            </w:r>
          </w:p>
        </w:tc>
      </w:tr>
      <w:tr>
        <w:tc>
          <w:tcPr>
            <w:tcW w:type="dxa" w:w="1337"/>
            <w:shd w:fill="FFFFFF"/>
            <w:tcMar>
              <w:top w:w="45" w:type="dxa"/>
              <w:bottom w:w="45" w:type="dxa"/>
              <w:left w:w="45" w:type="dxa"/>
              <w:right w:w="45" w:type="dxa"/>
            </w:tcMar>
          </w:tcPr>
          <w:p>
            <w:pPr>
              <w:jc w:val="left"/>
            </w:pPr>
            <w:r>
              <w:rPr>
                <w:rFonts w:ascii="Arial" w:hAnsi="Arial"/>
                <w:b/>
                <w:color w:val="212529"/>
                <w:sz w:val="14"/>
              </w:rPr>
              <w:t>**Basel Ue2 Ground (Tree-Lined)**</w:t>
            </w:r>
          </w:p>
        </w:tc>
        <w:tc>
          <w:tcPr>
            <w:tcW w:type="dxa" w:w="1337"/>
            <w:shd w:fill="FFFFFF"/>
            <w:tcMar>
              <w:top w:w="45" w:type="dxa"/>
              <w:bottom w:w="45" w:type="dxa"/>
              <w:left w:w="45" w:type="dxa"/>
              <w:right w:w="45" w:type="dxa"/>
            </w:tcMar>
          </w:tcPr>
          <w:p>
            <w:pPr>
              <w:jc w:val="center"/>
            </w:pPr>
            <w:r>
              <w:rPr>
                <w:rFonts w:ascii="Arial" w:hAnsi="Arial"/>
                <w:color w:val="212529"/>
                <w:sz w:val="14"/>
              </w:rPr>
              <w:t>Cfb</w:t>
            </w:r>
          </w:p>
        </w:tc>
        <w:tc>
          <w:tcPr>
            <w:tcW w:type="dxa" w:w="1337"/>
            <w:shd w:fill="FFFFFF"/>
            <w:tcMar>
              <w:top w:w="45" w:type="dxa"/>
              <w:bottom w:w="45" w:type="dxa"/>
              <w:left w:w="45" w:type="dxa"/>
              <w:right w:w="45" w:type="dxa"/>
            </w:tcMar>
          </w:tcPr>
          <w:p>
            <w:pPr>
              <w:jc w:val="center"/>
            </w:pPr>
            <w:r>
              <w:rPr>
                <w:rFonts w:ascii="Arial" w:hAnsi="Arial"/>
                <w:color w:val="212529"/>
                <w:sz w:val="14"/>
              </w:rPr>
              <w:t>1.38</w:t>
            </w:r>
          </w:p>
        </w:tc>
        <w:tc>
          <w:tcPr>
            <w:tcW w:type="dxa" w:w="1337"/>
            <w:shd w:fill="FFFFFF"/>
            <w:tcMar>
              <w:top w:w="45" w:type="dxa"/>
              <w:bottom w:w="45" w:type="dxa"/>
              <w:left w:w="45" w:type="dxa"/>
              <w:right w:w="45" w:type="dxa"/>
            </w:tcMar>
          </w:tcPr>
          <w:p>
            <w:pPr>
              <w:jc w:val="center"/>
            </w:pPr>
            <w:r>
              <w:rPr>
                <w:rFonts w:ascii="Arial" w:hAnsi="Arial"/>
                <w:color w:val="212529"/>
                <w:sz w:val="14"/>
              </w:rPr>
              <w:t>72</w:t>
            </w:r>
          </w:p>
        </w:tc>
        <w:tc>
          <w:tcPr>
            <w:tcW w:type="dxa" w:w="1337"/>
            <w:shd w:fill="FFFFFF"/>
            <w:tcMar>
              <w:top w:w="45" w:type="dxa"/>
              <w:bottom w:w="45" w:type="dxa"/>
              <w:left w:w="45" w:type="dxa"/>
              <w:right w:w="45" w:type="dxa"/>
            </w:tcMar>
          </w:tcPr>
          <w:p>
            <w:pPr>
              <w:jc w:val="center"/>
            </w:pPr>
            <w:r>
              <w:rPr>
                <w:rFonts w:ascii="Arial" w:hAnsi="Arial"/>
                <w:color w:val="212529"/>
                <w:sz w:val="14"/>
              </w:rPr>
              <w:t>0.833</w:t>
            </w:r>
          </w:p>
        </w:tc>
        <w:tc>
          <w:tcPr>
            <w:tcW w:type="dxa" w:w="1337"/>
            <w:shd w:fill="FFFFFF"/>
            <w:tcMar>
              <w:top w:w="45" w:type="dxa"/>
              <w:bottom w:w="45" w:type="dxa"/>
              <w:left w:w="45" w:type="dxa"/>
              <w:right w:w="45" w:type="dxa"/>
            </w:tcMar>
          </w:tcPr>
          <w:p>
            <w:pPr>
              <w:jc w:val="center"/>
            </w:pPr>
            <w:r>
              <w:rPr>
                <w:rFonts w:ascii="Arial" w:hAnsi="Arial"/>
                <w:color w:val="212529"/>
                <w:sz w:val="14"/>
              </w:rPr>
              <w:t>1.31</w:t>
            </w:r>
          </w:p>
        </w:tc>
        <w:tc>
          <w:tcPr>
            <w:tcW w:type="dxa" w:w="1337"/>
            <w:shd w:fill="FFFFFF"/>
            <w:tcMar>
              <w:top w:w="45" w:type="dxa"/>
              <w:bottom w:w="45" w:type="dxa"/>
              <w:left w:w="45" w:type="dxa"/>
              <w:right w:w="45" w:type="dxa"/>
            </w:tcMar>
          </w:tcPr>
          <w:p>
            <w:pPr>
              <w:jc w:val="center"/>
            </w:pPr>
            <w:r>
              <w:rPr>
                <w:rFonts w:ascii="Arial" w:hAnsi="Arial"/>
                <w:color w:val="212529"/>
                <w:sz w:val="14"/>
              </w:rPr>
              <w:t>-0.48</w:t>
            </w:r>
          </w:p>
        </w:tc>
      </w:tr>
      <w:tr>
        <w:tc>
          <w:tcPr>
            <w:tcW w:type="dxa" w:w="1337"/>
            <w:shd w:fill="F8FAFC"/>
            <w:tcMar>
              <w:top w:w="45" w:type="dxa"/>
              <w:bottom w:w="45" w:type="dxa"/>
              <w:left w:w="45" w:type="dxa"/>
              <w:right w:w="45" w:type="dxa"/>
            </w:tcMar>
          </w:tcPr>
          <w:p>
            <w:pPr>
              <w:jc w:val="left"/>
            </w:pPr>
            <w:r>
              <w:rPr>
                <w:rFonts w:ascii="Arial" w:hAnsi="Arial"/>
                <w:b/>
                <w:color w:val="212529"/>
                <w:sz w:val="14"/>
              </w:rPr>
              <w:t>**Basel Ue2 Wall (Tree-Lined)**</w:t>
            </w:r>
          </w:p>
        </w:tc>
        <w:tc>
          <w:tcPr>
            <w:tcW w:type="dxa" w:w="1337"/>
            <w:shd w:fill="F8FAFC"/>
            <w:tcMar>
              <w:top w:w="45" w:type="dxa"/>
              <w:bottom w:w="45" w:type="dxa"/>
              <w:left w:w="45" w:type="dxa"/>
              <w:right w:w="45" w:type="dxa"/>
            </w:tcMar>
          </w:tcPr>
          <w:p>
            <w:pPr>
              <w:jc w:val="center"/>
            </w:pPr>
            <w:r>
              <w:rPr>
                <w:rFonts w:ascii="Arial" w:hAnsi="Arial"/>
                <w:color w:val="212529"/>
                <w:sz w:val="14"/>
              </w:rPr>
              <w:t>Cfb</w:t>
            </w:r>
          </w:p>
        </w:tc>
        <w:tc>
          <w:tcPr>
            <w:tcW w:type="dxa" w:w="1337"/>
            <w:shd w:fill="F8FAFC"/>
            <w:tcMar>
              <w:top w:w="45" w:type="dxa"/>
              <w:bottom w:w="45" w:type="dxa"/>
              <w:left w:w="45" w:type="dxa"/>
              <w:right w:w="45" w:type="dxa"/>
            </w:tcMar>
          </w:tcPr>
          <w:p>
            <w:pPr>
              <w:jc w:val="center"/>
            </w:pPr>
            <w:r>
              <w:rPr>
                <w:rFonts w:ascii="Arial" w:hAnsi="Arial"/>
                <w:color w:val="212529"/>
                <w:sz w:val="14"/>
              </w:rPr>
              <w:t>1.38</w:t>
            </w:r>
          </w:p>
        </w:tc>
        <w:tc>
          <w:tcPr>
            <w:tcW w:type="dxa" w:w="1337"/>
            <w:shd w:fill="F8FAFC"/>
            <w:tcMar>
              <w:top w:w="45" w:type="dxa"/>
              <w:bottom w:w="45" w:type="dxa"/>
              <w:left w:w="45" w:type="dxa"/>
              <w:right w:w="45" w:type="dxa"/>
            </w:tcMar>
          </w:tcPr>
          <w:p>
            <w:pPr>
              <w:jc w:val="center"/>
            </w:pPr>
            <w:r>
              <w:rPr>
                <w:rFonts w:ascii="Arial" w:hAnsi="Arial"/>
                <w:color w:val="212529"/>
                <w:sz w:val="14"/>
              </w:rPr>
              <w:t>72</w:t>
            </w:r>
          </w:p>
        </w:tc>
        <w:tc>
          <w:tcPr>
            <w:tcW w:type="dxa" w:w="1337"/>
            <w:shd w:fill="F8FAFC"/>
            <w:tcMar>
              <w:top w:w="45" w:type="dxa"/>
              <w:bottom w:w="45" w:type="dxa"/>
              <w:left w:w="45" w:type="dxa"/>
              <w:right w:w="45" w:type="dxa"/>
            </w:tcMar>
          </w:tcPr>
          <w:p>
            <w:pPr>
              <w:jc w:val="center"/>
            </w:pPr>
            <w:r>
              <w:rPr>
                <w:rFonts w:ascii="Arial" w:hAnsi="Arial"/>
                <w:color w:val="212529"/>
                <w:sz w:val="14"/>
              </w:rPr>
              <w:t>0.798</w:t>
            </w:r>
          </w:p>
        </w:tc>
        <w:tc>
          <w:tcPr>
            <w:tcW w:type="dxa" w:w="1337"/>
            <w:shd w:fill="F8FAFC"/>
            <w:tcMar>
              <w:top w:w="45" w:type="dxa"/>
              <w:bottom w:w="45" w:type="dxa"/>
              <w:left w:w="45" w:type="dxa"/>
              <w:right w:w="45" w:type="dxa"/>
            </w:tcMar>
          </w:tcPr>
          <w:p>
            <w:pPr>
              <w:jc w:val="center"/>
            </w:pPr>
            <w:r>
              <w:rPr>
                <w:rFonts w:ascii="Arial" w:hAnsi="Arial"/>
                <w:color w:val="212529"/>
                <w:sz w:val="14"/>
              </w:rPr>
              <w:t>1.06</w:t>
            </w:r>
          </w:p>
        </w:tc>
        <w:tc>
          <w:tcPr>
            <w:tcW w:type="dxa" w:w="1337"/>
            <w:shd w:fill="F8FAFC"/>
            <w:tcMar>
              <w:top w:w="45" w:type="dxa"/>
              <w:bottom w:w="45" w:type="dxa"/>
              <w:left w:w="45" w:type="dxa"/>
              <w:right w:w="45" w:type="dxa"/>
            </w:tcMar>
          </w:tcPr>
          <w:p>
            <w:pPr>
              <w:jc w:val="center"/>
            </w:pPr>
            <w:r>
              <w:rPr>
                <w:rFonts w:ascii="Arial" w:hAnsi="Arial"/>
                <w:color w:val="212529"/>
                <w:sz w:val="14"/>
              </w:rPr>
              <w:t>-0.36</w:t>
            </w:r>
          </w:p>
        </w:tc>
      </w:tr>
      <w:tr>
        <w:tc>
          <w:tcPr>
            <w:tcW w:type="dxa" w:w="1337"/>
            <w:shd w:fill="FFFFFF"/>
            <w:tcMar>
              <w:top w:w="45" w:type="dxa"/>
              <w:bottom w:w="45" w:type="dxa"/>
              <w:left w:w="45" w:type="dxa"/>
              <w:right w:w="45" w:type="dxa"/>
            </w:tcMar>
          </w:tcPr>
          <w:p>
            <w:pPr>
              <w:jc w:val="left"/>
            </w:pPr>
            <w:r>
              <w:rPr>
                <w:rFonts w:ascii="Arial" w:hAnsi="Arial"/>
                <w:b/>
                <w:color w:val="212529"/>
                <w:sz w:val="14"/>
              </w:rPr>
              <w:t>**Basel Combined Ground**</w:t>
            </w:r>
          </w:p>
        </w:tc>
        <w:tc>
          <w:tcPr>
            <w:tcW w:type="dxa" w:w="1337"/>
            <w:shd w:fill="FFFFFF"/>
            <w:tcMar>
              <w:top w:w="45" w:type="dxa"/>
              <w:bottom w:w="45" w:type="dxa"/>
              <w:left w:w="45" w:type="dxa"/>
              <w:right w:w="45" w:type="dxa"/>
            </w:tcMar>
          </w:tcPr>
          <w:p>
            <w:pPr>
              <w:jc w:val="center"/>
            </w:pPr>
            <w:r>
              <w:rPr>
                <w:rFonts w:ascii="Arial" w:hAnsi="Arial"/>
                <w:color w:val="212529"/>
                <w:sz w:val="14"/>
              </w:rPr>
              <w:t>Cfb</w:t>
            </w:r>
          </w:p>
        </w:tc>
        <w:tc>
          <w:tcPr>
            <w:tcW w:type="dxa" w:w="1337"/>
            <w:shd w:fill="FFFFFF"/>
            <w:tcMar>
              <w:top w:w="45" w:type="dxa"/>
              <w:bottom w:w="45" w:type="dxa"/>
              <w:left w:w="45" w:type="dxa"/>
              <w:right w:w="45" w:type="dxa"/>
            </w:tcMar>
          </w:tcPr>
          <w:p>
            <w:pPr>
              <w:jc w:val="center"/>
            </w:pPr>
            <w:r>
              <w:rPr>
                <w:rFonts w:ascii="Arial" w:hAnsi="Arial"/>
                <w:color w:val="212529"/>
                <w:sz w:val="14"/>
              </w:rPr>
              <w:t>—</w:t>
            </w:r>
          </w:p>
        </w:tc>
        <w:tc>
          <w:tcPr>
            <w:tcW w:type="dxa" w:w="1337"/>
            <w:shd w:fill="FFFFFF"/>
            <w:tcMar>
              <w:top w:w="45" w:type="dxa"/>
              <w:bottom w:w="45" w:type="dxa"/>
              <w:left w:w="45" w:type="dxa"/>
              <w:right w:w="45" w:type="dxa"/>
            </w:tcMar>
          </w:tcPr>
          <w:p>
            <w:pPr>
              <w:jc w:val="center"/>
            </w:pPr>
            <w:r>
              <w:rPr>
                <w:rFonts w:ascii="Arial" w:hAnsi="Arial"/>
                <w:color w:val="212529"/>
                <w:sz w:val="14"/>
              </w:rPr>
              <w:t>144</w:t>
            </w:r>
          </w:p>
        </w:tc>
        <w:tc>
          <w:tcPr>
            <w:tcW w:type="dxa" w:w="1337"/>
            <w:shd w:fill="FFFFFF"/>
            <w:tcMar>
              <w:top w:w="45" w:type="dxa"/>
              <w:bottom w:w="45" w:type="dxa"/>
              <w:left w:w="45" w:type="dxa"/>
              <w:right w:w="45" w:type="dxa"/>
            </w:tcMar>
          </w:tcPr>
          <w:p>
            <w:pPr>
              <w:jc w:val="center"/>
            </w:pPr>
            <w:r>
              <w:rPr>
                <w:rFonts w:ascii="Arial" w:hAnsi="Arial"/>
                <w:b/>
                <w:color w:val="212529"/>
                <w:sz w:val="14"/>
              </w:rPr>
              <w:t>**0.853**</w:t>
            </w:r>
          </w:p>
        </w:tc>
        <w:tc>
          <w:tcPr>
            <w:tcW w:type="dxa" w:w="1337"/>
            <w:shd w:fill="FFFFFF"/>
            <w:tcMar>
              <w:top w:w="45" w:type="dxa"/>
              <w:bottom w:w="45" w:type="dxa"/>
              <w:left w:w="45" w:type="dxa"/>
              <w:right w:w="45" w:type="dxa"/>
            </w:tcMar>
          </w:tcPr>
          <w:p>
            <w:pPr>
              <w:jc w:val="center"/>
            </w:pPr>
            <w:r>
              <w:rPr>
                <w:rFonts w:ascii="Arial" w:hAnsi="Arial"/>
                <w:b/>
                <w:color w:val="212529"/>
                <w:sz w:val="14"/>
              </w:rPr>
              <w:t>**1.46**</w:t>
            </w:r>
          </w:p>
        </w:tc>
        <w:tc>
          <w:tcPr>
            <w:tcW w:type="dxa" w:w="1337"/>
            <w:shd w:fill="FFFFFF"/>
            <w:tcMar>
              <w:top w:w="45" w:type="dxa"/>
              <w:bottom w:w="45" w:type="dxa"/>
              <w:left w:w="45" w:type="dxa"/>
              <w:right w:w="45" w:type="dxa"/>
            </w:tcMar>
          </w:tcPr>
          <w:p>
            <w:pPr>
              <w:jc w:val="center"/>
            </w:pPr>
            <w:r>
              <w:rPr>
                <w:rFonts w:ascii="Arial" w:hAnsi="Arial"/>
                <w:b/>
                <w:color w:val="212529"/>
                <w:sz w:val="14"/>
              </w:rPr>
              <w:t>**-0.29**</w:t>
            </w:r>
          </w:p>
        </w:tc>
      </w:tr>
      <w:tr>
        <w:tc>
          <w:tcPr>
            <w:tcW w:type="dxa" w:w="1337"/>
            <w:shd w:fill="F8FAFC"/>
            <w:tcMar>
              <w:top w:w="45" w:type="dxa"/>
              <w:bottom w:w="45" w:type="dxa"/>
              <w:left w:w="45" w:type="dxa"/>
              <w:right w:w="45" w:type="dxa"/>
            </w:tcMar>
          </w:tcPr>
          <w:p>
            <w:pPr>
              <w:jc w:val="left"/>
            </w:pPr>
            <w:r>
              <w:rPr>
                <w:rFonts w:ascii="Arial" w:hAnsi="Arial"/>
                <w:b/>
                <w:color w:val="212529"/>
                <w:sz w:val="14"/>
              </w:rPr>
              <w:t>**Basel Combined Wall**</w:t>
            </w:r>
          </w:p>
        </w:tc>
        <w:tc>
          <w:tcPr>
            <w:tcW w:type="dxa" w:w="1337"/>
            <w:shd w:fill="F8FAFC"/>
            <w:tcMar>
              <w:top w:w="45" w:type="dxa"/>
              <w:bottom w:w="45" w:type="dxa"/>
              <w:left w:w="45" w:type="dxa"/>
              <w:right w:w="45" w:type="dxa"/>
            </w:tcMar>
          </w:tcPr>
          <w:p>
            <w:pPr>
              <w:jc w:val="center"/>
            </w:pPr>
            <w:r>
              <w:rPr>
                <w:rFonts w:ascii="Arial" w:hAnsi="Arial"/>
                <w:color w:val="212529"/>
                <w:sz w:val="14"/>
              </w:rPr>
              <w:t>Cfb</w:t>
            </w:r>
          </w:p>
        </w:tc>
        <w:tc>
          <w:tcPr>
            <w:tcW w:type="dxa" w:w="1337"/>
            <w:shd w:fill="F8FAFC"/>
            <w:tcMar>
              <w:top w:w="45" w:type="dxa"/>
              <w:bottom w:w="45" w:type="dxa"/>
              <w:left w:w="45" w:type="dxa"/>
              <w:right w:w="45" w:type="dxa"/>
            </w:tcMar>
          </w:tcPr>
          <w:p>
            <w:pPr>
              <w:jc w:val="center"/>
            </w:pPr>
            <w:r>
              <w:rPr>
                <w:rFonts w:ascii="Arial" w:hAnsi="Arial"/>
                <w:color w:val="212529"/>
                <w:sz w:val="14"/>
              </w:rPr>
              <w:t>—</w:t>
            </w:r>
          </w:p>
        </w:tc>
        <w:tc>
          <w:tcPr>
            <w:tcW w:type="dxa" w:w="1337"/>
            <w:shd w:fill="F8FAFC"/>
            <w:tcMar>
              <w:top w:w="45" w:type="dxa"/>
              <w:bottom w:w="45" w:type="dxa"/>
              <w:left w:w="45" w:type="dxa"/>
              <w:right w:w="45" w:type="dxa"/>
            </w:tcMar>
          </w:tcPr>
          <w:p>
            <w:pPr>
              <w:jc w:val="center"/>
            </w:pPr>
            <w:r>
              <w:rPr>
                <w:rFonts w:ascii="Arial" w:hAnsi="Arial"/>
                <w:color w:val="212529"/>
                <w:sz w:val="14"/>
              </w:rPr>
              <w:t>144</w:t>
            </w:r>
          </w:p>
        </w:tc>
        <w:tc>
          <w:tcPr>
            <w:tcW w:type="dxa" w:w="1337"/>
            <w:shd w:fill="F8FAFC"/>
            <w:tcMar>
              <w:top w:w="45" w:type="dxa"/>
              <w:bottom w:w="45" w:type="dxa"/>
              <w:left w:w="45" w:type="dxa"/>
              <w:right w:w="45" w:type="dxa"/>
            </w:tcMar>
          </w:tcPr>
          <w:p>
            <w:pPr>
              <w:jc w:val="center"/>
            </w:pPr>
            <w:r>
              <w:rPr>
                <w:rFonts w:ascii="Arial" w:hAnsi="Arial"/>
                <w:b/>
                <w:color w:val="212529"/>
                <w:sz w:val="14"/>
              </w:rPr>
              <w:t>**0.822**</w:t>
            </w:r>
          </w:p>
        </w:tc>
        <w:tc>
          <w:tcPr>
            <w:tcW w:type="dxa" w:w="1337"/>
            <w:shd w:fill="F8FAFC"/>
            <w:tcMar>
              <w:top w:w="45" w:type="dxa"/>
              <w:bottom w:w="45" w:type="dxa"/>
              <w:left w:w="45" w:type="dxa"/>
              <w:right w:w="45" w:type="dxa"/>
            </w:tcMar>
          </w:tcPr>
          <w:p>
            <w:pPr>
              <w:jc w:val="center"/>
            </w:pPr>
            <w:r>
              <w:rPr>
                <w:rFonts w:ascii="Arial" w:hAnsi="Arial"/>
                <w:b/>
                <w:color w:val="212529"/>
                <w:sz w:val="14"/>
              </w:rPr>
              <w:t>**1.14**</w:t>
            </w:r>
          </w:p>
        </w:tc>
        <w:tc>
          <w:tcPr>
            <w:tcW w:type="dxa" w:w="1337"/>
            <w:shd w:fill="F8FAFC"/>
            <w:tcMar>
              <w:top w:w="45" w:type="dxa"/>
              <w:bottom w:w="45" w:type="dxa"/>
              <w:left w:w="45" w:type="dxa"/>
              <w:right w:w="45" w:type="dxa"/>
            </w:tcMar>
          </w:tcPr>
          <w:p>
            <w:pPr>
              <w:jc w:val="center"/>
            </w:pPr>
            <w:r>
              <w:rPr>
                <w:rFonts w:ascii="Arial" w:hAnsi="Arial"/>
                <w:b/>
                <w:color w:val="212529"/>
                <w:sz w:val="14"/>
              </w:rPr>
              <w:t>**-0.33**</w:t>
            </w:r>
          </w:p>
        </w:tc>
      </w:tr>
      <w:tr>
        <w:tc>
          <w:tcPr>
            <w:tcW w:type="dxa" w:w="1337"/>
            <w:shd w:fill="FFFFFF"/>
            <w:tcMar>
              <w:top w:w="45" w:type="dxa"/>
              <w:bottom w:w="45" w:type="dxa"/>
              <w:left w:w="45" w:type="dxa"/>
              <w:right w:w="45" w:type="dxa"/>
            </w:tcMar>
          </w:tcPr>
          <w:p>
            <w:pPr>
              <w:jc w:val="left"/>
            </w:pPr>
            <w:r>
              <w:rPr>
                <w:rFonts w:ascii="Arial" w:hAnsi="Arial"/>
                <w:b/>
                <w:color w:val="212529"/>
                <w:sz w:val="14"/>
              </w:rPr>
              <w:t>**Melbourne Shallow Ground**</w:t>
            </w:r>
          </w:p>
        </w:tc>
        <w:tc>
          <w:tcPr>
            <w:tcW w:type="dxa" w:w="1337"/>
            <w:shd w:fill="FFFFFF"/>
            <w:tcMar>
              <w:top w:w="45" w:type="dxa"/>
              <w:bottom w:w="45" w:type="dxa"/>
              <w:left w:w="45" w:type="dxa"/>
              <w:right w:w="45" w:type="dxa"/>
            </w:tcMar>
          </w:tcPr>
          <w:p>
            <w:pPr>
              <w:jc w:val="center"/>
            </w:pPr>
            <w:r>
              <w:rPr>
                <w:rFonts w:ascii="Arial" w:hAnsi="Arial"/>
                <w:color w:val="212529"/>
                <w:sz w:val="14"/>
              </w:rPr>
              <w:t>Cfa</w:t>
            </w:r>
          </w:p>
        </w:tc>
        <w:tc>
          <w:tcPr>
            <w:tcW w:type="dxa" w:w="1337"/>
            <w:shd w:fill="FFFFFF"/>
            <w:tcMar>
              <w:top w:w="45" w:type="dxa"/>
              <w:bottom w:w="45" w:type="dxa"/>
              <w:left w:w="45" w:type="dxa"/>
              <w:right w:w="45" w:type="dxa"/>
            </w:tcMar>
          </w:tcPr>
          <w:p>
            <w:pPr>
              <w:jc w:val="center"/>
            </w:pPr>
            <w:r>
              <w:rPr>
                <w:rFonts w:ascii="Arial" w:hAnsi="Arial"/>
                <w:color w:val="212529"/>
                <w:sz w:val="14"/>
              </w:rPr>
              <w:t>0.50</w:t>
            </w:r>
          </w:p>
        </w:tc>
        <w:tc>
          <w:tcPr>
            <w:tcW w:type="dxa" w:w="1337"/>
            <w:shd w:fill="FFFFFF"/>
            <w:tcMar>
              <w:top w:w="45" w:type="dxa"/>
              <w:bottom w:w="45" w:type="dxa"/>
              <w:left w:w="45" w:type="dxa"/>
              <w:right w:w="45" w:type="dxa"/>
            </w:tcMar>
          </w:tcPr>
          <w:p>
            <w:pPr>
              <w:jc w:val="center"/>
            </w:pPr>
            <w:r>
              <w:rPr>
                <w:rFonts w:ascii="Arial" w:hAnsi="Arial"/>
                <w:color w:val="212529"/>
                <w:sz w:val="14"/>
              </w:rPr>
              <w:t>24</w:t>
            </w:r>
          </w:p>
        </w:tc>
        <w:tc>
          <w:tcPr>
            <w:tcW w:type="dxa" w:w="1337"/>
            <w:shd w:fill="FFFFFF"/>
            <w:tcMar>
              <w:top w:w="45" w:type="dxa"/>
              <w:bottom w:w="45" w:type="dxa"/>
              <w:left w:w="45" w:type="dxa"/>
              <w:right w:w="45" w:type="dxa"/>
            </w:tcMar>
          </w:tcPr>
          <w:p>
            <w:pPr>
              <w:jc w:val="center"/>
            </w:pPr>
            <w:r>
              <w:rPr>
                <w:rFonts w:ascii="Arial" w:hAnsi="Arial"/>
                <w:b/>
                <w:color w:val="212529"/>
                <w:sz w:val="14"/>
              </w:rPr>
              <w:t>**0.812**</w:t>
            </w:r>
          </w:p>
        </w:tc>
        <w:tc>
          <w:tcPr>
            <w:tcW w:type="dxa" w:w="1337"/>
            <w:shd w:fill="FFFFFF"/>
            <w:tcMar>
              <w:top w:w="45" w:type="dxa"/>
              <w:bottom w:w="45" w:type="dxa"/>
              <w:left w:w="45" w:type="dxa"/>
              <w:right w:w="45" w:type="dxa"/>
            </w:tcMar>
          </w:tcPr>
          <w:p>
            <w:pPr>
              <w:jc w:val="center"/>
            </w:pPr>
            <w:r>
              <w:rPr>
                <w:rFonts w:ascii="Arial" w:hAnsi="Arial"/>
                <w:b/>
                <w:color w:val="212529"/>
                <w:sz w:val="14"/>
              </w:rPr>
              <w:t>**3.37**</w:t>
            </w:r>
          </w:p>
        </w:tc>
        <w:tc>
          <w:tcPr>
            <w:tcW w:type="dxa" w:w="1337"/>
            <w:shd w:fill="FFFFFF"/>
            <w:tcMar>
              <w:top w:w="45" w:type="dxa"/>
              <w:bottom w:w="45" w:type="dxa"/>
              <w:left w:w="45" w:type="dxa"/>
              <w:right w:w="45" w:type="dxa"/>
            </w:tcMar>
          </w:tcPr>
          <w:p>
            <w:pPr>
              <w:jc w:val="center"/>
            </w:pPr>
            <w:r>
              <w:rPr>
                <w:rFonts w:ascii="Arial" w:hAnsi="Arial"/>
                <w:b/>
                <w:color w:val="212529"/>
                <w:sz w:val="14"/>
              </w:rPr>
              <w:t>**-0.58**</w:t>
            </w:r>
          </w:p>
        </w:tc>
      </w:tr>
      <w:tr>
        <w:tc>
          <w:tcPr>
            <w:tcW w:type="dxa" w:w="1337"/>
            <w:shd w:fill="F8FAFC"/>
            <w:tcMar>
              <w:top w:w="45" w:type="dxa"/>
              <w:bottom w:w="45" w:type="dxa"/>
              <w:left w:w="45" w:type="dxa"/>
              <w:right w:w="45" w:type="dxa"/>
            </w:tcMar>
          </w:tcPr>
          <w:p>
            <w:pPr>
              <w:jc w:val="left"/>
            </w:pPr>
            <w:r>
              <w:rPr>
                <w:rFonts w:ascii="Arial" w:hAnsi="Arial"/>
                <w:b/>
                <w:color w:val="212529"/>
                <w:sz w:val="14"/>
              </w:rPr>
              <w:t>**Melbourne Deep Ground**</w:t>
            </w:r>
          </w:p>
        </w:tc>
        <w:tc>
          <w:tcPr>
            <w:tcW w:type="dxa" w:w="1337"/>
            <w:shd w:fill="F8FAFC"/>
            <w:tcMar>
              <w:top w:w="45" w:type="dxa"/>
              <w:bottom w:w="45" w:type="dxa"/>
              <w:left w:w="45" w:type="dxa"/>
              <w:right w:w="45" w:type="dxa"/>
            </w:tcMar>
          </w:tcPr>
          <w:p>
            <w:pPr>
              <w:jc w:val="center"/>
            </w:pPr>
            <w:r>
              <w:rPr>
                <w:rFonts w:ascii="Arial" w:hAnsi="Arial"/>
                <w:color w:val="212529"/>
                <w:sz w:val="14"/>
              </w:rPr>
              <w:t>Cfa</w:t>
            </w:r>
          </w:p>
        </w:tc>
        <w:tc>
          <w:tcPr>
            <w:tcW w:type="dxa" w:w="1337"/>
            <w:shd w:fill="F8FAFC"/>
            <w:tcMar>
              <w:top w:w="45" w:type="dxa"/>
              <w:bottom w:w="45" w:type="dxa"/>
              <w:left w:w="45" w:type="dxa"/>
              <w:right w:w="45" w:type="dxa"/>
            </w:tcMar>
          </w:tcPr>
          <w:p>
            <w:pPr>
              <w:jc w:val="center"/>
            </w:pPr>
            <w:r>
              <w:rPr>
                <w:rFonts w:ascii="Arial" w:hAnsi="Arial"/>
                <w:color w:val="212529"/>
                <w:sz w:val="14"/>
              </w:rPr>
              <w:t>2.20</w:t>
            </w:r>
          </w:p>
        </w:tc>
        <w:tc>
          <w:tcPr>
            <w:tcW w:type="dxa" w:w="1337"/>
            <w:shd w:fill="F8FAFC"/>
            <w:tcMar>
              <w:top w:w="45" w:type="dxa"/>
              <w:bottom w:w="45" w:type="dxa"/>
              <w:left w:w="45" w:type="dxa"/>
              <w:right w:w="45" w:type="dxa"/>
            </w:tcMar>
          </w:tcPr>
          <w:p>
            <w:pPr>
              <w:jc w:val="center"/>
            </w:pPr>
            <w:r>
              <w:rPr>
                <w:rFonts w:ascii="Arial" w:hAnsi="Arial"/>
                <w:color w:val="212529"/>
                <w:sz w:val="14"/>
              </w:rPr>
              <w:t>24</w:t>
            </w:r>
          </w:p>
        </w:tc>
        <w:tc>
          <w:tcPr>
            <w:tcW w:type="dxa" w:w="1337"/>
            <w:shd w:fill="F8FAFC"/>
            <w:tcMar>
              <w:top w:w="45" w:type="dxa"/>
              <w:bottom w:w="45" w:type="dxa"/>
              <w:left w:w="45" w:type="dxa"/>
              <w:right w:w="45" w:type="dxa"/>
            </w:tcMar>
          </w:tcPr>
          <w:p>
            <w:pPr>
              <w:jc w:val="center"/>
            </w:pPr>
            <w:r>
              <w:rPr>
                <w:rFonts w:ascii="Arial" w:hAnsi="Arial"/>
                <w:b/>
                <w:color w:val="212529"/>
                <w:sz w:val="14"/>
              </w:rPr>
              <w:t>**0.816**</w:t>
            </w:r>
          </w:p>
        </w:tc>
        <w:tc>
          <w:tcPr>
            <w:tcW w:type="dxa" w:w="1337"/>
            <w:shd w:fill="F8FAFC"/>
            <w:tcMar>
              <w:top w:w="45" w:type="dxa"/>
              <w:bottom w:w="45" w:type="dxa"/>
              <w:left w:w="45" w:type="dxa"/>
              <w:right w:w="45" w:type="dxa"/>
            </w:tcMar>
          </w:tcPr>
          <w:p>
            <w:pPr>
              <w:jc w:val="center"/>
            </w:pPr>
            <w:r>
              <w:rPr>
                <w:rFonts w:ascii="Arial" w:hAnsi="Arial"/>
                <w:b/>
                <w:color w:val="212529"/>
                <w:sz w:val="14"/>
              </w:rPr>
              <w:t>**2.62**</w:t>
            </w:r>
          </w:p>
        </w:tc>
        <w:tc>
          <w:tcPr>
            <w:tcW w:type="dxa" w:w="1337"/>
            <w:shd w:fill="F8FAFC"/>
            <w:tcMar>
              <w:top w:w="45" w:type="dxa"/>
              <w:bottom w:w="45" w:type="dxa"/>
              <w:left w:w="45" w:type="dxa"/>
              <w:right w:w="45" w:type="dxa"/>
            </w:tcMar>
          </w:tcPr>
          <w:p>
            <w:pPr>
              <w:jc w:val="center"/>
            </w:pPr>
            <w:r>
              <w:rPr>
                <w:rFonts w:ascii="Arial" w:hAnsi="Arial"/>
                <w:b/>
                <w:color w:val="212529"/>
                <w:sz w:val="14"/>
              </w:rPr>
              <w:t>**-0.83**</w:t>
            </w:r>
          </w:p>
        </w:tc>
      </w:tr>
      <w:tr>
        <w:tc>
          <w:tcPr>
            <w:tcW w:type="dxa" w:w="1337"/>
            <w:shd w:fill="FFFFFF"/>
            <w:tcMar>
              <w:top w:w="45" w:type="dxa"/>
              <w:bottom w:w="45" w:type="dxa"/>
              <w:left w:w="45" w:type="dxa"/>
              <w:right w:w="45" w:type="dxa"/>
            </w:tcMar>
          </w:tcPr>
          <w:p>
            <w:pPr>
              <w:jc w:val="left"/>
            </w:pPr>
            <w:r>
              <w:rPr>
                <w:rFonts w:ascii="Arial" w:hAnsi="Arial"/>
                <w:b/>
                <w:color w:val="212529"/>
                <w:sz w:val="14"/>
              </w:rPr>
              <w:t>**Melbourne Deep Canyon Air**</w:t>
            </w:r>
          </w:p>
        </w:tc>
        <w:tc>
          <w:tcPr>
            <w:tcW w:type="dxa" w:w="1337"/>
            <w:shd w:fill="FFFFFF"/>
            <w:tcMar>
              <w:top w:w="45" w:type="dxa"/>
              <w:bottom w:w="45" w:type="dxa"/>
              <w:left w:w="45" w:type="dxa"/>
              <w:right w:w="45" w:type="dxa"/>
            </w:tcMar>
          </w:tcPr>
          <w:p>
            <w:pPr>
              <w:jc w:val="center"/>
            </w:pPr>
            <w:r>
              <w:rPr>
                <w:rFonts w:ascii="Arial" w:hAnsi="Arial"/>
                <w:color w:val="212529"/>
                <w:sz w:val="14"/>
              </w:rPr>
              <w:t>Cfa</w:t>
            </w:r>
          </w:p>
        </w:tc>
        <w:tc>
          <w:tcPr>
            <w:tcW w:type="dxa" w:w="1337"/>
            <w:shd w:fill="FFFFFF"/>
            <w:tcMar>
              <w:top w:w="45" w:type="dxa"/>
              <w:bottom w:w="45" w:type="dxa"/>
              <w:left w:w="45" w:type="dxa"/>
              <w:right w:w="45" w:type="dxa"/>
            </w:tcMar>
          </w:tcPr>
          <w:p>
            <w:pPr>
              <w:jc w:val="center"/>
            </w:pPr>
            <w:r>
              <w:rPr>
                <w:rFonts w:ascii="Arial" w:hAnsi="Arial"/>
                <w:color w:val="212529"/>
                <w:sz w:val="14"/>
              </w:rPr>
              <w:t>2.20</w:t>
            </w:r>
          </w:p>
        </w:tc>
        <w:tc>
          <w:tcPr>
            <w:tcW w:type="dxa" w:w="1337"/>
            <w:shd w:fill="FFFFFF"/>
            <w:tcMar>
              <w:top w:w="45" w:type="dxa"/>
              <w:bottom w:w="45" w:type="dxa"/>
              <w:left w:w="45" w:type="dxa"/>
              <w:right w:w="45" w:type="dxa"/>
            </w:tcMar>
          </w:tcPr>
          <w:p>
            <w:pPr>
              <w:jc w:val="center"/>
            </w:pPr>
            <w:r>
              <w:rPr>
                <w:rFonts w:ascii="Arial" w:hAnsi="Arial"/>
                <w:color w:val="212529"/>
                <w:sz w:val="14"/>
              </w:rPr>
              <w:t>24</w:t>
            </w:r>
          </w:p>
        </w:tc>
        <w:tc>
          <w:tcPr>
            <w:tcW w:type="dxa" w:w="1337"/>
            <w:shd w:fill="FFFFFF"/>
            <w:tcMar>
              <w:top w:w="45" w:type="dxa"/>
              <w:bottom w:w="45" w:type="dxa"/>
              <w:left w:w="45" w:type="dxa"/>
              <w:right w:w="45" w:type="dxa"/>
            </w:tcMar>
          </w:tcPr>
          <w:p>
            <w:pPr>
              <w:jc w:val="center"/>
            </w:pPr>
            <w:r>
              <w:rPr>
                <w:rFonts w:ascii="Arial" w:hAnsi="Arial"/>
                <w:b/>
                <w:color w:val="212529"/>
                <w:sz w:val="14"/>
              </w:rPr>
              <w:t>**0.836**</w:t>
            </w:r>
          </w:p>
        </w:tc>
        <w:tc>
          <w:tcPr>
            <w:tcW w:type="dxa" w:w="1337"/>
            <w:shd w:fill="FFFFFF"/>
            <w:tcMar>
              <w:top w:w="45" w:type="dxa"/>
              <w:bottom w:w="45" w:type="dxa"/>
              <w:left w:w="45" w:type="dxa"/>
              <w:right w:w="45" w:type="dxa"/>
            </w:tcMar>
          </w:tcPr>
          <w:p>
            <w:pPr>
              <w:jc w:val="center"/>
            </w:pPr>
            <w:r>
              <w:rPr>
                <w:rFonts w:ascii="Arial" w:hAnsi="Arial"/>
                <w:b/>
                <w:color w:val="212529"/>
                <w:sz w:val="14"/>
              </w:rPr>
              <w:t>**2.49**</w:t>
            </w:r>
          </w:p>
        </w:tc>
        <w:tc>
          <w:tcPr>
            <w:tcW w:type="dxa" w:w="1337"/>
            <w:shd w:fill="FFFFFF"/>
            <w:tcMar>
              <w:top w:w="45" w:type="dxa"/>
              <w:bottom w:w="45" w:type="dxa"/>
              <w:left w:w="45" w:type="dxa"/>
              <w:right w:w="45" w:type="dxa"/>
            </w:tcMar>
          </w:tcPr>
          <w:p>
            <w:pPr>
              <w:jc w:val="center"/>
            </w:pPr>
            <w:r>
              <w:rPr>
                <w:rFonts w:ascii="Arial" w:hAnsi="Arial"/>
                <w:b/>
                <w:color w:val="212529"/>
                <w:sz w:val="14"/>
              </w:rPr>
              <w:t>**-1.18**</w:t>
            </w:r>
          </w:p>
        </w:tc>
      </w:tr>
      <w:tr>
        <w:tc>
          <w:tcPr>
            <w:tcW w:type="dxa" w:w="1337"/>
            <w:shd w:fill="F8FAFC"/>
            <w:tcMar>
              <w:top w:w="45" w:type="dxa"/>
              <w:bottom w:w="45" w:type="dxa"/>
              <w:left w:w="45" w:type="dxa"/>
              <w:right w:w="45" w:type="dxa"/>
            </w:tcMar>
          </w:tcPr>
          <w:p>
            <w:pPr>
              <w:jc w:val="left"/>
            </w:pPr>
            <w:r>
              <w:rPr>
                <w:rFonts w:ascii="Arial" w:hAnsi="Arial"/>
                <w:b/>
                <w:color w:val="212529"/>
                <w:sz w:val="14"/>
              </w:rPr>
              <w:t>**Melbourne Combined Array**</w:t>
            </w:r>
          </w:p>
        </w:tc>
        <w:tc>
          <w:tcPr>
            <w:tcW w:type="dxa" w:w="1337"/>
            <w:shd w:fill="F8FAFC"/>
            <w:tcMar>
              <w:top w:w="45" w:type="dxa"/>
              <w:bottom w:w="45" w:type="dxa"/>
              <w:left w:w="45" w:type="dxa"/>
              <w:right w:w="45" w:type="dxa"/>
            </w:tcMar>
          </w:tcPr>
          <w:p>
            <w:pPr>
              <w:jc w:val="center"/>
            </w:pPr>
            <w:r>
              <w:rPr>
                <w:rFonts w:ascii="Arial" w:hAnsi="Arial"/>
                <w:color w:val="212529"/>
                <w:sz w:val="14"/>
              </w:rPr>
              <w:t>Cfa</w:t>
            </w:r>
          </w:p>
        </w:tc>
        <w:tc>
          <w:tcPr>
            <w:tcW w:type="dxa" w:w="1337"/>
            <w:shd w:fill="F8FAFC"/>
            <w:tcMar>
              <w:top w:w="45" w:type="dxa"/>
              <w:bottom w:w="45" w:type="dxa"/>
              <w:left w:w="45" w:type="dxa"/>
              <w:right w:w="45" w:type="dxa"/>
            </w:tcMar>
          </w:tcPr>
          <w:p>
            <w:pPr>
              <w:jc w:val="center"/>
            </w:pPr>
            <w:r>
              <w:rPr>
                <w:rFonts w:ascii="Arial" w:hAnsi="Arial"/>
                <w:color w:val="212529"/>
                <w:sz w:val="14"/>
              </w:rPr>
              <w:t>0.5 &amp; 2.2</w:t>
            </w:r>
          </w:p>
        </w:tc>
        <w:tc>
          <w:tcPr>
            <w:tcW w:type="dxa" w:w="1337"/>
            <w:shd w:fill="F8FAFC"/>
            <w:tcMar>
              <w:top w:w="45" w:type="dxa"/>
              <w:bottom w:w="45" w:type="dxa"/>
              <w:left w:w="45" w:type="dxa"/>
              <w:right w:w="45" w:type="dxa"/>
            </w:tcMar>
          </w:tcPr>
          <w:p>
            <w:pPr>
              <w:jc w:val="center"/>
            </w:pPr>
            <w:r>
              <w:rPr>
                <w:rFonts w:ascii="Arial" w:hAnsi="Arial"/>
                <w:color w:val="212529"/>
                <w:sz w:val="14"/>
              </w:rPr>
              <w:t>72</w:t>
            </w:r>
          </w:p>
        </w:tc>
        <w:tc>
          <w:tcPr>
            <w:tcW w:type="dxa" w:w="1337"/>
            <w:shd w:fill="F8FAFC"/>
            <w:tcMar>
              <w:top w:w="45" w:type="dxa"/>
              <w:bottom w:w="45" w:type="dxa"/>
              <w:left w:w="45" w:type="dxa"/>
              <w:right w:w="45" w:type="dxa"/>
            </w:tcMar>
          </w:tcPr>
          <w:p>
            <w:pPr>
              <w:jc w:val="center"/>
            </w:pPr>
            <w:r>
              <w:rPr>
                <w:rFonts w:ascii="Arial" w:hAnsi="Arial"/>
                <w:b/>
                <w:color w:val="212529"/>
                <w:sz w:val="14"/>
              </w:rPr>
              <w:t>**0.818**</w:t>
            </w:r>
          </w:p>
        </w:tc>
        <w:tc>
          <w:tcPr>
            <w:tcW w:type="dxa" w:w="1337"/>
            <w:shd w:fill="F8FAFC"/>
            <w:tcMar>
              <w:top w:w="45" w:type="dxa"/>
              <w:bottom w:w="45" w:type="dxa"/>
              <w:left w:w="45" w:type="dxa"/>
              <w:right w:w="45" w:type="dxa"/>
            </w:tcMar>
          </w:tcPr>
          <w:p>
            <w:pPr>
              <w:jc w:val="center"/>
            </w:pPr>
            <w:r>
              <w:rPr>
                <w:rFonts w:ascii="Arial" w:hAnsi="Arial"/>
                <w:b/>
                <w:color w:val="212529"/>
                <w:sz w:val="14"/>
              </w:rPr>
              <w:t>**2.85**</w:t>
            </w:r>
          </w:p>
        </w:tc>
        <w:tc>
          <w:tcPr>
            <w:tcW w:type="dxa" w:w="1337"/>
            <w:shd w:fill="F8FAFC"/>
            <w:tcMar>
              <w:top w:w="45" w:type="dxa"/>
              <w:bottom w:w="45" w:type="dxa"/>
              <w:left w:w="45" w:type="dxa"/>
              <w:right w:w="45" w:type="dxa"/>
            </w:tcMar>
          </w:tcPr>
          <w:p>
            <w:pPr>
              <w:jc w:val="center"/>
            </w:pPr>
            <w:r>
              <w:rPr>
                <w:rFonts w:ascii="Arial" w:hAnsi="Arial"/>
                <w:b/>
                <w:color w:val="212529"/>
                <w:sz w:val="14"/>
              </w:rPr>
              <w:t>**-0.86**</w:t>
            </w:r>
          </w:p>
        </w:tc>
      </w:tr>
      <w:tr>
        <w:tc>
          <w:tcPr>
            <w:tcW w:type="dxa" w:w="1337"/>
            <w:shd w:fill="FFFFFF"/>
            <w:tcMar>
              <w:top w:w="45" w:type="dxa"/>
              <w:bottom w:w="45" w:type="dxa"/>
              <w:left w:w="45" w:type="dxa"/>
              <w:right w:w="45" w:type="dxa"/>
            </w:tcMar>
          </w:tcPr>
          <w:p>
            <w:pPr>
              <w:jc w:val="left"/>
            </w:pPr>
            <w:r>
              <w:rPr>
                <w:rFonts w:ascii="Arial" w:hAnsi="Arial"/>
                <w:b/>
                <w:color w:val="212529"/>
                <w:sz w:val="14"/>
              </w:rPr>
              <w:t>**Phoenix Bare Asphalt Ground**</w:t>
            </w:r>
          </w:p>
        </w:tc>
        <w:tc>
          <w:tcPr>
            <w:tcW w:type="dxa" w:w="1337"/>
            <w:shd w:fill="FFFFFF"/>
            <w:tcMar>
              <w:top w:w="45" w:type="dxa"/>
              <w:bottom w:w="45" w:type="dxa"/>
              <w:left w:w="45" w:type="dxa"/>
              <w:right w:w="45" w:type="dxa"/>
            </w:tcMar>
          </w:tcPr>
          <w:p>
            <w:pPr>
              <w:jc w:val="center"/>
            </w:pPr>
            <w:r>
              <w:rPr>
                <w:rFonts w:ascii="Arial" w:hAnsi="Arial"/>
                <w:color w:val="212529"/>
                <w:sz w:val="14"/>
              </w:rPr>
              <w:t>BWh</w:t>
            </w:r>
          </w:p>
        </w:tc>
        <w:tc>
          <w:tcPr>
            <w:tcW w:type="dxa" w:w="1337"/>
            <w:shd w:fill="FFFFFF"/>
            <w:tcMar>
              <w:top w:w="45" w:type="dxa"/>
              <w:bottom w:w="45" w:type="dxa"/>
              <w:left w:w="45" w:type="dxa"/>
              <w:right w:w="45" w:type="dxa"/>
            </w:tcMar>
          </w:tcPr>
          <w:p>
            <w:pPr>
              <w:jc w:val="center"/>
            </w:pPr>
            <w:r>
              <w:rPr>
                <w:rFonts w:ascii="Arial" w:hAnsi="Arial"/>
                <w:color w:val="212529"/>
                <w:sz w:val="14"/>
              </w:rPr>
              <w:t>1.00</w:t>
            </w:r>
          </w:p>
        </w:tc>
        <w:tc>
          <w:tcPr>
            <w:tcW w:type="dxa" w:w="1337"/>
            <w:shd w:fill="FFFFFF"/>
            <w:tcMar>
              <w:top w:w="45" w:type="dxa"/>
              <w:bottom w:w="45" w:type="dxa"/>
              <w:left w:w="45" w:type="dxa"/>
              <w:right w:w="45" w:type="dxa"/>
            </w:tcMar>
          </w:tcPr>
          <w:p>
            <w:pPr>
              <w:jc w:val="center"/>
            </w:pPr>
            <w:r>
              <w:rPr>
                <w:rFonts w:ascii="Arial" w:hAnsi="Arial"/>
                <w:color w:val="212529"/>
                <w:sz w:val="14"/>
              </w:rPr>
              <w:t>24</w:t>
            </w:r>
          </w:p>
        </w:tc>
        <w:tc>
          <w:tcPr>
            <w:tcW w:type="dxa" w:w="1337"/>
            <w:shd w:fill="FFFFFF"/>
            <w:tcMar>
              <w:top w:w="45" w:type="dxa"/>
              <w:bottom w:w="45" w:type="dxa"/>
              <w:left w:w="45" w:type="dxa"/>
              <w:right w:w="45" w:type="dxa"/>
            </w:tcMar>
          </w:tcPr>
          <w:p>
            <w:pPr>
              <w:jc w:val="center"/>
            </w:pPr>
            <w:r>
              <w:rPr>
                <w:rFonts w:ascii="Arial" w:hAnsi="Arial"/>
                <w:b/>
                <w:color w:val="212529"/>
                <w:sz w:val="14"/>
              </w:rPr>
              <w:t>**0.827**</w:t>
            </w:r>
          </w:p>
        </w:tc>
        <w:tc>
          <w:tcPr>
            <w:tcW w:type="dxa" w:w="1337"/>
            <w:shd w:fill="FFFFFF"/>
            <w:tcMar>
              <w:top w:w="45" w:type="dxa"/>
              <w:bottom w:w="45" w:type="dxa"/>
              <w:left w:w="45" w:type="dxa"/>
              <w:right w:w="45" w:type="dxa"/>
            </w:tcMar>
          </w:tcPr>
          <w:p>
            <w:pPr>
              <w:jc w:val="center"/>
            </w:pPr>
            <w:r>
              <w:rPr>
                <w:rFonts w:ascii="Arial" w:hAnsi="Arial"/>
                <w:b/>
                <w:color w:val="212529"/>
                <w:sz w:val="14"/>
              </w:rPr>
              <w:t>**2.96**</w:t>
            </w:r>
          </w:p>
        </w:tc>
        <w:tc>
          <w:tcPr>
            <w:tcW w:type="dxa" w:w="1337"/>
            <w:shd w:fill="FFFFFF"/>
            <w:tcMar>
              <w:top w:w="45" w:type="dxa"/>
              <w:bottom w:w="45" w:type="dxa"/>
              <w:left w:w="45" w:type="dxa"/>
              <w:right w:w="45" w:type="dxa"/>
            </w:tcMar>
          </w:tcPr>
          <w:p>
            <w:pPr>
              <w:jc w:val="center"/>
            </w:pPr>
            <w:r>
              <w:rPr>
                <w:rFonts w:ascii="Arial" w:hAnsi="Arial"/>
                <w:b/>
                <w:color w:val="212529"/>
                <w:sz w:val="14"/>
              </w:rPr>
              <w:t>**+0.14**</w:t>
            </w:r>
          </w:p>
        </w:tc>
      </w:tr>
      <w:tr>
        <w:tc>
          <w:tcPr>
            <w:tcW w:type="dxa" w:w="1337"/>
            <w:shd w:fill="F8FAFC"/>
            <w:tcMar>
              <w:top w:w="45" w:type="dxa"/>
              <w:bottom w:w="45" w:type="dxa"/>
              <w:left w:w="45" w:type="dxa"/>
              <w:right w:w="45" w:type="dxa"/>
            </w:tcMar>
          </w:tcPr>
          <w:p>
            <w:pPr>
              <w:jc w:val="left"/>
            </w:pPr>
            <w:r>
              <w:rPr>
                <w:rFonts w:ascii="Arial" w:hAnsi="Arial"/>
                <w:b/>
                <w:color w:val="212529"/>
                <w:sz w:val="14"/>
              </w:rPr>
              <w:t>**Phoenix Irrigated Canopy Ground**</w:t>
            </w:r>
          </w:p>
        </w:tc>
        <w:tc>
          <w:tcPr>
            <w:tcW w:type="dxa" w:w="1337"/>
            <w:shd w:fill="F8FAFC"/>
            <w:tcMar>
              <w:top w:w="45" w:type="dxa"/>
              <w:bottom w:w="45" w:type="dxa"/>
              <w:left w:w="45" w:type="dxa"/>
              <w:right w:w="45" w:type="dxa"/>
            </w:tcMar>
          </w:tcPr>
          <w:p>
            <w:pPr>
              <w:jc w:val="center"/>
            </w:pPr>
            <w:r>
              <w:rPr>
                <w:rFonts w:ascii="Arial" w:hAnsi="Arial"/>
                <w:color w:val="212529"/>
                <w:sz w:val="14"/>
              </w:rPr>
              <w:t>BWh</w:t>
            </w:r>
          </w:p>
        </w:tc>
        <w:tc>
          <w:tcPr>
            <w:tcW w:type="dxa" w:w="1337"/>
            <w:shd w:fill="F8FAFC"/>
            <w:tcMar>
              <w:top w:w="45" w:type="dxa"/>
              <w:bottom w:w="45" w:type="dxa"/>
              <w:left w:w="45" w:type="dxa"/>
              <w:right w:w="45" w:type="dxa"/>
            </w:tcMar>
          </w:tcPr>
          <w:p>
            <w:pPr>
              <w:jc w:val="center"/>
            </w:pPr>
            <w:r>
              <w:rPr>
                <w:rFonts w:ascii="Arial" w:hAnsi="Arial"/>
                <w:color w:val="212529"/>
                <w:sz w:val="14"/>
              </w:rPr>
              <w:t>1.00</w:t>
            </w:r>
          </w:p>
        </w:tc>
        <w:tc>
          <w:tcPr>
            <w:tcW w:type="dxa" w:w="1337"/>
            <w:shd w:fill="F8FAFC"/>
            <w:tcMar>
              <w:top w:w="45" w:type="dxa"/>
              <w:bottom w:w="45" w:type="dxa"/>
              <w:left w:w="45" w:type="dxa"/>
              <w:right w:w="45" w:type="dxa"/>
            </w:tcMar>
          </w:tcPr>
          <w:p>
            <w:pPr>
              <w:jc w:val="center"/>
            </w:pPr>
            <w:r>
              <w:rPr>
                <w:rFonts w:ascii="Arial" w:hAnsi="Arial"/>
                <w:color w:val="212529"/>
                <w:sz w:val="14"/>
              </w:rPr>
              <w:t>24</w:t>
            </w:r>
          </w:p>
        </w:tc>
        <w:tc>
          <w:tcPr>
            <w:tcW w:type="dxa" w:w="1337"/>
            <w:shd w:fill="F8FAFC"/>
            <w:tcMar>
              <w:top w:w="45" w:type="dxa"/>
              <w:bottom w:w="45" w:type="dxa"/>
              <w:left w:w="45" w:type="dxa"/>
              <w:right w:w="45" w:type="dxa"/>
            </w:tcMar>
          </w:tcPr>
          <w:p>
            <w:pPr>
              <w:jc w:val="center"/>
            </w:pPr>
            <w:r>
              <w:rPr>
                <w:rFonts w:ascii="Arial" w:hAnsi="Arial"/>
                <w:b/>
                <w:color w:val="212529"/>
                <w:sz w:val="14"/>
              </w:rPr>
              <w:t>**0.813**</w:t>
            </w:r>
          </w:p>
        </w:tc>
        <w:tc>
          <w:tcPr>
            <w:tcW w:type="dxa" w:w="1337"/>
            <w:shd w:fill="F8FAFC"/>
            <w:tcMar>
              <w:top w:w="45" w:type="dxa"/>
              <w:bottom w:w="45" w:type="dxa"/>
              <w:left w:w="45" w:type="dxa"/>
              <w:right w:w="45" w:type="dxa"/>
            </w:tcMar>
          </w:tcPr>
          <w:p>
            <w:pPr>
              <w:jc w:val="center"/>
            </w:pPr>
            <w:r>
              <w:rPr>
                <w:rFonts w:ascii="Arial" w:hAnsi="Arial"/>
                <w:b/>
                <w:color w:val="212529"/>
                <w:sz w:val="14"/>
              </w:rPr>
              <w:t>**2.75**</w:t>
            </w:r>
          </w:p>
        </w:tc>
        <w:tc>
          <w:tcPr>
            <w:tcW w:type="dxa" w:w="1337"/>
            <w:shd w:fill="F8FAFC"/>
            <w:tcMar>
              <w:top w:w="45" w:type="dxa"/>
              <w:bottom w:w="45" w:type="dxa"/>
              <w:left w:w="45" w:type="dxa"/>
              <w:right w:w="45" w:type="dxa"/>
            </w:tcMar>
          </w:tcPr>
          <w:p>
            <w:pPr>
              <w:jc w:val="center"/>
            </w:pPr>
            <w:r>
              <w:rPr>
                <w:rFonts w:ascii="Arial" w:hAnsi="Arial"/>
                <w:b/>
                <w:color w:val="212529"/>
                <w:sz w:val="14"/>
              </w:rPr>
              <w:t>**+0.15**</w:t>
            </w:r>
          </w:p>
        </w:tc>
      </w:tr>
      <w:tr>
        <w:tc>
          <w:tcPr>
            <w:tcW w:type="dxa" w:w="1337"/>
            <w:shd w:fill="FFFFFF"/>
            <w:tcMar>
              <w:top w:w="45" w:type="dxa"/>
              <w:bottom w:w="45" w:type="dxa"/>
              <w:left w:w="45" w:type="dxa"/>
              <w:right w:w="45" w:type="dxa"/>
            </w:tcMar>
          </w:tcPr>
          <w:p>
            <w:pPr>
              <w:jc w:val="left"/>
            </w:pPr>
            <w:r>
              <w:rPr>
                <w:rFonts w:ascii="Arial" w:hAnsi="Arial"/>
                <w:b/>
                <w:color w:val="212529"/>
                <w:sz w:val="14"/>
              </w:rPr>
              <w:t>**Phoenix Canyon Wall**</w:t>
            </w:r>
          </w:p>
        </w:tc>
        <w:tc>
          <w:tcPr>
            <w:tcW w:type="dxa" w:w="1337"/>
            <w:shd w:fill="FFFFFF"/>
            <w:tcMar>
              <w:top w:w="45" w:type="dxa"/>
              <w:bottom w:w="45" w:type="dxa"/>
              <w:left w:w="45" w:type="dxa"/>
              <w:right w:w="45" w:type="dxa"/>
            </w:tcMar>
          </w:tcPr>
          <w:p>
            <w:pPr>
              <w:jc w:val="center"/>
            </w:pPr>
            <w:r>
              <w:rPr>
                <w:rFonts w:ascii="Arial" w:hAnsi="Arial"/>
                <w:color w:val="212529"/>
                <w:sz w:val="14"/>
              </w:rPr>
              <w:t>BWh</w:t>
            </w:r>
          </w:p>
        </w:tc>
        <w:tc>
          <w:tcPr>
            <w:tcW w:type="dxa" w:w="1337"/>
            <w:shd w:fill="FFFFFF"/>
            <w:tcMar>
              <w:top w:w="45" w:type="dxa"/>
              <w:bottom w:w="45" w:type="dxa"/>
              <w:left w:w="45" w:type="dxa"/>
              <w:right w:w="45" w:type="dxa"/>
            </w:tcMar>
          </w:tcPr>
          <w:p>
            <w:pPr>
              <w:jc w:val="center"/>
            </w:pPr>
            <w:r>
              <w:rPr>
                <w:rFonts w:ascii="Arial" w:hAnsi="Arial"/>
                <w:color w:val="212529"/>
                <w:sz w:val="14"/>
              </w:rPr>
              <w:t>1.00</w:t>
            </w:r>
          </w:p>
        </w:tc>
        <w:tc>
          <w:tcPr>
            <w:tcW w:type="dxa" w:w="1337"/>
            <w:shd w:fill="FFFFFF"/>
            <w:tcMar>
              <w:top w:w="45" w:type="dxa"/>
              <w:bottom w:w="45" w:type="dxa"/>
              <w:left w:w="45" w:type="dxa"/>
              <w:right w:w="45" w:type="dxa"/>
            </w:tcMar>
          </w:tcPr>
          <w:p>
            <w:pPr>
              <w:jc w:val="center"/>
            </w:pPr>
            <w:r>
              <w:rPr>
                <w:rFonts w:ascii="Arial" w:hAnsi="Arial"/>
                <w:color w:val="212529"/>
                <w:sz w:val="14"/>
              </w:rPr>
              <w:t>24</w:t>
            </w:r>
          </w:p>
        </w:tc>
        <w:tc>
          <w:tcPr>
            <w:tcW w:type="dxa" w:w="1337"/>
            <w:shd w:fill="FFFFFF"/>
            <w:tcMar>
              <w:top w:w="45" w:type="dxa"/>
              <w:bottom w:w="45" w:type="dxa"/>
              <w:left w:w="45" w:type="dxa"/>
              <w:right w:w="45" w:type="dxa"/>
            </w:tcMar>
          </w:tcPr>
          <w:p>
            <w:pPr>
              <w:jc w:val="center"/>
            </w:pPr>
            <w:r>
              <w:rPr>
                <w:rFonts w:ascii="Arial" w:hAnsi="Arial"/>
                <w:b/>
                <w:color w:val="212529"/>
                <w:sz w:val="14"/>
              </w:rPr>
              <w:t>**0.783**</w:t>
            </w:r>
          </w:p>
        </w:tc>
        <w:tc>
          <w:tcPr>
            <w:tcW w:type="dxa" w:w="1337"/>
            <w:shd w:fill="FFFFFF"/>
            <w:tcMar>
              <w:top w:w="45" w:type="dxa"/>
              <w:bottom w:w="45" w:type="dxa"/>
              <w:left w:w="45" w:type="dxa"/>
              <w:right w:w="45" w:type="dxa"/>
            </w:tcMar>
          </w:tcPr>
          <w:p>
            <w:pPr>
              <w:jc w:val="center"/>
            </w:pPr>
            <w:r>
              <w:rPr>
                <w:rFonts w:ascii="Arial" w:hAnsi="Arial"/>
                <w:b/>
                <w:color w:val="212529"/>
                <w:sz w:val="14"/>
              </w:rPr>
              <w:t>**2.36**</w:t>
            </w:r>
          </w:p>
        </w:tc>
        <w:tc>
          <w:tcPr>
            <w:tcW w:type="dxa" w:w="1337"/>
            <w:shd w:fill="FFFFFF"/>
            <w:tcMar>
              <w:top w:w="45" w:type="dxa"/>
              <w:bottom w:w="45" w:type="dxa"/>
              <w:left w:w="45" w:type="dxa"/>
              <w:right w:w="45" w:type="dxa"/>
            </w:tcMar>
          </w:tcPr>
          <w:p>
            <w:pPr>
              <w:jc w:val="center"/>
            </w:pPr>
            <w:r>
              <w:rPr>
                <w:rFonts w:ascii="Arial" w:hAnsi="Arial"/>
                <w:b/>
                <w:color w:val="212529"/>
                <w:sz w:val="14"/>
              </w:rPr>
              <w:t>**-0.01**</w:t>
            </w:r>
          </w:p>
        </w:tc>
      </w:tr>
      <w:tr>
        <w:tc>
          <w:tcPr>
            <w:tcW w:type="dxa" w:w="1337"/>
            <w:shd w:fill="F8FAFC"/>
            <w:tcMar>
              <w:top w:w="45" w:type="dxa"/>
              <w:bottom w:w="45" w:type="dxa"/>
              <w:left w:w="45" w:type="dxa"/>
              <w:right w:w="45" w:type="dxa"/>
            </w:tcMar>
          </w:tcPr>
          <w:p>
            <w:pPr>
              <w:jc w:val="left"/>
            </w:pPr>
            <w:r>
              <w:rPr>
                <w:rFonts w:ascii="Arial" w:hAnsi="Arial"/>
                <w:b/>
                <w:color w:val="212529"/>
                <w:sz w:val="14"/>
              </w:rPr>
              <w:t>**Phoenix Combined Array**</w:t>
            </w:r>
          </w:p>
        </w:tc>
        <w:tc>
          <w:tcPr>
            <w:tcW w:type="dxa" w:w="1337"/>
            <w:shd w:fill="F8FAFC"/>
            <w:tcMar>
              <w:top w:w="45" w:type="dxa"/>
              <w:bottom w:w="45" w:type="dxa"/>
              <w:left w:w="45" w:type="dxa"/>
              <w:right w:w="45" w:type="dxa"/>
            </w:tcMar>
          </w:tcPr>
          <w:p>
            <w:pPr>
              <w:jc w:val="center"/>
            </w:pPr>
            <w:r>
              <w:rPr>
                <w:rFonts w:ascii="Arial" w:hAnsi="Arial"/>
                <w:color w:val="212529"/>
                <w:sz w:val="14"/>
              </w:rPr>
              <w:t>BWh</w:t>
            </w:r>
          </w:p>
        </w:tc>
        <w:tc>
          <w:tcPr>
            <w:tcW w:type="dxa" w:w="1337"/>
            <w:shd w:fill="F8FAFC"/>
            <w:tcMar>
              <w:top w:w="45" w:type="dxa"/>
              <w:bottom w:w="45" w:type="dxa"/>
              <w:left w:w="45" w:type="dxa"/>
              <w:right w:w="45" w:type="dxa"/>
            </w:tcMar>
          </w:tcPr>
          <w:p>
            <w:pPr>
              <w:jc w:val="center"/>
            </w:pPr>
            <w:r>
              <w:rPr>
                <w:rFonts w:ascii="Arial" w:hAnsi="Arial"/>
                <w:color w:val="212529"/>
                <w:sz w:val="14"/>
              </w:rPr>
              <w:t>1.00</w:t>
            </w:r>
          </w:p>
        </w:tc>
        <w:tc>
          <w:tcPr>
            <w:tcW w:type="dxa" w:w="1337"/>
            <w:shd w:fill="F8FAFC"/>
            <w:tcMar>
              <w:top w:w="45" w:type="dxa"/>
              <w:bottom w:w="45" w:type="dxa"/>
              <w:left w:w="45" w:type="dxa"/>
              <w:right w:w="45" w:type="dxa"/>
            </w:tcMar>
          </w:tcPr>
          <w:p>
            <w:pPr>
              <w:jc w:val="center"/>
            </w:pPr>
            <w:r>
              <w:rPr>
                <w:rFonts w:ascii="Arial" w:hAnsi="Arial"/>
                <w:color w:val="212529"/>
                <w:sz w:val="14"/>
              </w:rPr>
              <w:t>72</w:t>
            </w:r>
          </w:p>
        </w:tc>
        <w:tc>
          <w:tcPr>
            <w:tcW w:type="dxa" w:w="1337"/>
            <w:shd w:fill="F8FAFC"/>
            <w:tcMar>
              <w:top w:w="45" w:type="dxa"/>
              <w:bottom w:w="45" w:type="dxa"/>
              <w:left w:w="45" w:type="dxa"/>
              <w:right w:w="45" w:type="dxa"/>
            </w:tcMar>
          </w:tcPr>
          <w:p>
            <w:pPr>
              <w:jc w:val="center"/>
            </w:pPr>
            <w:r>
              <w:rPr>
                <w:rFonts w:ascii="Arial" w:hAnsi="Arial"/>
                <w:b/>
                <w:color w:val="212529"/>
                <w:sz w:val="14"/>
              </w:rPr>
              <w:t>**0.811**</w:t>
            </w:r>
          </w:p>
        </w:tc>
        <w:tc>
          <w:tcPr>
            <w:tcW w:type="dxa" w:w="1337"/>
            <w:shd w:fill="F8FAFC"/>
            <w:tcMar>
              <w:top w:w="45" w:type="dxa"/>
              <w:bottom w:w="45" w:type="dxa"/>
              <w:left w:w="45" w:type="dxa"/>
              <w:right w:w="45" w:type="dxa"/>
            </w:tcMar>
          </w:tcPr>
          <w:p>
            <w:pPr>
              <w:jc w:val="center"/>
            </w:pPr>
            <w:r>
              <w:rPr>
                <w:rFonts w:ascii="Arial" w:hAnsi="Arial"/>
                <w:b/>
                <w:color w:val="212529"/>
                <w:sz w:val="14"/>
              </w:rPr>
              <w:t>**2.70**</w:t>
            </w:r>
          </w:p>
        </w:tc>
        <w:tc>
          <w:tcPr>
            <w:tcW w:type="dxa" w:w="1337"/>
            <w:shd w:fill="F8FAFC"/>
            <w:tcMar>
              <w:top w:w="45" w:type="dxa"/>
              <w:bottom w:w="45" w:type="dxa"/>
              <w:left w:w="45" w:type="dxa"/>
              <w:right w:w="45" w:type="dxa"/>
            </w:tcMar>
          </w:tcPr>
          <w:p>
            <w:pPr>
              <w:jc w:val="center"/>
            </w:pPr>
            <w:r>
              <w:rPr>
                <w:rFonts w:ascii="Arial" w:hAnsi="Arial"/>
                <w:b/>
                <w:color w:val="212529"/>
                <w:sz w:val="14"/>
              </w:rPr>
              <w:t>**+0.09**</w:t>
            </w:r>
          </w:p>
        </w:tc>
      </w:tr>
      <w:tr>
        <w:tc>
          <w:tcPr>
            <w:tcW w:type="dxa" w:w="1337"/>
            <w:shd w:fill="EAEEF3"/>
            <w:tcMar>
              <w:top w:w="45" w:type="dxa"/>
              <w:bottom w:w="45" w:type="dxa"/>
              <w:left w:w="45" w:type="dxa"/>
              <w:right w:w="45" w:type="dxa"/>
            </w:tcMar>
          </w:tcPr>
          <w:p>
            <w:pPr>
              <w:jc w:val="left"/>
            </w:pPr>
            <w:r>
              <w:rPr>
                <w:rFonts w:ascii="Arial" w:hAnsi="Arial"/>
                <w:b/>
                <w:color w:val="212529"/>
                <w:sz w:val="14"/>
              </w:rPr>
              <w:t>**Global Multi-Climate Grand Composite**</w:t>
            </w:r>
          </w:p>
        </w:tc>
        <w:tc>
          <w:tcPr>
            <w:tcW w:type="dxa" w:w="1337"/>
            <w:shd w:fill="EAEEF3"/>
            <w:tcMar>
              <w:top w:w="45" w:type="dxa"/>
              <w:bottom w:w="45" w:type="dxa"/>
              <w:left w:w="45" w:type="dxa"/>
              <w:right w:w="45" w:type="dxa"/>
            </w:tcMar>
          </w:tcPr>
          <w:p>
            <w:pPr>
              <w:jc w:val="center"/>
            </w:pPr>
            <w:r>
              <w:rPr>
                <w:rFonts w:ascii="Arial" w:hAnsi="Arial"/>
                <w:b/>
                <w:color w:val="212529"/>
                <w:sz w:val="14"/>
              </w:rPr>
              <w:t>**All**</w:t>
            </w:r>
          </w:p>
        </w:tc>
        <w:tc>
          <w:tcPr>
            <w:tcW w:type="dxa" w:w="1337"/>
            <w:shd w:fill="EAEEF3"/>
            <w:tcMar>
              <w:top w:w="45" w:type="dxa"/>
              <w:bottom w:w="45" w:type="dxa"/>
              <w:left w:w="45" w:type="dxa"/>
              <w:right w:w="45" w:type="dxa"/>
            </w:tcMar>
          </w:tcPr>
          <w:p>
            <w:pPr>
              <w:jc w:val="center"/>
            </w:pPr>
            <w:r>
              <w:rPr>
                <w:rFonts w:ascii="Arial" w:hAnsi="Arial"/>
                <w:b/>
                <w:color w:val="212529"/>
                <w:sz w:val="14"/>
              </w:rPr>
              <w:t>**0.50–2.20**</w:t>
            </w:r>
          </w:p>
        </w:tc>
        <w:tc>
          <w:tcPr>
            <w:tcW w:type="dxa" w:w="1337"/>
            <w:shd w:fill="EAEEF3"/>
            <w:tcMar>
              <w:top w:w="45" w:type="dxa"/>
              <w:bottom w:w="45" w:type="dxa"/>
              <w:left w:w="45" w:type="dxa"/>
              <w:right w:w="45" w:type="dxa"/>
            </w:tcMar>
          </w:tcPr>
          <w:p>
            <w:pPr>
              <w:jc w:val="center"/>
            </w:pPr>
            <w:r>
              <w:rPr>
                <w:rFonts w:ascii="Arial" w:hAnsi="Arial"/>
                <w:b/>
                <w:color w:val="212529"/>
                <w:sz w:val="14"/>
              </w:rPr>
              <w:t>**432**</w:t>
            </w:r>
          </w:p>
        </w:tc>
        <w:tc>
          <w:tcPr>
            <w:tcW w:type="dxa" w:w="1337"/>
            <w:shd w:fill="EAEEF3"/>
            <w:tcMar>
              <w:top w:w="45" w:type="dxa"/>
              <w:bottom w:w="45" w:type="dxa"/>
              <w:left w:w="45" w:type="dxa"/>
              <w:right w:w="45" w:type="dxa"/>
            </w:tcMar>
          </w:tcPr>
          <w:p>
            <w:pPr>
              <w:jc w:val="center"/>
            </w:pPr>
            <w:r>
              <w:rPr>
                <w:rFonts w:ascii="Arial" w:hAnsi="Arial"/>
                <w:b/>
                <w:color w:val="212529"/>
                <w:sz w:val="14"/>
              </w:rPr>
              <w:t>**0.923**</w:t>
            </w:r>
          </w:p>
        </w:tc>
        <w:tc>
          <w:tcPr>
            <w:tcW w:type="dxa" w:w="1337"/>
            <w:shd w:fill="EAEEF3"/>
            <w:tcMar>
              <w:top w:w="45" w:type="dxa"/>
              <w:bottom w:w="45" w:type="dxa"/>
              <w:left w:w="45" w:type="dxa"/>
              <w:right w:w="45" w:type="dxa"/>
            </w:tcMar>
          </w:tcPr>
          <w:p>
            <w:pPr>
              <w:jc w:val="center"/>
            </w:pPr>
            <w:r>
              <w:rPr>
                <w:rFonts w:ascii="Arial" w:hAnsi="Arial"/>
                <w:b/>
                <w:color w:val="212529"/>
                <w:sz w:val="14"/>
              </w:rPr>
              <w:t>**1.93**</w:t>
            </w:r>
          </w:p>
        </w:tc>
        <w:tc>
          <w:tcPr>
            <w:tcW w:type="dxa" w:w="1337"/>
            <w:shd w:fill="EAEEF3"/>
            <w:tcMar>
              <w:top w:w="45" w:type="dxa"/>
              <w:bottom w:w="45" w:type="dxa"/>
              <w:left w:w="45" w:type="dxa"/>
              <w:right w:w="45" w:type="dxa"/>
            </w:tcMar>
          </w:tcPr>
          <w:p>
            <w:pPr>
              <w:jc w:val="center"/>
            </w:pPr>
            <w:r>
              <w:rPr>
                <w:rFonts w:ascii="Arial" w:hAnsi="Arial"/>
                <w:b/>
                <w:color w:val="212529"/>
                <w:sz w:val="14"/>
              </w:rPr>
              <w:t>**-0.34**</w:t>
            </w:r>
          </w:p>
        </w:tc>
      </w:tr>
    </w:tbl>
    <w:p>
      <w:pPr>
        <w:spacing w:after="120"/>
      </w:pPr>
    </w:p>
    <w:p>
      <w:pPr>
        <w:spacing w:before="0" w:after="80" w:line="276" w:lineRule="auto"/>
      </w:pPr>
      <w:r>
        <w:rPr>
          <w:rFonts w:ascii="Arial" w:hAnsi="Arial"/>
          <w:color w:val="212529"/>
          <w:sz w:val="18"/>
        </w:rPr>
        <w:t>Crucially, the Melbourne simulation reproduces the experimental findings of Coutts et al. (2016)²⁰: shallow corridors (H/W = 0.5) deliver significant daytime surface cooling with rapid nocturnal dissipation, whereas deep canyons (H/W = 2.2) experience daytime shade saturation and an observed nocturnal thermal penalty of +1.0 K to +1.5 K relative to open reference areas, providing direct real-world empirical proof of the aspect ratio tipping threshold (H/W^*).</w:t>
      </w:r>
    </w:p>
    <w:p>
      <w:pPr>
        <w:keepNext/>
        <w:spacing w:before="280" w:after="80"/>
      </w:pPr>
      <w:r>
        <w:rPr>
          <w:rFonts w:ascii="Arial" w:hAnsi="Arial"/>
          <w:b/>
          <w:color w:val="002B49"/>
          <w:sz w:val="24"/>
        </w:rPr>
        <w:t>Supplementary Table 1 | Software architecture, algorithmic modules, geospatial I/O specifications, and cartographic symbology of the native QGIS Plugin</w:t>
      </w:r>
    </w:p>
    <w:tbl>
      <w:tblPr>
        <w:tblW w:type="auto" w:w="0"/>
        <w:jc w:val="center"/>
        <w:tblLayout w:type="fixed"/>
        <w:tblLook w:firstColumn="1" w:firstRow="1" w:lastColumn="0" w:lastRow="0" w:noHBand="0" w:noVBand="1" w:val="04A0"/>
      </w:tblPr>
      <w:tblGrid>
        <w:gridCol w:w="1872"/>
        <w:gridCol w:w="1872"/>
        <w:gridCol w:w="1872"/>
        <w:gridCol w:w="1872"/>
        <w:gridCol w:w="1872"/>
      </w:tblGrid>
      <w:tr>
        <w:tc>
          <w:tcPr>
            <w:tcW w:type="dxa" w:w="1872"/>
            <w:shd w:fill="002B49"/>
            <w:tcMar>
              <w:top w:w="70" w:type="dxa"/>
              <w:bottom w:w="70" w:type="dxa"/>
              <w:left w:w="50" w:type="dxa"/>
              <w:right w:w="50" w:type="dxa"/>
            </w:tcMar>
          </w:tcPr>
          <w:p>
            <w:pPr>
              <w:jc w:val="center"/>
            </w:pPr>
            <w:r>
              <w:rPr>
                <w:rFonts w:ascii="Arial" w:hAnsi="Arial"/>
                <w:b/>
                <w:color w:val="FFFFFF"/>
                <w:sz w:val="15"/>
              </w:rPr>
              <w:t>Module Layer</w:t>
            </w:r>
          </w:p>
        </w:tc>
        <w:tc>
          <w:tcPr>
            <w:tcW w:type="dxa" w:w="1872"/>
            <w:shd w:fill="002B49"/>
            <w:tcMar>
              <w:top w:w="70" w:type="dxa"/>
              <w:bottom w:w="70" w:type="dxa"/>
              <w:left w:w="50" w:type="dxa"/>
              <w:right w:w="50" w:type="dxa"/>
            </w:tcMar>
          </w:tcPr>
          <w:p>
            <w:pPr>
              <w:jc w:val="center"/>
            </w:pPr>
            <w:r>
              <w:rPr>
                <w:rFonts w:ascii="Arial" w:hAnsi="Arial"/>
                <w:b/>
                <w:color w:val="FFFFFF"/>
                <w:sz w:val="15"/>
              </w:rPr>
              <w:t>Component Name</w:t>
            </w:r>
          </w:p>
        </w:tc>
        <w:tc>
          <w:tcPr>
            <w:tcW w:type="dxa" w:w="1872"/>
            <w:shd w:fill="002B49"/>
            <w:tcMar>
              <w:top w:w="70" w:type="dxa"/>
              <w:bottom w:w="70" w:type="dxa"/>
              <w:left w:w="50" w:type="dxa"/>
              <w:right w:w="50" w:type="dxa"/>
            </w:tcMar>
          </w:tcPr>
          <w:p>
            <w:pPr>
              <w:jc w:val="center"/>
            </w:pPr>
            <w:r>
              <w:rPr>
                <w:rFonts w:ascii="Arial" w:hAnsi="Arial"/>
                <w:b/>
                <w:color w:val="FFFFFF"/>
                <w:sz w:val="15"/>
              </w:rPr>
              <w:t>Source File</w:t>
            </w:r>
          </w:p>
        </w:tc>
        <w:tc>
          <w:tcPr>
            <w:tcW w:type="dxa" w:w="1872"/>
            <w:shd w:fill="002B49"/>
            <w:tcMar>
              <w:top w:w="70" w:type="dxa"/>
              <w:bottom w:w="70" w:type="dxa"/>
              <w:left w:w="50" w:type="dxa"/>
              <w:right w:w="50" w:type="dxa"/>
            </w:tcMar>
          </w:tcPr>
          <w:p>
            <w:pPr>
              <w:jc w:val="center"/>
            </w:pPr>
            <w:r>
              <w:rPr>
                <w:rFonts w:ascii="Arial" w:hAnsi="Arial"/>
                <w:b/>
                <w:color w:val="FFFFFF"/>
                <w:sz w:val="15"/>
              </w:rPr>
              <w:t>Core Functions &amp; Algorithmic Procedures</w:t>
            </w:r>
          </w:p>
        </w:tc>
        <w:tc>
          <w:tcPr>
            <w:tcW w:type="dxa" w:w="1872"/>
            <w:shd w:fill="002B49"/>
            <w:tcMar>
              <w:top w:w="70" w:type="dxa"/>
              <w:bottom w:w="70" w:type="dxa"/>
              <w:left w:w="50" w:type="dxa"/>
              <w:right w:w="50" w:type="dxa"/>
            </w:tcMar>
          </w:tcPr>
          <w:p>
            <w:pPr>
              <w:jc w:val="center"/>
            </w:pPr>
            <w:r>
              <w:rPr>
                <w:rFonts w:ascii="Arial" w:hAnsi="Arial"/>
                <w:b/>
                <w:color w:val="FFFFFF"/>
                <w:sz w:val="15"/>
              </w:rPr>
              <w:t>Input / Output Format</w:t>
            </w:r>
          </w:p>
        </w:tc>
      </w:tr>
      <w:tr>
        <w:tc>
          <w:tcPr>
            <w:tcW w:type="dxa" w:w="1872"/>
            <w:shd w:fill="FFFFFF"/>
            <w:tcMar>
              <w:top w:w="45" w:type="dxa"/>
              <w:bottom w:w="45" w:type="dxa"/>
              <w:left w:w="45" w:type="dxa"/>
              <w:right w:w="45" w:type="dxa"/>
            </w:tcMar>
          </w:tcPr>
          <w:p>
            <w:pPr>
              <w:jc w:val="left"/>
            </w:pPr>
            <w:r>
              <w:rPr>
                <w:rFonts w:ascii="Arial" w:hAnsi="Arial"/>
                <w:b/>
                <w:color w:val="212529"/>
                <w:sz w:val="14"/>
              </w:rPr>
              <w:t>**1. User Interface**</w:t>
            </w:r>
          </w:p>
        </w:tc>
        <w:tc>
          <w:tcPr>
            <w:tcW w:type="dxa" w:w="1872"/>
            <w:shd w:fill="FFFFFF"/>
            <w:tcMar>
              <w:top w:w="45" w:type="dxa"/>
              <w:bottom w:w="45" w:type="dxa"/>
              <w:left w:w="45" w:type="dxa"/>
              <w:right w:w="45" w:type="dxa"/>
            </w:tcMar>
          </w:tcPr>
          <w:p>
            <w:pPr>
              <w:jc w:val="left"/>
            </w:pPr>
            <w:r>
              <w:rPr>
                <w:rFonts w:ascii="Arial" w:hAnsi="Arial"/>
                <w:color w:val="212529"/>
                <w:sz w:val="14"/>
              </w:rPr>
              <w:t>GUI Dialog &amp; Processing Provider</w:t>
            </w:r>
          </w:p>
        </w:tc>
        <w:tc>
          <w:tcPr>
            <w:tcW w:type="dxa" w:w="1872"/>
            <w:shd w:fill="FFFFFF"/>
            <w:tcMar>
              <w:top w:w="45" w:type="dxa"/>
              <w:bottom w:w="45" w:type="dxa"/>
              <w:left w:w="45" w:type="dxa"/>
              <w:right w:w="45" w:type="dxa"/>
            </w:tcMar>
          </w:tcPr>
          <w:p>
            <w:pPr>
              <w:jc w:val="left"/>
            </w:pPr>
            <w:r>
              <w:rPr>
                <w:rFonts w:ascii="Arial" w:hAnsi="Arial"/>
                <w:color w:val="212529"/>
                <w:sz w:val="14"/>
              </w:rPr>
              <w:t>`plugin.py`, `provider.py`</w:t>
            </w:r>
          </w:p>
        </w:tc>
        <w:tc>
          <w:tcPr>
            <w:tcW w:type="dxa" w:w="1872"/>
            <w:shd w:fill="FFFFFF"/>
            <w:tcMar>
              <w:top w:w="45" w:type="dxa"/>
              <w:bottom w:w="45" w:type="dxa"/>
              <w:left w:w="45" w:type="dxa"/>
              <w:right w:w="45" w:type="dxa"/>
            </w:tcMar>
          </w:tcPr>
          <w:p>
            <w:pPr>
              <w:jc w:val="left"/>
            </w:pPr>
            <w:r>
              <w:rPr>
                <w:rFonts w:ascii="Arial" w:hAnsi="Arial"/>
                <w:color w:val="212529"/>
                <w:sz w:val="14"/>
              </w:rPr>
              <w:t>Standalone PyQt5 GUI and QGIS Processing Toolbox provider ('Urban Microclimate'). Configures Köppen zone, irrigation, target canopy fraction.</w:t>
            </w:r>
          </w:p>
        </w:tc>
        <w:tc>
          <w:tcPr>
            <w:tcW w:type="dxa" w:w="1872"/>
            <w:shd w:fill="FFFFFF"/>
            <w:tcMar>
              <w:top w:w="45" w:type="dxa"/>
              <w:bottom w:w="45" w:type="dxa"/>
              <w:left w:w="45" w:type="dxa"/>
              <w:right w:w="45" w:type="dxa"/>
            </w:tcMar>
          </w:tcPr>
          <w:p>
            <w:pPr>
              <w:jc w:val="left"/>
            </w:pPr>
            <w:r>
              <w:rPr>
                <w:rFonts w:ascii="Arial" w:hAnsi="Arial"/>
                <w:color w:val="212529"/>
                <w:sz w:val="14"/>
              </w:rPr>
              <w:t>GUI Dialog; outputs QGIS Task</w:t>
            </w:r>
          </w:p>
        </w:tc>
      </w:tr>
      <w:tr>
        <w:tc>
          <w:tcPr>
            <w:tcW w:type="dxa" w:w="1872"/>
            <w:shd w:fill="F8FAFC"/>
            <w:tcMar>
              <w:top w:w="45" w:type="dxa"/>
              <w:bottom w:w="45" w:type="dxa"/>
              <w:left w:w="45" w:type="dxa"/>
              <w:right w:w="45" w:type="dxa"/>
            </w:tcMar>
          </w:tcPr>
          <w:p>
            <w:pPr>
              <w:jc w:val="left"/>
            </w:pPr>
            <w:r>
              <w:rPr>
                <w:rFonts w:ascii="Arial" w:hAnsi="Arial"/>
                <w:b/>
                <w:color w:val="212529"/>
                <w:sz w:val="14"/>
              </w:rPr>
              <w:t>**2. Geospatial Preprocessor**</w:t>
            </w:r>
          </w:p>
        </w:tc>
        <w:tc>
          <w:tcPr>
            <w:tcW w:type="dxa" w:w="1872"/>
            <w:shd w:fill="F8FAFC"/>
            <w:tcMar>
              <w:top w:w="45" w:type="dxa"/>
              <w:bottom w:w="45" w:type="dxa"/>
              <w:left w:w="45" w:type="dxa"/>
              <w:right w:w="45" w:type="dxa"/>
            </w:tcMar>
          </w:tcPr>
          <w:p>
            <w:pPr>
              <w:jc w:val="left"/>
            </w:pPr>
            <w:r>
              <w:rPr>
                <w:rFonts w:ascii="Arial" w:hAnsi="Arial"/>
                <w:color w:val="212529"/>
                <w:sz w:val="14"/>
              </w:rPr>
              <w:t>Spatial Intersector &amp; Morphometry</w:t>
            </w:r>
          </w:p>
        </w:tc>
        <w:tc>
          <w:tcPr>
            <w:tcW w:type="dxa" w:w="1872"/>
            <w:shd w:fill="F8FAFC"/>
            <w:tcMar>
              <w:top w:w="45" w:type="dxa"/>
              <w:bottom w:w="45" w:type="dxa"/>
              <w:left w:w="45" w:type="dxa"/>
              <w:right w:w="45" w:type="dxa"/>
            </w:tcMar>
          </w:tcPr>
          <w:p>
            <w:pPr>
              <w:jc w:val="left"/>
            </w:pPr>
            <w:r>
              <w:rPr>
                <w:rFonts w:ascii="Arial" w:hAnsi="Arial"/>
                <w:color w:val="212529"/>
                <w:sz w:val="14"/>
              </w:rPr>
              <w:t>`urban_canyon_algorithm.py`</w:t>
            </w:r>
          </w:p>
        </w:tc>
        <w:tc>
          <w:tcPr>
            <w:tcW w:type="dxa" w:w="1872"/>
            <w:shd w:fill="F8FAFC"/>
            <w:tcMar>
              <w:top w:w="45" w:type="dxa"/>
              <w:bottom w:w="45" w:type="dxa"/>
              <w:left w:w="45" w:type="dxa"/>
              <w:right w:w="45" w:type="dxa"/>
            </w:tcMar>
          </w:tcPr>
          <w:p>
            <w:pPr>
              <w:jc w:val="left"/>
            </w:pPr>
            <w:r>
              <w:rPr>
                <w:rFonts w:ascii="Arial" w:hAnsi="Arial"/>
                <w:color w:val="212529"/>
                <w:sz w:val="14"/>
              </w:rPr>
              <w:t>Samples street polylines at 50 m segments; computes azimuth θ; buffers 30 m; extracts building height H, width W, and H/W.</w:t>
            </w:r>
          </w:p>
        </w:tc>
        <w:tc>
          <w:tcPr>
            <w:tcW w:type="dxa" w:w="1872"/>
            <w:shd w:fill="F8FAFC"/>
            <w:tcMar>
              <w:top w:w="45" w:type="dxa"/>
              <w:bottom w:w="45" w:type="dxa"/>
              <w:left w:w="45" w:type="dxa"/>
              <w:right w:w="45" w:type="dxa"/>
            </w:tcMar>
          </w:tcPr>
          <w:p>
            <w:pPr>
              <w:jc w:val="left"/>
            </w:pPr>
            <w:r>
              <w:rPr>
                <w:rFonts w:ascii="Arial" w:hAnsi="Arial"/>
                <w:color w:val="212529"/>
                <w:sz w:val="14"/>
              </w:rPr>
              <w:t>Vector lines + building polygons → Segment attributes</w:t>
            </w:r>
          </w:p>
        </w:tc>
      </w:tr>
      <w:tr>
        <w:tc>
          <w:tcPr>
            <w:tcW w:type="dxa" w:w="1872"/>
            <w:shd w:fill="FFFFFF"/>
            <w:tcMar>
              <w:top w:w="45" w:type="dxa"/>
              <w:bottom w:w="45" w:type="dxa"/>
              <w:left w:w="45" w:type="dxa"/>
              <w:right w:w="45" w:type="dxa"/>
            </w:tcMar>
          </w:tcPr>
          <w:p>
            <w:pPr>
              <w:jc w:val="left"/>
            </w:pPr>
            <w:r>
              <w:rPr>
                <w:rFonts w:ascii="Arial" w:hAnsi="Arial"/>
                <w:b/>
                <w:color w:val="212529"/>
                <w:sz w:val="14"/>
              </w:rPr>
              <w:t>**3. Numerical Kernel**</w:t>
            </w:r>
          </w:p>
        </w:tc>
        <w:tc>
          <w:tcPr>
            <w:tcW w:type="dxa" w:w="1872"/>
            <w:shd w:fill="FFFFFF"/>
            <w:tcMar>
              <w:top w:w="45" w:type="dxa"/>
              <w:bottom w:w="45" w:type="dxa"/>
              <w:left w:w="45" w:type="dxa"/>
              <w:right w:w="45" w:type="dxa"/>
            </w:tcMar>
          </w:tcPr>
          <w:p>
            <w:pPr>
              <w:jc w:val="left"/>
            </w:pPr>
            <w:r>
              <w:rPr>
                <w:rFonts w:ascii="Arial" w:hAnsi="Arial"/>
                <w:color w:val="212529"/>
                <w:sz w:val="14"/>
              </w:rPr>
              <w:t>Vectorized DAE Solver Engine</w:t>
            </w:r>
          </w:p>
        </w:tc>
        <w:tc>
          <w:tcPr>
            <w:tcW w:type="dxa" w:w="1872"/>
            <w:shd w:fill="FFFFFF"/>
            <w:tcMar>
              <w:top w:w="45" w:type="dxa"/>
              <w:bottom w:w="45" w:type="dxa"/>
              <w:left w:w="45" w:type="dxa"/>
              <w:right w:w="45" w:type="dxa"/>
            </w:tcMar>
          </w:tcPr>
          <w:p>
            <w:pPr>
              <w:jc w:val="left"/>
            </w:pPr>
            <w:r>
              <w:rPr>
                <w:rFonts w:ascii="Arial" w:hAnsi="Arial"/>
                <w:color w:val="212529"/>
                <w:sz w:val="14"/>
              </w:rPr>
              <w:t>`standalone_runner.py`</w:t>
            </w:r>
          </w:p>
        </w:tc>
        <w:tc>
          <w:tcPr>
            <w:tcW w:type="dxa" w:w="1872"/>
            <w:shd w:fill="FFFFFF"/>
            <w:tcMar>
              <w:top w:w="45" w:type="dxa"/>
              <w:bottom w:w="45" w:type="dxa"/>
              <w:left w:w="45" w:type="dxa"/>
              <w:right w:w="45" w:type="dxa"/>
            </w:tcMar>
          </w:tcPr>
          <w:p>
            <w:pPr>
              <w:jc w:val="left"/>
            </w:pPr>
            <w:r>
              <w:rPr>
                <w:rFonts w:ascii="Arial" w:hAnsi="Arial"/>
                <w:color w:val="212529"/>
                <w:sz w:val="14"/>
              </w:rPr>
              <w:t>Vectorized 6D DAE solver with closed-form Jacobian; executes 168-h heatwave cycles; computes diurnal ΔUTCI and tipping points.</w:t>
            </w:r>
          </w:p>
        </w:tc>
        <w:tc>
          <w:tcPr>
            <w:tcW w:type="dxa" w:w="1872"/>
            <w:shd w:fill="FFFFFF"/>
            <w:tcMar>
              <w:top w:w="45" w:type="dxa"/>
              <w:bottom w:w="45" w:type="dxa"/>
              <w:left w:w="45" w:type="dxa"/>
              <w:right w:w="45" w:type="dxa"/>
            </w:tcMar>
          </w:tcPr>
          <w:p>
            <w:pPr>
              <w:jc w:val="left"/>
            </w:pPr>
            <w:r>
              <w:rPr>
                <w:rFonts w:ascii="Arial" w:hAnsi="Arial"/>
                <w:color w:val="212529"/>
                <w:sz w:val="14"/>
              </w:rPr>
              <w:t>Feature dict + ERA5 JSON → Microclimate CSV</w:t>
            </w:r>
          </w:p>
        </w:tc>
      </w:tr>
      <w:tr>
        <w:tc>
          <w:tcPr>
            <w:tcW w:type="dxa" w:w="1872"/>
            <w:shd w:fill="F8FAFC"/>
            <w:tcMar>
              <w:top w:w="45" w:type="dxa"/>
              <w:bottom w:w="45" w:type="dxa"/>
              <w:left w:w="45" w:type="dxa"/>
              <w:right w:w="45" w:type="dxa"/>
            </w:tcMar>
          </w:tcPr>
          <w:p>
            <w:pPr>
              <w:jc w:val="left"/>
            </w:pPr>
            <w:r>
              <w:rPr>
                <w:rFonts w:ascii="Arial" w:hAnsi="Arial"/>
                <w:b/>
                <w:color w:val="212529"/>
                <w:sz w:val="14"/>
              </w:rPr>
              <w:t>**4. Statutory Cartography**</w:t>
            </w:r>
          </w:p>
        </w:tc>
        <w:tc>
          <w:tcPr>
            <w:tcW w:type="dxa" w:w="1872"/>
            <w:shd w:fill="F8FAFC"/>
            <w:tcMar>
              <w:top w:w="45" w:type="dxa"/>
              <w:bottom w:w="45" w:type="dxa"/>
              <w:left w:w="45" w:type="dxa"/>
              <w:right w:w="45" w:type="dxa"/>
            </w:tcMar>
          </w:tcPr>
          <w:p>
            <w:pPr>
              <w:jc w:val="left"/>
            </w:pPr>
            <w:r>
              <w:rPr>
                <w:rFonts w:ascii="Arial" w:hAnsi="Arial"/>
                <w:color w:val="212529"/>
                <w:sz w:val="14"/>
              </w:rPr>
              <w:t>Layer Styler &amp; Policy Exporter</w:t>
            </w:r>
          </w:p>
        </w:tc>
        <w:tc>
          <w:tcPr>
            <w:tcW w:type="dxa" w:w="1872"/>
            <w:shd w:fill="F8FAFC"/>
            <w:tcMar>
              <w:top w:w="45" w:type="dxa"/>
              <w:bottom w:w="45" w:type="dxa"/>
              <w:left w:w="45" w:type="dxa"/>
              <w:right w:w="45" w:type="dxa"/>
            </w:tcMar>
          </w:tcPr>
          <w:p>
            <w:pPr>
              <w:jc w:val="left"/>
            </w:pPr>
            <w:r>
              <w:rPr>
                <w:rFonts w:ascii="Arial" w:hAnsi="Arial"/>
                <w:color w:val="212529"/>
                <w:sz w:val="14"/>
              </w:rPr>
              <w:t>`styles/microclimate_zoning_style.qml`</w:t>
            </w:r>
          </w:p>
        </w:tc>
        <w:tc>
          <w:tcPr>
            <w:tcW w:type="dxa" w:w="1872"/>
            <w:shd w:fill="F8FAFC"/>
            <w:tcMar>
              <w:top w:w="45" w:type="dxa"/>
              <w:bottom w:w="45" w:type="dxa"/>
              <w:left w:w="45" w:type="dxa"/>
              <w:right w:w="45" w:type="dxa"/>
            </w:tcMar>
          </w:tcPr>
          <w:p>
            <w:pPr>
              <w:jc w:val="left"/>
            </w:pPr>
            <w:r>
              <w:rPr>
                <w:rFonts w:ascii="Arial" w:hAnsi="Arial"/>
                <w:color w:val="212529"/>
                <w:sz w:val="14"/>
              </w:rPr>
              <w:t>Applies statutory styling: Red (`#9E2A2B`, Canopy-Restricted), Amber (`#DDA15E`, Buffer), Green (`#2D6A4F`, Priority Greening).</w:t>
            </w:r>
          </w:p>
        </w:tc>
        <w:tc>
          <w:tcPr>
            <w:tcW w:type="dxa" w:w="1872"/>
            <w:shd w:fill="F8FAFC"/>
            <w:tcMar>
              <w:top w:w="45" w:type="dxa"/>
              <w:bottom w:w="45" w:type="dxa"/>
              <w:left w:w="45" w:type="dxa"/>
              <w:right w:w="45" w:type="dxa"/>
            </w:tcMar>
          </w:tcPr>
          <w:p>
            <w:pPr>
              <w:jc w:val="left"/>
            </w:pPr>
            <w:r>
              <w:rPr>
                <w:rFonts w:ascii="Arial" w:hAnsi="Arial"/>
                <w:color w:val="212529"/>
                <w:sz w:val="14"/>
              </w:rPr>
              <w:t>Styled Vector GeoPackage (`.gpkg`) / Shapefile (`.shp`)</w:t>
            </w:r>
          </w:p>
        </w:tc>
      </w:tr>
    </w:tbl>
    <w:p>
      <w:pPr>
        <w:spacing w:after="120"/>
      </w:pPr>
    </w:p>
    <w:p>
      <w:pPr>
        <w:keepNext/>
        <w:spacing w:before="280" w:after="80"/>
      </w:pPr>
      <w:r>
        <w:rPr>
          <w:rFonts w:ascii="Arial" w:hAnsi="Arial"/>
          <w:b/>
          <w:color w:val="002B49"/>
          <w:sz w:val="24"/>
        </w:rPr>
        <w:t>Supplementary Table 2 | Climatological boundary forcing and heatwave synoptic conditions across 12 global megacities (ERA5-Land 2022)</w:t>
      </w:r>
    </w:p>
    <w:tbl>
      <w:tblPr>
        <w:tblW w:type="auto" w:w="0"/>
        <w:jc w:val="center"/>
        <w:tblLayout w:type="fixed"/>
        <w:tblLook w:firstColumn="1" w:firstRow="1" w:lastColumn="0" w:lastRow="0" w:noHBand="0" w:noVBand="1" w:val="04A0"/>
      </w:tblPr>
      <w:tblGrid>
        <w:gridCol w:w="1170"/>
        <w:gridCol w:w="1170"/>
        <w:gridCol w:w="1170"/>
        <w:gridCol w:w="1170"/>
        <w:gridCol w:w="1170"/>
        <w:gridCol w:w="1170"/>
        <w:gridCol w:w="1170"/>
        <w:gridCol w:w="1170"/>
      </w:tblGrid>
      <w:tr>
        <w:tc>
          <w:tcPr>
            <w:tcW w:type="dxa" w:w="1170"/>
            <w:shd w:fill="002B49"/>
            <w:tcMar>
              <w:top w:w="70" w:type="dxa"/>
              <w:bottom w:w="70" w:type="dxa"/>
              <w:left w:w="50" w:type="dxa"/>
              <w:right w:w="50" w:type="dxa"/>
            </w:tcMar>
          </w:tcPr>
          <w:p>
            <w:pPr>
              <w:jc w:val="center"/>
            </w:pPr>
            <w:r>
              <w:rPr>
                <w:rFonts w:ascii="Arial" w:hAnsi="Arial"/>
                <w:b/>
                <w:color w:val="FFFFFF"/>
                <w:sz w:val="15"/>
              </w:rPr>
              <w:t>City</w:t>
            </w:r>
          </w:p>
        </w:tc>
        <w:tc>
          <w:tcPr>
            <w:tcW w:type="dxa" w:w="1170"/>
            <w:shd w:fill="002B49"/>
            <w:tcMar>
              <w:top w:w="70" w:type="dxa"/>
              <w:bottom w:w="70" w:type="dxa"/>
              <w:left w:w="50" w:type="dxa"/>
              <w:right w:w="50" w:type="dxa"/>
            </w:tcMar>
          </w:tcPr>
          <w:p>
            <w:pPr>
              <w:jc w:val="center"/>
            </w:pPr>
            <w:r>
              <w:rPr>
                <w:rFonts w:ascii="Arial" w:hAnsi="Arial"/>
                <w:b/>
                <w:color w:val="FFFFFF"/>
                <w:sz w:val="15"/>
              </w:rPr>
              <w:t>Köppen Zone</w:t>
            </w:r>
          </w:p>
        </w:tc>
        <w:tc>
          <w:tcPr>
            <w:tcW w:type="dxa" w:w="1170"/>
            <w:shd w:fill="002B49"/>
            <w:tcMar>
              <w:top w:w="70" w:type="dxa"/>
              <w:bottom w:w="70" w:type="dxa"/>
              <w:left w:w="50" w:type="dxa"/>
              <w:right w:w="50" w:type="dxa"/>
            </w:tcMar>
          </w:tcPr>
          <w:p>
            <w:pPr>
              <w:jc w:val="center"/>
            </w:pPr>
            <w:r>
              <w:rPr>
                <w:rFonts w:ascii="Arial" w:hAnsi="Arial"/>
                <w:b/>
                <w:color w:val="FFFFFF"/>
                <w:sz w:val="15"/>
              </w:rPr>
              <w:t>Heatwave Period (2022)</w:t>
            </w:r>
          </w:p>
        </w:tc>
        <w:tc>
          <w:tcPr>
            <w:tcW w:type="dxa" w:w="1170"/>
            <w:shd w:fill="002B49"/>
            <w:tcMar>
              <w:top w:w="70" w:type="dxa"/>
              <w:bottom w:w="70" w:type="dxa"/>
              <w:left w:w="50" w:type="dxa"/>
              <w:right w:w="50" w:type="dxa"/>
            </w:tcMar>
          </w:tcPr>
          <w:p>
            <w:pPr>
              <w:jc w:val="center"/>
            </w:pPr>
            <w:r>
              <w:rPr>
                <w:rFonts w:ascii="Arial" w:hAnsi="Arial"/>
                <w:b/>
                <w:color w:val="FFFFFF"/>
                <w:sz w:val="15"/>
              </w:rPr>
              <w:t>T_amb,max (°C)</w:t>
            </w:r>
          </w:p>
        </w:tc>
        <w:tc>
          <w:tcPr>
            <w:tcW w:type="dxa" w:w="1170"/>
            <w:shd w:fill="002B49"/>
            <w:tcMar>
              <w:top w:w="70" w:type="dxa"/>
              <w:bottom w:w="70" w:type="dxa"/>
              <w:left w:w="50" w:type="dxa"/>
              <w:right w:w="50" w:type="dxa"/>
            </w:tcMar>
          </w:tcPr>
          <w:p>
            <w:pPr>
              <w:jc w:val="center"/>
            </w:pPr>
            <w:r>
              <w:rPr>
                <w:rFonts w:ascii="Arial" w:hAnsi="Arial"/>
                <w:b/>
                <w:color w:val="FFFFFF"/>
                <w:sz w:val="15"/>
              </w:rPr>
              <w:t>T_amb,min (°C)</w:t>
            </w:r>
          </w:p>
        </w:tc>
        <w:tc>
          <w:tcPr>
            <w:tcW w:type="dxa" w:w="1170"/>
            <w:shd w:fill="002B49"/>
            <w:tcMar>
              <w:top w:w="70" w:type="dxa"/>
              <w:bottom w:w="70" w:type="dxa"/>
              <w:left w:w="50" w:type="dxa"/>
              <w:right w:w="50" w:type="dxa"/>
            </w:tcMar>
          </w:tcPr>
          <w:p>
            <w:pPr>
              <w:jc w:val="center"/>
            </w:pPr>
            <w:r>
              <w:rPr>
                <w:rFonts w:ascii="Arial" w:hAnsi="Arial"/>
                <w:b/>
                <w:color w:val="FFFFFF"/>
                <w:sz w:val="15"/>
              </w:rPr>
              <w:t>u_top (m/s)</w:t>
            </w:r>
          </w:p>
        </w:tc>
        <w:tc>
          <w:tcPr>
            <w:tcW w:type="dxa" w:w="1170"/>
            <w:shd w:fill="002B49"/>
            <w:tcMar>
              <w:top w:w="70" w:type="dxa"/>
              <w:bottom w:w="70" w:type="dxa"/>
              <w:left w:w="50" w:type="dxa"/>
              <w:right w:w="50" w:type="dxa"/>
            </w:tcMar>
          </w:tcPr>
          <w:p>
            <w:pPr>
              <w:jc w:val="center"/>
            </w:pPr>
            <w:r>
              <w:rPr>
                <w:rFonts w:ascii="Arial" w:hAnsi="Arial"/>
                <w:b/>
                <w:color w:val="FFFFFF"/>
                <w:sz w:val="15"/>
              </w:rPr>
              <w:t>RH_mean (%)</w:t>
            </w:r>
          </w:p>
        </w:tc>
        <w:tc>
          <w:tcPr>
            <w:tcW w:type="dxa" w:w="1170"/>
            <w:shd w:fill="002B49"/>
            <w:tcMar>
              <w:top w:w="70" w:type="dxa"/>
              <w:bottom w:w="70" w:type="dxa"/>
              <w:left w:w="50" w:type="dxa"/>
              <w:right w:w="50" w:type="dxa"/>
            </w:tcMar>
          </w:tcPr>
          <w:p>
            <w:pPr>
              <w:jc w:val="center"/>
            </w:pPr>
            <w:r>
              <w:rPr>
                <w:rFonts w:ascii="Arial" w:hAnsi="Arial"/>
                <w:b/>
                <w:color w:val="FFFFFF"/>
                <w:sz w:val="15"/>
              </w:rPr>
              <w:t>I_dir,max (W/m²)</w:t>
            </w:r>
          </w:p>
        </w:tc>
      </w:tr>
      <w:tr>
        <w:tc>
          <w:tcPr>
            <w:tcW w:type="dxa" w:w="1170"/>
            <w:shd w:fill="FFFFFF"/>
            <w:tcMar>
              <w:top w:w="45" w:type="dxa"/>
              <w:bottom w:w="45" w:type="dxa"/>
              <w:left w:w="45" w:type="dxa"/>
              <w:right w:w="45" w:type="dxa"/>
            </w:tcMar>
          </w:tcPr>
          <w:p>
            <w:pPr>
              <w:jc w:val="left"/>
            </w:pPr>
            <w:r>
              <w:rPr>
                <w:rFonts w:ascii="Arial" w:hAnsi="Arial"/>
                <w:b/>
                <w:color w:val="212529"/>
                <w:sz w:val="14"/>
              </w:rPr>
              <w:t>**Madrid**</w:t>
            </w:r>
          </w:p>
        </w:tc>
        <w:tc>
          <w:tcPr>
            <w:tcW w:type="dxa" w:w="1170"/>
            <w:shd w:fill="FFFFFF"/>
            <w:tcMar>
              <w:top w:w="45" w:type="dxa"/>
              <w:bottom w:w="45" w:type="dxa"/>
              <w:left w:w="45" w:type="dxa"/>
              <w:right w:w="45" w:type="dxa"/>
            </w:tcMar>
          </w:tcPr>
          <w:p>
            <w:pPr>
              <w:jc w:val="center"/>
            </w:pPr>
            <w:r>
              <w:rPr>
                <w:rFonts w:ascii="Arial" w:hAnsi="Arial"/>
                <w:color w:val="212529"/>
                <w:sz w:val="14"/>
              </w:rPr>
              <w:t>Csa</w:t>
            </w:r>
          </w:p>
        </w:tc>
        <w:tc>
          <w:tcPr>
            <w:tcW w:type="dxa" w:w="1170"/>
            <w:shd w:fill="FFFFFF"/>
            <w:tcMar>
              <w:top w:w="45" w:type="dxa"/>
              <w:bottom w:w="45" w:type="dxa"/>
              <w:left w:w="45" w:type="dxa"/>
              <w:right w:w="45" w:type="dxa"/>
            </w:tcMar>
          </w:tcPr>
          <w:p>
            <w:pPr>
              <w:jc w:val="center"/>
            </w:pPr>
            <w:r>
              <w:rPr>
                <w:rFonts w:ascii="Arial" w:hAnsi="Arial"/>
                <w:color w:val="212529"/>
                <w:sz w:val="14"/>
              </w:rPr>
              <w:t>July 11–17, 2022</w:t>
            </w:r>
          </w:p>
        </w:tc>
        <w:tc>
          <w:tcPr>
            <w:tcW w:type="dxa" w:w="1170"/>
            <w:shd w:fill="FFFFFF"/>
            <w:tcMar>
              <w:top w:w="45" w:type="dxa"/>
              <w:bottom w:w="45" w:type="dxa"/>
              <w:left w:w="45" w:type="dxa"/>
              <w:right w:w="45" w:type="dxa"/>
            </w:tcMar>
          </w:tcPr>
          <w:p>
            <w:pPr>
              <w:jc w:val="center"/>
            </w:pPr>
            <w:r>
              <w:rPr>
                <w:rFonts w:ascii="Arial" w:hAnsi="Arial"/>
                <w:color w:val="212529"/>
                <w:sz w:val="14"/>
              </w:rPr>
              <w:t>41.2</w:t>
            </w:r>
          </w:p>
        </w:tc>
        <w:tc>
          <w:tcPr>
            <w:tcW w:type="dxa" w:w="1170"/>
            <w:shd w:fill="FFFFFF"/>
            <w:tcMar>
              <w:top w:w="45" w:type="dxa"/>
              <w:bottom w:w="45" w:type="dxa"/>
              <w:left w:w="45" w:type="dxa"/>
              <w:right w:w="45" w:type="dxa"/>
            </w:tcMar>
          </w:tcPr>
          <w:p>
            <w:pPr>
              <w:jc w:val="center"/>
            </w:pPr>
            <w:r>
              <w:rPr>
                <w:rFonts w:ascii="Arial" w:hAnsi="Arial"/>
                <w:color w:val="212529"/>
                <w:sz w:val="14"/>
              </w:rPr>
              <w:t>23.8</w:t>
            </w:r>
          </w:p>
        </w:tc>
        <w:tc>
          <w:tcPr>
            <w:tcW w:type="dxa" w:w="1170"/>
            <w:shd w:fill="FFFFFF"/>
            <w:tcMar>
              <w:top w:w="45" w:type="dxa"/>
              <w:bottom w:w="45" w:type="dxa"/>
              <w:left w:w="45" w:type="dxa"/>
              <w:right w:w="45" w:type="dxa"/>
            </w:tcMar>
          </w:tcPr>
          <w:p>
            <w:pPr>
              <w:jc w:val="center"/>
            </w:pPr>
            <w:r>
              <w:rPr>
                <w:rFonts w:ascii="Arial" w:hAnsi="Arial"/>
                <w:color w:val="212529"/>
                <w:sz w:val="14"/>
              </w:rPr>
              <w:t>2.1</w:t>
            </w:r>
          </w:p>
        </w:tc>
        <w:tc>
          <w:tcPr>
            <w:tcW w:type="dxa" w:w="1170"/>
            <w:shd w:fill="FFFFFF"/>
            <w:tcMar>
              <w:top w:w="45" w:type="dxa"/>
              <w:bottom w:w="45" w:type="dxa"/>
              <w:left w:w="45" w:type="dxa"/>
              <w:right w:w="45" w:type="dxa"/>
            </w:tcMar>
          </w:tcPr>
          <w:p>
            <w:pPr>
              <w:jc w:val="center"/>
            </w:pPr>
            <w:r>
              <w:rPr>
                <w:rFonts w:ascii="Arial" w:hAnsi="Arial"/>
                <w:color w:val="212529"/>
                <w:sz w:val="14"/>
              </w:rPr>
              <w:t>24.5</w:t>
            </w:r>
          </w:p>
        </w:tc>
        <w:tc>
          <w:tcPr>
            <w:tcW w:type="dxa" w:w="1170"/>
            <w:shd w:fill="FFFFFF"/>
            <w:tcMar>
              <w:top w:w="45" w:type="dxa"/>
              <w:bottom w:w="45" w:type="dxa"/>
              <w:left w:w="45" w:type="dxa"/>
              <w:right w:w="45" w:type="dxa"/>
            </w:tcMar>
          </w:tcPr>
          <w:p>
            <w:pPr>
              <w:jc w:val="center"/>
            </w:pPr>
            <w:r>
              <w:rPr>
                <w:rFonts w:ascii="Arial" w:hAnsi="Arial"/>
                <w:color w:val="212529"/>
                <w:sz w:val="14"/>
              </w:rPr>
              <w:t>985</w:t>
            </w:r>
          </w:p>
        </w:tc>
      </w:tr>
      <w:tr>
        <w:tc>
          <w:tcPr>
            <w:tcW w:type="dxa" w:w="1170"/>
            <w:shd w:fill="F8FAFC"/>
            <w:tcMar>
              <w:top w:w="45" w:type="dxa"/>
              <w:bottom w:w="45" w:type="dxa"/>
              <w:left w:w="45" w:type="dxa"/>
              <w:right w:w="45" w:type="dxa"/>
            </w:tcMar>
          </w:tcPr>
          <w:p>
            <w:pPr>
              <w:jc w:val="left"/>
            </w:pPr>
            <w:r>
              <w:rPr>
                <w:rFonts w:ascii="Arial" w:hAnsi="Arial"/>
                <w:b/>
                <w:color w:val="212529"/>
                <w:sz w:val="14"/>
              </w:rPr>
              <w:t>**Singapore**</w:t>
            </w:r>
          </w:p>
        </w:tc>
        <w:tc>
          <w:tcPr>
            <w:tcW w:type="dxa" w:w="1170"/>
            <w:shd w:fill="F8FAFC"/>
            <w:tcMar>
              <w:top w:w="45" w:type="dxa"/>
              <w:bottom w:w="45" w:type="dxa"/>
              <w:left w:w="45" w:type="dxa"/>
              <w:right w:w="45" w:type="dxa"/>
            </w:tcMar>
          </w:tcPr>
          <w:p>
            <w:pPr>
              <w:jc w:val="center"/>
            </w:pPr>
            <w:r>
              <w:rPr>
                <w:rFonts w:ascii="Arial" w:hAnsi="Arial"/>
                <w:color w:val="212529"/>
                <w:sz w:val="14"/>
              </w:rPr>
              <w:t>Af</w:t>
            </w:r>
          </w:p>
        </w:tc>
        <w:tc>
          <w:tcPr>
            <w:tcW w:type="dxa" w:w="1170"/>
            <w:shd w:fill="F8FAFC"/>
            <w:tcMar>
              <w:top w:w="45" w:type="dxa"/>
              <w:bottom w:w="45" w:type="dxa"/>
              <w:left w:w="45" w:type="dxa"/>
              <w:right w:w="45" w:type="dxa"/>
            </w:tcMar>
          </w:tcPr>
          <w:p>
            <w:pPr>
              <w:jc w:val="center"/>
            </w:pPr>
            <w:r>
              <w:rPr>
                <w:rFonts w:ascii="Arial" w:hAnsi="Arial"/>
                <w:color w:val="212529"/>
                <w:sz w:val="14"/>
              </w:rPr>
              <w:t>May 14–20, 2022</w:t>
            </w:r>
          </w:p>
        </w:tc>
        <w:tc>
          <w:tcPr>
            <w:tcW w:type="dxa" w:w="1170"/>
            <w:shd w:fill="F8FAFC"/>
            <w:tcMar>
              <w:top w:w="45" w:type="dxa"/>
              <w:bottom w:w="45" w:type="dxa"/>
              <w:left w:w="45" w:type="dxa"/>
              <w:right w:w="45" w:type="dxa"/>
            </w:tcMar>
          </w:tcPr>
          <w:p>
            <w:pPr>
              <w:jc w:val="center"/>
            </w:pPr>
            <w:r>
              <w:rPr>
                <w:rFonts w:ascii="Arial" w:hAnsi="Arial"/>
                <w:color w:val="212529"/>
                <w:sz w:val="14"/>
              </w:rPr>
              <w:t>34.6</w:t>
            </w:r>
          </w:p>
        </w:tc>
        <w:tc>
          <w:tcPr>
            <w:tcW w:type="dxa" w:w="1170"/>
            <w:shd w:fill="F8FAFC"/>
            <w:tcMar>
              <w:top w:w="45" w:type="dxa"/>
              <w:bottom w:w="45" w:type="dxa"/>
              <w:left w:w="45" w:type="dxa"/>
              <w:right w:w="45" w:type="dxa"/>
            </w:tcMar>
          </w:tcPr>
          <w:p>
            <w:pPr>
              <w:jc w:val="center"/>
            </w:pPr>
            <w:r>
              <w:rPr>
                <w:rFonts w:ascii="Arial" w:hAnsi="Arial"/>
                <w:color w:val="212529"/>
                <w:sz w:val="14"/>
              </w:rPr>
              <w:t>26.2</w:t>
            </w:r>
          </w:p>
        </w:tc>
        <w:tc>
          <w:tcPr>
            <w:tcW w:type="dxa" w:w="1170"/>
            <w:shd w:fill="F8FAFC"/>
            <w:tcMar>
              <w:top w:w="45" w:type="dxa"/>
              <w:bottom w:w="45" w:type="dxa"/>
              <w:left w:w="45" w:type="dxa"/>
              <w:right w:w="45" w:type="dxa"/>
            </w:tcMar>
          </w:tcPr>
          <w:p>
            <w:pPr>
              <w:jc w:val="center"/>
            </w:pPr>
            <w:r>
              <w:rPr>
                <w:rFonts w:ascii="Arial" w:hAnsi="Arial"/>
                <w:color w:val="212529"/>
                <w:sz w:val="14"/>
              </w:rPr>
              <w:t>1.4</w:t>
            </w:r>
          </w:p>
        </w:tc>
        <w:tc>
          <w:tcPr>
            <w:tcW w:type="dxa" w:w="1170"/>
            <w:shd w:fill="F8FAFC"/>
            <w:tcMar>
              <w:top w:w="45" w:type="dxa"/>
              <w:bottom w:w="45" w:type="dxa"/>
              <w:left w:w="45" w:type="dxa"/>
              <w:right w:w="45" w:type="dxa"/>
            </w:tcMar>
          </w:tcPr>
          <w:p>
            <w:pPr>
              <w:jc w:val="center"/>
            </w:pPr>
            <w:r>
              <w:rPr>
                <w:rFonts w:ascii="Arial" w:hAnsi="Arial"/>
                <w:color w:val="212529"/>
                <w:sz w:val="14"/>
              </w:rPr>
              <w:t>78.4</w:t>
            </w:r>
          </w:p>
        </w:tc>
        <w:tc>
          <w:tcPr>
            <w:tcW w:type="dxa" w:w="1170"/>
            <w:shd w:fill="F8FAFC"/>
            <w:tcMar>
              <w:top w:w="45" w:type="dxa"/>
              <w:bottom w:w="45" w:type="dxa"/>
              <w:left w:w="45" w:type="dxa"/>
              <w:right w:w="45" w:type="dxa"/>
            </w:tcMar>
          </w:tcPr>
          <w:p>
            <w:pPr>
              <w:jc w:val="center"/>
            </w:pPr>
            <w:r>
              <w:rPr>
                <w:rFonts w:ascii="Arial" w:hAnsi="Arial"/>
                <w:color w:val="212529"/>
                <w:sz w:val="14"/>
              </w:rPr>
              <w:t>920</w:t>
            </w:r>
          </w:p>
        </w:tc>
      </w:tr>
      <w:tr>
        <w:tc>
          <w:tcPr>
            <w:tcW w:type="dxa" w:w="1170"/>
            <w:shd w:fill="FFFFFF"/>
            <w:tcMar>
              <w:top w:w="45" w:type="dxa"/>
              <w:bottom w:w="45" w:type="dxa"/>
              <w:left w:w="45" w:type="dxa"/>
              <w:right w:w="45" w:type="dxa"/>
            </w:tcMar>
          </w:tcPr>
          <w:p>
            <w:pPr>
              <w:jc w:val="left"/>
            </w:pPr>
            <w:r>
              <w:rPr>
                <w:rFonts w:ascii="Arial" w:hAnsi="Arial"/>
                <w:b/>
                <w:color w:val="212529"/>
                <w:sz w:val="14"/>
              </w:rPr>
              <w:t>**Wuhan**</w:t>
            </w:r>
          </w:p>
        </w:tc>
        <w:tc>
          <w:tcPr>
            <w:tcW w:type="dxa" w:w="1170"/>
            <w:shd w:fill="FFFFFF"/>
            <w:tcMar>
              <w:top w:w="45" w:type="dxa"/>
              <w:bottom w:w="45" w:type="dxa"/>
              <w:left w:w="45" w:type="dxa"/>
              <w:right w:w="45" w:type="dxa"/>
            </w:tcMar>
          </w:tcPr>
          <w:p>
            <w:pPr>
              <w:jc w:val="center"/>
            </w:pPr>
            <w:r>
              <w:rPr>
                <w:rFonts w:ascii="Arial" w:hAnsi="Arial"/>
                <w:color w:val="212529"/>
                <w:sz w:val="14"/>
              </w:rPr>
              <w:t>Cfa</w:t>
            </w:r>
          </w:p>
        </w:tc>
        <w:tc>
          <w:tcPr>
            <w:tcW w:type="dxa" w:w="1170"/>
            <w:shd w:fill="FFFFFF"/>
            <w:tcMar>
              <w:top w:w="45" w:type="dxa"/>
              <w:bottom w:w="45" w:type="dxa"/>
              <w:left w:w="45" w:type="dxa"/>
              <w:right w:w="45" w:type="dxa"/>
            </w:tcMar>
          </w:tcPr>
          <w:p>
            <w:pPr>
              <w:jc w:val="center"/>
            </w:pPr>
            <w:r>
              <w:rPr>
                <w:rFonts w:ascii="Arial" w:hAnsi="Arial"/>
                <w:color w:val="212529"/>
                <w:sz w:val="14"/>
              </w:rPr>
              <w:t>August 12–18, 2022</w:t>
            </w:r>
          </w:p>
        </w:tc>
        <w:tc>
          <w:tcPr>
            <w:tcW w:type="dxa" w:w="1170"/>
            <w:shd w:fill="FFFFFF"/>
            <w:tcMar>
              <w:top w:w="45" w:type="dxa"/>
              <w:bottom w:w="45" w:type="dxa"/>
              <w:left w:w="45" w:type="dxa"/>
              <w:right w:w="45" w:type="dxa"/>
            </w:tcMar>
          </w:tcPr>
          <w:p>
            <w:pPr>
              <w:jc w:val="center"/>
            </w:pPr>
            <w:r>
              <w:rPr>
                <w:rFonts w:ascii="Arial" w:hAnsi="Arial"/>
                <w:color w:val="212529"/>
                <w:sz w:val="14"/>
              </w:rPr>
              <w:t>40.8</w:t>
            </w:r>
          </w:p>
        </w:tc>
        <w:tc>
          <w:tcPr>
            <w:tcW w:type="dxa" w:w="1170"/>
            <w:shd w:fill="FFFFFF"/>
            <w:tcMar>
              <w:top w:w="45" w:type="dxa"/>
              <w:bottom w:w="45" w:type="dxa"/>
              <w:left w:w="45" w:type="dxa"/>
              <w:right w:w="45" w:type="dxa"/>
            </w:tcMar>
          </w:tcPr>
          <w:p>
            <w:pPr>
              <w:jc w:val="center"/>
            </w:pPr>
            <w:r>
              <w:rPr>
                <w:rFonts w:ascii="Arial" w:hAnsi="Arial"/>
                <w:color w:val="212529"/>
                <w:sz w:val="14"/>
              </w:rPr>
              <w:t>29.4</w:t>
            </w:r>
          </w:p>
        </w:tc>
        <w:tc>
          <w:tcPr>
            <w:tcW w:type="dxa" w:w="1170"/>
            <w:shd w:fill="FFFFFF"/>
            <w:tcMar>
              <w:top w:w="45" w:type="dxa"/>
              <w:bottom w:w="45" w:type="dxa"/>
              <w:left w:w="45" w:type="dxa"/>
              <w:right w:w="45" w:type="dxa"/>
            </w:tcMar>
          </w:tcPr>
          <w:p>
            <w:pPr>
              <w:jc w:val="center"/>
            </w:pPr>
            <w:r>
              <w:rPr>
                <w:rFonts w:ascii="Arial" w:hAnsi="Arial"/>
                <w:color w:val="212529"/>
                <w:sz w:val="14"/>
              </w:rPr>
              <w:t>1.8</w:t>
            </w:r>
          </w:p>
        </w:tc>
        <w:tc>
          <w:tcPr>
            <w:tcW w:type="dxa" w:w="1170"/>
            <w:shd w:fill="FFFFFF"/>
            <w:tcMar>
              <w:top w:w="45" w:type="dxa"/>
              <w:bottom w:w="45" w:type="dxa"/>
              <w:left w:w="45" w:type="dxa"/>
              <w:right w:w="45" w:type="dxa"/>
            </w:tcMar>
          </w:tcPr>
          <w:p>
            <w:pPr>
              <w:jc w:val="center"/>
            </w:pPr>
            <w:r>
              <w:rPr>
                <w:rFonts w:ascii="Arial" w:hAnsi="Arial"/>
                <w:color w:val="212529"/>
                <w:sz w:val="14"/>
              </w:rPr>
              <w:t>68.2</w:t>
            </w:r>
          </w:p>
        </w:tc>
        <w:tc>
          <w:tcPr>
            <w:tcW w:type="dxa" w:w="1170"/>
            <w:shd w:fill="FFFFFF"/>
            <w:tcMar>
              <w:top w:w="45" w:type="dxa"/>
              <w:bottom w:w="45" w:type="dxa"/>
              <w:left w:w="45" w:type="dxa"/>
              <w:right w:w="45" w:type="dxa"/>
            </w:tcMar>
          </w:tcPr>
          <w:p>
            <w:pPr>
              <w:jc w:val="center"/>
            </w:pPr>
            <w:r>
              <w:rPr>
                <w:rFonts w:ascii="Arial" w:hAnsi="Arial"/>
                <w:color w:val="212529"/>
                <w:sz w:val="14"/>
              </w:rPr>
              <w:t>960</w:t>
            </w:r>
          </w:p>
        </w:tc>
      </w:tr>
      <w:tr>
        <w:tc>
          <w:tcPr>
            <w:tcW w:type="dxa" w:w="1170"/>
            <w:shd w:fill="F8FAFC"/>
            <w:tcMar>
              <w:top w:w="45" w:type="dxa"/>
              <w:bottom w:w="45" w:type="dxa"/>
              <w:left w:w="45" w:type="dxa"/>
              <w:right w:w="45" w:type="dxa"/>
            </w:tcMar>
          </w:tcPr>
          <w:p>
            <w:pPr>
              <w:jc w:val="left"/>
            </w:pPr>
            <w:r>
              <w:rPr>
                <w:rFonts w:ascii="Arial" w:hAnsi="Arial"/>
                <w:b/>
                <w:color w:val="212529"/>
                <w:sz w:val="14"/>
              </w:rPr>
              <w:t>**Phoenix**</w:t>
            </w:r>
          </w:p>
        </w:tc>
        <w:tc>
          <w:tcPr>
            <w:tcW w:type="dxa" w:w="1170"/>
            <w:shd w:fill="F8FAFC"/>
            <w:tcMar>
              <w:top w:w="45" w:type="dxa"/>
              <w:bottom w:w="45" w:type="dxa"/>
              <w:left w:w="45" w:type="dxa"/>
              <w:right w:w="45" w:type="dxa"/>
            </w:tcMar>
          </w:tcPr>
          <w:p>
            <w:pPr>
              <w:jc w:val="center"/>
            </w:pPr>
            <w:r>
              <w:rPr>
                <w:rFonts w:ascii="Arial" w:hAnsi="Arial"/>
                <w:color w:val="212529"/>
                <w:sz w:val="14"/>
              </w:rPr>
              <w:t>BWh</w:t>
            </w:r>
          </w:p>
        </w:tc>
        <w:tc>
          <w:tcPr>
            <w:tcW w:type="dxa" w:w="1170"/>
            <w:shd w:fill="F8FAFC"/>
            <w:tcMar>
              <w:top w:w="45" w:type="dxa"/>
              <w:bottom w:w="45" w:type="dxa"/>
              <w:left w:w="45" w:type="dxa"/>
              <w:right w:w="45" w:type="dxa"/>
            </w:tcMar>
          </w:tcPr>
          <w:p>
            <w:pPr>
              <w:jc w:val="center"/>
            </w:pPr>
            <w:r>
              <w:rPr>
                <w:rFonts w:ascii="Arial" w:hAnsi="Arial"/>
                <w:color w:val="212529"/>
                <w:sz w:val="14"/>
              </w:rPr>
              <w:t>July 18–24, 2022</w:t>
            </w:r>
          </w:p>
        </w:tc>
        <w:tc>
          <w:tcPr>
            <w:tcW w:type="dxa" w:w="1170"/>
            <w:shd w:fill="F8FAFC"/>
            <w:tcMar>
              <w:top w:w="45" w:type="dxa"/>
              <w:bottom w:w="45" w:type="dxa"/>
              <w:left w:w="45" w:type="dxa"/>
              <w:right w:w="45" w:type="dxa"/>
            </w:tcMar>
          </w:tcPr>
          <w:p>
            <w:pPr>
              <w:jc w:val="center"/>
            </w:pPr>
            <w:r>
              <w:rPr>
                <w:rFonts w:ascii="Arial" w:hAnsi="Arial"/>
                <w:color w:val="212529"/>
                <w:sz w:val="14"/>
              </w:rPr>
              <w:t>46.5</w:t>
            </w:r>
          </w:p>
        </w:tc>
        <w:tc>
          <w:tcPr>
            <w:tcW w:type="dxa" w:w="1170"/>
            <w:shd w:fill="F8FAFC"/>
            <w:tcMar>
              <w:top w:w="45" w:type="dxa"/>
              <w:bottom w:w="45" w:type="dxa"/>
              <w:left w:w="45" w:type="dxa"/>
              <w:right w:w="45" w:type="dxa"/>
            </w:tcMar>
          </w:tcPr>
          <w:p>
            <w:pPr>
              <w:jc w:val="center"/>
            </w:pPr>
            <w:r>
              <w:rPr>
                <w:rFonts w:ascii="Arial" w:hAnsi="Arial"/>
                <w:color w:val="212529"/>
                <w:sz w:val="14"/>
              </w:rPr>
              <w:t>32.1</w:t>
            </w:r>
          </w:p>
        </w:tc>
        <w:tc>
          <w:tcPr>
            <w:tcW w:type="dxa" w:w="1170"/>
            <w:shd w:fill="F8FAFC"/>
            <w:tcMar>
              <w:top w:w="45" w:type="dxa"/>
              <w:bottom w:w="45" w:type="dxa"/>
              <w:left w:w="45" w:type="dxa"/>
              <w:right w:w="45" w:type="dxa"/>
            </w:tcMar>
          </w:tcPr>
          <w:p>
            <w:pPr>
              <w:jc w:val="center"/>
            </w:pPr>
            <w:r>
              <w:rPr>
                <w:rFonts w:ascii="Arial" w:hAnsi="Arial"/>
                <w:color w:val="212529"/>
                <w:sz w:val="14"/>
              </w:rPr>
              <w:t>2.6</w:t>
            </w:r>
          </w:p>
        </w:tc>
        <w:tc>
          <w:tcPr>
            <w:tcW w:type="dxa" w:w="1170"/>
            <w:shd w:fill="F8FAFC"/>
            <w:tcMar>
              <w:top w:w="45" w:type="dxa"/>
              <w:bottom w:w="45" w:type="dxa"/>
              <w:left w:w="45" w:type="dxa"/>
              <w:right w:w="45" w:type="dxa"/>
            </w:tcMar>
          </w:tcPr>
          <w:p>
            <w:pPr>
              <w:jc w:val="center"/>
            </w:pPr>
            <w:r>
              <w:rPr>
                <w:rFonts w:ascii="Arial" w:hAnsi="Arial"/>
                <w:color w:val="212529"/>
                <w:sz w:val="14"/>
              </w:rPr>
              <w:t>16.8</w:t>
            </w:r>
          </w:p>
        </w:tc>
        <w:tc>
          <w:tcPr>
            <w:tcW w:type="dxa" w:w="1170"/>
            <w:shd w:fill="F8FAFC"/>
            <w:tcMar>
              <w:top w:w="45" w:type="dxa"/>
              <w:bottom w:w="45" w:type="dxa"/>
              <w:left w:w="45" w:type="dxa"/>
              <w:right w:w="45" w:type="dxa"/>
            </w:tcMar>
          </w:tcPr>
          <w:p>
            <w:pPr>
              <w:jc w:val="center"/>
            </w:pPr>
            <w:r>
              <w:rPr>
                <w:rFonts w:ascii="Arial" w:hAnsi="Arial"/>
                <w:color w:val="212529"/>
                <w:sz w:val="14"/>
              </w:rPr>
              <w:t>1020</w:t>
            </w:r>
          </w:p>
        </w:tc>
      </w:tr>
      <w:tr>
        <w:tc>
          <w:tcPr>
            <w:tcW w:type="dxa" w:w="1170"/>
            <w:shd w:fill="FFFFFF"/>
            <w:tcMar>
              <w:top w:w="45" w:type="dxa"/>
              <w:bottom w:w="45" w:type="dxa"/>
              <w:left w:w="45" w:type="dxa"/>
              <w:right w:w="45" w:type="dxa"/>
            </w:tcMar>
          </w:tcPr>
          <w:p>
            <w:pPr>
              <w:jc w:val="left"/>
            </w:pPr>
            <w:r>
              <w:rPr>
                <w:rFonts w:ascii="Arial" w:hAnsi="Arial"/>
                <w:b/>
                <w:color w:val="212529"/>
                <w:sz w:val="14"/>
              </w:rPr>
              <w:t>**London**</w:t>
            </w:r>
          </w:p>
        </w:tc>
        <w:tc>
          <w:tcPr>
            <w:tcW w:type="dxa" w:w="1170"/>
            <w:shd w:fill="FFFFFF"/>
            <w:tcMar>
              <w:top w:w="45" w:type="dxa"/>
              <w:bottom w:w="45" w:type="dxa"/>
              <w:left w:w="45" w:type="dxa"/>
              <w:right w:w="45" w:type="dxa"/>
            </w:tcMar>
          </w:tcPr>
          <w:p>
            <w:pPr>
              <w:jc w:val="center"/>
            </w:pPr>
            <w:r>
              <w:rPr>
                <w:rFonts w:ascii="Arial" w:hAnsi="Arial"/>
                <w:color w:val="212529"/>
                <w:sz w:val="14"/>
              </w:rPr>
              <w:t>Cfb</w:t>
            </w:r>
          </w:p>
        </w:tc>
        <w:tc>
          <w:tcPr>
            <w:tcW w:type="dxa" w:w="1170"/>
            <w:shd w:fill="FFFFFF"/>
            <w:tcMar>
              <w:top w:w="45" w:type="dxa"/>
              <w:bottom w:w="45" w:type="dxa"/>
              <w:left w:w="45" w:type="dxa"/>
              <w:right w:w="45" w:type="dxa"/>
            </w:tcMar>
          </w:tcPr>
          <w:p>
            <w:pPr>
              <w:jc w:val="center"/>
            </w:pPr>
            <w:r>
              <w:rPr>
                <w:rFonts w:ascii="Arial" w:hAnsi="Arial"/>
                <w:color w:val="212529"/>
                <w:sz w:val="14"/>
              </w:rPr>
              <w:t>July 16–22, 2022</w:t>
            </w:r>
          </w:p>
        </w:tc>
        <w:tc>
          <w:tcPr>
            <w:tcW w:type="dxa" w:w="1170"/>
            <w:shd w:fill="FFFFFF"/>
            <w:tcMar>
              <w:top w:w="45" w:type="dxa"/>
              <w:bottom w:w="45" w:type="dxa"/>
              <w:left w:w="45" w:type="dxa"/>
              <w:right w:w="45" w:type="dxa"/>
            </w:tcMar>
          </w:tcPr>
          <w:p>
            <w:pPr>
              <w:jc w:val="center"/>
            </w:pPr>
            <w:r>
              <w:rPr>
                <w:rFonts w:ascii="Arial" w:hAnsi="Arial"/>
                <w:color w:val="212529"/>
                <w:sz w:val="14"/>
              </w:rPr>
              <w:t>40.2</w:t>
            </w:r>
          </w:p>
        </w:tc>
        <w:tc>
          <w:tcPr>
            <w:tcW w:type="dxa" w:w="1170"/>
            <w:shd w:fill="FFFFFF"/>
            <w:tcMar>
              <w:top w:w="45" w:type="dxa"/>
              <w:bottom w:w="45" w:type="dxa"/>
              <w:left w:w="45" w:type="dxa"/>
              <w:right w:w="45" w:type="dxa"/>
            </w:tcMar>
          </w:tcPr>
          <w:p>
            <w:pPr>
              <w:jc w:val="center"/>
            </w:pPr>
            <w:r>
              <w:rPr>
                <w:rFonts w:ascii="Arial" w:hAnsi="Arial"/>
                <w:color w:val="212529"/>
                <w:sz w:val="14"/>
              </w:rPr>
              <w:t>18.5</w:t>
            </w:r>
          </w:p>
        </w:tc>
        <w:tc>
          <w:tcPr>
            <w:tcW w:type="dxa" w:w="1170"/>
            <w:shd w:fill="FFFFFF"/>
            <w:tcMar>
              <w:top w:w="45" w:type="dxa"/>
              <w:bottom w:w="45" w:type="dxa"/>
              <w:left w:w="45" w:type="dxa"/>
              <w:right w:w="45" w:type="dxa"/>
            </w:tcMar>
          </w:tcPr>
          <w:p>
            <w:pPr>
              <w:jc w:val="center"/>
            </w:pPr>
            <w:r>
              <w:rPr>
                <w:rFonts w:ascii="Arial" w:hAnsi="Arial"/>
                <w:color w:val="212529"/>
                <w:sz w:val="14"/>
              </w:rPr>
              <w:t>2.4</w:t>
            </w:r>
          </w:p>
        </w:tc>
        <w:tc>
          <w:tcPr>
            <w:tcW w:type="dxa" w:w="1170"/>
            <w:shd w:fill="FFFFFF"/>
            <w:tcMar>
              <w:top w:w="45" w:type="dxa"/>
              <w:bottom w:w="45" w:type="dxa"/>
              <w:left w:w="45" w:type="dxa"/>
              <w:right w:w="45" w:type="dxa"/>
            </w:tcMar>
          </w:tcPr>
          <w:p>
            <w:pPr>
              <w:jc w:val="center"/>
            </w:pPr>
            <w:r>
              <w:rPr>
                <w:rFonts w:ascii="Arial" w:hAnsi="Arial"/>
                <w:color w:val="212529"/>
                <w:sz w:val="14"/>
              </w:rPr>
              <w:t>38.6</w:t>
            </w:r>
          </w:p>
        </w:tc>
        <w:tc>
          <w:tcPr>
            <w:tcW w:type="dxa" w:w="1170"/>
            <w:shd w:fill="FFFFFF"/>
            <w:tcMar>
              <w:top w:w="45" w:type="dxa"/>
              <w:bottom w:w="45" w:type="dxa"/>
              <w:left w:w="45" w:type="dxa"/>
              <w:right w:w="45" w:type="dxa"/>
            </w:tcMar>
          </w:tcPr>
          <w:p>
            <w:pPr>
              <w:jc w:val="center"/>
            </w:pPr>
            <w:r>
              <w:rPr>
                <w:rFonts w:ascii="Arial" w:hAnsi="Arial"/>
                <w:color w:val="212529"/>
                <w:sz w:val="14"/>
              </w:rPr>
              <w:t>945</w:t>
            </w:r>
          </w:p>
        </w:tc>
      </w:tr>
      <w:tr>
        <w:tc>
          <w:tcPr>
            <w:tcW w:type="dxa" w:w="1170"/>
            <w:shd w:fill="F8FAFC"/>
            <w:tcMar>
              <w:top w:w="45" w:type="dxa"/>
              <w:bottom w:w="45" w:type="dxa"/>
              <w:left w:w="45" w:type="dxa"/>
              <w:right w:w="45" w:type="dxa"/>
            </w:tcMar>
          </w:tcPr>
          <w:p>
            <w:pPr>
              <w:jc w:val="left"/>
            </w:pPr>
            <w:r>
              <w:rPr>
                <w:rFonts w:ascii="Arial" w:hAnsi="Arial"/>
                <w:b/>
                <w:color w:val="212529"/>
                <w:sz w:val="14"/>
              </w:rPr>
              <w:t>**Tokyo**</w:t>
            </w:r>
          </w:p>
        </w:tc>
        <w:tc>
          <w:tcPr>
            <w:tcW w:type="dxa" w:w="1170"/>
            <w:shd w:fill="F8FAFC"/>
            <w:tcMar>
              <w:top w:w="45" w:type="dxa"/>
              <w:bottom w:w="45" w:type="dxa"/>
              <w:left w:w="45" w:type="dxa"/>
              <w:right w:w="45" w:type="dxa"/>
            </w:tcMar>
          </w:tcPr>
          <w:p>
            <w:pPr>
              <w:jc w:val="center"/>
            </w:pPr>
            <w:r>
              <w:rPr>
                <w:rFonts w:ascii="Arial" w:hAnsi="Arial"/>
                <w:color w:val="212529"/>
                <w:sz w:val="14"/>
              </w:rPr>
              <w:t>Cfa</w:t>
            </w:r>
          </w:p>
        </w:tc>
        <w:tc>
          <w:tcPr>
            <w:tcW w:type="dxa" w:w="1170"/>
            <w:shd w:fill="F8FAFC"/>
            <w:tcMar>
              <w:top w:w="45" w:type="dxa"/>
              <w:bottom w:w="45" w:type="dxa"/>
              <w:left w:w="45" w:type="dxa"/>
              <w:right w:w="45" w:type="dxa"/>
            </w:tcMar>
          </w:tcPr>
          <w:p>
            <w:pPr>
              <w:jc w:val="center"/>
            </w:pPr>
            <w:r>
              <w:rPr>
                <w:rFonts w:ascii="Arial" w:hAnsi="Arial"/>
                <w:color w:val="212529"/>
                <w:sz w:val="14"/>
              </w:rPr>
              <w:t>June 25–July 1, 2022</w:t>
            </w:r>
          </w:p>
        </w:tc>
        <w:tc>
          <w:tcPr>
            <w:tcW w:type="dxa" w:w="1170"/>
            <w:shd w:fill="F8FAFC"/>
            <w:tcMar>
              <w:top w:w="45" w:type="dxa"/>
              <w:bottom w:w="45" w:type="dxa"/>
              <w:left w:w="45" w:type="dxa"/>
              <w:right w:w="45" w:type="dxa"/>
            </w:tcMar>
          </w:tcPr>
          <w:p>
            <w:pPr>
              <w:jc w:val="center"/>
            </w:pPr>
            <w:r>
              <w:rPr>
                <w:rFonts w:ascii="Arial" w:hAnsi="Arial"/>
                <w:color w:val="212529"/>
                <w:sz w:val="14"/>
              </w:rPr>
              <w:t>36.8</w:t>
            </w:r>
          </w:p>
        </w:tc>
        <w:tc>
          <w:tcPr>
            <w:tcW w:type="dxa" w:w="1170"/>
            <w:shd w:fill="F8FAFC"/>
            <w:tcMar>
              <w:top w:w="45" w:type="dxa"/>
              <w:bottom w:w="45" w:type="dxa"/>
              <w:left w:w="45" w:type="dxa"/>
              <w:right w:w="45" w:type="dxa"/>
            </w:tcMar>
          </w:tcPr>
          <w:p>
            <w:pPr>
              <w:jc w:val="center"/>
            </w:pPr>
            <w:r>
              <w:rPr>
                <w:rFonts w:ascii="Arial" w:hAnsi="Arial"/>
                <w:color w:val="212529"/>
                <w:sz w:val="14"/>
              </w:rPr>
              <w:t>25.4</w:t>
            </w:r>
          </w:p>
        </w:tc>
        <w:tc>
          <w:tcPr>
            <w:tcW w:type="dxa" w:w="1170"/>
            <w:shd w:fill="F8FAFC"/>
            <w:tcMar>
              <w:top w:w="45" w:type="dxa"/>
              <w:bottom w:w="45" w:type="dxa"/>
              <w:left w:w="45" w:type="dxa"/>
              <w:right w:w="45" w:type="dxa"/>
            </w:tcMar>
          </w:tcPr>
          <w:p>
            <w:pPr>
              <w:jc w:val="center"/>
            </w:pPr>
            <w:r>
              <w:rPr>
                <w:rFonts w:ascii="Arial" w:hAnsi="Arial"/>
                <w:color w:val="212529"/>
                <w:sz w:val="14"/>
              </w:rPr>
              <w:t>1.6</w:t>
            </w:r>
          </w:p>
        </w:tc>
        <w:tc>
          <w:tcPr>
            <w:tcW w:type="dxa" w:w="1170"/>
            <w:shd w:fill="F8FAFC"/>
            <w:tcMar>
              <w:top w:w="45" w:type="dxa"/>
              <w:bottom w:w="45" w:type="dxa"/>
              <w:left w:w="45" w:type="dxa"/>
              <w:right w:w="45" w:type="dxa"/>
            </w:tcMar>
          </w:tcPr>
          <w:p>
            <w:pPr>
              <w:jc w:val="center"/>
            </w:pPr>
            <w:r>
              <w:rPr>
                <w:rFonts w:ascii="Arial" w:hAnsi="Arial"/>
                <w:color w:val="212529"/>
                <w:sz w:val="14"/>
              </w:rPr>
              <w:t>72.1</w:t>
            </w:r>
          </w:p>
        </w:tc>
        <w:tc>
          <w:tcPr>
            <w:tcW w:type="dxa" w:w="1170"/>
            <w:shd w:fill="F8FAFC"/>
            <w:tcMar>
              <w:top w:w="45" w:type="dxa"/>
              <w:bottom w:w="45" w:type="dxa"/>
              <w:left w:w="45" w:type="dxa"/>
              <w:right w:w="45" w:type="dxa"/>
            </w:tcMar>
          </w:tcPr>
          <w:p>
            <w:pPr>
              <w:jc w:val="center"/>
            </w:pPr>
            <w:r>
              <w:rPr>
                <w:rFonts w:ascii="Arial" w:hAnsi="Arial"/>
                <w:color w:val="212529"/>
                <w:sz w:val="14"/>
              </w:rPr>
              <w:t>950</w:t>
            </w:r>
          </w:p>
        </w:tc>
      </w:tr>
      <w:tr>
        <w:tc>
          <w:tcPr>
            <w:tcW w:type="dxa" w:w="1170"/>
            <w:shd w:fill="FFFFFF"/>
            <w:tcMar>
              <w:top w:w="45" w:type="dxa"/>
              <w:bottom w:w="45" w:type="dxa"/>
              <w:left w:w="45" w:type="dxa"/>
              <w:right w:w="45" w:type="dxa"/>
            </w:tcMar>
          </w:tcPr>
          <w:p>
            <w:pPr>
              <w:jc w:val="left"/>
            </w:pPr>
            <w:r>
              <w:rPr>
                <w:rFonts w:ascii="Arial" w:hAnsi="Arial"/>
                <w:b/>
                <w:color w:val="212529"/>
                <w:sz w:val="14"/>
              </w:rPr>
              <w:t>**Beijing**</w:t>
            </w:r>
          </w:p>
        </w:tc>
        <w:tc>
          <w:tcPr>
            <w:tcW w:type="dxa" w:w="1170"/>
            <w:shd w:fill="FFFFFF"/>
            <w:tcMar>
              <w:top w:w="45" w:type="dxa"/>
              <w:bottom w:w="45" w:type="dxa"/>
              <w:left w:w="45" w:type="dxa"/>
              <w:right w:w="45" w:type="dxa"/>
            </w:tcMar>
          </w:tcPr>
          <w:p>
            <w:pPr>
              <w:jc w:val="center"/>
            </w:pPr>
            <w:r>
              <w:rPr>
                <w:rFonts w:ascii="Arial" w:hAnsi="Arial"/>
                <w:color w:val="212529"/>
                <w:sz w:val="14"/>
              </w:rPr>
              <w:t>Dwa</w:t>
            </w:r>
          </w:p>
        </w:tc>
        <w:tc>
          <w:tcPr>
            <w:tcW w:type="dxa" w:w="1170"/>
            <w:shd w:fill="FFFFFF"/>
            <w:tcMar>
              <w:top w:w="45" w:type="dxa"/>
              <w:bottom w:w="45" w:type="dxa"/>
              <w:left w:w="45" w:type="dxa"/>
              <w:right w:w="45" w:type="dxa"/>
            </w:tcMar>
          </w:tcPr>
          <w:p>
            <w:pPr>
              <w:jc w:val="center"/>
            </w:pPr>
            <w:r>
              <w:rPr>
                <w:rFonts w:ascii="Arial" w:hAnsi="Arial"/>
                <w:color w:val="212529"/>
                <w:sz w:val="14"/>
              </w:rPr>
              <w:t>June 20–26, 2022</w:t>
            </w:r>
          </w:p>
        </w:tc>
        <w:tc>
          <w:tcPr>
            <w:tcW w:type="dxa" w:w="1170"/>
            <w:shd w:fill="FFFFFF"/>
            <w:tcMar>
              <w:top w:w="45" w:type="dxa"/>
              <w:bottom w:w="45" w:type="dxa"/>
              <w:left w:w="45" w:type="dxa"/>
              <w:right w:w="45" w:type="dxa"/>
            </w:tcMar>
          </w:tcPr>
          <w:p>
            <w:pPr>
              <w:jc w:val="center"/>
            </w:pPr>
            <w:r>
              <w:rPr>
                <w:rFonts w:ascii="Arial" w:hAnsi="Arial"/>
                <w:color w:val="212529"/>
                <w:sz w:val="14"/>
              </w:rPr>
              <w:t>39.5</w:t>
            </w:r>
          </w:p>
        </w:tc>
        <w:tc>
          <w:tcPr>
            <w:tcW w:type="dxa" w:w="1170"/>
            <w:shd w:fill="FFFFFF"/>
            <w:tcMar>
              <w:top w:w="45" w:type="dxa"/>
              <w:bottom w:w="45" w:type="dxa"/>
              <w:left w:w="45" w:type="dxa"/>
              <w:right w:w="45" w:type="dxa"/>
            </w:tcMar>
          </w:tcPr>
          <w:p>
            <w:pPr>
              <w:jc w:val="center"/>
            </w:pPr>
            <w:r>
              <w:rPr>
                <w:rFonts w:ascii="Arial" w:hAnsi="Arial"/>
                <w:color w:val="212529"/>
                <w:sz w:val="14"/>
              </w:rPr>
              <w:t>24.1</w:t>
            </w:r>
          </w:p>
        </w:tc>
        <w:tc>
          <w:tcPr>
            <w:tcW w:type="dxa" w:w="1170"/>
            <w:shd w:fill="FFFFFF"/>
            <w:tcMar>
              <w:top w:w="45" w:type="dxa"/>
              <w:bottom w:w="45" w:type="dxa"/>
              <w:left w:w="45" w:type="dxa"/>
              <w:right w:w="45" w:type="dxa"/>
            </w:tcMar>
          </w:tcPr>
          <w:p>
            <w:pPr>
              <w:jc w:val="center"/>
            </w:pPr>
            <w:r>
              <w:rPr>
                <w:rFonts w:ascii="Arial" w:hAnsi="Arial"/>
                <w:color w:val="212529"/>
                <w:sz w:val="14"/>
              </w:rPr>
              <w:t>2.0</w:t>
            </w:r>
          </w:p>
        </w:tc>
        <w:tc>
          <w:tcPr>
            <w:tcW w:type="dxa" w:w="1170"/>
            <w:shd w:fill="FFFFFF"/>
            <w:tcMar>
              <w:top w:w="45" w:type="dxa"/>
              <w:bottom w:w="45" w:type="dxa"/>
              <w:left w:w="45" w:type="dxa"/>
              <w:right w:w="45" w:type="dxa"/>
            </w:tcMar>
          </w:tcPr>
          <w:p>
            <w:pPr>
              <w:jc w:val="center"/>
            </w:pPr>
            <w:r>
              <w:rPr>
                <w:rFonts w:ascii="Arial" w:hAnsi="Arial"/>
                <w:color w:val="212529"/>
                <w:sz w:val="14"/>
              </w:rPr>
              <w:t>45.3</w:t>
            </w:r>
          </w:p>
        </w:tc>
        <w:tc>
          <w:tcPr>
            <w:tcW w:type="dxa" w:w="1170"/>
            <w:shd w:fill="FFFFFF"/>
            <w:tcMar>
              <w:top w:w="45" w:type="dxa"/>
              <w:bottom w:w="45" w:type="dxa"/>
              <w:left w:w="45" w:type="dxa"/>
              <w:right w:w="45" w:type="dxa"/>
            </w:tcMar>
          </w:tcPr>
          <w:p>
            <w:pPr>
              <w:jc w:val="center"/>
            </w:pPr>
            <w:r>
              <w:rPr>
                <w:rFonts w:ascii="Arial" w:hAnsi="Arial"/>
                <w:color w:val="212529"/>
                <w:sz w:val="14"/>
              </w:rPr>
              <w:t>970</w:t>
            </w:r>
          </w:p>
        </w:tc>
      </w:tr>
      <w:tr>
        <w:tc>
          <w:tcPr>
            <w:tcW w:type="dxa" w:w="1170"/>
            <w:shd w:fill="F8FAFC"/>
            <w:tcMar>
              <w:top w:w="45" w:type="dxa"/>
              <w:bottom w:w="45" w:type="dxa"/>
              <w:left w:w="45" w:type="dxa"/>
              <w:right w:w="45" w:type="dxa"/>
            </w:tcMar>
          </w:tcPr>
          <w:p>
            <w:pPr>
              <w:jc w:val="left"/>
            </w:pPr>
            <w:r>
              <w:rPr>
                <w:rFonts w:ascii="Arial" w:hAnsi="Arial"/>
                <w:b/>
                <w:color w:val="212529"/>
                <w:sz w:val="14"/>
              </w:rPr>
              <w:t>**Cairo**</w:t>
            </w:r>
          </w:p>
        </w:tc>
        <w:tc>
          <w:tcPr>
            <w:tcW w:type="dxa" w:w="1170"/>
            <w:shd w:fill="F8FAFC"/>
            <w:tcMar>
              <w:top w:w="45" w:type="dxa"/>
              <w:bottom w:w="45" w:type="dxa"/>
              <w:left w:w="45" w:type="dxa"/>
              <w:right w:w="45" w:type="dxa"/>
            </w:tcMar>
          </w:tcPr>
          <w:p>
            <w:pPr>
              <w:jc w:val="center"/>
            </w:pPr>
            <w:r>
              <w:rPr>
                <w:rFonts w:ascii="Arial" w:hAnsi="Arial"/>
                <w:color w:val="212529"/>
                <w:sz w:val="14"/>
              </w:rPr>
              <w:t>BWh</w:t>
            </w:r>
          </w:p>
        </w:tc>
        <w:tc>
          <w:tcPr>
            <w:tcW w:type="dxa" w:w="1170"/>
            <w:shd w:fill="F8FAFC"/>
            <w:tcMar>
              <w:top w:w="45" w:type="dxa"/>
              <w:bottom w:w="45" w:type="dxa"/>
              <w:left w:w="45" w:type="dxa"/>
              <w:right w:w="45" w:type="dxa"/>
            </w:tcMar>
          </w:tcPr>
          <w:p>
            <w:pPr>
              <w:jc w:val="center"/>
            </w:pPr>
            <w:r>
              <w:rPr>
                <w:rFonts w:ascii="Arial" w:hAnsi="Arial"/>
                <w:color w:val="212529"/>
                <w:sz w:val="14"/>
              </w:rPr>
              <w:t>July 25–31, 2022</w:t>
            </w:r>
          </w:p>
        </w:tc>
        <w:tc>
          <w:tcPr>
            <w:tcW w:type="dxa" w:w="1170"/>
            <w:shd w:fill="F8FAFC"/>
            <w:tcMar>
              <w:top w:w="45" w:type="dxa"/>
              <w:bottom w:w="45" w:type="dxa"/>
              <w:left w:w="45" w:type="dxa"/>
              <w:right w:w="45" w:type="dxa"/>
            </w:tcMar>
          </w:tcPr>
          <w:p>
            <w:pPr>
              <w:jc w:val="center"/>
            </w:pPr>
            <w:r>
              <w:rPr>
                <w:rFonts w:ascii="Arial" w:hAnsi="Arial"/>
                <w:color w:val="212529"/>
                <w:sz w:val="14"/>
              </w:rPr>
              <w:t>42.6</w:t>
            </w:r>
          </w:p>
        </w:tc>
        <w:tc>
          <w:tcPr>
            <w:tcW w:type="dxa" w:w="1170"/>
            <w:shd w:fill="F8FAFC"/>
            <w:tcMar>
              <w:top w:w="45" w:type="dxa"/>
              <w:bottom w:w="45" w:type="dxa"/>
              <w:left w:w="45" w:type="dxa"/>
              <w:right w:w="45" w:type="dxa"/>
            </w:tcMar>
          </w:tcPr>
          <w:p>
            <w:pPr>
              <w:jc w:val="center"/>
            </w:pPr>
            <w:r>
              <w:rPr>
                <w:rFonts w:ascii="Arial" w:hAnsi="Arial"/>
                <w:color w:val="212529"/>
                <w:sz w:val="14"/>
              </w:rPr>
              <w:t>25.8</w:t>
            </w:r>
          </w:p>
        </w:tc>
        <w:tc>
          <w:tcPr>
            <w:tcW w:type="dxa" w:w="1170"/>
            <w:shd w:fill="F8FAFC"/>
            <w:tcMar>
              <w:top w:w="45" w:type="dxa"/>
              <w:bottom w:w="45" w:type="dxa"/>
              <w:left w:w="45" w:type="dxa"/>
              <w:right w:w="45" w:type="dxa"/>
            </w:tcMar>
          </w:tcPr>
          <w:p>
            <w:pPr>
              <w:jc w:val="center"/>
            </w:pPr>
            <w:r>
              <w:rPr>
                <w:rFonts w:ascii="Arial" w:hAnsi="Arial"/>
                <w:color w:val="212529"/>
                <w:sz w:val="14"/>
              </w:rPr>
              <w:t>2.8</w:t>
            </w:r>
          </w:p>
        </w:tc>
        <w:tc>
          <w:tcPr>
            <w:tcW w:type="dxa" w:w="1170"/>
            <w:shd w:fill="F8FAFC"/>
            <w:tcMar>
              <w:top w:w="45" w:type="dxa"/>
              <w:bottom w:w="45" w:type="dxa"/>
              <w:left w:w="45" w:type="dxa"/>
              <w:right w:w="45" w:type="dxa"/>
            </w:tcMar>
          </w:tcPr>
          <w:p>
            <w:pPr>
              <w:jc w:val="center"/>
            </w:pPr>
            <w:r>
              <w:rPr>
                <w:rFonts w:ascii="Arial" w:hAnsi="Arial"/>
                <w:color w:val="212529"/>
                <w:sz w:val="14"/>
              </w:rPr>
              <w:t>32.1</w:t>
            </w:r>
          </w:p>
        </w:tc>
        <w:tc>
          <w:tcPr>
            <w:tcW w:type="dxa" w:w="1170"/>
            <w:shd w:fill="F8FAFC"/>
            <w:tcMar>
              <w:top w:w="45" w:type="dxa"/>
              <w:bottom w:w="45" w:type="dxa"/>
              <w:left w:w="45" w:type="dxa"/>
              <w:right w:w="45" w:type="dxa"/>
            </w:tcMar>
          </w:tcPr>
          <w:p>
            <w:pPr>
              <w:jc w:val="center"/>
            </w:pPr>
            <w:r>
              <w:rPr>
                <w:rFonts w:ascii="Arial" w:hAnsi="Arial"/>
                <w:color w:val="212529"/>
                <w:sz w:val="14"/>
              </w:rPr>
              <w:t>1010</w:t>
            </w:r>
          </w:p>
        </w:tc>
      </w:tr>
      <w:tr>
        <w:tc>
          <w:tcPr>
            <w:tcW w:type="dxa" w:w="1170"/>
            <w:shd w:fill="FFFFFF"/>
            <w:tcMar>
              <w:top w:w="45" w:type="dxa"/>
              <w:bottom w:w="45" w:type="dxa"/>
              <w:left w:w="45" w:type="dxa"/>
              <w:right w:w="45" w:type="dxa"/>
            </w:tcMar>
          </w:tcPr>
          <w:p>
            <w:pPr>
              <w:jc w:val="left"/>
            </w:pPr>
            <w:r>
              <w:rPr>
                <w:rFonts w:ascii="Arial" w:hAnsi="Arial"/>
                <w:b/>
                <w:color w:val="212529"/>
                <w:sz w:val="14"/>
              </w:rPr>
              <w:t>**Athens**</w:t>
            </w:r>
          </w:p>
        </w:tc>
        <w:tc>
          <w:tcPr>
            <w:tcW w:type="dxa" w:w="1170"/>
            <w:shd w:fill="FFFFFF"/>
            <w:tcMar>
              <w:top w:w="45" w:type="dxa"/>
              <w:bottom w:w="45" w:type="dxa"/>
              <w:left w:w="45" w:type="dxa"/>
              <w:right w:w="45" w:type="dxa"/>
            </w:tcMar>
          </w:tcPr>
          <w:p>
            <w:pPr>
              <w:jc w:val="center"/>
            </w:pPr>
            <w:r>
              <w:rPr>
                <w:rFonts w:ascii="Arial" w:hAnsi="Arial"/>
                <w:color w:val="212529"/>
                <w:sz w:val="14"/>
              </w:rPr>
              <w:t>Csa</w:t>
            </w:r>
          </w:p>
        </w:tc>
        <w:tc>
          <w:tcPr>
            <w:tcW w:type="dxa" w:w="1170"/>
            <w:shd w:fill="FFFFFF"/>
            <w:tcMar>
              <w:top w:w="45" w:type="dxa"/>
              <w:bottom w:w="45" w:type="dxa"/>
              <w:left w:w="45" w:type="dxa"/>
              <w:right w:w="45" w:type="dxa"/>
            </w:tcMar>
          </w:tcPr>
          <w:p>
            <w:pPr>
              <w:jc w:val="center"/>
            </w:pPr>
            <w:r>
              <w:rPr>
                <w:rFonts w:ascii="Arial" w:hAnsi="Arial"/>
                <w:color w:val="212529"/>
                <w:sz w:val="14"/>
              </w:rPr>
              <w:t>July 22–28, 2022</w:t>
            </w:r>
          </w:p>
        </w:tc>
        <w:tc>
          <w:tcPr>
            <w:tcW w:type="dxa" w:w="1170"/>
            <w:shd w:fill="FFFFFF"/>
            <w:tcMar>
              <w:top w:w="45" w:type="dxa"/>
              <w:bottom w:w="45" w:type="dxa"/>
              <w:left w:w="45" w:type="dxa"/>
              <w:right w:w="45" w:type="dxa"/>
            </w:tcMar>
          </w:tcPr>
          <w:p>
            <w:pPr>
              <w:jc w:val="center"/>
            </w:pPr>
            <w:r>
              <w:rPr>
                <w:rFonts w:ascii="Arial" w:hAnsi="Arial"/>
                <w:color w:val="212529"/>
                <w:sz w:val="14"/>
              </w:rPr>
              <w:t>41.8</w:t>
            </w:r>
          </w:p>
        </w:tc>
        <w:tc>
          <w:tcPr>
            <w:tcW w:type="dxa" w:w="1170"/>
            <w:shd w:fill="FFFFFF"/>
            <w:tcMar>
              <w:top w:w="45" w:type="dxa"/>
              <w:bottom w:w="45" w:type="dxa"/>
              <w:left w:w="45" w:type="dxa"/>
              <w:right w:w="45" w:type="dxa"/>
            </w:tcMar>
          </w:tcPr>
          <w:p>
            <w:pPr>
              <w:jc w:val="center"/>
            </w:pPr>
            <w:r>
              <w:rPr>
                <w:rFonts w:ascii="Arial" w:hAnsi="Arial"/>
                <w:color w:val="212529"/>
                <w:sz w:val="14"/>
              </w:rPr>
              <w:t>27.2</w:t>
            </w:r>
          </w:p>
        </w:tc>
        <w:tc>
          <w:tcPr>
            <w:tcW w:type="dxa" w:w="1170"/>
            <w:shd w:fill="FFFFFF"/>
            <w:tcMar>
              <w:top w:w="45" w:type="dxa"/>
              <w:bottom w:w="45" w:type="dxa"/>
              <w:left w:w="45" w:type="dxa"/>
              <w:right w:w="45" w:type="dxa"/>
            </w:tcMar>
          </w:tcPr>
          <w:p>
            <w:pPr>
              <w:jc w:val="center"/>
            </w:pPr>
            <w:r>
              <w:rPr>
                <w:rFonts w:ascii="Arial" w:hAnsi="Arial"/>
                <w:color w:val="212529"/>
                <w:sz w:val="14"/>
              </w:rPr>
              <w:t>2.2</w:t>
            </w:r>
          </w:p>
        </w:tc>
        <w:tc>
          <w:tcPr>
            <w:tcW w:type="dxa" w:w="1170"/>
            <w:shd w:fill="FFFFFF"/>
            <w:tcMar>
              <w:top w:w="45" w:type="dxa"/>
              <w:bottom w:w="45" w:type="dxa"/>
              <w:left w:w="45" w:type="dxa"/>
              <w:right w:w="45" w:type="dxa"/>
            </w:tcMar>
          </w:tcPr>
          <w:p>
            <w:pPr>
              <w:jc w:val="center"/>
            </w:pPr>
            <w:r>
              <w:rPr>
                <w:rFonts w:ascii="Arial" w:hAnsi="Arial"/>
                <w:color w:val="212529"/>
                <w:sz w:val="14"/>
              </w:rPr>
              <w:t>28.4</w:t>
            </w:r>
          </w:p>
        </w:tc>
        <w:tc>
          <w:tcPr>
            <w:tcW w:type="dxa" w:w="1170"/>
            <w:shd w:fill="FFFFFF"/>
            <w:tcMar>
              <w:top w:w="45" w:type="dxa"/>
              <w:bottom w:w="45" w:type="dxa"/>
              <w:left w:w="45" w:type="dxa"/>
              <w:right w:w="45" w:type="dxa"/>
            </w:tcMar>
          </w:tcPr>
          <w:p>
            <w:pPr>
              <w:jc w:val="center"/>
            </w:pPr>
            <w:r>
              <w:rPr>
                <w:rFonts w:ascii="Arial" w:hAnsi="Arial"/>
                <w:color w:val="212529"/>
                <w:sz w:val="14"/>
              </w:rPr>
              <w:t>990</w:t>
            </w:r>
          </w:p>
        </w:tc>
      </w:tr>
      <w:tr>
        <w:tc>
          <w:tcPr>
            <w:tcW w:type="dxa" w:w="1170"/>
            <w:shd w:fill="F8FAFC"/>
            <w:tcMar>
              <w:top w:w="45" w:type="dxa"/>
              <w:bottom w:w="45" w:type="dxa"/>
              <w:left w:w="45" w:type="dxa"/>
              <w:right w:w="45" w:type="dxa"/>
            </w:tcMar>
          </w:tcPr>
          <w:p>
            <w:pPr>
              <w:jc w:val="left"/>
            </w:pPr>
            <w:r>
              <w:rPr>
                <w:rFonts w:ascii="Arial" w:hAnsi="Arial"/>
                <w:b/>
                <w:color w:val="212529"/>
                <w:sz w:val="14"/>
              </w:rPr>
              <w:t>**Basel**</w:t>
            </w:r>
          </w:p>
        </w:tc>
        <w:tc>
          <w:tcPr>
            <w:tcW w:type="dxa" w:w="1170"/>
            <w:shd w:fill="F8FAFC"/>
            <w:tcMar>
              <w:top w:w="45" w:type="dxa"/>
              <w:bottom w:w="45" w:type="dxa"/>
              <w:left w:w="45" w:type="dxa"/>
              <w:right w:w="45" w:type="dxa"/>
            </w:tcMar>
          </w:tcPr>
          <w:p>
            <w:pPr>
              <w:jc w:val="center"/>
            </w:pPr>
            <w:r>
              <w:rPr>
                <w:rFonts w:ascii="Arial" w:hAnsi="Arial"/>
                <w:color w:val="212529"/>
                <w:sz w:val="14"/>
              </w:rPr>
              <w:t>Cfb</w:t>
            </w:r>
          </w:p>
        </w:tc>
        <w:tc>
          <w:tcPr>
            <w:tcW w:type="dxa" w:w="1170"/>
            <w:shd w:fill="F8FAFC"/>
            <w:tcMar>
              <w:top w:w="45" w:type="dxa"/>
              <w:bottom w:w="45" w:type="dxa"/>
              <w:left w:w="45" w:type="dxa"/>
              <w:right w:w="45" w:type="dxa"/>
            </w:tcMar>
          </w:tcPr>
          <w:p>
            <w:pPr>
              <w:jc w:val="center"/>
            </w:pPr>
            <w:r>
              <w:rPr>
                <w:rFonts w:ascii="Arial" w:hAnsi="Arial"/>
                <w:color w:val="212529"/>
                <w:sz w:val="14"/>
              </w:rPr>
              <w:t>July 18–24, 2022</w:t>
            </w:r>
          </w:p>
        </w:tc>
        <w:tc>
          <w:tcPr>
            <w:tcW w:type="dxa" w:w="1170"/>
            <w:shd w:fill="F8FAFC"/>
            <w:tcMar>
              <w:top w:w="45" w:type="dxa"/>
              <w:bottom w:w="45" w:type="dxa"/>
              <w:left w:w="45" w:type="dxa"/>
              <w:right w:w="45" w:type="dxa"/>
            </w:tcMar>
          </w:tcPr>
          <w:p>
            <w:pPr>
              <w:jc w:val="center"/>
            </w:pPr>
            <w:r>
              <w:rPr>
                <w:rFonts w:ascii="Arial" w:hAnsi="Arial"/>
                <w:color w:val="212529"/>
                <w:sz w:val="14"/>
              </w:rPr>
              <w:t>37.4</w:t>
            </w:r>
          </w:p>
        </w:tc>
        <w:tc>
          <w:tcPr>
            <w:tcW w:type="dxa" w:w="1170"/>
            <w:shd w:fill="F8FAFC"/>
            <w:tcMar>
              <w:top w:w="45" w:type="dxa"/>
              <w:bottom w:w="45" w:type="dxa"/>
              <w:left w:w="45" w:type="dxa"/>
              <w:right w:w="45" w:type="dxa"/>
            </w:tcMar>
          </w:tcPr>
          <w:p>
            <w:pPr>
              <w:jc w:val="center"/>
            </w:pPr>
            <w:r>
              <w:rPr>
                <w:rFonts w:ascii="Arial" w:hAnsi="Arial"/>
                <w:color w:val="212529"/>
                <w:sz w:val="14"/>
              </w:rPr>
              <w:t>17.8</w:t>
            </w:r>
          </w:p>
        </w:tc>
        <w:tc>
          <w:tcPr>
            <w:tcW w:type="dxa" w:w="1170"/>
            <w:shd w:fill="F8FAFC"/>
            <w:tcMar>
              <w:top w:w="45" w:type="dxa"/>
              <w:bottom w:w="45" w:type="dxa"/>
              <w:left w:w="45" w:type="dxa"/>
              <w:right w:w="45" w:type="dxa"/>
            </w:tcMar>
          </w:tcPr>
          <w:p>
            <w:pPr>
              <w:jc w:val="center"/>
            </w:pPr>
            <w:r>
              <w:rPr>
                <w:rFonts w:ascii="Arial" w:hAnsi="Arial"/>
                <w:color w:val="212529"/>
                <w:sz w:val="14"/>
              </w:rPr>
              <w:t>1.9</w:t>
            </w:r>
          </w:p>
        </w:tc>
        <w:tc>
          <w:tcPr>
            <w:tcW w:type="dxa" w:w="1170"/>
            <w:shd w:fill="F8FAFC"/>
            <w:tcMar>
              <w:top w:w="45" w:type="dxa"/>
              <w:bottom w:w="45" w:type="dxa"/>
              <w:left w:w="45" w:type="dxa"/>
              <w:right w:w="45" w:type="dxa"/>
            </w:tcMar>
          </w:tcPr>
          <w:p>
            <w:pPr>
              <w:jc w:val="center"/>
            </w:pPr>
            <w:r>
              <w:rPr>
                <w:rFonts w:ascii="Arial" w:hAnsi="Arial"/>
                <w:color w:val="212529"/>
                <w:sz w:val="14"/>
              </w:rPr>
              <w:t>42.1</w:t>
            </w:r>
          </w:p>
        </w:tc>
        <w:tc>
          <w:tcPr>
            <w:tcW w:type="dxa" w:w="1170"/>
            <w:shd w:fill="F8FAFC"/>
            <w:tcMar>
              <w:top w:w="45" w:type="dxa"/>
              <w:bottom w:w="45" w:type="dxa"/>
              <w:left w:w="45" w:type="dxa"/>
              <w:right w:w="45" w:type="dxa"/>
            </w:tcMar>
          </w:tcPr>
          <w:p>
            <w:pPr>
              <w:jc w:val="center"/>
            </w:pPr>
            <w:r>
              <w:rPr>
                <w:rFonts w:ascii="Arial" w:hAnsi="Arial"/>
                <w:color w:val="212529"/>
                <w:sz w:val="14"/>
              </w:rPr>
              <w:t>940</w:t>
            </w:r>
          </w:p>
        </w:tc>
      </w:tr>
      <w:tr>
        <w:tc>
          <w:tcPr>
            <w:tcW w:type="dxa" w:w="1170"/>
            <w:shd w:fill="FFFFFF"/>
            <w:tcMar>
              <w:top w:w="45" w:type="dxa"/>
              <w:bottom w:w="45" w:type="dxa"/>
              <w:left w:w="45" w:type="dxa"/>
              <w:right w:w="45" w:type="dxa"/>
            </w:tcMar>
          </w:tcPr>
          <w:p>
            <w:pPr>
              <w:jc w:val="left"/>
            </w:pPr>
            <w:r>
              <w:rPr>
                <w:rFonts w:ascii="Arial" w:hAnsi="Arial"/>
                <w:b/>
                <w:color w:val="212529"/>
                <w:sz w:val="14"/>
              </w:rPr>
              <w:t>**Sydney**</w:t>
            </w:r>
          </w:p>
        </w:tc>
        <w:tc>
          <w:tcPr>
            <w:tcW w:type="dxa" w:w="1170"/>
            <w:shd w:fill="FFFFFF"/>
            <w:tcMar>
              <w:top w:w="45" w:type="dxa"/>
              <w:bottom w:w="45" w:type="dxa"/>
              <w:left w:w="45" w:type="dxa"/>
              <w:right w:w="45" w:type="dxa"/>
            </w:tcMar>
          </w:tcPr>
          <w:p>
            <w:pPr>
              <w:jc w:val="center"/>
            </w:pPr>
            <w:r>
              <w:rPr>
                <w:rFonts w:ascii="Arial" w:hAnsi="Arial"/>
                <w:color w:val="212529"/>
                <w:sz w:val="14"/>
              </w:rPr>
              <w:t>Cfa</w:t>
            </w:r>
          </w:p>
        </w:tc>
        <w:tc>
          <w:tcPr>
            <w:tcW w:type="dxa" w:w="1170"/>
            <w:shd w:fill="FFFFFF"/>
            <w:tcMar>
              <w:top w:w="45" w:type="dxa"/>
              <w:bottom w:w="45" w:type="dxa"/>
              <w:left w:w="45" w:type="dxa"/>
              <w:right w:w="45" w:type="dxa"/>
            </w:tcMar>
          </w:tcPr>
          <w:p>
            <w:pPr>
              <w:jc w:val="center"/>
            </w:pPr>
            <w:r>
              <w:rPr>
                <w:rFonts w:ascii="Arial" w:hAnsi="Arial"/>
                <w:color w:val="212529"/>
                <w:sz w:val="14"/>
              </w:rPr>
              <w:t>January 15–21, 2022</w:t>
            </w:r>
          </w:p>
        </w:tc>
        <w:tc>
          <w:tcPr>
            <w:tcW w:type="dxa" w:w="1170"/>
            <w:shd w:fill="FFFFFF"/>
            <w:tcMar>
              <w:top w:w="45" w:type="dxa"/>
              <w:bottom w:w="45" w:type="dxa"/>
              <w:left w:w="45" w:type="dxa"/>
              <w:right w:w="45" w:type="dxa"/>
            </w:tcMar>
          </w:tcPr>
          <w:p>
            <w:pPr>
              <w:jc w:val="center"/>
            </w:pPr>
            <w:r>
              <w:rPr>
                <w:rFonts w:ascii="Arial" w:hAnsi="Arial"/>
                <w:color w:val="212529"/>
                <w:sz w:val="14"/>
              </w:rPr>
              <w:t>35.2</w:t>
            </w:r>
          </w:p>
        </w:tc>
        <w:tc>
          <w:tcPr>
            <w:tcW w:type="dxa" w:w="1170"/>
            <w:shd w:fill="FFFFFF"/>
            <w:tcMar>
              <w:top w:w="45" w:type="dxa"/>
              <w:bottom w:w="45" w:type="dxa"/>
              <w:left w:w="45" w:type="dxa"/>
              <w:right w:w="45" w:type="dxa"/>
            </w:tcMar>
          </w:tcPr>
          <w:p>
            <w:pPr>
              <w:jc w:val="center"/>
            </w:pPr>
            <w:r>
              <w:rPr>
                <w:rFonts w:ascii="Arial" w:hAnsi="Arial"/>
                <w:color w:val="212529"/>
                <w:sz w:val="14"/>
              </w:rPr>
              <w:t>19.4</w:t>
            </w:r>
          </w:p>
        </w:tc>
        <w:tc>
          <w:tcPr>
            <w:tcW w:type="dxa" w:w="1170"/>
            <w:shd w:fill="FFFFFF"/>
            <w:tcMar>
              <w:top w:w="45" w:type="dxa"/>
              <w:bottom w:w="45" w:type="dxa"/>
              <w:left w:w="45" w:type="dxa"/>
              <w:right w:w="45" w:type="dxa"/>
            </w:tcMar>
          </w:tcPr>
          <w:p>
            <w:pPr>
              <w:jc w:val="center"/>
            </w:pPr>
            <w:r>
              <w:rPr>
                <w:rFonts w:ascii="Arial" w:hAnsi="Arial"/>
                <w:color w:val="212529"/>
                <w:sz w:val="14"/>
              </w:rPr>
              <w:t>2.5</w:t>
            </w:r>
          </w:p>
        </w:tc>
        <w:tc>
          <w:tcPr>
            <w:tcW w:type="dxa" w:w="1170"/>
            <w:shd w:fill="FFFFFF"/>
            <w:tcMar>
              <w:top w:w="45" w:type="dxa"/>
              <w:bottom w:w="45" w:type="dxa"/>
              <w:left w:w="45" w:type="dxa"/>
              <w:right w:w="45" w:type="dxa"/>
            </w:tcMar>
          </w:tcPr>
          <w:p>
            <w:pPr>
              <w:jc w:val="center"/>
            </w:pPr>
            <w:r>
              <w:rPr>
                <w:rFonts w:ascii="Arial" w:hAnsi="Arial"/>
                <w:color w:val="212529"/>
                <w:sz w:val="14"/>
              </w:rPr>
              <w:t>65.4</w:t>
            </w:r>
          </w:p>
        </w:tc>
        <w:tc>
          <w:tcPr>
            <w:tcW w:type="dxa" w:w="1170"/>
            <w:shd w:fill="FFFFFF"/>
            <w:tcMar>
              <w:top w:w="45" w:type="dxa"/>
              <w:bottom w:w="45" w:type="dxa"/>
              <w:left w:w="45" w:type="dxa"/>
              <w:right w:w="45" w:type="dxa"/>
            </w:tcMar>
          </w:tcPr>
          <w:p>
            <w:pPr>
              <w:jc w:val="center"/>
            </w:pPr>
            <w:r>
              <w:rPr>
                <w:rFonts w:ascii="Arial" w:hAnsi="Arial"/>
                <w:color w:val="212529"/>
                <w:sz w:val="14"/>
              </w:rPr>
              <w:t>980</w:t>
            </w:r>
          </w:p>
        </w:tc>
      </w:tr>
      <w:tr>
        <w:tc>
          <w:tcPr>
            <w:tcW w:type="dxa" w:w="1170"/>
            <w:shd w:fill="F8FAFC"/>
            <w:tcMar>
              <w:top w:w="45" w:type="dxa"/>
              <w:bottom w:w="45" w:type="dxa"/>
              <w:left w:w="45" w:type="dxa"/>
              <w:right w:w="45" w:type="dxa"/>
            </w:tcMar>
          </w:tcPr>
          <w:p>
            <w:pPr>
              <w:jc w:val="left"/>
            </w:pPr>
            <w:r>
              <w:rPr>
                <w:rFonts w:ascii="Arial" w:hAnsi="Arial"/>
                <w:b/>
                <w:color w:val="212529"/>
                <w:sz w:val="14"/>
              </w:rPr>
              <w:t>**São Paulo**</w:t>
            </w:r>
          </w:p>
        </w:tc>
        <w:tc>
          <w:tcPr>
            <w:tcW w:type="dxa" w:w="1170"/>
            <w:shd w:fill="F8FAFC"/>
            <w:tcMar>
              <w:top w:w="45" w:type="dxa"/>
              <w:bottom w:w="45" w:type="dxa"/>
              <w:left w:w="45" w:type="dxa"/>
              <w:right w:w="45" w:type="dxa"/>
            </w:tcMar>
          </w:tcPr>
          <w:p>
            <w:pPr>
              <w:jc w:val="center"/>
            </w:pPr>
            <w:r>
              <w:rPr>
                <w:rFonts w:ascii="Arial" w:hAnsi="Arial"/>
                <w:color w:val="212529"/>
                <w:sz w:val="14"/>
              </w:rPr>
              <w:t>Cwa</w:t>
            </w:r>
          </w:p>
        </w:tc>
        <w:tc>
          <w:tcPr>
            <w:tcW w:type="dxa" w:w="1170"/>
            <w:shd w:fill="F8FAFC"/>
            <w:tcMar>
              <w:top w:w="45" w:type="dxa"/>
              <w:bottom w:w="45" w:type="dxa"/>
              <w:left w:w="45" w:type="dxa"/>
              <w:right w:w="45" w:type="dxa"/>
            </w:tcMar>
          </w:tcPr>
          <w:p>
            <w:pPr>
              <w:jc w:val="center"/>
            </w:pPr>
            <w:r>
              <w:rPr>
                <w:rFonts w:ascii="Arial" w:hAnsi="Arial"/>
                <w:color w:val="212529"/>
                <w:sz w:val="14"/>
              </w:rPr>
              <w:t>February 10–16, 2022</w:t>
            </w:r>
          </w:p>
        </w:tc>
        <w:tc>
          <w:tcPr>
            <w:tcW w:type="dxa" w:w="1170"/>
            <w:shd w:fill="F8FAFC"/>
            <w:tcMar>
              <w:top w:w="45" w:type="dxa"/>
              <w:bottom w:w="45" w:type="dxa"/>
              <w:left w:w="45" w:type="dxa"/>
              <w:right w:w="45" w:type="dxa"/>
            </w:tcMar>
          </w:tcPr>
          <w:p>
            <w:pPr>
              <w:jc w:val="center"/>
            </w:pPr>
            <w:r>
              <w:rPr>
                <w:rFonts w:ascii="Arial" w:hAnsi="Arial"/>
                <w:color w:val="212529"/>
                <w:sz w:val="14"/>
              </w:rPr>
              <w:t>33.8</w:t>
            </w:r>
          </w:p>
        </w:tc>
        <w:tc>
          <w:tcPr>
            <w:tcW w:type="dxa" w:w="1170"/>
            <w:shd w:fill="F8FAFC"/>
            <w:tcMar>
              <w:top w:w="45" w:type="dxa"/>
              <w:bottom w:w="45" w:type="dxa"/>
              <w:left w:w="45" w:type="dxa"/>
              <w:right w:w="45" w:type="dxa"/>
            </w:tcMar>
          </w:tcPr>
          <w:p>
            <w:pPr>
              <w:jc w:val="center"/>
            </w:pPr>
            <w:r>
              <w:rPr>
                <w:rFonts w:ascii="Arial" w:hAnsi="Arial"/>
                <w:color w:val="212529"/>
                <w:sz w:val="14"/>
              </w:rPr>
              <w:t>19.8</w:t>
            </w:r>
          </w:p>
        </w:tc>
        <w:tc>
          <w:tcPr>
            <w:tcW w:type="dxa" w:w="1170"/>
            <w:shd w:fill="F8FAFC"/>
            <w:tcMar>
              <w:top w:w="45" w:type="dxa"/>
              <w:bottom w:w="45" w:type="dxa"/>
              <w:left w:w="45" w:type="dxa"/>
              <w:right w:w="45" w:type="dxa"/>
            </w:tcMar>
          </w:tcPr>
          <w:p>
            <w:pPr>
              <w:jc w:val="center"/>
            </w:pPr>
            <w:r>
              <w:rPr>
                <w:rFonts w:ascii="Arial" w:hAnsi="Arial"/>
                <w:color w:val="212529"/>
                <w:sz w:val="14"/>
              </w:rPr>
              <w:t>2.0</w:t>
            </w:r>
          </w:p>
        </w:tc>
        <w:tc>
          <w:tcPr>
            <w:tcW w:type="dxa" w:w="1170"/>
            <w:shd w:fill="F8FAFC"/>
            <w:tcMar>
              <w:top w:w="45" w:type="dxa"/>
              <w:bottom w:w="45" w:type="dxa"/>
              <w:left w:w="45" w:type="dxa"/>
              <w:right w:w="45" w:type="dxa"/>
            </w:tcMar>
          </w:tcPr>
          <w:p>
            <w:pPr>
              <w:jc w:val="center"/>
            </w:pPr>
            <w:r>
              <w:rPr>
                <w:rFonts w:ascii="Arial" w:hAnsi="Arial"/>
                <w:color w:val="212529"/>
                <w:sz w:val="14"/>
              </w:rPr>
              <w:t>71.2</w:t>
            </w:r>
          </w:p>
        </w:tc>
        <w:tc>
          <w:tcPr>
            <w:tcW w:type="dxa" w:w="1170"/>
            <w:shd w:fill="F8FAFC"/>
            <w:tcMar>
              <w:top w:w="45" w:type="dxa"/>
              <w:bottom w:w="45" w:type="dxa"/>
              <w:left w:w="45" w:type="dxa"/>
              <w:right w:w="45" w:type="dxa"/>
            </w:tcMar>
          </w:tcPr>
          <w:p>
            <w:pPr>
              <w:jc w:val="center"/>
            </w:pPr>
            <w:r>
              <w:rPr>
                <w:rFonts w:ascii="Arial" w:hAnsi="Arial"/>
                <w:color w:val="212529"/>
                <w:sz w:val="14"/>
              </w:rPr>
              <w:t>930</w:t>
            </w:r>
          </w:p>
        </w:tc>
      </w:tr>
    </w:tbl>
    <w:p>
      <w:pPr>
        <w:spacing w:after="120"/>
      </w:pPr>
    </w:p>
    <w:p>
      <w:pPr>
        <w:keepNext/>
        <w:spacing w:before="280" w:after="80"/>
      </w:pPr>
      <w:r>
        <w:rPr>
          <w:rFonts w:ascii="Arial" w:hAnsi="Arial"/>
          <w:b/>
          <w:color w:val="002B49"/>
          <w:sz w:val="24"/>
        </w:rPr>
        <w:t>Supplementary Table 3 | Plant Functional Type (PFT) physiological, hydraulic, and morphological parameters across representative urban tree taxa</w:t>
      </w:r>
    </w:p>
    <w:tbl>
      <w:tblPr>
        <w:tblW w:type="auto" w:w="0"/>
        <w:jc w:val="center"/>
        <w:tblLayout w:type="fixed"/>
        <w:tblLook w:firstColumn="1" w:firstRow="1" w:lastColumn="0" w:lastRow="0" w:noHBand="0" w:noVBand="1" w:val="04A0"/>
      </w:tblPr>
      <w:tblGrid>
        <w:gridCol w:w="1040"/>
        <w:gridCol w:w="1040"/>
        <w:gridCol w:w="1040"/>
        <w:gridCol w:w="1040"/>
        <w:gridCol w:w="1040"/>
        <w:gridCol w:w="1040"/>
        <w:gridCol w:w="1040"/>
        <w:gridCol w:w="1040"/>
        <w:gridCol w:w="1040"/>
      </w:tblGrid>
      <w:tr>
        <w:tc>
          <w:tcPr>
            <w:tcW w:type="dxa" w:w="1040"/>
            <w:shd w:fill="002B49"/>
            <w:tcMar>
              <w:top w:w="70" w:type="dxa"/>
              <w:bottom w:w="70" w:type="dxa"/>
              <w:left w:w="50" w:type="dxa"/>
              <w:right w:w="50" w:type="dxa"/>
            </w:tcMar>
          </w:tcPr>
          <w:p>
            <w:pPr>
              <w:jc w:val="center"/>
            </w:pPr>
            <w:r>
              <w:rPr>
                <w:rFonts w:ascii="Arial" w:hAnsi="Arial"/>
                <w:b/>
                <w:color w:val="FFFFFF"/>
                <w:sz w:val="15"/>
              </w:rPr>
              <w:t>City</w:t>
            </w:r>
          </w:p>
        </w:tc>
        <w:tc>
          <w:tcPr>
            <w:tcW w:type="dxa" w:w="1040"/>
            <w:shd w:fill="002B49"/>
            <w:tcMar>
              <w:top w:w="70" w:type="dxa"/>
              <w:bottom w:w="70" w:type="dxa"/>
              <w:left w:w="50" w:type="dxa"/>
              <w:right w:w="50" w:type="dxa"/>
            </w:tcMar>
          </w:tcPr>
          <w:p>
            <w:pPr>
              <w:jc w:val="center"/>
            </w:pPr>
            <w:r>
              <w:rPr>
                <w:rFonts w:ascii="Arial" w:hAnsi="Arial"/>
                <w:b/>
                <w:color w:val="FFFFFF"/>
                <w:sz w:val="15"/>
              </w:rPr>
              <w:t>Köppen</w:t>
            </w:r>
          </w:p>
        </w:tc>
        <w:tc>
          <w:tcPr>
            <w:tcW w:type="dxa" w:w="1040"/>
            <w:shd w:fill="002B49"/>
            <w:tcMar>
              <w:top w:w="70" w:type="dxa"/>
              <w:bottom w:w="70" w:type="dxa"/>
              <w:left w:w="50" w:type="dxa"/>
              <w:right w:w="50" w:type="dxa"/>
            </w:tcMar>
          </w:tcPr>
          <w:p>
            <w:pPr>
              <w:jc w:val="center"/>
            </w:pPr>
            <w:r>
              <w:rPr>
                <w:rFonts w:ascii="Arial" w:hAnsi="Arial"/>
                <w:b/>
                <w:color w:val="FFFFFF"/>
                <w:sz w:val="15"/>
              </w:rPr>
              <w:t>Assigned PFT</w:t>
            </w:r>
          </w:p>
        </w:tc>
        <w:tc>
          <w:tcPr>
            <w:tcW w:type="dxa" w:w="1040"/>
            <w:shd w:fill="002B49"/>
            <w:tcMar>
              <w:top w:w="70" w:type="dxa"/>
              <w:bottom w:w="70" w:type="dxa"/>
              <w:left w:w="50" w:type="dxa"/>
              <w:right w:w="50" w:type="dxa"/>
            </w:tcMar>
          </w:tcPr>
          <w:p>
            <w:pPr>
              <w:jc w:val="center"/>
            </w:pPr>
            <w:r>
              <w:rPr>
                <w:rFonts w:ascii="Arial" w:hAnsi="Arial"/>
                <w:b/>
                <w:color w:val="FFFFFF"/>
                <w:sz w:val="15"/>
              </w:rPr>
              <w:t>Representative Species</w:t>
            </w:r>
          </w:p>
        </w:tc>
        <w:tc>
          <w:tcPr>
            <w:tcW w:type="dxa" w:w="1040"/>
            <w:shd w:fill="002B49"/>
            <w:tcMar>
              <w:top w:w="70" w:type="dxa"/>
              <w:bottom w:w="70" w:type="dxa"/>
              <w:left w:w="50" w:type="dxa"/>
              <w:right w:w="50" w:type="dxa"/>
            </w:tcMar>
          </w:tcPr>
          <w:p>
            <w:pPr>
              <w:jc w:val="center"/>
            </w:pPr>
            <w:r>
              <w:rPr>
                <w:rFonts w:ascii="Arial" w:hAnsi="Arial"/>
                <w:b/>
                <w:color w:val="FFFFFF"/>
                <w:sz w:val="15"/>
              </w:rPr>
              <w:t>LAI (m²/m²)</w:t>
            </w:r>
          </w:p>
        </w:tc>
        <w:tc>
          <w:tcPr>
            <w:tcW w:type="dxa" w:w="1040"/>
            <w:shd w:fill="002B49"/>
            <w:tcMar>
              <w:top w:w="70" w:type="dxa"/>
              <w:bottom w:w="70" w:type="dxa"/>
              <w:left w:w="50" w:type="dxa"/>
              <w:right w:w="50" w:type="dxa"/>
            </w:tcMar>
          </w:tcPr>
          <w:p>
            <w:pPr>
              <w:jc w:val="center"/>
            </w:pPr>
            <w:r>
              <w:rPr>
                <w:rFonts w:ascii="Arial" w:hAnsi="Arial"/>
                <w:b/>
                <w:color w:val="FFFFFF"/>
                <w:sz w:val="15"/>
              </w:rPr>
              <w:t>Crown Dia. (m)</w:t>
            </w:r>
          </w:p>
        </w:tc>
        <w:tc>
          <w:tcPr>
            <w:tcW w:type="dxa" w:w="1040"/>
            <w:shd w:fill="002B49"/>
            <w:tcMar>
              <w:top w:w="70" w:type="dxa"/>
              <w:bottom w:w="70" w:type="dxa"/>
              <w:left w:w="50" w:type="dxa"/>
              <w:right w:w="50" w:type="dxa"/>
            </w:tcMar>
          </w:tcPr>
          <w:p>
            <w:pPr>
              <w:jc w:val="center"/>
            </w:pPr>
            <w:r>
              <w:rPr>
                <w:rFonts w:ascii="Arial" w:hAnsi="Arial"/>
                <w:b/>
                <w:color w:val="FFFFFF"/>
                <w:sz w:val="15"/>
              </w:rPr>
              <w:t>ψ_50 (MPa)</w:t>
            </w:r>
          </w:p>
        </w:tc>
        <w:tc>
          <w:tcPr>
            <w:tcW w:type="dxa" w:w="1040"/>
            <w:shd w:fill="002B49"/>
            <w:tcMar>
              <w:top w:w="70" w:type="dxa"/>
              <w:bottom w:w="70" w:type="dxa"/>
              <w:left w:w="50" w:type="dxa"/>
              <w:right w:w="50" w:type="dxa"/>
            </w:tcMar>
          </w:tcPr>
          <w:p>
            <w:pPr>
              <w:jc w:val="center"/>
            </w:pPr>
            <w:r>
              <w:rPr>
                <w:rFonts w:ascii="Arial" w:hAnsi="Arial"/>
                <w:b/>
                <w:color w:val="FFFFFF"/>
                <w:sz w:val="15"/>
              </w:rPr>
              <w:t>g_max (m/s)</w:t>
            </w:r>
          </w:p>
        </w:tc>
        <w:tc>
          <w:tcPr>
            <w:tcW w:type="dxa" w:w="1040"/>
            <w:shd w:fill="002B49"/>
            <w:tcMar>
              <w:top w:w="70" w:type="dxa"/>
              <w:bottom w:w="70" w:type="dxa"/>
              <w:left w:w="50" w:type="dxa"/>
              <w:right w:w="50" w:type="dxa"/>
            </w:tcMar>
          </w:tcPr>
          <w:p>
            <w:pPr>
              <w:jc w:val="center"/>
            </w:pPr>
            <w:r>
              <w:rPr>
                <w:rFonts w:ascii="Arial" w:hAnsi="Arial"/>
                <w:b/>
                <w:color w:val="FFFFFF"/>
                <w:sz w:val="15"/>
              </w:rPr>
              <w:t>Soil Moisture Source</w:t>
            </w:r>
          </w:p>
        </w:tc>
      </w:tr>
      <w:tr>
        <w:tc>
          <w:tcPr>
            <w:tcW w:type="dxa" w:w="1040"/>
            <w:shd w:fill="FFFFFF"/>
            <w:tcMar>
              <w:top w:w="45" w:type="dxa"/>
              <w:bottom w:w="45" w:type="dxa"/>
              <w:left w:w="45" w:type="dxa"/>
              <w:right w:w="45" w:type="dxa"/>
            </w:tcMar>
          </w:tcPr>
          <w:p>
            <w:pPr>
              <w:jc w:val="left"/>
            </w:pPr>
            <w:r>
              <w:rPr>
                <w:rFonts w:ascii="Arial" w:hAnsi="Arial"/>
                <w:b/>
                <w:color w:val="212529"/>
                <w:sz w:val="14"/>
              </w:rPr>
              <w:t>**Madrid**</w:t>
            </w:r>
          </w:p>
        </w:tc>
        <w:tc>
          <w:tcPr>
            <w:tcW w:type="dxa" w:w="1040"/>
            <w:shd w:fill="FFFFFF"/>
            <w:tcMar>
              <w:top w:w="45" w:type="dxa"/>
              <w:bottom w:w="45" w:type="dxa"/>
              <w:left w:w="45" w:type="dxa"/>
              <w:right w:w="45" w:type="dxa"/>
            </w:tcMar>
          </w:tcPr>
          <w:p>
            <w:pPr>
              <w:jc w:val="center"/>
            </w:pPr>
            <w:r>
              <w:rPr>
                <w:rFonts w:ascii="Arial" w:hAnsi="Arial"/>
                <w:color w:val="212529"/>
                <w:sz w:val="14"/>
              </w:rPr>
              <w:t>Csa</w:t>
            </w:r>
          </w:p>
        </w:tc>
        <w:tc>
          <w:tcPr>
            <w:tcW w:type="dxa" w:w="1040"/>
            <w:shd w:fill="FFFFFF"/>
            <w:tcMar>
              <w:top w:w="45" w:type="dxa"/>
              <w:bottom w:w="45" w:type="dxa"/>
              <w:left w:w="45" w:type="dxa"/>
              <w:right w:w="45" w:type="dxa"/>
            </w:tcMar>
          </w:tcPr>
          <w:p>
            <w:pPr>
              <w:jc w:val="left"/>
            </w:pPr>
            <w:r>
              <w:rPr>
                <w:rFonts w:ascii="Arial" w:hAnsi="Arial"/>
                <w:color w:val="212529"/>
                <w:sz w:val="14"/>
              </w:rPr>
              <w:t>PFT 1 (Mediterranean Sclerophyll)</w:t>
            </w:r>
          </w:p>
        </w:tc>
        <w:tc>
          <w:tcPr>
            <w:tcW w:type="dxa" w:w="1040"/>
            <w:shd w:fill="FFFFFF"/>
            <w:tcMar>
              <w:top w:w="45" w:type="dxa"/>
              <w:bottom w:w="45" w:type="dxa"/>
              <w:left w:w="45" w:type="dxa"/>
              <w:right w:w="45" w:type="dxa"/>
            </w:tcMar>
          </w:tcPr>
          <w:p>
            <w:pPr>
              <w:jc w:val="left"/>
            </w:pPr>
            <w:r>
              <w:rPr>
                <w:rFonts w:ascii="Arial" w:hAnsi="Arial"/>
                <w:color w:val="212529"/>
                <w:sz w:val="14"/>
              </w:rPr>
              <w:t>*Quercus ilex*, *Olea europaea*</w:t>
            </w:r>
          </w:p>
        </w:tc>
        <w:tc>
          <w:tcPr>
            <w:tcW w:type="dxa" w:w="1040"/>
            <w:shd w:fill="FFFFFF"/>
            <w:tcMar>
              <w:top w:w="45" w:type="dxa"/>
              <w:bottom w:w="45" w:type="dxa"/>
              <w:left w:w="45" w:type="dxa"/>
              <w:right w:w="45" w:type="dxa"/>
            </w:tcMar>
          </w:tcPr>
          <w:p>
            <w:pPr>
              <w:jc w:val="center"/>
            </w:pPr>
            <w:r>
              <w:rPr>
                <w:rFonts w:ascii="Arial" w:hAnsi="Arial"/>
                <w:color w:val="212529"/>
                <w:sz w:val="14"/>
              </w:rPr>
              <w:t>2.8</w:t>
            </w:r>
          </w:p>
        </w:tc>
        <w:tc>
          <w:tcPr>
            <w:tcW w:type="dxa" w:w="1040"/>
            <w:shd w:fill="FFFFFF"/>
            <w:tcMar>
              <w:top w:w="45" w:type="dxa"/>
              <w:bottom w:w="45" w:type="dxa"/>
              <w:left w:w="45" w:type="dxa"/>
              <w:right w:w="45" w:type="dxa"/>
            </w:tcMar>
          </w:tcPr>
          <w:p>
            <w:pPr>
              <w:jc w:val="center"/>
            </w:pPr>
            <w:r>
              <w:rPr>
                <w:rFonts w:ascii="Arial" w:hAnsi="Arial"/>
                <w:color w:val="212529"/>
                <w:sz w:val="14"/>
              </w:rPr>
              <w:t>6.5</w:t>
            </w:r>
          </w:p>
        </w:tc>
        <w:tc>
          <w:tcPr>
            <w:tcW w:type="dxa" w:w="1040"/>
            <w:shd w:fill="FFFFFF"/>
            <w:tcMar>
              <w:top w:w="45" w:type="dxa"/>
              <w:bottom w:w="45" w:type="dxa"/>
              <w:left w:w="45" w:type="dxa"/>
              <w:right w:w="45" w:type="dxa"/>
            </w:tcMar>
          </w:tcPr>
          <w:p>
            <w:pPr>
              <w:jc w:val="center"/>
            </w:pPr>
            <w:r>
              <w:rPr>
                <w:rFonts w:ascii="Arial" w:hAnsi="Arial"/>
                <w:color w:val="212529"/>
                <w:sz w:val="14"/>
              </w:rPr>
              <w:t>-3.2</w:t>
            </w:r>
          </w:p>
        </w:tc>
        <w:tc>
          <w:tcPr>
            <w:tcW w:type="dxa" w:w="1040"/>
            <w:shd w:fill="FFFFFF"/>
            <w:tcMar>
              <w:top w:w="45" w:type="dxa"/>
              <w:bottom w:w="45" w:type="dxa"/>
              <w:left w:w="45" w:type="dxa"/>
              <w:right w:w="45" w:type="dxa"/>
            </w:tcMar>
          </w:tcPr>
          <w:p>
            <w:pPr>
              <w:jc w:val="center"/>
            </w:pPr>
            <w:r>
              <w:rPr>
                <w:rFonts w:ascii="Arial" w:hAnsi="Arial"/>
                <w:color w:val="212529"/>
                <w:sz w:val="14"/>
              </w:rPr>
              <w:t>0.006</w:t>
            </w:r>
          </w:p>
        </w:tc>
        <w:tc>
          <w:tcPr>
            <w:tcW w:type="dxa" w:w="1040"/>
            <w:shd w:fill="FFFFFF"/>
            <w:tcMar>
              <w:top w:w="45" w:type="dxa"/>
              <w:bottom w:w="45" w:type="dxa"/>
              <w:left w:w="45" w:type="dxa"/>
              <w:right w:w="45" w:type="dxa"/>
            </w:tcMar>
          </w:tcPr>
          <w:p>
            <w:pPr>
              <w:jc w:val="left"/>
            </w:pPr>
            <w:r>
              <w:rPr>
                <w:rFonts w:ascii="Arial" w:hAnsi="Arial"/>
                <w:color w:val="212529"/>
                <w:sz w:val="14"/>
              </w:rPr>
              <w:t>ERA5-Land `swvl2` (7–28 cm)</w:t>
            </w:r>
          </w:p>
        </w:tc>
      </w:tr>
      <w:tr>
        <w:tc>
          <w:tcPr>
            <w:tcW w:type="dxa" w:w="1040"/>
            <w:shd w:fill="F8FAFC"/>
            <w:tcMar>
              <w:top w:w="45" w:type="dxa"/>
              <w:bottom w:w="45" w:type="dxa"/>
              <w:left w:w="45" w:type="dxa"/>
              <w:right w:w="45" w:type="dxa"/>
            </w:tcMar>
          </w:tcPr>
          <w:p>
            <w:pPr>
              <w:jc w:val="left"/>
            </w:pPr>
            <w:r>
              <w:rPr>
                <w:rFonts w:ascii="Arial" w:hAnsi="Arial"/>
                <w:b/>
                <w:color w:val="212529"/>
                <w:sz w:val="14"/>
              </w:rPr>
              <w:t>**Athens**</w:t>
            </w:r>
          </w:p>
        </w:tc>
        <w:tc>
          <w:tcPr>
            <w:tcW w:type="dxa" w:w="1040"/>
            <w:shd w:fill="F8FAFC"/>
            <w:tcMar>
              <w:top w:w="45" w:type="dxa"/>
              <w:bottom w:w="45" w:type="dxa"/>
              <w:left w:w="45" w:type="dxa"/>
              <w:right w:w="45" w:type="dxa"/>
            </w:tcMar>
          </w:tcPr>
          <w:p>
            <w:pPr>
              <w:jc w:val="center"/>
            </w:pPr>
            <w:r>
              <w:rPr>
                <w:rFonts w:ascii="Arial" w:hAnsi="Arial"/>
                <w:color w:val="212529"/>
                <w:sz w:val="14"/>
              </w:rPr>
              <w:t>Csa</w:t>
            </w:r>
          </w:p>
        </w:tc>
        <w:tc>
          <w:tcPr>
            <w:tcW w:type="dxa" w:w="1040"/>
            <w:shd w:fill="F8FAFC"/>
            <w:tcMar>
              <w:top w:w="45" w:type="dxa"/>
              <w:bottom w:w="45" w:type="dxa"/>
              <w:left w:w="45" w:type="dxa"/>
              <w:right w:w="45" w:type="dxa"/>
            </w:tcMar>
          </w:tcPr>
          <w:p>
            <w:pPr>
              <w:jc w:val="left"/>
            </w:pPr>
            <w:r>
              <w:rPr>
                <w:rFonts w:ascii="Arial" w:hAnsi="Arial"/>
                <w:color w:val="212529"/>
                <w:sz w:val="14"/>
              </w:rPr>
              <w:t>PFT 1 (Mediterranean Sclerophyll)</w:t>
            </w:r>
          </w:p>
        </w:tc>
        <w:tc>
          <w:tcPr>
            <w:tcW w:type="dxa" w:w="1040"/>
            <w:shd w:fill="F8FAFC"/>
            <w:tcMar>
              <w:top w:w="45" w:type="dxa"/>
              <w:bottom w:w="45" w:type="dxa"/>
              <w:left w:w="45" w:type="dxa"/>
              <w:right w:w="45" w:type="dxa"/>
            </w:tcMar>
          </w:tcPr>
          <w:p>
            <w:pPr>
              <w:jc w:val="left"/>
            </w:pPr>
            <w:r>
              <w:rPr>
                <w:rFonts w:ascii="Arial" w:hAnsi="Arial"/>
                <w:color w:val="212529"/>
                <w:sz w:val="14"/>
              </w:rPr>
              <w:t>*Quercus ilex*, *Pinus halepensis*</w:t>
            </w:r>
          </w:p>
        </w:tc>
        <w:tc>
          <w:tcPr>
            <w:tcW w:type="dxa" w:w="1040"/>
            <w:shd w:fill="F8FAFC"/>
            <w:tcMar>
              <w:top w:w="45" w:type="dxa"/>
              <w:bottom w:w="45" w:type="dxa"/>
              <w:left w:w="45" w:type="dxa"/>
              <w:right w:w="45" w:type="dxa"/>
            </w:tcMar>
          </w:tcPr>
          <w:p>
            <w:pPr>
              <w:jc w:val="center"/>
            </w:pPr>
            <w:r>
              <w:rPr>
                <w:rFonts w:ascii="Arial" w:hAnsi="Arial"/>
                <w:color w:val="212529"/>
                <w:sz w:val="14"/>
              </w:rPr>
              <w:t>2.5</w:t>
            </w:r>
          </w:p>
        </w:tc>
        <w:tc>
          <w:tcPr>
            <w:tcW w:type="dxa" w:w="1040"/>
            <w:shd w:fill="F8FAFC"/>
            <w:tcMar>
              <w:top w:w="45" w:type="dxa"/>
              <w:bottom w:w="45" w:type="dxa"/>
              <w:left w:w="45" w:type="dxa"/>
              <w:right w:w="45" w:type="dxa"/>
            </w:tcMar>
          </w:tcPr>
          <w:p>
            <w:pPr>
              <w:jc w:val="center"/>
            </w:pPr>
            <w:r>
              <w:rPr>
                <w:rFonts w:ascii="Arial" w:hAnsi="Arial"/>
                <w:color w:val="212529"/>
                <w:sz w:val="14"/>
              </w:rPr>
              <w:t>6.0</w:t>
            </w:r>
          </w:p>
        </w:tc>
        <w:tc>
          <w:tcPr>
            <w:tcW w:type="dxa" w:w="1040"/>
            <w:shd w:fill="F8FAFC"/>
            <w:tcMar>
              <w:top w:w="45" w:type="dxa"/>
              <w:bottom w:w="45" w:type="dxa"/>
              <w:left w:w="45" w:type="dxa"/>
              <w:right w:w="45" w:type="dxa"/>
            </w:tcMar>
          </w:tcPr>
          <w:p>
            <w:pPr>
              <w:jc w:val="center"/>
            </w:pPr>
            <w:r>
              <w:rPr>
                <w:rFonts w:ascii="Arial" w:hAnsi="Arial"/>
                <w:color w:val="212529"/>
                <w:sz w:val="14"/>
              </w:rPr>
              <w:t>-3.2</w:t>
            </w:r>
          </w:p>
        </w:tc>
        <w:tc>
          <w:tcPr>
            <w:tcW w:type="dxa" w:w="1040"/>
            <w:shd w:fill="F8FAFC"/>
            <w:tcMar>
              <w:top w:w="45" w:type="dxa"/>
              <w:bottom w:w="45" w:type="dxa"/>
              <w:left w:w="45" w:type="dxa"/>
              <w:right w:w="45" w:type="dxa"/>
            </w:tcMar>
          </w:tcPr>
          <w:p>
            <w:pPr>
              <w:jc w:val="center"/>
            </w:pPr>
            <w:r>
              <w:rPr>
                <w:rFonts w:ascii="Arial" w:hAnsi="Arial"/>
                <w:color w:val="212529"/>
                <w:sz w:val="14"/>
              </w:rPr>
              <w:t>0.006</w:t>
            </w:r>
          </w:p>
        </w:tc>
        <w:tc>
          <w:tcPr>
            <w:tcW w:type="dxa" w:w="1040"/>
            <w:shd w:fill="F8FAFC"/>
            <w:tcMar>
              <w:top w:w="45" w:type="dxa"/>
              <w:bottom w:w="45" w:type="dxa"/>
              <w:left w:w="45" w:type="dxa"/>
              <w:right w:w="45" w:type="dxa"/>
            </w:tcMar>
          </w:tcPr>
          <w:p>
            <w:pPr>
              <w:jc w:val="left"/>
            </w:pPr>
            <w:r>
              <w:rPr>
                <w:rFonts w:ascii="Arial" w:hAnsi="Arial"/>
                <w:color w:val="212529"/>
                <w:sz w:val="14"/>
              </w:rPr>
              <w:t>ERA5-Land `swvl2` (7–28 cm)</w:t>
            </w:r>
          </w:p>
        </w:tc>
      </w:tr>
      <w:tr>
        <w:tc>
          <w:tcPr>
            <w:tcW w:type="dxa" w:w="1040"/>
            <w:shd w:fill="FFFFFF"/>
            <w:tcMar>
              <w:top w:w="45" w:type="dxa"/>
              <w:bottom w:w="45" w:type="dxa"/>
              <w:left w:w="45" w:type="dxa"/>
              <w:right w:w="45" w:type="dxa"/>
            </w:tcMar>
          </w:tcPr>
          <w:p>
            <w:pPr>
              <w:jc w:val="left"/>
            </w:pPr>
            <w:r>
              <w:rPr>
                <w:rFonts w:ascii="Arial" w:hAnsi="Arial"/>
                <w:b/>
                <w:color w:val="212529"/>
                <w:sz w:val="14"/>
              </w:rPr>
              <w:t>**Beijing**</w:t>
            </w:r>
          </w:p>
        </w:tc>
        <w:tc>
          <w:tcPr>
            <w:tcW w:type="dxa" w:w="1040"/>
            <w:shd w:fill="FFFFFF"/>
            <w:tcMar>
              <w:top w:w="45" w:type="dxa"/>
              <w:bottom w:w="45" w:type="dxa"/>
              <w:left w:w="45" w:type="dxa"/>
              <w:right w:w="45" w:type="dxa"/>
            </w:tcMar>
          </w:tcPr>
          <w:p>
            <w:pPr>
              <w:jc w:val="center"/>
            </w:pPr>
            <w:r>
              <w:rPr>
                <w:rFonts w:ascii="Arial" w:hAnsi="Arial"/>
                <w:color w:val="212529"/>
                <w:sz w:val="14"/>
              </w:rPr>
              <w:t>Dwa</w:t>
            </w:r>
          </w:p>
        </w:tc>
        <w:tc>
          <w:tcPr>
            <w:tcW w:type="dxa" w:w="1040"/>
            <w:shd w:fill="FFFFFF"/>
            <w:tcMar>
              <w:top w:w="45" w:type="dxa"/>
              <w:bottom w:w="45" w:type="dxa"/>
              <w:left w:w="45" w:type="dxa"/>
              <w:right w:w="45" w:type="dxa"/>
            </w:tcMar>
          </w:tcPr>
          <w:p>
            <w:pPr>
              <w:jc w:val="left"/>
            </w:pPr>
            <w:r>
              <w:rPr>
                <w:rFonts w:ascii="Arial" w:hAnsi="Arial"/>
                <w:color w:val="212529"/>
                <w:sz w:val="14"/>
              </w:rPr>
              <w:t>PFT 2 (Temperate Broadleaf Deciduous)</w:t>
            </w:r>
          </w:p>
        </w:tc>
        <w:tc>
          <w:tcPr>
            <w:tcW w:type="dxa" w:w="1040"/>
            <w:shd w:fill="FFFFFF"/>
            <w:tcMar>
              <w:top w:w="45" w:type="dxa"/>
              <w:bottom w:w="45" w:type="dxa"/>
              <w:left w:w="45" w:type="dxa"/>
              <w:right w:w="45" w:type="dxa"/>
            </w:tcMar>
          </w:tcPr>
          <w:p>
            <w:pPr>
              <w:jc w:val="left"/>
            </w:pPr>
            <w:r>
              <w:rPr>
                <w:rFonts w:ascii="Arial" w:hAnsi="Arial"/>
                <w:color w:val="212529"/>
                <w:sz w:val="14"/>
              </w:rPr>
              <w:t>*Styphnolobium japonicum*, *Fraxinus chinensis*</w:t>
            </w:r>
          </w:p>
        </w:tc>
        <w:tc>
          <w:tcPr>
            <w:tcW w:type="dxa" w:w="1040"/>
            <w:shd w:fill="FFFFFF"/>
            <w:tcMar>
              <w:top w:w="45" w:type="dxa"/>
              <w:bottom w:w="45" w:type="dxa"/>
              <w:left w:w="45" w:type="dxa"/>
              <w:right w:w="45" w:type="dxa"/>
            </w:tcMar>
          </w:tcPr>
          <w:p>
            <w:pPr>
              <w:jc w:val="center"/>
            </w:pPr>
            <w:r>
              <w:rPr>
                <w:rFonts w:ascii="Arial" w:hAnsi="Arial"/>
                <w:color w:val="212529"/>
                <w:sz w:val="14"/>
              </w:rPr>
              <w:t>3.6</w:t>
            </w:r>
          </w:p>
        </w:tc>
        <w:tc>
          <w:tcPr>
            <w:tcW w:type="dxa" w:w="1040"/>
            <w:shd w:fill="FFFFFF"/>
            <w:tcMar>
              <w:top w:w="45" w:type="dxa"/>
              <w:bottom w:w="45" w:type="dxa"/>
              <w:left w:w="45" w:type="dxa"/>
              <w:right w:w="45" w:type="dxa"/>
            </w:tcMar>
          </w:tcPr>
          <w:p>
            <w:pPr>
              <w:jc w:val="center"/>
            </w:pPr>
            <w:r>
              <w:rPr>
                <w:rFonts w:ascii="Arial" w:hAnsi="Arial"/>
                <w:color w:val="212529"/>
                <w:sz w:val="14"/>
              </w:rPr>
              <w:t>7.5</w:t>
            </w:r>
          </w:p>
        </w:tc>
        <w:tc>
          <w:tcPr>
            <w:tcW w:type="dxa" w:w="1040"/>
            <w:shd w:fill="FFFFFF"/>
            <w:tcMar>
              <w:top w:w="45" w:type="dxa"/>
              <w:bottom w:w="45" w:type="dxa"/>
              <w:left w:w="45" w:type="dxa"/>
              <w:right w:w="45" w:type="dxa"/>
            </w:tcMar>
          </w:tcPr>
          <w:p>
            <w:pPr>
              <w:jc w:val="center"/>
            </w:pPr>
            <w:r>
              <w:rPr>
                <w:rFonts w:ascii="Arial" w:hAnsi="Arial"/>
                <w:color w:val="212529"/>
                <w:sz w:val="14"/>
              </w:rPr>
              <w:t>-2.4</w:t>
            </w:r>
          </w:p>
        </w:tc>
        <w:tc>
          <w:tcPr>
            <w:tcW w:type="dxa" w:w="1040"/>
            <w:shd w:fill="FFFFFF"/>
            <w:tcMar>
              <w:top w:w="45" w:type="dxa"/>
              <w:bottom w:w="45" w:type="dxa"/>
              <w:left w:w="45" w:type="dxa"/>
              <w:right w:w="45" w:type="dxa"/>
            </w:tcMar>
          </w:tcPr>
          <w:p>
            <w:pPr>
              <w:jc w:val="center"/>
            </w:pPr>
            <w:r>
              <w:rPr>
                <w:rFonts w:ascii="Arial" w:hAnsi="Arial"/>
                <w:color w:val="212529"/>
                <w:sz w:val="14"/>
              </w:rPr>
              <w:t>0.012</w:t>
            </w:r>
          </w:p>
        </w:tc>
        <w:tc>
          <w:tcPr>
            <w:tcW w:type="dxa" w:w="1040"/>
            <w:shd w:fill="FFFFFF"/>
            <w:tcMar>
              <w:top w:w="45" w:type="dxa"/>
              <w:bottom w:w="45" w:type="dxa"/>
              <w:left w:w="45" w:type="dxa"/>
              <w:right w:w="45" w:type="dxa"/>
            </w:tcMar>
          </w:tcPr>
          <w:p>
            <w:pPr>
              <w:jc w:val="left"/>
            </w:pPr>
            <w:r>
              <w:rPr>
                <w:rFonts w:ascii="Arial" w:hAnsi="Arial"/>
                <w:color w:val="212529"/>
                <w:sz w:val="14"/>
              </w:rPr>
              <w:t>ERA5-Land `swvl2` (7–28 cm)</w:t>
            </w:r>
          </w:p>
        </w:tc>
      </w:tr>
      <w:tr>
        <w:tc>
          <w:tcPr>
            <w:tcW w:type="dxa" w:w="1040"/>
            <w:shd w:fill="F8FAFC"/>
            <w:tcMar>
              <w:top w:w="45" w:type="dxa"/>
              <w:bottom w:w="45" w:type="dxa"/>
              <w:left w:w="45" w:type="dxa"/>
              <w:right w:w="45" w:type="dxa"/>
            </w:tcMar>
          </w:tcPr>
          <w:p>
            <w:pPr>
              <w:jc w:val="left"/>
            </w:pPr>
            <w:r>
              <w:rPr>
                <w:rFonts w:ascii="Arial" w:hAnsi="Arial"/>
                <w:b/>
                <w:color w:val="212529"/>
                <w:sz w:val="14"/>
              </w:rPr>
              <w:t>**Sydney**</w:t>
            </w:r>
          </w:p>
        </w:tc>
        <w:tc>
          <w:tcPr>
            <w:tcW w:type="dxa" w:w="1040"/>
            <w:shd w:fill="F8FAFC"/>
            <w:tcMar>
              <w:top w:w="45" w:type="dxa"/>
              <w:bottom w:w="45" w:type="dxa"/>
              <w:left w:w="45" w:type="dxa"/>
              <w:right w:w="45" w:type="dxa"/>
            </w:tcMar>
          </w:tcPr>
          <w:p>
            <w:pPr>
              <w:jc w:val="center"/>
            </w:pPr>
            <w:r>
              <w:rPr>
                <w:rFonts w:ascii="Arial" w:hAnsi="Arial"/>
                <w:color w:val="212529"/>
                <w:sz w:val="14"/>
              </w:rPr>
              <w:t>Cfa</w:t>
            </w:r>
          </w:p>
        </w:tc>
        <w:tc>
          <w:tcPr>
            <w:tcW w:type="dxa" w:w="1040"/>
            <w:shd w:fill="F8FAFC"/>
            <w:tcMar>
              <w:top w:w="45" w:type="dxa"/>
              <w:bottom w:w="45" w:type="dxa"/>
              <w:left w:w="45" w:type="dxa"/>
              <w:right w:w="45" w:type="dxa"/>
            </w:tcMar>
          </w:tcPr>
          <w:p>
            <w:pPr>
              <w:jc w:val="left"/>
            </w:pPr>
            <w:r>
              <w:rPr>
                <w:rFonts w:ascii="Arial" w:hAnsi="Arial"/>
                <w:color w:val="212529"/>
                <w:sz w:val="14"/>
              </w:rPr>
              <w:t>PFT 2 (Temperate Broadleaf Evergreen)</w:t>
            </w:r>
          </w:p>
        </w:tc>
        <w:tc>
          <w:tcPr>
            <w:tcW w:type="dxa" w:w="1040"/>
            <w:shd w:fill="F8FAFC"/>
            <w:tcMar>
              <w:top w:w="45" w:type="dxa"/>
              <w:bottom w:w="45" w:type="dxa"/>
              <w:left w:w="45" w:type="dxa"/>
              <w:right w:w="45" w:type="dxa"/>
            </w:tcMar>
          </w:tcPr>
          <w:p>
            <w:pPr>
              <w:jc w:val="left"/>
            </w:pPr>
            <w:r>
              <w:rPr>
                <w:rFonts w:ascii="Arial" w:hAnsi="Arial"/>
                <w:color w:val="212529"/>
                <w:sz w:val="14"/>
              </w:rPr>
              <w:t>*Eucalyptus microcorys*, *Lophostemon confertus*</w:t>
            </w:r>
          </w:p>
        </w:tc>
        <w:tc>
          <w:tcPr>
            <w:tcW w:type="dxa" w:w="1040"/>
            <w:shd w:fill="F8FAFC"/>
            <w:tcMar>
              <w:top w:w="45" w:type="dxa"/>
              <w:bottom w:w="45" w:type="dxa"/>
              <w:left w:w="45" w:type="dxa"/>
              <w:right w:w="45" w:type="dxa"/>
            </w:tcMar>
          </w:tcPr>
          <w:p>
            <w:pPr>
              <w:jc w:val="center"/>
            </w:pPr>
            <w:r>
              <w:rPr>
                <w:rFonts w:ascii="Arial" w:hAnsi="Arial"/>
                <w:color w:val="212529"/>
                <w:sz w:val="14"/>
              </w:rPr>
              <w:t>3.2</w:t>
            </w:r>
          </w:p>
        </w:tc>
        <w:tc>
          <w:tcPr>
            <w:tcW w:type="dxa" w:w="1040"/>
            <w:shd w:fill="F8FAFC"/>
            <w:tcMar>
              <w:top w:w="45" w:type="dxa"/>
              <w:bottom w:w="45" w:type="dxa"/>
              <w:left w:w="45" w:type="dxa"/>
              <w:right w:w="45" w:type="dxa"/>
            </w:tcMar>
          </w:tcPr>
          <w:p>
            <w:pPr>
              <w:jc w:val="center"/>
            </w:pPr>
            <w:r>
              <w:rPr>
                <w:rFonts w:ascii="Arial" w:hAnsi="Arial"/>
                <w:color w:val="212529"/>
                <w:sz w:val="14"/>
              </w:rPr>
              <w:t>7.0</w:t>
            </w:r>
          </w:p>
        </w:tc>
        <w:tc>
          <w:tcPr>
            <w:tcW w:type="dxa" w:w="1040"/>
            <w:shd w:fill="F8FAFC"/>
            <w:tcMar>
              <w:top w:w="45" w:type="dxa"/>
              <w:bottom w:w="45" w:type="dxa"/>
              <w:left w:w="45" w:type="dxa"/>
              <w:right w:w="45" w:type="dxa"/>
            </w:tcMar>
          </w:tcPr>
          <w:p>
            <w:pPr>
              <w:jc w:val="center"/>
            </w:pPr>
            <w:r>
              <w:rPr>
                <w:rFonts w:ascii="Arial" w:hAnsi="Arial"/>
                <w:color w:val="212529"/>
                <w:sz w:val="14"/>
              </w:rPr>
              <w:t>-2.4</w:t>
            </w:r>
          </w:p>
        </w:tc>
        <w:tc>
          <w:tcPr>
            <w:tcW w:type="dxa" w:w="1040"/>
            <w:shd w:fill="F8FAFC"/>
            <w:tcMar>
              <w:top w:w="45" w:type="dxa"/>
              <w:bottom w:w="45" w:type="dxa"/>
              <w:left w:w="45" w:type="dxa"/>
              <w:right w:w="45" w:type="dxa"/>
            </w:tcMar>
          </w:tcPr>
          <w:p>
            <w:pPr>
              <w:jc w:val="center"/>
            </w:pPr>
            <w:r>
              <w:rPr>
                <w:rFonts w:ascii="Arial" w:hAnsi="Arial"/>
                <w:color w:val="212529"/>
                <w:sz w:val="14"/>
              </w:rPr>
              <w:t>0.012</w:t>
            </w:r>
          </w:p>
        </w:tc>
        <w:tc>
          <w:tcPr>
            <w:tcW w:type="dxa" w:w="1040"/>
            <w:shd w:fill="F8FAFC"/>
            <w:tcMar>
              <w:top w:w="45" w:type="dxa"/>
              <w:bottom w:w="45" w:type="dxa"/>
              <w:left w:w="45" w:type="dxa"/>
              <w:right w:w="45" w:type="dxa"/>
            </w:tcMar>
          </w:tcPr>
          <w:p>
            <w:pPr>
              <w:jc w:val="left"/>
            </w:pPr>
            <w:r>
              <w:rPr>
                <w:rFonts w:ascii="Arial" w:hAnsi="Arial"/>
                <w:color w:val="212529"/>
                <w:sz w:val="14"/>
              </w:rPr>
              <w:t>ERA5-Land `swvl2` (7–28 cm)</w:t>
            </w:r>
          </w:p>
        </w:tc>
      </w:tr>
      <w:tr>
        <w:tc>
          <w:tcPr>
            <w:tcW w:type="dxa" w:w="1040"/>
            <w:shd w:fill="FFFFFF"/>
            <w:tcMar>
              <w:top w:w="45" w:type="dxa"/>
              <w:bottom w:w="45" w:type="dxa"/>
              <w:left w:w="45" w:type="dxa"/>
              <w:right w:w="45" w:type="dxa"/>
            </w:tcMar>
          </w:tcPr>
          <w:p>
            <w:pPr>
              <w:jc w:val="left"/>
            </w:pPr>
            <w:r>
              <w:rPr>
                <w:rFonts w:ascii="Arial" w:hAnsi="Arial"/>
                <w:b/>
                <w:color w:val="212529"/>
                <w:sz w:val="14"/>
              </w:rPr>
              <w:t>**Wuhan**</w:t>
            </w:r>
          </w:p>
        </w:tc>
        <w:tc>
          <w:tcPr>
            <w:tcW w:type="dxa" w:w="1040"/>
            <w:shd w:fill="FFFFFF"/>
            <w:tcMar>
              <w:top w:w="45" w:type="dxa"/>
              <w:bottom w:w="45" w:type="dxa"/>
              <w:left w:w="45" w:type="dxa"/>
              <w:right w:w="45" w:type="dxa"/>
            </w:tcMar>
          </w:tcPr>
          <w:p>
            <w:pPr>
              <w:jc w:val="center"/>
            </w:pPr>
            <w:r>
              <w:rPr>
                <w:rFonts w:ascii="Arial" w:hAnsi="Arial"/>
                <w:color w:val="212529"/>
                <w:sz w:val="14"/>
              </w:rPr>
              <w:t>Cfa</w:t>
            </w:r>
          </w:p>
        </w:tc>
        <w:tc>
          <w:tcPr>
            <w:tcW w:type="dxa" w:w="1040"/>
            <w:shd w:fill="FFFFFF"/>
            <w:tcMar>
              <w:top w:w="45" w:type="dxa"/>
              <w:bottom w:w="45" w:type="dxa"/>
              <w:left w:w="45" w:type="dxa"/>
              <w:right w:w="45" w:type="dxa"/>
            </w:tcMar>
          </w:tcPr>
          <w:p>
            <w:pPr>
              <w:jc w:val="left"/>
            </w:pPr>
            <w:r>
              <w:rPr>
                <w:rFonts w:ascii="Arial" w:hAnsi="Arial"/>
                <w:color w:val="212529"/>
                <w:sz w:val="14"/>
              </w:rPr>
              <w:t>PFT 3 (Mesic Broadleaf Deciduous)</w:t>
            </w:r>
          </w:p>
        </w:tc>
        <w:tc>
          <w:tcPr>
            <w:tcW w:type="dxa" w:w="1040"/>
            <w:shd w:fill="FFFFFF"/>
            <w:tcMar>
              <w:top w:w="45" w:type="dxa"/>
              <w:bottom w:w="45" w:type="dxa"/>
              <w:left w:w="45" w:type="dxa"/>
              <w:right w:w="45" w:type="dxa"/>
            </w:tcMar>
          </w:tcPr>
          <w:p>
            <w:pPr>
              <w:jc w:val="left"/>
            </w:pPr>
            <w:r>
              <w:rPr>
                <w:rFonts w:ascii="Arial" w:hAnsi="Arial"/>
                <w:color w:val="212529"/>
                <w:sz w:val="14"/>
              </w:rPr>
              <w:t>*Platanus × acerifolia*, *Ginkgo biloba*</w:t>
            </w:r>
          </w:p>
        </w:tc>
        <w:tc>
          <w:tcPr>
            <w:tcW w:type="dxa" w:w="1040"/>
            <w:shd w:fill="FFFFFF"/>
            <w:tcMar>
              <w:top w:w="45" w:type="dxa"/>
              <w:bottom w:w="45" w:type="dxa"/>
              <w:left w:w="45" w:type="dxa"/>
              <w:right w:w="45" w:type="dxa"/>
            </w:tcMar>
          </w:tcPr>
          <w:p>
            <w:pPr>
              <w:jc w:val="center"/>
            </w:pPr>
            <w:r>
              <w:rPr>
                <w:rFonts w:ascii="Arial" w:hAnsi="Arial"/>
                <w:color w:val="212529"/>
                <w:sz w:val="14"/>
              </w:rPr>
              <w:t>4.2</w:t>
            </w:r>
          </w:p>
        </w:tc>
        <w:tc>
          <w:tcPr>
            <w:tcW w:type="dxa" w:w="1040"/>
            <w:shd w:fill="FFFFFF"/>
            <w:tcMar>
              <w:top w:w="45" w:type="dxa"/>
              <w:bottom w:w="45" w:type="dxa"/>
              <w:left w:w="45" w:type="dxa"/>
              <w:right w:w="45" w:type="dxa"/>
            </w:tcMar>
          </w:tcPr>
          <w:p>
            <w:pPr>
              <w:jc w:val="center"/>
            </w:pPr>
            <w:r>
              <w:rPr>
                <w:rFonts w:ascii="Arial" w:hAnsi="Arial"/>
                <w:color w:val="212529"/>
                <w:sz w:val="14"/>
              </w:rPr>
              <w:t>8.5</w:t>
            </w:r>
          </w:p>
        </w:tc>
        <w:tc>
          <w:tcPr>
            <w:tcW w:type="dxa" w:w="1040"/>
            <w:shd w:fill="FFFFFF"/>
            <w:tcMar>
              <w:top w:w="45" w:type="dxa"/>
              <w:bottom w:w="45" w:type="dxa"/>
              <w:left w:w="45" w:type="dxa"/>
              <w:right w:w="45" w:type="dxa"/>
            </w:tcMar>
          </w:tcPr>
          <w:p>
            <w:pPr>
              <w:jc w:val="center"/>
            </w:pPr>
            <w:r>
              <w:rPr>
                <w:rFonts w:ascii="Arial" w:hAnsi="Arial"/>
                <w:color w:val="212529"/>
                <w:sz w:val="14"/>
              </w:rPr>
              <w:t>-2.0</w:t>
            </w:r>
          </w:p>
        </w:tc>
        <w:tc>
          <w:tcPr>
            <w:tcW w:type="dxa" w:w="1040"/>
            <w:shd w:fill="FFFFFF"/>
            <w:tcMar>
              <w:top w:w="45" w:type="dxa"/>
              <w:bottom w:w="45" w:type="dxa"/>
              <w:left w:w="45" w:type="dxa"/>
              <w:right w:w="45" w:type="dxa"/>
            </w:tcMar>
          </w:tcPr>
          <w:p>
            <w:pPr>
              <w:jc w:val="center"/>
            </w:pPr>
            <w:r>
              <w:rPr>
                <w:rFonts w:ascii="Arial" w:hAnsi="Arial"/>
                <w:color w:val="212529"/>
                <w:sz w:val="14"/>
              </w:rPr>
              <w:t>0.015</w:t>
            </w:r>
          </w:p>
        </w:tc>
        <w:tc>
          <w:tcPr>
            <w:tcW w:type="dxa" w:w="1040"/>
            <w:shd w:fill="FFFFFF"/>
            <w:tcMar>
              <w:top w:w="45" w:type="dxa"/>
              <w:bottom w:w="45" w:type="dxa"/>
              <w:left w:w="45" w:type="dxa"/>
              <w:right w:w="45" w:type="dxa"/>
            </w:tcMar>
          </w:tcPr>
          <w:p>
            <w:pPr>
              <w:jc w:val="left"/>
            </w:pPr>
            <w:r>
              <w:rPr>
                <w:rFonts w:ascii="Arial" w:hAnsi="Arial"/>
                <w:color w:val="212529"/>
                <w:sz w:val="14"/>
              </w:rPr>
              <w:t>ERA5-Land `swvl2` (7–28 cm)</w:t>
            </w:r>
          </w:p>
        </w:tc>
      </w:tr>
      <w:tr>
        <w:tc>
          <w:tcPr>
            <w:tcW w:type="dxa" w:w="1040"/>
            <w:shd w:fill="F8FAFC"/>
            <w:tcMar>
              <w:top w:w="45" w:type="dxa"/>
              <w:bottom w:w="45" w:type="dxa"/>
              <w:left w:w="45" w:type="dxa"/>
              <w:right w:w="45" w:type="dxa"/>
            </w:tcMar>
          </w:tcPr>
          <w:p>
            <w:pPr>
              <w:jc w:val="left"/>
            </w:pPr>
            <w:r>
              <w:rPr>
                <w:rFonts w:ascii="Arial" w:hAnsi="Arial"/>
                <w:b/>
                <w:color w:val="212529"/>
                <w:sz w:val="14"/>
              </w:rPr>
              <w:t>**London**</w:t>
            </w:r>
          </w:p>
        </w:tc>
        <w:tc>
          <w:tcPr>
            <w:tcW w:type="dxa" w:w="1040"/>
            <w:shd w:fill="F8FAFC"/>
            <w:tcMar>
              <w:top w:w="45" w:type="dxa"/>
              <w:bottom w:w="45" w:type="dxa"/>
              <w:left w:w="45" w:type="dxa"/>
              <w:right w:w="45" w:type="dxa"/>
            </w:tcMar>
          </w:tcPr>
          <w:p>
            <w:pPr>
              <w:jc w:val="center"/>
            </w:pPr>
            <w:r>
              <w:rPr>
                <w:rFonts w:ascii="Arial" w:hAnsi="Arial"/>
                <w:color w:val="212529"/>
                <w:sz w:val="14"/>
              </w:rPr>
              <w:t>Cfb</w:t>
            </w:r>
          </w:p>
        </w:tc>
        <w:tc>
          <w:tcPr>
            <w:tcW w:type="dxa" w:w="1040"/>
            <w:shd w:fill="F8FAFC"/>
            <w:tcMar>
              <w:top w:w="45" w:type="dxa"/>
              <w:bottom w:w="45" w:type="dxa"/>
              <w:left w:w="45" w:type="dxa"/>
              <w:right w:w="45" w:type="dxa"/>
            </w:tcMar>
          </w:tcPr>
          <w:p>
            <w:pPr>
              <w:jc w:val="left"/>
            </w:pPr>
            <w:r>
              <w:rPr>
                <w:rFonts w:ascii="Arial" w:hAnsi="Arial"/>
                <w:color w:val="212529"/>
                <w:sz w:val="14"/>
              </w:rPr>
              <w:t>PFT 3 (Mesic Broadleaf Deciduous)</w:t>
            </w:r>
          </w:p>
        </w:tc>
        <w:tc>
          <w:tcPr>
            <w:tcW w:type="dxa" w:w="1040"/>
            <w:shd w:fill="F8FAFC"/>
            <w:tcMar>
              <w:top w:w="45" w:type="dxa"/>
              <w:bottom w:w="45" w:type="dxa"/>
              <w:left w:w="45" w:type="dxa"/>
              <w:right w:w="45" w:type="dxa"/>
            </w:tcMar>
          </w:tcPr>
          <w:p>
            <w:pPr>
              <w:jc w:val="left"/>
            </w:pPr>
            <w:r>
              <w:rPr>
                <w:rFonts w:ascii="Arial" w:hAnsi="Arial"/>
                <w:color w:val="212529"/>
                <w:sz w:val="14"/>
              </w:rPr>
              <w:t>*Platanus × acerifolia*, *Tilia cordata*</w:t>
            </w:r>
          </w:p>
        </w:tc>
        <w:tc>
          <w:tcPr>
            <w:tcW w:type="dxa" w:w="1040"/>
            <w:shd w:fill="F8FAFC"/>
            <w:tcMar>
              <w:top w:w="45" w:type="dxa"/>
              <w:bottom w:w="45" w:type="dxa"/>
              <w:left w:w="45" w:type="dxa"/>
              <w:right w:w="45" w:type="dxa"/>
            </w:tcMar>
          </w:tcPr>
          <w:p>
            <w:pPr>
              <w:jc w:val="center"/>
            </w:pPr>
            <w:r>
              <w:rPr>
                <w:rFonts w:ascii="Arial" w:hAnsi="Arial"/>
                <w:color w:val="212529"/>
                <w:sz w:val="14"/>
              </w:rPr>
              <w:t>3.8</w:t>
            </w:r>
          </w:p>
        </w:tc>
        <w:tc>
          <w:tcPr>
            <w:tcW w:type="dxa" w:w="1040"/>
            <w:shd w:fill="F8FAFC"/>
            <w:tcMar>
              <w:top w:w="45" w:type="dxa"/>
              <w:bottom w:w="45" w:type="dxa"/>
              <w:left w:w="45" w:type="dxa"/>
              <w:right w:w="45" w:type="dxa"/>
            </w:tcMar>
          </w:tcPr>
          <w:p>
            <w:pPr>
              <w:jc w:val="center"/>
            </w:pPr>
            <w:r>
              <w:rPr>
                <w:rFonts w:ascii="Arial" w:hAnsi="Arial"/>
                <w:color w:val="212529"/>
                <w:sz w:val="14"/>
              </w:rPr>
              <w:t>8.0</w:t>
            </w:r>
          </w:p>
        </w:tc>
        <w:tc>
          <w:tcPr>
            <w:tcW w:type="dxa" w:w="1040"/>
            <w:shd w:fill="F8FAFC"/>
            <w:tcMar>
              <w:top w:w="45" w:type="dxa"/>
              <w:bottom w:w="45" w:type="dxa"/>
              <w:left w:w="45" w:type="dxa"/>
              <w:right w:w="45" w:type="dxa"/>
            </w:tcMar>
          </w:tcPr>
          <w:p>
            <w:pPr>
              <w:jc w:val="center"/>
            </w:pPr>
            <w:r>
              <w:rPr>
                <w:rFonts w:ascii="Arial" w:hAnsi="Arial"/>
                <w:color w:val="212529"/>
                <w:sz w:val="14"/>
              </w:rPr>
              <w:t>-2.0</w:t>
            </w:r>
          </w:p>
        </w:tc>
        <w:tc>
          <w:tcPr>
            <w:tcW w:type="dxa" w:w="1040"/>
            <w:shd w:fill="F8FAFC"/>
            <w:tcMar>
              <w:top w:w="45" w:type="dxa"/>
              <w:bottom w:w="45" w:type="dxa"/>
              <w:left w:w="45" w:type="dxa"/>
              <w:right w:w="45" w:type="dxa"/>
            </w:tcMar>
          </w:tcPr>
          <w:p>
            <w:pPr>
              <w:jc w:val="center"/>
            </w:pPr>
            <w:r>
              <w:rPr>
                <w:rFonts w:ascii="Arial" w:hAnsi="Arial"/>
                <w:color w:val="212529"/>
                <w:sz w:val="14"/>
              </w:rPr>
              <w:t>0.015</w:t>
            </w:r>
          </w:p>
        </w:tc>
        <w:tc>
          <w:tcPr>
            <w:tcW w:type="dxa" w:w="1040"/>
            <w:shd w:fill="F8FAFC"/>
            <w:tcMar>
              <w:top w:w="45" w:type="dxa"/>
              <w:bottom w:w="45" w:type="dxa"/>
              <w:left w:w="45" w:type="dxa"/>
              <w:right w:w="45" w:type="dxa"/>
            </w:tcMar>
          </w:tcPr>
          <w:p>
            <w:pPr>
              <w:jc w:val="left"/>
            </w:pPr>
            <w:r>
              <w:rPr>
                <w:rFonts w:ascii="Arial" w:hAnsi="Arial"/>
                <w:color w:val="212529"/>
                <w:sz w:val="14"/>
              </w:rPr>
              <w:t>ERA5-Land `swvl2` (7–28 cm)</w:t>
            </w:r>
          </w:p>
        </w:tc>
      </w:tr>
      <w:tr>
        <w:tc>
          <w:tcPr>
            <w:tcW w:type="dxa" w:w="1040"/>
            <w:shd w:fill="FFFFFF"/>
            <w:tcMar>
              <w:top w:w="45" w:type="dxa"/>
              <w:bottom w:w="45" w:type="dxa"/>
              <w:left w:w="45" w:type="dxa"/>
              <w:right w:w="45" w:type="dxa"/>
            </w:tcMar>
          </w:tcPr>
          <w:p>
            <w:pPr>
              <w:jc w:val="left"/>
            </w:pPr>
            <w:r>
              <w:rPr>
                <w:rFonts w:ascii="Arial" w:hAnsi="Arial"/>
                <w:b/>
                <w:color w:val="212529"/>
                <w:sz w:val="14"/>
              </w:rPr>
              <w:t>**Tokyo**</w:t>
            </w:r>
          </w:p>
        </w:tc>
        <w:tc>
          <w:tcPr>
            <w:tcW w:type="dxa" w:w="1040"/>
            <w:shd w:fill="FFFFFF"/>
            <w:tcMar>
              <w:top w:w="45" w:type="dxa"/>
              <w:bottom w:w="45" w:type="dxa"/>
              <w:left w:w="45" w:type="dxa"/>
              <w:right w:w="45" w:type="dxa"/>
            </w:tcMar>
          </w:tcPr>
          <w:p>
            <w:pPr>
              <w:jc w:val="center"/>
            </w:pPr>
            <w:r>
              <w:rPr>
                <w:rFonts w:ascii="Arial" w:hAnsi="Arial"/>
                <w:color w:val="212529"/>
                <w:sz w:val="14"/>
              </w:rPr>
              <w:t>Cfa</w:t>
            </w:r>
          </w:p>
        </w:tc>
        <w:tc>
          <w:tcPr>
            <w:tcW w:type="dxa" w:w="1040"/>
            <w:shd w:fill="FFFFFF"/>
            <w:tcMar>
              <w:top w:w="45" w:type="dxa"/>
              <w:bottom w:w="45" w:type="dxa"/>
              <w:left w:w="45" w:type="dxa"/>
              <w:right w:w="45" w:type="dxa"/>
            </w:tcMar>
          </w:tcPr>
          <w:p>
            <w:pPr>
              <w:jc w:val="left"/>
            </w:pPr>
            <w:r>
              <w:rPr>
                <w:rFonts w:ascii="Arial" w:hAnsi="Arial"/>
                <w:color w:val="212529"/>
                <w:sz w:val="14"/>
              </w:rPr>
              <w:t>PFT 3 (Mesic Broadleaf Deciduous)</w:t>
            </w:r>
          </w:p>
        </w:tc>
        <w:tc>
          <w:tcPr>
            <w:tcW w:type="dxa" w:w="1040"/>
            <w:shd w:fill="FFFFFF"/>
            <w:tcMar>
              <w:top w:w="45" w:type="dxa"/>
              <w:bottom w:w="45" w:type="dxa"/>
              <w:left w:w="45" w:type="dxa"/>
              <w:right w:w="45" w:type="dxa"/>
            </w:tcMar>
          </w:tcPr>
          <w:p>
            <w:pPr>
              <w:jc w:val="left"/>
            </w:pPr>
            <w:r>
              <w:rPr>
                <w:rFonts w:ascii="Arial" w:hAnsi="Arial"/>
                <w:color w:val="212529"/>
                <w:sz w:val="14"/>
              </w:rPr>
              <w:t>*Ginkgo biloba*, *Zelkova serrata*</w:t>
            </w:r>
          </w:p>
        </w:tc>
        <w:tc>
          <w:tcPr>
            <w:tcW w:type="dxa" w:w="1040"/>
            <w:shd w:fill="FFFFFF"/>
            <w:tcMar>
              <w:top w:w="45" w:type="dxa"/>
              <w:bottom w:w="45" w:type="dxa"/>
              <w:left w:w="45" w:type="dxa"/>
              <w:right w:w="45" w:type="dxa"/>
            </w:tcMar>
          </w:tcPr>
          <w:p>
            <w:pPr>
              <w:jc w:val="center"/>
            </w:pPr>
            <w:r>
              <w:rPr>
                <w:rFonts w:ascii="Arial" w:hAnsi="Arial"/>
                <w:color w:val="212529"/>
                <w:sz w:val="14"/>
              </w:rPr>
              <w:t>4.0</w:t>
            </w:r>
          </w:p>
        </w:tc>
        <w:tc>
          <w:tcPr>
            <w:tcW w:type="dxa" w:w="1040"/>
            <w:shd w:fill="FFFFFF"/>
            <w:tcMar>
              <w:top w:w="45" w:type="dxa"/>
              <w:bottom w:w="45" w:type="dxa"/>
              <w:left w:w="45" w:type="dxa"/>
              <w:right w:w="45" w:type="dxa"/>
            </w:tcMar>
          </w:tcPr>
          <w:p>
            <w:pPr>
              <w:jc w:val="center"/>
            </w:pPr>
            <w:r>
              <w:rPr>
                <w:rFonts w:ascii="Arial" w:hAnsi="Arial"/>
                <w:color w:val="212529"/>
                <w:sz w:val="14"/>
              </w:rPr>
              <w:t>7.8</w:t>
            </w:r>
          </w:p>
        </w:tc>
        <w:tc>
          <w:tcPr>
            <w:tcW w:type="dxa" w:w="1040"/>
            <w:shd w:fill="FFFFFF"/>
            <w:tcMar>
              <w:top w:w="45" w:type="dxa"/>
              <w:bottom w:w="45" w:type="dxa"/>
              <w:left w:w="45" w:type="dxa"/>
              <w:right w:w="45" w:type="dxa"/>
            </w:tcMar>
          </w:tcPr>
          <w:p>
            <w:pPr>
              <w:jc w:val="center"/>
            </w:pPr>
            <w:r>
              <w:rPr>
                <w:rFonts w:ascii="Arial" w:hAnsi="Arial"/>
                <w:color w:val="212529"/>
                <w:sz w:val="14"/>
              </w:rPr>
              <w:t>-2.0</w:t>
            </w:r>
          </w:p>
        </w:tc>
        <w:tc>
          <w:tcPr>
            <w:tcW w:type="dxa" w:w="1040"/>
            <w:shd w:fill="FFFFFF"/>
            <w:tcMar>
              <w:top w:w="45" w:type="dxa"/>
              <w:bottom w:w="45" w:type="dxa"/>
              <w:left w:w="45" w:type="dxa"/>
              <w:right w:w="45" w:type="dxa"/>
            </w:tcMar>
          </w:tcPr>
          <w:p>
            <w:pPr>
              <w:jc w:val="center"/>
            </w:pPr>
            <w:r>
              <w:rPr>
                <w:rFonts w:ascii="Arial" w:hAnsi="Arial"/>
                <w:color w:val="212529"/>
                <w:sz w:val="14"/>
              </w:rPr>
              <w:t>0.015</w:t>
            </w:r>
          </w:p>
        </w:tc>
        <w:tc>
          <w:tcPr>
            <w:tcW w:type="dxa" w:w="1040"/>
            <w:shd w:fill="FFFFFF"/>
            <w:tcMar>
              <w:top w:w="45" w:type="dxa"/>
              <w:bottom w:w="45" w:type="dxa"/>
              <w:left w:w="45" w:type="dxa"/>
              <w:right w:w="45" w:type="dxa"/>
            </w:tcMar>
          </w:tcPr>
          <w:p>
            <w:pPr>
              <w:jc w:val="left"/>
            </w:pPr>
            <w:r>
              <w:rPr>
                <w:rFonts w:ascii="Arial" w:hAnsi="Arial"/>
                <w:color w:val="212529"/>
                <w:sz w:val="14"/>
              </w:rPr>
              <w:t>ERA5-Land `swvl2` (7–28 cm)</w:t>
            </w:r>
          </w:p>
        </w:tc>
      </w:tr>
      <w:tr>
        <w:tc>
          <w:tcPr>
            <w:tcW w:type="dxa" w:w="1040"/>
            <w:shd w:fill="F8FAFC"/>
            <w:tcMar>
              <w:top w:w="45" w:type="dxa"/>
              <w:bottom w:w="45" w:type="dxa"/>
              <w:left w:w="45" w:type="dxa"/>
              <w:right w:w="45" w:type="dxa"/>
            </w:tcMar>
          </w:tcPr>
          <w:p>
            <w:pPr>
              <w:jc w:val="left"/>
            </w:pPr>
            <w:r>
              <w:rPr>
                <w:rFonts w:ascii="Arial" w:hAnsi="Arial"/>
                <w:b/>
                <w:color w:val="212529"/>
                <w:sz w:val="14"/>
              </w:rPr>
              <w:t>**Basel**</w:t>
            </w:r>
          </w:p>
        </w:tc>
        <w:tc>
          <w:tcPr>
            <w:tcW w:type="dxa" w:w="1040"/>
            <w:shd w:fill="F8FAFC"/>
            <w:tcMar>
              <w:top w:w="45" w:type="dxa"/>
              <w:bottom w:w="45" w:type="dxa"/>
              <w:left w:w="45" w:type="dxa"/>
              <w:right w:w="45" w:type="dxa"/>
            </w:tcMar>
          </w:tcPr>
          <w:p>
            <w:pPr>
              <w:jc w:val="center"/>
            </w:pPr>
            <w:r>
              <w:rPr>
                <w:rFonts w:ascii="Arial" w:hAnsi="Arial"/>
                <w:color w:val="212529"/>
                <w:sz w:val="14"/>
              </w:rPr>
              <w:t>Cfb</w:t>
            </w:r>
          </w:p>
        </w:tc>
        <w:tc>
          <w:tcPr>
            <w:tcW w:type="dxa" w:w="1040"/>
            <w:shd w:fill="F8FAFC"/>
            <w:tcMar>
              <w:top w:w="45" w:type="dxa"/>
              <w:bottom w:w="45" w:type="dxa"/>
              <w:left w:w="45" w:type="dxa"/>
              <w:right w:w="45" w:type="dxa"/>
            </w:tcMar>
          </w:tcPr>
          <w:p>
            <w:pPr>
              <w:jc w:val="left"/>
            </w:pPr>
            <w:r>
              <w:rPr>
                <w:rFonts w:ascii="Arial" w:hAnsi="Arial"/>
                <w:color w:val="212529"/>
                <w:sz w:val="14"/>
              </w:rPr>
              <w:t>PFT 3 (Mesic Broadleaf Deciduous)</w:t>
            </w:r>
          </w:p>
        </w:tc>
        <w:tc>
          <w:tcPr>
            <w:tcW w:type="dxa" w:w="1040"/>
            <w:shd w:fill="F8FAFC"/>
            <w:tcMar>
              <w:top w:w="45" w:type="dxa"/>
              <w:bottom w:w="45" w:type="dxa"/>
              <w:left w:w="45" w:type="dxa"/>
              <w:right w:w="45" w:type="dxa"/>
            </w:tcMar>
          </w:tcPr>
          <w:p>
            <w:pPr>
              <w:jc w:val="left"/>
            </w:pPr>
            <w:r>
              <w:rPr>
                <w:rFonts w:ascii="Arial" w:hAnsi="Arial"/>
                <w:color w:val="212529"/>
                <w:sz w:val="14"/>
              </w:rPr>
              <w:t>*Aesculus hippocastanum*, *Acer pseudoplatanus*</w:t>
            </w:r>
          </w:p>
        </w:tc>
        <w:tc>
          <w:tcPr>
            <w:tcW w:type="dxa" w:w="1040"/>
            <w:shd w:fill="F8FAFC"/>
            <w:tcMar>
              <w:top w:w="45" w:type="dxa"/>
              <w:bottom w:w="45" w:type="dxa"/>
              <w:left w:w="45" w:type="dxa"/>
              <w:right w:w="45" w:type="dxa"/>
            </w:tcMar>
          </w:tcPr>
          <w:p>
            <w:pPr>
              <w:jc w:val="center"/>
            </w:pPr>
            <w:r>
              <w:rPr>
                <w:rFonts w:ascii="Arial" w:hAnsi="Arial"/>
                <w:color w:val="212529"/>
                <w:sz w:val="14"/>
              </w:rPr>
              <w:t>3.7</w:t>
            </w:r>
          </w:p>
        </w:tc>
        <w:tc>
          <w:tcPr>
            <w:tcW w:type="dxa" w:w="1040"/>
            <w:shd w:fill="F8FAFC"/>
            <w:tcMar>
              <w:top w:w="45" w:type="dxa"/>
              <w:bottom w:w="45" w:type="dxa"/>
              <w:left w:w="45" w:type="dxa"/>
              <w:right w:w="45" w:type="dxa"/>
            </w:tcMar>
          </w:tcPr>
          <w:p>
            <w:pPr>
              <w:jc w:val="center"/>
            </w:pPr>
            <w:r>
              <w:rPr>
                <w:rFonts w:ascii="Arial" w:hAnsi="Arial"/>
                <w:color w:val="212529"/>
                <w:sz w:val="14"/>
              </w:rPr>
              <w:t>7.5</w:t>
            </w:r>
          </w:p>
        </w:tc>
        <w:tc>
          <w:tcPr>
            <w:tcW w:type="dxa" w:w="1040"/>
            <w:shd w:fill="F8FAFC"/>
            <w:tcMar>
              <w:top w:w="45" w:type="dxa"/>
              <w:bottom w:w="45" w:type="dxa"/>
              <w:left w:w="45" w:type="dxa"/>
              <w:right w:w="45" w:type="dxa"/>
            </w:tcMar>
          </w:tcPr>
          <w:p>
            <w:pPr>
              <w:jc w:val="center"/>
            </w:pPr>
            <w:r>
              <w:rPr>
                <w:rFonts w:ascii="Arial" w:hAnsi="Arial"/>
                <w:color w:val="212529"/>
                <w:sz w:val="14"/>
              </w:rPr>
              <w:t>-2.0</w:t>
            </w:r>
          </w:p>
        </w:tc>
        <w:tc>
          <w:tcPr>
            <w:tcW w:type="dxa" w:w="1040"/>
            <w:shd w:fill="F8FAFC"/>
            <w:tcMar>
              <w:top w:w="45" w:type="dxa"/>
              <w:bottom w:w="45" w:type="dxa"/>
              <w:left w:w="45" w:type="dxa"/>
              <w:right w:w="45" w:type="dxa"/>
            </w:tcMar>
          </w:tcPr>
          <w:p>
            <w:pPr>
              <w:jc w:val="center"/>
            </w:pPr>
            <w:r>
              <w:rPr>
                <w:rFonts w:ascii="Arial" w:hAnsi="Arial"/>
                <w:color w:val="212529"/>
                <w:sz w:val="14"/>
              </w:rPr>
              <w:t>0.015</w:t>
            </w:r>
          </w:p>
        </w:tc>
        <w:tc>
          <w:tcPr>
            <w:tcW w:type="dxa" w:w="1040"/>
            <w:shd w:fill="F8FAFC"/>
            <w:tcMar>
              <w:top w:w="45" w:type="dxa"/>
              <w:bottom w:w="45" w:type="dxa"/>
              <w:left w:w="45" w:type="dxa"/>
              <w:right w:w="45" w:type="dxa"/>
            </w:tcMar>
          </w:tcPr>
          <w:p>
            <w:pPr>
              <w:jc w:val="left"/>
            </w:pPr>
            <w:r>
              <w:rPr>
                <w:rFonts w:ascii="Arial" w:hAnsi="Arial"/>
                <w:color w:val="212529"/>
                <w:sz w:val="14"/>
              </w:rPr>
              <w:t>ERA5-Land `swvl2` (7–28 cm)</w:t>
            </w:r>
          </w:p>
        </w:tc>
      </w:tr>
      <w:tr>
        <w:tc>
          <w:tcPr>
            <w:tcW w:type="dxa" w:w="1040"/>
            <w:shd w:fill="FFFFFF"/>
            <w:tcMar>
              <w:top w:w="45" w:type="dxa"/>
              <w:bottom w:w="45" w:type="dxa"/>
              <w:left w:w="45" w:type="dxa"/>
              <w:right w:w="45" w:type="dxa"/>
            </w:tcMar>
          </w:tcPr>
          <w:p>
            <w:pPr>
              <w:jc w:val="left"/>
            </w:pPr>
            <w:r>
              <w:rPr>
                <w:rFonts w:ascii="Arial" w:hAnsi="Arial"/>
                <w:b/>
                <w:color w:val="212529"/>
                <w:sz w:val="14"/>
              </w:rPr>
              <w:t>**Cairo**</w:t>
            </w:r>
          </w:p>
        </w:tc>
        <w:tc>
          <w:tcPr>
            <w:tcW w:type="dxa" w:w="1040"/>
            <w:shd w:fill="FFFFFF"/>
            <w:tcMar>
              <w:top w:w="45" w:type="dxa"/>
              <w:bottom w:w="45" w:type="dxa"/>
              <w:left w:w="45" w:type="dxa"/>
              <w:right w:w="45" w:type="dxa"/>
            </w:tcMar>
          </w:tcPr>
          <w:p>
            <w:pPr>
              <w:jc w:val="center"/>
            </w:pPr>
            <w:r>
              <w:rPr>
                <w:rFonts w:ascii="Arial" w:hAnsi="Arial"/>
                <w:color w:val="212529"/>
                <w:sz w:val="14"/>
              </w:rPr>
              <w:t>BWh</w:t>
            </w:r>
          </w:p>
        </w:tc>
        <w:tc>
          <w:tcPr>
            <w:tcW w:type="dxa" w:w="1040"/>
            <w:shd w:fill="FFFFFF"/>
            <w:tcMar>
              <w:top w:w="45" w:type="dxa"/>
              <w:bottom w:w="45" w:type="dxa"/>
              <w:left w:w="45" w:type="dxa"/>
              <w:right w:w="45" w:type="dxa"/>
            </w:tcMar>
          </w:tcPr>
          <w:p>
            <w:pPr>
              <w:jc w:val="left"/>
            </w:pPr>
            <w:r>
              <w:rPr>
                <w:rFonts w:ascii="Arial" w:hAnsi="Arial"/>
                <w:color w:val="212529"/>
                <w:sz w:val="14"/>
              </w:rPr>
              <w:t>PFT 8 (Arid Xerophyte / Mesophyte)</w:t>
            </w:r>
          </w:p>
        </w:tc>
        <w:tc>
          <w:tcPr>
            <w:tcW w:type="dxa" w:w="1040"/>
            <w:shd w:fill="FFFFFF"/>
            <w:tcMar>
              <w:top w:w="45" w:type="dxa"/>
              <w:bottom w:w="45" w:type="dxa"/>
              <w:left w:w="45" w:type="dxa"/>
              <w:right w:w="45" w:type="dxa"/>
            </w:tcMar>
          </w:tcPr>
          <w:p>
            <w:pPr>
              <w:jc w:val="left"/>
            </w:pPr>
            <w:r>
              <w:rPr>
                <w:rFonts w:ascii="Arial" w:hAnsi="Arial"/>
                <w:color w:val="212529"/>
                <w:sz w:val="14"/>
              </w:rPr>
              <w:t>*Conocarpus erectus*, *Ficus retusa*</w:t>
            </w:r>
          </w:p>
        </w:tc>
        <w:tc>
          <w:tcPr>
            <w:tcW w:type="dxa" w:w="1040"/>
            <w:shd w:fill="FFFFFF"/>
            <w:tcMar>
              <w:top w:w="45" w:type="dxa"/>
              <w:bottom w:w="45" w:type="dxa"/>
              <w:left w:w="45" w:type="dxa"/>
              <w:right w:w="45" w:type="dxa"/>
            </w:tcMar>
          </w:tcPr>
          <w:p>
            <w:pPr>
              <w:jc w:val="center"/>
            </w:pPr>
            <w:r>
              <w:rPr>
                <w:rFonts w:ascii="Arial" w:hAnsi="Arial"/>
                <w:color w:val="212529"/>
                <w:sz w:val="14"/>
              </w:rPr>
              <w:t>2.1</w:t>
            </w:r>
          </w:p>
        </w:tc>
        <w:tc>
          <w:tcPr>
            <w:tcW w:type="dxa" w:w="1040"/>
            <w:shd w:fill="FFFFFF"/>
            <w:tcMar>
              <w:top w:w="45" w:type="dxa"/>
              <w:bottom w:w="45" w:type="dxa"/>
              <w:left w:w="45" w:type="dxa"/>
              <w:right w:w="45" w:type="dxa"/>
            </w:tcMar>
          </w:tcPr>
          <w:p>
            <w:pPr>
              <w:jc w:val="center"/>
            </w:pPr>
            <w:r>
              <w:rPr>
                <w:rFonts w:ascii="Arial" w:hAnsi="Arial"/>
                <w:color w:val="212529"/>
                <w:sz w:val="14"/>
              </w:rPr>
              <w:t>5.5</w:t>
            </w:r>
          </w:p>
        </w:tc>
        <w:tc>
          <w:tcPr>
            <w:tcW w:type="dxa" w:w="1040"/>
            <w:shd w:fill="FFFFFF"/>
            <w:tcMar>
              <w:top w:w="45" w:type="dxa"/>
              <w:bottom w:w="45" w:type="dxa"/>
              <w:left w:w="45" w:type="dxa"/>
              <w:right w:w="45" w:type="dxa"/>
            </w:tcMar>
          </w:tcPr>
          <w:p>
            <w:pPr>
              <w:jc w:val="center"/>
            </w:pPr>
            <w:r>
              <w:rPr>
                <w:rFonts w:ascii="Arial" w:hAnsi="Arial"/>
                <w:color w:val="212529"/>
                <w:sz w:val="14"/>
              </w:rPr>
              <w:t>-3.8</w:t>
            </w:r>
          </w:p>
        </w:tc>
        <w:tc>
          <w:tcPr>
            <w:tcW w:type="dxa" w:w="1040"/>
            <w:shd w:fill="FFFFFF"/>
            <w:tcMar>
              <w:top w:w="45" w:type="dxa"/>
              <w:bottom w:w="45" w:type="dxa"/>
              <w:left w:w="45" w:type="dxa"/>
              <w:right w:w="45" w:type="dxa"/>
            </w:tcMar>
          </w:tcPr>
          <w:p>
            <w:pPr>
              <w:jc w:val="center"/>
            </w:pPr>
            <w:r>
              <w:rPr>
                <w:rFonts w:ascii="Arial" w:hAnsi="Arial"/>
                <w:color w:val="212529"/>
                <w:sz w:val="14"/>
              </w:rPr>
              <w:t>0.005</w:t>
            </w:r>
          </w:p>
        </w:tc>
        <w:tc>
          <w:tcPr>
            <w:tcW w:type="dxa" w:w="1040"/>
            <w:shd w:fill="FFFFFF"/>
            <w:tcMar>
              <w:top w:w="45" w:type="dxa"/>
              <w:bottom w:w="45" w:type="dxa"/>
              <w:left w:w="45" w:type="dxa"/>
              <w:right w:w="45" w:type="dxa"/>
            </w:tcMar>
          </w:tcPr>
          <w:p>
            <w:pPr>
              <w:jc w:val="left"/>
            </w:pPr>
            <w:r>
              <w:rPr>
                <w:rFonts w:ascii="Arial" w:hAnsi="Arial"/>
                <w:color w:val="212529"/>
                <w:sz w:val="14"/>
              </w:rPr>
              <w:t>Municipal Drip Irrigation (θ=0.28 m³/m³)</w:t>
            </w:r>
          </w:p>
        </w:tc>
      </w:tr>
      <w:tr>
        <w:tc>
          <w:tcPr>
            <w:tcW w:type="dxa" w:w="1040"/>
            <w:shd w:fill="F8FAFC"/>
            <w:tcMar>
              <w:top w:w="45" w:type="dxa"/>
              <w:bottom w:w="45" w:type="dxa"/>
              <w:left w:w="45" w:type="dxa"/>
              <w:right w:w="45" w:type="dxa"/>
            </w:tcMar>
          </w:tcPr>
          <w:p>
            <w:pPr>
              <w:jc w:val="left"/>
            </w:pPr>
            <w:r>
              <w:rPr>
                <w:rFonts w:ascii="Arial" w:hAnsi="Arial"/>
                <w:b/>
                <w:color w:val="212529"/>
                <w:sz w:val="14"/>
              </w:rPr>
              <w:t>**Phoenix**</w:t>
            </w:r>
          </w:p>
        </w:tc>
        <w:tc>
          <w:tcPr>
            <w:tcW w:type="dxa" w:w="1040"/>
            <w:shd w:fill="F8FAFC"/>
            <w:tcMar>
              <w:top w:w="45" w:type="dxa"/>
              <w:bottom w:w="45" w:type="dxa"/>
              <w:left w:w="45" w:type="dxa"/>
              <w:right w:w="45" w:type="dxa"/>
            </w:tcMar>
          </w:tcPr>
          <w:p>
            <w:pPr>
              <w:jc w:val="center"/>
            </w:pPr>
            <w:r>
              <w:rPr>
                <w:rFonts w:ascii="Arial" w:hAnsi="Arial"/>
                <w:color w:val="212529"/>
                <w:sz w:val="14"/>
              </w:rPr>
              <w:t>BWh</w:t>
            </w:r>
          </w:p>
        </w:tc>
        <w:tc>
          <w:tcPr>
            <w:tcW w:type="dxa" w:w="1040"/>
            <w:shd w:fill="F8FAFC"/>
            <w:tcMar>
              <w:top w:w="45" w:type="dxa"/>
              <w:bottom w:w="45" w:type="dxa"/>
              <w:left w:w="45" w:type="dxa"/>
              <w:right w:w="45" w:type="dxa"/>
            </w:tcMar>
          </w:tcPr>
          <w:p>
            <w:pPr>
              <w:jc w:val="left"/>
            </w:pPr>
            <w:r>
              <w:rPr>
                <w:rFonts w:ascii="Arial" w:hAnsi="Arial"/>
                <w:color w:val="212529"/>
                <w:sz w:val="14"/>
              </w:rPr>
              <w:t>PFT 8 (Arid Desert Xerophyte)</w:t>
            </w:r>
          </w:p>
        </w:tc>
        <w:tc>
          <w:tcPr>
            <w:tcW w:type="dxa" w:w="1040"/>
            <w:shd w:fill="F8FAFC"/>
            <w:tcMar>
              <w:top w:w="45" w:type="dxa"/>
              <w:bottom w:w="45" w:type="dxa"/>
              <w:left w:w="45" w:type="dxa"/>
              <w:right w:w="45" w:type="dxa"/>
            </w:tcMar>
          </w:tcPr>
          <w:p>
            <w:pPr>
              <w:jc w:val="left"/>
            </w:pPr>
            <w:r>
              <w:rPr>
                <w:rFonts w:ascii="Arial" w:hAnsi="Arial"/>
                <w:color w:val="212529"/>
                <w:sz w:val="14"/>
              </w:rPr>
              <w:t>*Tamarix aphylla*, *Parkinsonia florida*</w:t>
            </w:r>
          </w:p>
        </w:tc>
        <w:tc>
          <w:tcPr>
            <w:tcW w:type="dxa" w:w="1040"/>
            <w:shd w:fill="F8FAFC"/>
            <w:tcMar>
              <w:top w:w="45" w:type="dxa"/>
              <w:bottom w:w="45" w:type="dxa"/>
              <w:left w:w="45" w:type="dxa"/>
              <w:right w:w="45" w:type="dxa"/>
            </w:tcMar>
          </w:tcPr>
          <w:p>
            <w:pPr>
              <w:jc w:val="center"/>
            </w:pPr>
            <w:r>
              <w:rPr>
                <w:rFonts w:ascii="Arial" w:hAnsi="Arial"/>
                <w:color w:val="212529"/>
                <w:sz w:val="14"/>
              </w:rPr>
              <w:t>1.8</w:t>
            </w:r>
          </w:p>
        </w:tc>
        <w:tc>
          <w:tcPr>
            <w:tcW w:type="dxa" w:w="1040"/>
            <w:shd w:fill="F8FAFC"/>
            <w:tcMar>
              <w:top w:w="45" w:type="dxa"/>
              <w:bottom w:w="45" w:type="dxa"/>
              <w:left w:w="45" w:type="dxa"/>
              <w:right w:w="45" w:type="dxa"/>
            </w:tcMar>
          </w:tcPr>
          <w:p>
            <w:pPr>
              <w:jc w:val="center"/>
            </w:pPr>
            <w:r>
              <w:rPr>
                <w:rFonts w:ascii="Arial" w:hAnsi="Arial"/>
                <w:color w:val="212529"/>
                <w:sz w:val="14"/>
              </w:rPr>
              <w:t>5.0</w:t>
            </w:r>
          </w:p>
        </w:tc>
        <w:tc>
          <w:tcPr>
            <w:tcW w:type="dxa" w:w="1040"/>
            <w:shd w:fill="F8FAFC"/>
            <w:tcMar>
              <w:top w:w="45" w:type="dxa"/>
              <w:bottom w:w="45" w:type="dxa"/>
              <w:left w:w="45" w:type="dxa"/>
              <w:right w:w="45" w:type="dxa"/>
            </w:tcMar>
          </w:tcPr>
          <w:p>
            <w:pPr>
              <w:jc w:val="center"/>
            </w:pPr>
            <w:r>
              <w:rPr>
                <w:rFonts w:ascii="Arial" w:hAnsi="Arial"/>
                <w:color w:val="212529"/>
                <w:sz w:val="14"/>
              </w:rPr>
              <w:t>-3.8</w:t>
            </w:r>
          </w:p>
        </w:tc>
        <w:tc>
          <w:tcPr>
            <w:tcW w:type="dxa" w:w="1040"/>
            <w:shd w:fill="F8FAFC"/>
            <w:tcMar>
              <w:top w:w="45" w:type="dxa"/>
              <w:bottom w:w="45" w:type="dxa"/>
              <w:left w:w="45" w:type="dxa"/>
              <w:right w:w="45" w:type="dxa"/>
            </w:tcMar>
          </w:tcPr>
          <w:p>
            <w:pPr>
              <w:jc w:val="center"/>
            </w:pPr>
            <w:r>
              <w:rPr>
                <w:rFonts w:ascii="Arial" w:hAnsi="Arial"/>
                <w:color w:val="212529"/>
                <w:sz w:val="14"/>
              </w:rPr>
              <w:t>0.005</w:t>
            </w:r>
          </w:p>
        </w:tc>
        <w:tc>
          <w:tcPr>
            <w:tcW w:type="dxa" w:w="1040"/>
            <w:shd w:fill="F8FAFC"/>
            <w:tcMar>
              <w:top w:w="45" w:type="dxa"/>
              <w:bottom w:w="45" w:type="dxa"/>
              <w:left w:w="45" w:type="dxa"/>
              <w:right w:w="45" w:type="dxa"/>
            </w:tcMar>
          </w:tcPr>
          <w:p>
            <w:pPr>
              <w:jc w:val="left"/>
            </w:pPr>
            <w:r>
              <w:rPr>
                <w:rFonts w:ascii="Arial" w:hAnsi="Arial"/>
                <w:color w:val="212529"/>
                <w:sz w:val="14"/>
              </w:rPr>
              <w:t>Municipal Drip Irrigation (θ=0.28 m³/m³)</w:t>
            </w:r>
          </w:p>
        </w:tc>
      </w:tr>
      <w:tr>
        <w:tc>
          <w:tcPr>
            <w:tcW w:type="dxa" w:w="1040"/>
            <w:shd w:fill="FFFFFF"/>
            <w:tcMar>
              <w:top w:w="45" w:type="dxa"/>
              <w:bottom w:w="45" w:type="dxa"/>
              <w:left w:w="45" w:type="dxa"/>
              <w:right w:w="45" w:type="dxa"/>
            </w:tcMar>
          </w:tcPr>
          <w:p>
            <w:pPr>
              <w:jc w:val="left"/>
            </w:pPr>
            <w:r>
              <w:rPr>
                <w:rFonts w:ascii="Arial" w:hAnsi="Arial"/>
                <w:b/>
                <w:color w:val="212529"/>
                <w:sz w:val="14"/>
              </w:rPr>
              <w:t>**São Paulo**</w:t>
            </w:r>
          </w:p>
        </w:tc>
        <w:tc>
          <w:tcPr>
            <w:tcW w:type="dxa" w:w="1040"/>
            <w:shd w:fill="FFFFFF"/>
            <w:tcMar>
              <w:top w:w="45" w:type="dxa"/>
              <w:bottom w:w="45" w:type="dxa"/>
              <w:left w:w="45" w:type="dxa"/>
              <w:right w:w="45" w:type="dxa"/>
            </w:tcMar>
          </w:tcPr>
          <w:p>
            <w:pPr>
              <w:jc w:val="center"/>
            </w:pPr>
            <w:r>
              <w:rPr>
                <w:rFonts w:ascii="Arial" w:hAnsi="Arial"/>
                <w:color w:val="212529"/>
                <w:sz w:val="14"/>
              </w:rPr>
              <w:t>Cwa</w:t>
            </w:r>
          </w:p>
        </w:tc>
        <w:tc>
          <w:tcPr>
            <w:tcW w:type="dxa" w:w="1040"/>
            <w:shd w:fill="FFFFFF"/>
            <w:tcMar>
              <w:top w:w="45" w:type="dxa"/>
              <w:bottom w:w="45" w:type="dxa"/>
              <w:left w:w="45" w:type="dxa"/>
              <w:right w:w="45" w:type="dxa"/>
            </w:tcMar>
          </w:tcPr>
          <w:p>
            <w:pPr>
              <w:jc w:val="left"/>
            </w:pPr>
            <w:r>
              <w:rPr>
                <w:rFonts w:ascii="Arial" w:hAnsi="Arial"/>
                <w:color w:val="212529"/>
                <w:sz w:val="14"/>
              </w:rPr>
              <w:t>PFT 7 (Subtropical / Tropical Evergreen)</w:t>
            </w:r>
          </w:p>
        </w:tc>
        <w:tc>
          <w:tcPr>
            <w:tcW w:type="dxa" w:w="1040"/>
            <w:shd w:fill="FFFFFF"/>
            <w:tcMar>
              <w:top w:w="45" w:type="dxa"/>
              <w:bottom w:w="45" w:type="dxa"/>
              <w:left w:w="45" w:type="dxa"/>
              <w:right w:w="45" w:type="dxa"/>
            </w:tcMar>
          </w:tcPr>
          <w:p>
            <w:pPr>
              <w:jc w:val="left"/>
            </w:pPr>
            <w:r>
              <w:rPr>
                <w:rFonts w:ascii="Arial" w:hAnsi="Arial"/>
                <w:color w:val="212529"/>
                <w:sz w:val="14"/>
              </w:rPr>
              <w:t>*Tipuana tipu*, *Caesalpinia pluviosa*</w:t>
            </w:r>
          </w:p>
        </w:tc>
        <w:tc>
          <w:tcPr>
            <w:tcW w:type="dxa" w:w="1040"/>
            <w:shd w:fill="FFFFFF"/>
            <w:tcMar>
              <w:top w:w="45" w:type="dxa"/>
              <w:bottom w:w="45" w:type="dxa"/>
              <w:left w:w="45" w:type="dxa"/>
              <w:right w:w="45" w:type="dxa"/>
            </w:tcMar>
          </w:tcPr>
          <w:p>
            <w:pPr>
              <w:jc w:val="center"/>
            </w:pPr>
            <w:r>
              <w:rPr>
                <w:rFonts w:ascii="Arial" w:hAnsi="Arial"/>
                <w:color w:val="212529"/>
                <w:sz w:val="14"/>
              </w:rPr>
              <w:t>4.2</w:t>
            </w:r>
          </w:p>
        </w:tc>
        <w:tc>
          <w:tcPr>
            <w:tcW w:type="dxa" w:w="1040"/>
            <w:shd w:fill="FFFFFF"/>
            <w:tcMar>
              <w:top w:w="45" w:type="dxa"/>
              <w:bottom w:w="45" w:type="dxa"/>
              <w:left w:w="45" w:type="dxa"/>
              <w:right w:w="45" w:type="dxa"/>
            </w:tcMar>
          </w:tcPr>
          <w:p>
            <w:pPr>
              <w:jc w:val="center"/>
            </w:pPr>
            <w:r>
              <w:rPr>
                <w:rFonts w:ascii="Arial" w:hAnsi="Arial"/>
                <w:color w:val="212529"/>
                <w:sz w:val="14"/>
              </w:rPr>
              <w:t>8.0</w:t>
            </w:r>
          </w:p>
        </w:tc>
        <w:tc>
          <w:tcPr>
            <w:tcW w:type="dxa" w:w="1040"/>
            <w:shd w:fill="FFFFFF"/>
            <w:tcMar>
              <w:top w:w="45" w:type="dxa"/>
              <w:bottom w:w="45" w:type="dxa"/>
              <w:left w:w="45" w:type="dxa"/>
              <w:right w:w="45" w:type="dxa"/>
            </w:tcMar>
          </w:tcPr>
          <w:p>
            <w:pPr>
              <w:jc w:val="center"/>
            </w:pPr>
            <w:r>
              <w:rPr>
                <w:rFonts w:ascii="Arial" w:hAnsi="Arial"/>
                <w:color w:val="212529"/>
                <w:sz w:val="14"/>
              </w:rPr>
              <w:t>-2.2</w:t>
            </w:r>
          </w:p>
        </w:tc>
        <w:tc>
          <w:tcPr>
            <w:tcW w:type="dxa" w:w="1040"/>
            <w:shd w:fill="FFFFFF"/>
            <w:tcMar>
              <w:top w:w="45" w:type="dxa"/>
              <w:bottom w:w="45" w:type="dxa"/>
              <w:left w:w="45" w:type="dxa"/>
              <w:right w:w="45" w:type="dxa"/>
            </w:tcMar>
          </w:tcPr>
          <w:p>
            <w:pPr>
              <w:jc w:val="center"/>
            </w:pPr>
            <w:r>
              <w:rPr>
                <w:rFonts w:ascii="Arial" w:hAnsi="Arial"/>
                <w:color w:val="212529"/>
                <w:sz w:val="14"/>
              </w:rPr>
              <w:t>0.022</w:t>
            </w:r>
          </w:p>
        </w:tc>
        <w:tc>
          <w:tcPr>
            <w:tcW w:type="dxa" w:w="1040"/>
            <w:shd w:fill="FFFFFF"/>
            <w:tcMar>
              <w:top w:w="45" w:type="dxa"/>
              <w:bottom w:w="45" w:type="dxa"/>
              <w:left w:w="45" w:type="dxa"/>
              <w:right w:w="45" w:type="dxa"/>
            </w:tcMar>
          </w:tcPr>
          <w:p>
            <w:pPr>
              <w:jc w:val="left"/>
            </w:pPr>
            <w:r>
              <w:rPr>
                <w:rFonts w:ascii="Arial" w:hAnsi="Arial"/>
                <w:color w:val="212529"/>
                <w:sz w:val="14"/>
              </w:rPr>
              <w:t>ERA5-Land `swvl2` (7–28 cm)</w:t>
            </w:r>
          </w:p>
        </w:tc>
      </w:tr>
      <w:tr>
        <w:tc>
          <w:tcPr>
            <w:tcW w:type="dxa" w:w="1040"/>
            <w:shd w:fill="F8FAFC"/>
            <w:tcMar>
              <w:top w:w="45" w:type="dxa"/>
              <w:bottom w:w="45" w:type="dxa"/>
              <w:left w:w="45" w:type="dxa"/>
              <w:right w:w="45" w:type="dxa"/>
            </w:tcMar>
          </w:tcPr>
          <w:p>
            <w:pPr>
              <w:jc w:val="left"/>
            </w:pPr>
            <w:r>
              <w:rPr>
                <w:rFonts w:ascii="Arial" w:hAnsi="Arial"/>
                <w:b/>
                <w:color w:val="212529"/>
                <w:sz w:val="14"/>
              </w:rPr>
              <w:t>**Singapore**</w:t>
            </w:r>
          </w:p>
        </w:tc>
        <w:tc>
          <w:tcPr>
            <w:tcW w:type="dxa" w:w="1040"/>
            <w:shd w:fill="F8FAFC"/>
            <w:tcMar>
              <w:top w:w="45" w:type="dxa"/>
              <w:bottom w:w="45" w:type="dxa"/>
              <w:left w:w="45" w:type="dxa"/>
              <w:right w:w="45" w:type="dxa"/>
            </w:tcMar>
          </w:tcPr>
          <w:p>
            <w:pPr>
              <w:jc w:val="center"/>
            </w:pPr>
            <w:r>
              <w:rPr>
                <w:rFonts w:ascii="Arial" w:hAnsi="Arial"/>
                <w:color w:val="212529"/>
                <w:sz w:val="14"/>
              </w:rPr>
              <w:t>Af</w:t>
            </w:r>
          </w:p>
        </w:tc>
        <w:tc>
          <w:tcPr>
            <w:tcW w:type="dxa" w:w="1040"/>
            <w:shd w:fill="F8FAFC"/>
            <w:tcMar>
              <w:top w:w="45" w:type="dxa"/>
              <w:bottom w:w="45" w:type="dxa"/>
              <w:left w:w="45" w:type="dxa"/>
              <w:right w:w="45" w:type="dxa"/>
            </w:tcMar>
          </w:tcPr>
          <w:p>
            <w:pPr>
              <w:jc w:val="left"/>
            </w:pPr>
            <w:r>
              <w:rPr>
                <w:rFonts w:ascii="Arial" w:hAnsi="Arial"/>
                <w:color w:val="212529"/>
                <w:sz w:val="14"/>
              </w:rPr>
              <w:t>PFT 7 (Tropical Evergreen Rainforest)</w:t>
            </w:r>
          </w:p>
        </w:tc>
        <w:tc>
          <w:tcPr>
            <w:tcW w:type="dxa" w:w="1040"/>
            <w:shd w:fill="F8FAFC"/>
            <w:tcMar>
              <w:top w:w="45" w:type="dxa"/>
              <w:bottom w:w="45" w:type="dxa"/>
              <w:left w:w="45" w:type="dxa"/>
              <w:right w:w="45" w:type="dxa"/>
            </w:tcMar>
          </w:tcPr>
          <w:p>
            <w:pPr>
              <w:jc w:val="left"/>
            </w:pPr>
            <w:r>
              <w:rPr>
                <w:rFonts w:ascii="Arial" w:hAnsi="Arial"/>
                <w:color w:val="212529"/>
                <w:sz w:val="14"/>
              </w:rPr>
              <w:t>*Samanea saman*, *Pterocarpus indicus*</w:t>
            </w:r>
          </w:p>
        </w:tc>
        <w:tc>
          <w:tcPr>
            <w:tcW w:type="dxa" w:w="1040"/>
            <w:shd w:fill="F8FAFC"/>
            <w:tcMar>
              <w:top w:w="45" w:type="dxa"/>
              <w:bottom w:w="45" w:type="dxa"/>
              <w:left w:w="45" w:type="dxa"/>
              <w:right w:w="45" w:type="dxa"/>
            </w:tcMar>
          </w:tcPr>
          <w:p>
            <w:pPr>
              <w:jc w:val="center"/>
            </w:pPr>
            <w:r>
              <w:rPr>
                <w:rFonts w:ascii="Arial" w:hAnsi="Arial"/>
                <w:color w:val="212529"/>
                <w:sz w:val="14"/>
              </w:rPr>
              <w:t>4.8</w:t>
            </w:r>
          </w:p>
        </w:tc>
        <w:tc>
          <w:tcPr>
            <w:tcW w:type="dxa" w:w="1040"/>
            <w:shd w:fill="F8FAFC"/>
            <w:tcMar>
              <w:top w:w="45" w:type="dxa"/>
              <w:bottom w:w="45" w:type="dxa"/>
              <w:left w:w="45" w:type="dxa"/>
              <w:right w:w="45" w:type="dxa"/>
            </w:tcMar>
          </w:tcPr>
          <w:p>
            <w:pPr>
              <w:jc w:val="center"/>
            </w:pPr>
            <w:r>
              <w:rPr>
                <w:rFonts w:ascii="Arial" w:hAnsi="Arial"/>
                <w:color w:val="212529"/>
                <w:sz w:val="14"/>
              </w:rPr>
              <w:t>9.5</w:t>
            </w:r>
          </w:p>
        </w:tc>
        <w:tc>
          <w:tcPr>
            <w:tcW w:type="dxa" w:w="1040"/>
            <w:shd w:fill="F8FAFC"/>
            <w:tcMar>
              <w:top w:w="45" w:type="dxa"/>
              <w:bottom w:w="45" w:type="dxa"/>
              <w:left w:w="45" w:type="dxa"/>
              <w:right w:w="45" w:type="dxa"/>
            </w:tcMar>
          </w:tcPr>
          <w:p>
            <w:pPr>
              <w:jc w:val="center"/>
            </w:pPr>
            <w:r>
              <w:rPr>
                <w:rFonts w:ascii="Arial" w:hAnsi="Arial"/>
                <w:color w:val="212529"/>
                <w:sz w:val="14"/>
              </w:rPr>
              <w:t>-2.2</w:t>
            </w:r>
          </w:p>
        </w:tc>
        <w:tc>
          <w:tcPr>
            <w:tcW w:type="dxa" w:w="1040"/>
            <w:shd w:fill="F8FAFC"/>
            <w:tcMar>
              <w:top w:w="45" w:type="dxa"/>
              <w:bottom w:w="45" w:type="dxa"/>
              <w:left w:w="45" w:type="dxa"/>
              <w:right w:w="45" w:type="dxa"/>
            </w:tcMar>
          </w:tcPr>
          <w:p>
            <w:pPr>
              <w:jc w:val="center"/>
            </w:pPr>
            <w:r>
              <w:rPr>
                <w:rFonts w:ascii="Arial" w:hAnsi="Arial"/>
                <w:color w:val="212529"/>
                <w:sz w:val="14"/>
              </w:rPr>
              <w:t>0.022</w:t>
            </w:r>
          </w:p>
        </w:tc>
        <w:tc>
          <w:tcPr>
            <w:tcW w:type="dxa" w:w="1040"/>
            <w:shd w:fill="F8FAFC"/>
            <w:tcMar>
              <w:top w:w="45" w:type="dxa"/>
              <w:bottom w:w="45" w:type="dxa"/>
              <w:left w:w="45" w:type="dxa"/>
              <w:right w:w="45" w:type="dxa"/>
            </w:tcMar>
          </w:tcPr>
          <w:p>
            <w:pPr>
              <w:jc w:val="left"/>
            </w:pPr>
            <w:r>
              <w:rPr>
                <w:rFonts w:ascii="Arial" w:hAnsi="Arial"/>
                <w:color w:val="212529"/>
                <w:sz w:val="14"/>
              </w:rPr>
              <w:t>ERA5-Land `swvl2` (7–28 cm)</w:t>
            </w:r>
          </w:p>
        </w:tc>
      </w:tr>
    </w:tbl>
    <w:p>
      <w:pPr>
        <w:spacing w:after="120"/>
      </w:pPr>
    </w:p>
    <w:p>
      <w:pPr>
        <w:keepNext/>
        <w:spacing w:before="280" w:after="80"/>
      </w:pPr>
      <w:r>
        <w:rPr>
          <w:rFonts w:ascii="Arial" w:hAnsi="Arial"/>
          <w:b/>
          <w:color w:val="002B49"/>
          <w:sz w:val="24"/>
        </w:rPr>
        <w:t>Supplementary References</w:t>
      </w:r>
    </w:p>
    <w:p>
      <w:pPr>
        <w:spacing w:before="20" w:after="20"/>
        <w:ind w:left="288"/>
      </w:pPr>
      <w:r>
        <w:rPr>
          <w:rFonts w:ascii="Arial" w:hAnsi="Arial"/>
          <w:color w:val="212529"/>
          <w:sz w:val="18"/>
        </w:rPr>
        <w:t>1. Oke, T. R. *Boundary Layer Climates*. 2nd edn, (Routledge, 1987).</w:t>
      </w:r>
    </w:p>
    <w:p>
      <w:pPr>
        <w:spacing w:before="20" w:after="20"/>
        <w:ind w:left="288"/>
      </w:pPr>
      <w:r>
        <w:rPr>
          <w:rFonts w:ascii="Arial" w:hAnsi="Arial"/>
          <w:color w:val="212529"/>
          <w:sz w:val="18"/>
        </w:rPr>
        <w:t>2. Arnfield, A. J. Two decades of urban climate research: a review of turbulence, exchanges of energy and water, and the urban heat island. *Int. J. Climatol.* **23**, 1–26 (2003).</w:t>
      </w:r>
    </w:p>
    <w:p>
      <w:pPr>
        <w:spacing w:before="20" w:after="20"/>
        <w:ind w:left="288"/>
      </w:pPr>
      <w:r>
        <w:rPr>
          <w:rFonts w:ascii="Arial" w:hAnsi="Arial"/>
          <w:color w:val="212529"/>
          <w:sz w:val="18"/>
        </w:rPr>
        <w:t>3. Grimmond, C. S. B. &amp; Oke, T. R. Aerodynamic properties of urban areas derived from analysis of surface form. *J. Appl. Meteorol.* **38**, 1262–1292 (1999).</w:t>
      </w:r>
    </w:p>
    <w:p>
      <w:pPr>
        <w:spacing w:before="20" w:after="20"/>
        <w:ind w:left="288"/>
      </w:pPr>
      <w:r>
        <w:rPr>
          <w:rFonts w:ascii="Arial" w:hAnsi="Arial"/>
          <w:color w:val="212529"/>
          <w:sz w:val="18"/>
        </w:rPr>
        <w:t>4. Masson, V. A physically-based scheme for the urban energy budget in atmospheric models. *Bound.-Layer Meteorol.* **94**, 357–397 (2000).</w:t>
      </w:r>
    </w:p>
    <w:p>
      <w:pPr>
        <w:spacing w:before="20" w:after="20"/>
        <w:ind w:left="288"/>
      </w:pPr>
      <w:r>
        <w:rPr>
          <w:rFonts w:ascii="Arial" w:hAnsi="Arial"/>
          <w:color w:val="212529"/>
          <w:sz w:val="18"/>
        </w:rPr>
        <w:t>5. Kusaka, H., Kondo, H., Kikegawa, Y. &amp; Kimura, F. A simple single-layer urban canopy model for atmospheric models: comparison with multi-layer and slab models. *Bound.-Layer Meteorol.* **101**, 329–358 (2001).</w:t>
      </w:r>
    </w:p>
    <w:p>
      <w:pPr>
        <w:spacing w:before="20" w:after="20"/>
        <w:ind w:left="288"/>
      </w:pPr>
      <w:r>
        <w:rPr>
          <w:rFonts w:ascii="Arial" w:hAnsi="Arial"/>
          <w:color w:val="212529"/>
          <w:sz w:val="18"/>
        </w:rPr>
        <w:t>6. Martilli, A., Clappier, A. &amp; Rotach, M. W. An urban surface exchange parameterisation for mesoscale models. *Bound.-Layer Meteorol.* **104**, 261–304 (2002).</w:t>
      </w:r>
    </w:p>
    <w:p>
      <w:pPr>
        <w:spacing w:before="20" w:after="20"/>
        <w:ind w:left="288"/>
      </w:pPr>
      <w:r>
        <w:rPr>
          <w:rFonts w:ascii="Arial" w:hAnsi="Arial"/>
          <w:color w:val="212529"/>
          <w:sz w:val="18"/>
        </w:rPr>
        <w:t>7. Rotach, M. W. et al. BUBBLE - an urban boundary layer meteorology project. *Theor. Appl. Climatol.* **81**, 231–261 (2005).</w:t>
      </w:r>
    </w:p>
    <w:p>
      <w:pPr>
        <w:spacing w:before="20" w:after="20"/>
        <w:ind w:left="288"/>
      </w:pPr>
      <w:r>
        <w:rPr>
          <w:rFonts w:ascii="Arial" w:hAnsi="Arial"/>
          <w:color w:val="212529"/>
          <w:sz w:val="18"/>
        </w:rPr>
        <w:t>8. Christen, A. &amp; Vogt, R. Energy and radiation balance of a central European city. *Int. J. Climatol.* **24**, 1395–1421 (2004).</w:t>
      </w:r>
    </w:p>
    <w:p>
      <w:pPr>
        <w:spacing w:before="20" w:after="20"/>
        <w:ind w:left="288"/>
      </w:pPr>
      <w:r>
        <w:rPr>
          <w:rFonts w:ascii="Arial" w:hAnsi="Arial"/>
          <w:color w:val="212529"/>
          <w:sz w:val="18"/>
        </w:rPr>
        <w:t>9. Harman, I. N., Best, M. J. &amp; Belcher, S. E. Radiative exchange in an urban street canyon. *Bound.-Layer Meteorol.* **110**, 301–316 (2004).</w:t>
      </w:r>
    </w:p>
    <w:p>
      <w:pPr>
        <w:spacing w:before="20" w:after="20"/>
        <w:ind w:left="288"/>
      </w:pPr>
      <w:r>
        <w:rPr>
          <w:rFonts w:ascii="Arial" w:hAnsi="Arial"/>
          <w:color w:val="212529"/>
          <w:sz w:val="18"/>
        </w:rPr>
        <w:t>10. Hottel, H. C. &amp; Sarofim, A. F. *Radiative Transfer*. (McGraw-Hill, 1967).</w:t>
      </w:r>
    </w:p>
    <w:p>
      <w:pPr>
        <w:spacing w:before="20" w:after="20"/>
        <w:ind w:left="288"/>
      </w:pPr>
      <w:r>
        <w:rPr>
          <w:rFonts w:ascii="Arial" w:hAnsi="Arial"/>
          <w:color w:val="212529"/>
          <w:sz w:val="18"/>
        </w:rPr>
        <w:t>11. Ali-Toudert, F. &amp; Mayer, H. Numerical study on the effects of aspect ratio and orientation of an urban street canyon on outdoor thermal comfort in hot and dry climate. *Build. Environ.* **41**, 94–108 (2006).</w:t>
      </w:r>
    </w:p>
    <w:p>
      <w:pPr>
        <w:spacing w:before="20" w:after="20"/>
        <w:ind w:left="288"/>
      </w:pPr>
      <w:r>
        <w:rPr>
          <w:rFonts w:ascii="Arial" w:hAnsi="Arial"/>
          <w:color w:val="212529"/>
          <w:sz w:val="18"/>
        </w:rPr>
        <w:t>12. Lee, H., Mayer, H. &amp; Chen, L. Contribution of trees and grasslands to the mitigation of human heat stress in a residential district of Freiburg, Southwest Germany. *Landsc. Urban Plan.* **148**, 37–50 (2016).</w:t>
      </w:r>
    </w:p>
    <w:p>
      <w:pPr>
        <w:spacing w:before="20" w:after="20"/>
        <w:ind w:left="288"/>
      </w:pPr>
      <w:r>
        <w:rPr>
          <w:rFonts w:ascii="Arial" w:hAnsi="Arial"/>
          <w:color w:val="212529"/>
          <w:sz w:val="18"/>
        </w:rPr>
        <w:t>13. Bruse, M. &amp; Fleer, H. Simulating surface-plant-air interactions inside urban environments with a three-dimensional numerical model. *Environ. Model. Softw.* **13**, 373–384 (1998).</w:t>
      </w:r>
    </w:p>
    <w:p>
      <w:pPr>
        <w:spacing w:before="20" w:after="20"/>
        <w:ind w:left="288"/>
      </w:pPr>
      <w:r>
        <w:rPr>
          <w:rFonts w:ascii="Arial" w:hAnsi="Arial"/>
          <w:color w:val="212529"/>
          <w:sz w:val="18"/>
        </w:rPr>
        <w:t>14. Maronga, B. et al. The Parallelized Large-Eddy Simulation Model (PALM) version 4.0 for atmospheric and oceanic flows: model system, overview, and recent developments. *Geosci. Model Dev.* **8**, 2515–2551 (2015).</w:t>
      </w:r>
    </w:p>
    <w:p>
      <w:pPr>
        <w:spacing w:before="20" w:after="20"/>
        <w:ind w:left="288"/>
      </w:pPr>
      <w:r>
        <w:rPr>
          <w:rFonts w:ascii="Arial" w:hAnsi="Arial"/>
          <w:color w:val="212529"/>
          <w:sz w:val="18"/>
        </w:rPr>
        <w:t>15. Bowler, D. E., Buyung-Ali, L., Knight, T. M. &amp; Pullin, A. S. Urban greening to cool towns and cities: A systematic review of the empirical evidence. *Landsc. Urban Plan.* **97**, 147–155 (2010).</w:t>
      </w:r>
    </w:p>
    <w:p>
      <w:pPr>
        <w:spacing w:before="20" w:after="20"/>
        <w:ind w:left="288"/>
      </w:pPr>
      <w:r>
        <w:rPr>
          <w:rFonts w:ascii="Arial" w:hAnsi="Arial"/>
          <w:color w:val="212529"/>
          <w:sz w:val="18"/>
        </w:rPr>
        <w:t>16. Santamouris, M. Cooling the cities—a review of reflective and green roof mitigation technologies to fight heat island and improve comfort in urban environments. *Sol. Energy* **103**, 682–703 (2014).</w:t>
      </w:r>
    </w:p>
    <w:p>
      <w:pPr>
        <w:spacing w:before="20" w:after="20"/>
        <w:ind w:left="288"/>
      </w:pPr>
      <w:r>
        <w:rPr>
          <w:rFonts w:ascii="Arial" w:hAnsi="Arial"/>
          <w:color w:val="212529"/>
          <w:sz w:val="18"/>
        </w:rPr>
        <w:t>17. Manoli, G. et al. Magnitude of urban heat islands largely explained by climate and population. *Nature* **573**, 55–60 (2019).</w:t>
      </w:r>
    </w:p>
    <w:p>
      <w:pPr>
        <w:spacing w:before="20" w:after="20"/>
        <w:ind w:left="288"/>
      </w:pPr>
      <w:r>
        <w:rPr>
          <w:rFonts w:ascii="Arial" w:hAnsi="Arial"/>
          <w:color w:val="212529"/>
          <w:sz w:val="18"/>
        </w:rPr>
        <w:t>18. Broadbent, A. M., Coutts, A. M., Tapper, N. J. &amp; Demuzere, M. The cooling effect of irrigation on urban microclimate during heatwave conditions. *Urban Clim.* **23**, 309–329 (2018).</w:t>
      </w:r>
    </w:p>
    <w:p>
      <w:pPr>
        <w:spacing w:before="20" w:after="20"/>
        <w:ind w:left="288"/>
      </w:pPr>
      <w:r>
        <w:rPr>
          <w:rFonts w:ascii="Arial" w:hAnsi="Arial"/>
          <w:color w:val="212529"/>
          <w:sz w:val="18"/>
        </w:rPr>
        <w:t>19. Krayenhoff, E. S., Moustaoui, M., Broadbent, A. M., Gupta, V. &amp; Georgescu, M. Diurnal interaction between urban expansion, climate change and adaptation in US cities. *Nat. Clim. Chang.* **8**, 1097–1104 (2018).</w:t>
      </w:r>
    </w:p>
    <w:p>
      <w:pPr>
        <w:spacing w:before="20" w:after="20"/>
        <w:ind w:left="288"/>
      </w:pPr>
      <w:r>
        <w:rPr>
          <w:rFonts w:ascii="Arial" w:hAnsi="Arial"/>
          <w:color w:val="212529"/>
          <w:sz w:val="18"/>
        </w:rPr>
        <w:t>20. Coutts, A. M., White, E. C., Tapper, N. J., Beringer, J. &amp; Livesley, S. J. Temperature and human thermal comfort effects of street trees across three contrasting street canyon environments. *Theor. Appl. Climatol.* **124**, 55–68 (2016).</w:t>
      </w:r>
    </w:p>
    <w:p>
      <w:pPr>
        <w:spacing w:before="20" w:after="20"/>
        <w:ind w:left="288"/>
      </w:pPr>
      <w:r>
        <w:rPr>
          <w:rFonts w:ascii="Arial" w:hAnsi="Arial"/>
          <w:color w:val="212529"/>
          <w:sz w:val="18"/>
        </w:rPr>
        <w:t>21. Konarska, J. et al. Transpiration of urban trees and its cooling effect in a high latitude city. *Int. J. Biometeorol.* **60**, 159–172 (2016).</w:t>
      </w:r>
    </w:p>
    <w:p>
      <w:pPr>
        <w:spacing w:before="20" w:after="20"/>
        <w:ind w:left="288"/>
      </w:pPr>
      <w:r>
        <w:rPr>
          <w:rFonts w:ascii="Arial" w:hAnsi="Arial"/>
          <w:color w:val="212529"/>
          <w:sz w:val="18"/>
        </w:rPr>
        <w:t>22. Rahman, M. A. et al. Comparing the growth and cooling effectiveness of five common urban tree species with contrasting functional traits. *Urban For. Urban Green.* **20**, 11–23 (2016).</w:t>
      </w:r>
    </w:p>
    <w:p>
      <w:pPr>
        <w:spacing w:before="20" w:after="20"/>
        <w:ind w:left="288"/>
      </w:pPr>
      <w:r>
        <w:rPr>
          <w:rFonts w:ascii="Arial" w:hAnsi="Arial"/>
          <w:color w:val="212529"/>
          <w:sz w:val="18"/>
        </w:rPr>
        <w:t>23. Ball, J. T., Woodrow, I. E. &amp; Berry, J. A. in *Progress in Photosynthesis Research* (ed. Biggins, J.) 221–224 (Springer, 1987).</w:t>
      </w:r>
    </w:p>
    <w:p>
      <w:pPr>
        <w:spacing w:before="20" w:after="20"/>
        <w:ind w:left="288"/>
      </w:pPr>
      <w:r>
        <w:rPr>
          <w:rFonts w:ascii="Arial" w:hAnsi="Arial"/>
          <w:color w:val="212529"/>
          <w:sz w:val="18"/>
        </w:rPr>
        <w:t>24. Jarvis, P. G. The interpretation of the variations in leaf water potential and stomatal conductance found in canopies in the field. *Philos. Trans. R. Soc. Lond. B Biol. Sci.* **273**, 593–610 (1976).</w:t>
      </w:r>
    </w:p>
    <w:p>
      <w:pPr>
        <w:spacing w:before="20" w:after="20"/>
        <w:ind w:left="288"/>
      </w:pPr>
      <w:r>
        <w:rPr>
          <w:rFonts w:ascii="Arial" w:hAnsi="Arial"/>
          <w:color w:val="212529"/>
          <w:sz w:val="18"/>
        </w:rPr>
        <w:t>25. Choat, B. et al. Global convergence in the vulnerability of forests to drought. *Nature* **491**, 752–755 (2012).</w:t>
      </w:r>
    </w:p>
    <w:p>
      <w:pPr>
        <w:spacing w:before="20" w:after="20"/>
        <w:ind w:left="288"/>
      </w:pPr>
      <w:r>
        <w:rPr>
          <w:rFonts w:ascii="Arial" w:hAnsi="Arial"/>
          <w:color w:val="212529"/>
          <w:sz w:val="18"/>
        </w:rPr>
        <w:t>26. Sperry, J. S., Donnelly, J. R. &amp; Tyree, M. T. A method for measuring hydraulic conductivity and embolism in xylem. *Plant Cell Environ.* **11**, 35–40 (2006).</w:t>
      </w:r>
    </w:p>
    <w:p>
      <w:pPr>
        <w:spacing w:before="20" w:after="20"/>
        <w:ind w:left="288"/>
      </w:pPr>
      <w:r>
        <w:rPr>
          <w:rFonts w:ascii="Arial" w:hAnsi="Arial"/>
          <w:color w:val="212529"/>
          <w:sz w:val="18"/>
        </w:rPr>
        <w:t>27. Tyree, M. T. &amp; Sperry, J. S. Vulnerability of xylem to cavitation and embolism. *Annu. Rev. Plant Physiol. Plant Mol. Biol.* **40**, 19–36 (1989).</w:t>
      </w:r>
    </w:p>
    <w:p>
      <w:pPr>
        <w:spacing w:before="20" w:after="20"/>
        <w:ind w:left="288"/>
      </w:pPr>
      <w:r>
        <w:rPr>
          <w:rFonts w:ascii="Arial" w:hAnsi="Arial"/>
          <w:color w:val="212529"/>
          <w:sz w:val="18"/>
        </w:rPr>
        <w:t>28. McDowell, N. et al. Mechanisms of plant survival and mortality during drought: why do some plants survive while others succumb to drought? *New Phytol.* **178**, 719–739 (2008).</w:t>
      </w:r>
    </w:p>
    <w:p>
      <w:pPr>
        <w:spacing w:before="20" w:after="20"/>
        <w:ind w:left="288"/>
      </w:pPr>
      <w:r>
        <w:rPr>
          <w:rFonts w:ascii="Arial" w:hAnsi="Arial"/>
          <w:color w:val="212529"/>
          <w:sz w:val="18"/>
        </w:rPr>
        <w:t>29. Cavelier, J. Stomatal closure in trees: responses to atmospheric humidity and soil drought. *Tree Physiol.* **16**, 213–222 (1996).</w:t>
      </w:r>
    </w:p>
    <w:p>
      <w:pPr>
        <w:spacing w:before="20" w:after="20"/>
        <w:ind w:left="288"/>
      </w:pPr>
      <w:r>
        <w:rPr>
          <w:rFonts w:ascii="Arial" w:hAnsi="Arial"/>
          <w:color w:val="212529"/>
          <w:sz w:val="18"/>
        </w:rPr>
        <w:t>30. Canny, M. J. A new theory for the ascent of sap—cohesion supported by tissue pressure. *Ann. Bot.* **75**, 343–357 (1995).</w:t>
      </w:r>
    </w:p>
    <w:p>
      <w:pPr>
        <w:spacing w:before="20" w:after="20"/>
        <w:ind w:left="288"/>
      </w:pPr>
      <w:r>
        <w:rPr>
          <w:rFonts w:ascii="Arial" w:hAnsi="Arial"/>
          <w:color w:val="212529"/>
          <w:sz w:val="18"/>
        </w:rPr>
        <w:t>31. Hairer, E. &amp; Wanner, G. *Solving Ordinary Differential Equations II: Stiff and Differential-Algebraic Problems*. (Springer, 1996).</w:t>
      </w:r>
    </w:p>
    <w:p>
      <w:pPr>
        <w:spacing w:before="20" w:after="20"/>
        <w:ind w:left="288"/>
      </w:pPr>
      <w:r>
        <w:rPr>
          <w:rFonts w:ascii="Arial" w:hAnsi="Arial"/>
          <w:color w:val="212529"/>
          <w:sz w:val="18"/>
        </w:rPr>
        <w:t>32. Ascher, U. M. &amp; Petzold, L. R. *Computer Methods for Ordinary Differential Equations and Differential-Algebraic Equations*. (SIAM, 1998).</w:t>
      </w:r>
    </w:p>
    <w:p>
      <w:pPr>
        <w:spacing w:before="20" w:after="20"/>
        <w:ind w:left="288"/>
      </w:pPr>
      <w:r>
        <w:rPr>
          <w:rFonts w:ascii="Arial" w:hAnsi="Arial"/>
          <w:color w:val="212529"/>
          <w:sz w:val="18"/>
        </w:rPr>
        <w:t>33. Brenan, K. E., Campbell, S. L. &amp; Petzold, L. R. *Numerical Solution of Initial-Value Problems in Differential-Algebraic Equations*. (SIAM, 1996).</w:t>
      </w:r>
    </w:p>
    <w:p>
      <w:pPr>
        <w:spacing w:before="20" w:after="20"/>
        <w:ind w:left="288"/>
      </w:pPr>
      <w:r>
        <w:rPr>
          <w:rFonts w:ascii="Arial" w:hAnsi="Arial"/>
          <w:color w:val="212529"/>
          <w:sz w:val="18"/>
        </w:rPr>
        <w:t>34. Hindmarsh, A. C. et al. SUNDIALS: Suite of nonlinear and differential/algebraic equation solvers. *ACM Trans. Math. Softw.* **31**, 363–396 (2005).</w:t>
      </w:r>
    </w:p>
    <w:p>
      <w:pPr>
        <w:spacing w:before="20" w:after="20"/>
        <w:ind w:left="288"/>
      </w:pPr>
      <w:r>
        <w:rPr>
          <w:rFonts w:ascii="Arial" w:hAnsi="Arial"/>
          <w:color w:val="212529"/>
          <w:sz w:val="18"/>
        </w:rPr>
        <w:t>35. Roache, P. J. *Verification and Validation in Computational Science and Engineering*. (Hermosa Publishers, 1998).</w:t>
      </w:r>
    </w:p>
    <w:p>
      <w:pPr>
        <w:spacing w:before="20" w:after="20"/>
        <w:ind w:left="288"/>
      </w:pPr>
      <w:r>
        <w:rPr>
          <w:rFonts w:ascii="Arial" w:hAnsi="Arial"/>
          <w:color w:val="212529"/>
          <w:sz w:val="18"/>
        </w:rPr>
        <w:t>36. Blocken, B. 50 years of computational wind engineering: past, present and future. *J. Wind Eng. Ind. Aerodyn.* **129**, 69–102 (2014).</w:t>
      </w:r>
    </w:p>
    <w:p>
      <w:pPr>
        <w:spacing w:before="20" w:after="20"/>
        <w:ind w:left="288"/>
      </w:pPr>
      <w:r>
        <w:rPr>
          <w:rFonts w:ascii="Arial" w:hAnsi="Arial"/>
          <w:color w:val="212529"/>
          <w:sz w:val="18"/>
        </w:rPr>
        <w:t>37. Jänicke, B. et al. SOLWEIG 1.0 – Modelling spatial variations of 3D radiant fluxes and mean radiant temperature in complex urban settings. *Int. J. Biometeorol.* **56**, 1149–1166 (2012).</w:t>
      </w:r>
    </w:p>
    <w:p>
      <w:pPr>
        <w:spacing w:before="20" w:after="20"/>
        <w:ind w:left="288"/>
      </w:pPr>
      <w:r>
        <w:rPr>
          <w:rFonts w:ascii="Arial" w:hAnsi="Arial"/>
          <w:color w:val="212529"/>
          <w:sz w:val="18"/>
        </w:rPr>
        <w:t>38. Lindberg, F. et al. Urban Multi-scale Environmental Predictor (UMEP): An integrated tool for city-based climate services. *Environ. Model. Softw.* **99**, 70–87 (2018).</w:t>
      </w:r>
    </w:p>
    <w:p>
      <w:pPr>
        <w:spacing w:before="20" w:after="20"/>
        <w:ind w:left="288"/>
      </w:pPr>
      <w:r>
        <w:rPr>
          <w:rFonts w:ascii="Arial" w:hAnsi="Arial"/>
          <w:color w:val="212529"/>
          <w:sz w:val="18"/>
        </w:rPr>
        <w:t>39. Järvi, L., Grimmond, C. S. B. &amp; Christen, A. The Surface Urban Energy and Water Balance Scheme (SUEWS): Evaluation in Los Angeles and Vancouver. *J. Hydrol.* **411**, 219–237 (2011).</w:t>
      </w:r>
    </w:p>
    <w:p>
      <w:pPr>
        <w:spacing w:before="20" w:after="20"/>
        <w:ind w:left="288"/>
      </w:pPr>
      <w:r>
        <w:rPr>
          <w:rFonts w:ascii="Arial" w:hAnsi="Arial"/>
          <w:color w:val="212529"/>
          <w:sz w:val="18"/>
        </w:rPr>
        <w:t>40. Muñoz-Sabater, J. et al. ERA5-Land: a state-of-the-art global reanalysis dataset for land applications. *Earth Syst. Sci. Data* **13**, 4349–4383 (2021).</w:t>
      </w:r>
    </w:p>
    <w:p>
      <w:pPr>
        <w:spacing w:before="20" w:after="20"/>
        <w:ind w:left="288"/>
      </w:pPr>
      <w:r>
        <w:rPr>
          <w:rFonts w:ascii="Arial" w:hAnsi="Arial"/>
          <w:color w:val="212529"/>
          <w:sz w:val="18"/>
        </w:rPr>
        <w:t>41. Eyring, V. et al. Overview of the Coupled Model Intercomparison Project Phase 6 (CMIP6) experimental design and organization. *Geosci. Model Dev.* **9**, 1937–1958 (2016).</w:t>
      </w:r>
    </w:p>
    <w:p>
      <w:pPr>
        <w:spacing w:before="20" w:after="20"/>
        <w:ind w:left="288"/>
      </w:pPr>
      <w:r>
        <w:rPr>
          <w:rFonts w:ascii="Arial" w:hAnsi="Arial"/>
          <w:color w:val="212529"/>
          <w:sz w:val="18"/>
        </w:rPr>
        <w:t>42. Bröde, P. et al. Deriving the operational procedure for the Universal Thermal Climate Index (UTCI). *Int. J. Biometeorol.* **56**, 481–494 (2012).</w:t>
      </w:r>
    </w:p>
    <w:p>
      <w:pPr>
        <w:keepNext/>
        <w:spacing w:before="400" w:after="160"/>
      </w:pPr>
      <w:r>
        <w:rPr>
          <w:rFonts w:ascii="Arial" w:hAnsi="Arial"/>
          <w:b/>
          <w:color w:val="002B49"/>
          <w:sz w:val="28"/>
        </w:rPr>
        <w:t>Extended Data Figures</w:t>
      </w:r>
    </w:p>
    <w:p>
      <w:pPr>
        <w:spacing w:before="240" w:after="80"/>
        <w:jc w:val="center"/>
      </w:pPr>
      <w:r>
        <w:drawing>
          <wp:inline xmlns:a="http://schemas.openxmlformats.org/drawingml/2006/main" xmlns:pic="http://schemas.openxmlformats.org/drawingml/2006/picture">
            <wp:extent cx="5715000" cy="3885155"/>
            <wp:docPr id="1" name="Picture 1"/>
            <wp:cNvGraphicFramePr>
              <a:graphicFrameLocks noChangeAspect="1"/>
            </wp:cNvGraphicFramePr>
            <a:graphic>
              <a:graphicData uri="http://schemas.openxmlformats.org/drawingml/2006/picture">
                <pic:pic>
                  <pic:nvPicPr>
                    <pic:cNvPr id="0" name="Extended_Data_Figure1_Morphometrics.png"/>
                    <pic:cNvPicPr/>
                  </pic:nvPicPr>
                  <pic:blipFill>
                    <a:blip r:embed="rId10"/>
                    <a:stretch>
                      <a:fillRect/>
                    </a:stretch>
                  </pic:blipFill>
                  <pic:spPr>
                    <a:xfrm>
                      <a:off x="0" y="0"/>
                      <a:ext cx="5715000" cy="3885155"/>
                    </a:xfrm>
                    <a:prstGeom prst="rect"/>
                  </pic:spPr>
                </pic:pic>
              </a:graphicData>
            </a:graphic>
          </wp:inline>
        </w:drawing>
      </w:r>
    </w:p>
    <w:p>
      <w:pPr>
        <w:spacing w:before="40" w:after="280" w:line="276" w:lineRule="auto"/>
      </w:pPr>
      <w:r>
        <w:rPr>
          <w:rFonts w:ascii="Arial" w:hAnsi="Arial"/>
          <w:b/>
          <w:color w:val="002B49"/>
          <w:sz w:val="17"/>
        </w:rPr>
        <w:t xml:space="preserve">Extended Data Figure 1 | Authentic street canyon aspect ratio and width distributions across 12 global megacities. </w:t>
      </w:r>
      <w:r>
        <w:rPr>
          <w:rFonts w:ascii="Arial" w:hAnsi="Arial"/>
          <w:color w:val="212529"/>
          <w:sz w:val="16"/>
        </w:rPr>
        <w:t>Probability density distributions of aspect ratio H/W and setback width W across all 204,267 authentic corridors, highlighting morphological contrasts between narrow residential fabrics (Tokyo, Athens, Madrid, Cairo; median H/W &gt; 1.5) and wide arterial grids (Phoenix, Wuhan, Beijing).</w:t>
      </w:r>
    </w:p>
    <w:p>
      <w:pPr>
        <w:spacing w:before="240" w:after="80"/>
        <w:jc w:val="center"/>
      </w:pPr>
      <w:r>
        <w:drawing>
          <wp:inline xmlns:a="http://schemas.openxmlformats.org/drawingml/2006/main" xmlns:pic="http://schemas.openxmlformats.org/drawingml/2006/picture">
            <wp:extent cx="5715000" cy="2446622"/>
            <wp:docPr id="2" name="Picture 2"/>
            <wp:cNvGraphicFramePr>
              <a:graphicFrameLocks noChangeAspect="1"/>
            </wp:cNvGraphicFramePr>
            <a:graphic>
              <a:graphicData uri="http://schemas.openxmlformats.org/drawingml/2006/picture">
                <pic:pic>
                  <pic:nvPicPr>
                    <pic:cNvPr id="0" name="Extended_Data_Figure2_RayTracing_Closure.png"/>
                    <pic:cNvPicPr/>
                  </pic:nvPicPr>
                  <pic:blipFill>
                    <a:blip r:embed="rId11"/>
                    <a:stretch>
                      <a:fillRect/>
                    </a:stretch>
                  </pic:blipFill>
                  <pic:spPr>
                    <a:xfrm>
                      <a:off x="0" y="0"/>
                      <a:ext cx="5715000" cy="2446622"/>
                    </a:xfrm>
                    <a:prstGeom prst="rect"/>
                  </pic:spPr>
                </pic:pic>
              </a:graphicData>
            </a:graphic>
          </wp:inline>
        </w:drawing>
      </w:r>
    </w:p>
    <w:p>
      <w:pPr>
        <w:spacing w:before="40" w:after="280" w:line="276" w:lineRule="auto"/>
      </w:pPr>
      <w:r>
        <w:rPr>
          <w:rFonts w:ascii="Arial" w:hAnsi="Arial"/>
          <w:b/>
          <w:color w:val="002B49"/>
          <w:sz w:val="17"/>
        </w:rPr>
        <w:t xml:space="preserve">Extended Data Figure 2 | Open-cavity multi-order shortwave irradiance matrix closure. </w:t>
      </w:r>
      <w:r>
        <w:rPr>
          <w:rFonts w:ascii="Arial" w:hAnsi="Arial"/>
          <w:color w:val="212529"/>
          <w:sz w:val="16"/>
        </w:rPr>
        <w:t>Radiosity solution G = (I - FP)⁻¹ E across canyon aspect ratios (H/W ∈ [0.5, 4.0]) resolving multi-bounce shortwave reflections on sunlit wall, shaded wall, ground pavement, and tree canopy with machine-precision radiometric conservation (relative residual &lt; 10⁻¹⁵).</w:t>
      </w:r>
    </w:p>
    <w:p>
      <w:pPr>
        <w:spacing w:before="240" w:after="80"/>
        <w:jc w:val="center"/>
      </w:pPr>
      <w:r>
        <w:drawing>
          <wp:inline xmlns:a="http://schemas.openxmlformats.org/drawingml/2006/main" xmlns:pic="http://schemas.openxmlformats.org/drawingml/2006/picture">
            <wp:extent cx="5715000" cy="3645850"/>
            <wp:docPr id="3" name="Picture 3"/>
            <wp:cNvGraphicFramePr>
              <a:graphicFrameLocks noChangeAspect="1"/>
            </wp:cNvGraphicFramePr>
            <a:graphic>
              <a:graphicData uri="http://schemas.openxmlformats.org/drawingml/2006/picture">
                <pic:pic>
                  <pic:nvPicPr>
                    <pic:cNvPr id="0" name="Extended_Data_Figure3_Heat_Stacking_Dynamics.png"/>
                    <pic:cNvPicPr/>
                  </pic:nvPicPr>
                  <pic:blipFill>
                    <a:blip r:embed="rId12"/>
                    <a:stretch>
                      <a:fillRect/>
                    </a:stretch>
                  </pic:blipFill>
                  <pic:spPr>
                    <a:xfrm>
                      <a:off x="0" y="0"/>
                      <a:ext cx="5715000" cy="3645850"/>
                    </a:xfrm>
                    <a:prstGeom prst="rect"/>
                  </pic:spPr>
                </pic:pic>
              </a:graphicData>
            </a:graphic>
          </wp:inline>
        </w:drawing>
      </w:r>
    </w:p>
    <w:p>
      <w:pPr>
        <w:spacing w:before="40" w:after="280" w:line="276" w:lineRule="auto"/>
      </w:pPr>
      <w:r>
        <w:rPr>
          <w:rFonts w:ascii="Arial" w:hAnsi="Arial"/>
          <w:b/>
          <w:color w:val="002B49"/>
          <w:sz w:val="17"/>
        </w:rPr>
        <w:t xml:space="preserve">Extended Data Figure 3 | 168-hour multi-day heatwave thermal hysteresis and sensible heat stacking. </w:t>
      </w:r>
      <w:r>
        <w:rPr>
          <w:rFonts w:ascii="Arial" w:hAnsi="Arial"/>
          <w:color w:val="212529"/>
          <w:sz w:val="16"/>
        </w:rPr>
        <w:t>Time series of canyon sensible heat storage flux Q_storage, ground substrate heat penetration, and cumulative nocturnal degree-hours across 7 continuous heatwave days, comparing baseline (f_tree=0) against greened (f_tree=0.30) canyon corridors across representative Köppen climate regimes.</w:t>
      </w:r>
    </w:p>
    <w:p>
      <w:pPr>
        <w:spacing w:before="240" w:after="80"/>
        <w:jc w:val="center"/>
      </w:pPr>
      <w:r>
        <w:drawing>
          <wp:inline xmlns:a="http://schemas.openxmlformats.org/drawingml/2006/main" xmlns:pic="http://schemas.openxmlformats.org/drawingml/2006/picture">
            <wp:extent cx="5715000" cy="3443330"/>
            <wp:docPr id="4" name="Picture 4"/>
            <wp:cNvGraphicFramePr>
              <a:graphicFrameLocks noChangeAspect="1"/>
            </wp:cNvGraphicFramePr>
            <a:graphic>
              <a:graphicData uri="http://schemas.openxmlformats.org/drawingml/2006/picture">
                <pic:pic>
                  <pic:nvPicPr>
                    <pic:cNvPr id="0" name="Extended_Data_Figure4_CMIP6_Tipping.png"/>
                    <pic:cNvPicPr/>
                  </pic:nvPicPr>
                  <pic:blipFill>
                    <a:blip r:embed="rId13"/>
                    <a:stretch>
                      <a:fillRect/>
                    </a:stretch>
                  </pic:blipFill>
                  <pic:spPr>
                    <a:xfrm>
                      <a:off x="0" y="0"/>
                      <a:ext cx="5715000" cy="3443330"/>
                    </a:xfrm>
                    <a:prstGeom prst="rect"/>
                  </pic:spPr>
                </pic:pic>
              </a:graphicData>
            </a:graphic>
          </wp:inline>
        </w:drawing>
      </w:r>
    </w:p>
    <w:p>
      <w:pPr>
        <w:spacing w:before="40" w:after="280" w:line="276" w:lineRule="auto"/>
      </w:pPr>
      <w:r>
        <w:rPr>
          <w:rFonts w:ascii="Arial" w:hAnsi="Arial"/>
          <w:b/>
          <w:color w:val="002B49"/>
          <w:sz w:val="17"/>
        </w:rPr>
        <w:t xml:space="preserve">Extended Data Figure 4 | CMIP6 future allowable planting threshold contraction contours. </w:t>
      </w:r>
      <w:r>
        <w:rPr>
          <w:rFonts w:ascii="Arial" w:hAnsi="Arial"/>
          <w:color w:val="212529"/>
          <w:sz w:val="16"/>
        </w:rPr>
        <w:t>Projected shrinkage of allowable aspect ratio H/W*(θ) across SSP2-4.5 and SSP5-8.5 warming scenarios for 2050 and 2080 across all 12 megacities, showing critical threshold drops below 1.0 in compact Mediterranean, continental, and subtropical fabrics.</w:t>
      </w:r>
    </w:p>
    <w:p>
      <w:pPr>
        <w:spacing w:before="240" w:after="80"/>
        <w:jc w:val="center"/>
      </w:pPr>
      <w:r>
        <w:drawing>
          <wp:inline xmlns:a="http://schemas.openxmlformats.org/drawingml/2006/main" xmlns:pic="http://schemas.openxmlformats.org/drawingml/2006/picture">
            <wp:extent cx="5715000" cy="4417533"/>
            <wp:docPr id="5" name="Picture 5"/>
            <wp:cNvGraphicFramePr>
              <a:graphicFrameLocks noChangeAspect="1"/>
            </wp:cNvGraphicFramePr>
            <a:graphic>
              <a:graphicData uri="http://schemas.openxmlformats.org/drawingml/2006/picture">
                <pic:pic>
                  <pic:nvPicPr>
                    <pic:cNvPr id="0" name="Extended_Data_Figure5.png"/>
                    <pic:cNvPicPr/>
                  </pic:nvPicPr>
                  <pic:blipFill>
                    <a:blip r:embed="rId14"/>
                    <a:stretch>
                      <a:fillRect/>
                    </a:stretch>
                  </pic:blipFill>
                  <pic:spPr>
                    <a:xfrm>
                      <a:off x="0" y="0"/>
                      <a:ext cx="5715000" cy="4417533"/>
                    </a:xfrm>
                    <a:prstGeom prst="rect"/>
                  </pic:spPr>
                </pic:pic>
              </a:graphicData>
            </a:graphic>
          </wp:inline>
        </w:drawing>
      </w:r>
    </w:p>
    <w:p>
      <w:pPr>
        <w:spacing w:before="40" w:after="280" w:line="276" w:lineRule="auto"/>
      </w:pPr>
      <w:r>
        <w:rPr>
          <w:rFonts w:ascii="Arial" w:hAnsi="Arial"/>
          <w:b/>
          <w:color w:val="002B49"/>
          <w:sz w:val="17"/>
        </w:rPr>
        <w:t xml:space="preserve">Extended Data Figure 5 | Multi-climate empirical field validation atlas across three continents (Basel, Melbourne, Phoenix). </w:t>
      </w:r>
      <w:r>
        <w:rPr>
          <w:rFonts w:ascii="Arial" w:hAnsi="Arial"/>
          <w:color w:val="212529"/>
          <w:sz w:val="16"/>
        </w:rPr>
        <w:t>Comprehensive microclimatic evaluation benchmarking the 6D DAE coupler against independent field campaigns spanning temperate oceanic, humid subtropical, and hot desert biomes. a, Basel BUBBLE 72-hour continuous thermal evaluation (Europe, Cfb; Rotach et al. 2005) comparing unvegetated canyon Ue1 (H/W=1.0) and tree-lined canyon Ue2 (H/W=1.38, f_tree=0.35; combined ground R² = 0.853, RMSE = 1.46 K; combined wall R² = 0.822, RMSE = 1.14 K, N = 288). b, Melbourne aspect ratio field benchmark (Oceania, Cfa; Coutts et al. 2016) evaluating shallow (H/W = 0.5) versus deep (H/W = 2.2) street canyons during the 2014 extreme heatwave (shallow ground R² = 0.812, deep ground R² = 0.816, deep canyon air R² = 0.836, N = 72), confirming aspect-ratio-dependent shade saturation and nocturnal heat trapping (+1.5 K). c, Phoenix CAP LTER desert canyon benchmark (North America, BWh) comparing unshaded asphalt pavement against drip-irrigated tree canopy ground and building facades during extreme summer heatwaves (bare ground R² = 0.827, irrigated ground R² = 0.813, wall R² = 0.783, N = 72). d, Quantitative cross-continental error diagnostics and Taylor breakdown across all monitoring sites, yielding a global multi-climate grand composite of R² = 0.923, RMSE = 1.93 K, and MBE = -0.34 K (N = 432).</w:t>
      </w:r>
    </w:p>
    <w:p>
      <w:pPr>
        <w:spacing w:before="240" w:after="80"/>
        <w:jc w:val="center"/>
      </w:pPr>
      <w:r>
        <w:drawing>
          <wp:inline xmlns:a="http://schemas.openxmlformats.org/drawingml/2006/main" xmlns:pic="http://schemas.openxmlformats.org/drawingml/2006/picture">
            <wp:extent cx="5715000" cy="2440692"/>
            <wp:docPr id="6" name="Picture 6"/>
            <wp:cNvGraphicFramePr>
              <a:graphicFrameLocks noChangeAspect="1"/>
            </wp:cNvGraphicFramePr>
            <a:graphic>
              <a:graphicData uri="http://schemas.openxmlformats.org/drawingml/2006/picture">
                <pic:pic>
                  <pic:nvPicPr>
                    <pic:cNvPr id="0" name="Extended_Data_Figure6_PFT_Hydraulics.png"/>
                    <pic:cNvPicPr/>
                  </pic:nvPicPr>
                  <pic:blipFill>
                    <a:blip r:embed="rId15"/>
                    <a:stretch>
                      <a:fillRect/>
                    </a:stretch>
                  </pic:blipFill>
                  <pic:spPr>
                    <a:xfrm>
                      <a:off x="0" y="0"/>
                      <a:ext cx="5715000" cy="2440692"/>
                    </a:xfrm>
                    <a:prstGeom prst="rect"/>
                  </pic:spPr>
                </pic:pic>
              </a:graphicData>
            </a:graphic>
          </wp:inline>
        </w:drawing>
      </w:r>
    </w:p>
    <w:p>
      <w:pPr>
        <w:spacing w:before="40" w:after="280" w:line="276" w:lineRule="auto"/>
      </w:pPr>
      <w:r>
        <w:rPr>
          <w:rFonts w:ascii="Arial" w:hAnsi="Arial"/>
          <w:b/>
          <w:color w:val="002B49"/>
          <w:sz w:val="17"/>
        </w:rPr>
        <w:t xml:space="preserve">Extended Data Figure 6 | Soil-Plant-Atmosphere Continuum (SPAC) hydraulic conductance and stomatal closure. </w:t>
      </w:r>
      <w:r>
        <w:rPr>
          <w:rFonts w:ascii="Arial" w:hAnsi="Arial"/>
          <w:color w:val="212529"/>
          <w:sz w:val="16"/>
        </w:rPr>
        <w:t>Environmental response functions for solar irradiance f_rad, vapor pressure deficit f_VPD, root-zone soil moisture f_soil, and xylem cavitation Weibull vulnerability f_cav(ψ_l) parameterized across Plant Functional Types (PFT 1–8).</w:t>
      </w:r>
    </w:p>
    <w:p>
      <w:pPr>
        <w:spacing w:before="240" w:after="80"/>
        <w:jc w:val="center"/>
      </w:pPr>
      <w:r>
        <w:drawing>
          <wp:inline xmlns:a="http://schemas.openxmlformats.org/drawingml/2006/main" xmlns:pic="http://schemas.openxmlformats.org/drawingml/2006/picture">
            <wp:extent cx="5715000" cy="2241812"/>
            <wp:docPr id="7" name="Picture 7"/>
            <wp:cNvGraphicFramePr>
              <a:graphicFrameLocks noChangeAspect="1"/>
            </wp:cNvGraphicFramePr>
            <a:graphic>
              <a:graphicData uri="http://schemas.openxmlformats.org/drawingml/2006/picture">
                <pic:pic>
                  <pic:nvPicPr>
                    <pic:cNvPr id="0" name="Extended_Data_Figure7_Irrigation_Sensitivity.png"/>
                    <pic:cNvPicPr/>
                  </pic:nvPicPr>
                  <pic:blipFill>
                    <a:blip r:embed="rId16"/>
                    <a:stretch>
                      <a:fillRect/>
                    </a:stretch>
                  </pic:blipFill>
                  <pic:spPr>
                    <a:xfrm>
                      <a:off x="0" y="0"/>
                      <a:ext cx="5715000" cy="2241812"/>
                    </a:xfrm>
                    <a:prstGeom prst="rect"/>
                  </pic:spPr>
                </pic:pic>
              </a:graphicData>
            </a:graphic>
          </wp:inline>
        </w:drawing>
      </w:r>
    </w:p>
    <w:p>
      <w:pPr>
        <w:spacing w:before="40" w:after="280" w:line="276" w:lineRule="auto"/>
      </w:pPr>
      <w:r>
        <w:rPr>
          <w:rFonts w:ascii="Arial" w:hAnsi="Arial"/>
          <w:b/>
          <w:color w:val="002B49"/>
          <w:sz w:val="17"/>
        </w:rPr>
        <w:t xml:space="preserve">Extended Data Figure 7 | Factorial sensitivity analysis of municipal drip irrigation on daytime cooling and nocturnal heat retention across arid and Mediterranean climates. </w:t>
      </w:r>
      <w:r>
        <w:rPr>
          <w:rFonts w:ascii="Arial" w:hAnsi="Arial"/>
          <w:color w:val="212529"/>
          <w:sz w:val="16"/>
        </w:rPr>
        <w:t>Comparison of municipal drip irrigation (θ = 0.28 m³/m³) versus natural drought depletion across Phoenix, Cairo, Athens, and Madrid in medium street canyons (H/W = 1.5, E-W orientation). a, Daytime solar cooling dividend, showing irrigation sustains transpiration. b, Nocturnal pedestrian thermal liability, demonstrating thermodynamic invariance to soil moisture due to unconditional nocturnal stomatal closure.</w:t>
      </w:r>
    </w:p>
    <w:p>
      <w:pPr>
        <w:spacing w:before="240" w:after="80"/>
        <w:jc w:val="center"/>
      </w:pPr>
      <w:r>
        <w:drawing>
          <wp:inline xmlns:a="http://schemas.openxmlformats.org/drawingml/2006/main" xmlns:pic="http://schemas.openxmlformats.org/drawingml/2006/picture">
            <wp:extent cx="5715000" cy="3520759"/>
            <wp:docPr id="8" name="Picture 8"/>
            <wp:cNvGraphicFramePr>
              <a:graphicFrameLocks noChangeAspect="1"/>
            </wp:cNvGraphicFramePr>
            <a:graphic>
              <a:graphicData uri="http://schemas.openxmlformats.org/drawingml/2006/picture">
                <pic:pic>
                  <pic:nvPicPr>
                    <pic:cNvPr id="0" name="Extended_Data_Figure8_Canopy_Sensitivity.png"/>
                    <pic:cNvPicPr/>
                  </pic:nvPicPr>
                  <pic:blipFill>
                    <a:blip r:embed="rId17"/>
                    <a:stretch>
                      <a:fillRect/>
                    </a:stretch>
                  </pic:blipFill>
                  <pic:spPr>
                    <a:xfrm>
                      <a:off x="0" y="0"/>
                      <a:ext cx="5715000" cy="3520759"/>
                    </a:xfrm>
                    <a:prstGeom prst="rect"/>
                  </pic:spPr>
                </pic:pic>
              </a:graphicData>
            </a:graphic>
          </wp:inline>
        </w:drawing>
      </w:r>
    </w:p>
    <w:p>
      <w:pPr>
        <w:spacing w:before="40" w:after="280" w:line="276" w:lineRule="auto"/>
      </w:pPr>
      <w:r>
        <w:rPr>
          <w:rFonts w:ascii="Arial" w:hAnsi="Arial"/>
          <w:b/>
          <w:color w:val="002B49"/>
          <w:sz w:val="17"/>
        </w:rPr>
        <w:t xml:space="preserve">Extended Data Figure 8 | Sensitivity of pedestrian microclimate to continuous street tree canopy cover gradients. </w:t>
      </w:r>
      <w:r>
        <w:rPr>
          <w:rFonts w:ascii="Arial" w:hAnsi="Arial"/>
          <w:color w:val="212529"/>
          <w:sz w:val="16"/>
        </w:rPr>
        <w:t>Non-linear microclimatic response across continuous canopy cover fractions (f_tree ∈ [0.05, 0.40]) in deep street canyons (H/W = 2.2, E-W orientation) across 6 representative global cities. a, Daytime pedestrian cooling exhibits monotonic increase with diminishing marginal returns beyond f_tree ≥ 0.25. b, Nocturnal thermal liability increases quasi-linearly with canopy density, crossing the NRAD thermal liability threshold (+0.20 K) at modest canopy fractions (15% - 20%).</w:t>
      </w:r>
    </w:p>
    <w:sectPr w:rsidR="00FC693F" w:rsidRPr="0006063C" w:rsidSect="00034616">
      <w:headerReference w:type="default" r:id="rId9"/>
      <w:pgSz w:w="12240" w:h="15840"/>
      <w:pgMar w:top="1440" w:right="1440" w:bottom="1440" w:left="1440" w:header="720" w:footer="720" w:gutter="0"/>
      <w:cols w:space="720"/>
      <w:docGrid w:linePitch="360"/>
      <w:lnNumType w:countBy="1" w:restart="continuou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6C757D"/>
        <w:sz w:val="16"/>
      </w:rPr>
      <w:t>Nature Cities | Supplementary Information | Anonymous for Double-Blind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 Global Morphological Thresholds Governing Urban Street Tree Microclimates Across 12 Megacities</dc:title>
  <dc:subject/>
  <dc:creator/>
  <cp:keywords/>
  <dc:description/>
  <cp:lastModifiedBy/>
  <cp:revision>1</cp:revision>
  <dcterms:created xsi:type="dcterms:W3CDTF">2013-12-23T23:15:00Z</dcterms:created>
  <dcterms:modified xsi:type="dcterms:W3CDTF">2013-12-23T23:15:00Z</dcterms:modified>
  <cp:category/>
</cp:coreProperties>
</file>