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9D08C" w14:textId="5E549AA7" w:rsidR="00062A8D" w:rsidRDefault="0009099B">
      <w:pPr>
        <w:pStyle w:val="Title"/>
      </w:pPr>
      <w:bookmarkStart w:id="0" w:name="online-resource-1"/>
      <w:r>
        <w:t>Supplementary Material 1</w:t>
      </w:r>
    </w:p>
    <w:p w14:paraId="7682854A" w14:textId="77777777" w:rsidR="00062A8D" w:rsidRDefault="00000000">
      <w:pPr>
        <w:pStyle w:val="Heading2"/>
      </w:pPr>
      <w:bookmarkStart w:id="1" w:name="supplementary-methods-and-results"/>
      <w:r>
        <w:t>Supplementary Methods and Results</w:t>
      </w:r>
    </w:p>
    <w:p w14:paraId="08406072" w14:textId="77777777" w:rsidR="00062A8D" w:rsidRDefault="00000000">
      <w:pPr>
        <w:pStyle w:val="FirstParagraph"/>
      </w:pPr>
      <w:r>
        <w:rPr>
          <w:b/>
          <w:bCs/>
        </w:rPr>
        <w:t>Associated manuscript:</w:t>
      </w:r>
      <w:r>
        <w:t xml:space="preserve"> </w:t>
      </w:r>
      <w:r>
        <w:rPr>
          <w:i/>
          <w:iCs/>
        </w:rPr>
        <w:t>Intersectional Inequalities in Multimorbidity Burden Among Older Adults: A Population-Based Multilevel Analysis of Individual Heterogeneity and Discriminatory Accuracy (MAIHDA)</w:t>
      </w:r>
    </w:p>
    <w:p w14:paraId="28C0B2EF" w14:textId="73CC2A26" w:rsidR="00062A8D" w:rsidRDefault="00000000">
      <w:pPr>
        <w:pStyle w:val="BodyText"/>
      </w:pPr>
      <w:r>
        <w:t xml:space="preserve">This </w:t>
      </w:r>
      <w:r w:rsidR="0009099B">
        <w:t>supplementary material</w:t>
      </w:r>
      <w:r>
        <w:t xml:space="preserve"> provides the extended cohort-construction and outcome-ascertainment procedures, the complete coding of candidate social dimensions, the full Variable Importance and Variable Interaction (VIVI) and MAIHDA specifications, complete model-ranking and variance diagnostics, dimension-specific proportional changes in variance, and additional stratum-level prediction figures. It is designed to be read independently of the companion repository, while the repository provides </w:t>
      </w:r>
      <w:proofErr w:type="gramStart"/>
      <w:r>
        <w:t>the complete</w:t>
      </w:r>
      <w:proofErr w:type="gramEnd"/>
      <w:r>
        <w:t xml:space="preserve"> analytical scripts and disclosure-controlled output files that are too extensive for a static Word attachment.</w:t>
      </w:r>
    </w:p>
    <w:p w14:paraId="039D332D" w14:textId="77777777" w:rsidR="00062A8D" w:rsidRDefault="00000000">
      <w:pPr>
        <w:pStyle w:val="BodyText"/>
      </w:pPr>
      <w:r>
        <w:rPr>
          <w:b/>
          <w:bCs/>
        </w:rPr>
        <w:t>Companion repository:</w:t>
      </w:r>
      <w:r>
        <w:t xml:space="preserve"> </w:t>
      </w:r>
      <w:hyperlink r:id="rId7">
        <w:r w:rsidR="00062A8D">
          <w:rPr>
            <w:rStyle w:val="Hyperlink"/>
          </w:rPr>
          <w:t>MAIHDA-of-MM-burden GitHub repository</w:t>
        </w:r>
      </w:hyperlink>
      <w:bookmarkEnd w:id="1"/>
    </w:p>
    <w:p w14:paraId="40C0E93D" w14:textId="77777777" w:rsidR="00062A8D" w:rsidRDefault="00000000">
      <w:pPr>
        <w:pStyle w:val="Heading2"/>
      </w:pPr>
      <w:r>
        <w:t>Contents</w:t>
      </w:r>
    </w:p>
    <w:p w14:paraId="43C0A339" w14:textId="77777777" w:rsidR="00062A8D" w:rsidRDefault="00000000">
      <w:pPr>
        <w:pStyle w:val="Compact"/>
        <w:numPr>
          <w:ilvl w:val="0"/>
          <w:numId w:val="6"/>
        </w:numPr>
      </w:pPr>
      <w:r>
        <w:t>S1. Cohort construction</w:t>
      </w:r>
    </w:p>
    <w:p w14:paraId="5042A848" w14:textId="77777777" w:rsidR="00062A8D" w:rsidRDefault="00000000">
      <w:pPr>
        <w:pStyle w:val="Compact"/>
        <w:numPr>
          <w:ilvl w:val="0"/>
          <w:numId w:val="2"/>
        </w:numPr>
      </w:pPr>
      <w:r>
        <w:t>S2. Outcome and candidate social dimensions</w:t>
      </w:r>
    </w:p>
    <w:p w14:paraId="283EC58C" w14:textId="77777777" w:rsidR="00062A8D" w:rsidRDefault="00000000">
      <w:pPr>
        <w:pStyle w:val="Compact"/>
        <w:numPr>
          <w:ilvl w:val="0"/>
          <w:numId w:val="2"/>
        </w:numPr>
      </w:pPr>
      <w:r>
        <w:t>S3. VIVI screening and configuration of 15 MAIHDA models</w:t>
      </w:r>
    </w:p>
    <w:p w14:paraId="0B2D5B36" w14:textId="77777777" w:rsidR="00062A8D" w:rsidRDefault="00000000">
      <w:pPr>
        <w:pStyle w:val="Compact"/>
        <w:numPr>
          <w:ilvl w:val="0"/>
          <w:numId w:val="2"/>
        </w:numPr>
      </w:pPr>
      <w:r>
        <w:t xml:space="preserve">S4. MAIHDA model specification, </w:t>
      </w:r>
      <w:proofErr w:type="spellStart"/>
      <w:r>
        <w:t>estimands</w:t>
      </w:r>
      <w:proofErr w:type="spellEnd"/>
      <w:r>
        <w:t xml:space="preserve"> and predictions</w:t>
      </w:r>
    </w:p>
    <w:p w14:paraId="6610E7CE" w14:textId="77777777" w:rsidR="00062A8D" w:rsidRDefault="00000000">
      <w:pPr>
        <w:pStyle w:val="Compact"/>
        <w:numPr>
          <w:ilvl w:val="0"/>
          <w:numId w:val="2"/>
        </w:numPr>
      </w:pPr>
      <w:r>
        <w:t>S5. Complete model ranking and variance diagnostics</w:t>
      </w:r>
    </w:p>
    <w:p w14:paraId="3199A4BA" w14:textId="77777777" w:rsidR="00062A8D" w:rsidRDefault="00000000">
      <w:pPr>
        <w:pStyle w:val="Compact"/>
        <w:numPr>
          <w:ilvl w:val="0"/>
          <w:numId w:val="2"/>
        </w:numPr>
      </w:pPr>
      <w:r>
        <w:t>S6. Dimension-specific PCV estimates in the five leading models</w:t>
      </w:r>
    </w:p>
    <w:p w14:paraId="6E5133B5" w14:textId="77777777" w:rsidR="00062A8D" w:rsidRDefault="00000000">
      <w:pPr>
        <w:pStyle w:val="Compact"/>
        <w:numPr>
          <w:ilvl w:val="0"/>
          <w:numId w:val="2"/>
        </w:numPr>
      </w:pPr>
      <w:r>
        <w:t>S7. Additional stratum-level results for Models 3–5</w:t>
      </w:r>
    </w:p>
    <w:p w14:paraId="3C39932D" w14:textId="77777777" w:rsidR="00062A8D" w:rsidRDefault="00000000">
      <w:pPr>
        <w:pStyle w:val="Compact"/>
        <w:numPr>
          <w:ilvl w:val="0"/>
          <w:numId w:val="2"/>
        </w:numPr>
      </w:pPr>
      <w:r>
        <w:t>S8. Repository-hosted analytical resources</w:t>
      </w:r>
    </w:p>
    <w:p w14:paraId="07CFF8E5" w14:textId="77777777" w:rsidR="00062A8D" w:rsidRDefault="00000000">
      <w:pPr>
        <w:pStyle w:val="Compact"/>
        <w:numPr>
          <w:ilvl w:val="0"/>
          <w:numId w:val="2"/>
        </w:numPr>
      </w:pPr>
      <w:r>
        <w:t>S9. Reproducibility record</w:t>
      </w:r>
    </w:p>
    <w:p w14:paraId="508C30F9" w14:textId="69A83AE0" w:rsidR="00062A8D" w:rsidRDefault="00000000">
      <w:pPr>
        <w:pStyle w:val="FirstParagraph"/>
      </w:pPr>
      <w:bookmarkStart w:id="2" w:name="contents"/>
      <w:r>
        <w:t>This document is the principal supplementary methods and results resource (</w:t>
      </w:r>
      <w:r w:rsidR="0009099B">
        <w:t>Supplementary Material</w:t>
      </w:r>
      <w:r>
        <w:t xml:space="preserve"> 1). Tables S6–S20, comprising the complete parameter tabulations for all 15 configurations, are supplied separately as </w:t>
      </w:r>
      <w:r w:rsidR="0009099B">
        <w:t>Supplementary Material</w:t>
      </w:r>
      <w:r>
        <w:t xml:space="preserve"> 5 in the companion repository and should be interpreted using the coding and reference categories in Table S2 of this document.</w:t>
      </w:r>
      <w:bookmarkEnd w:id="2"/>
    </w:p>
    <w:p w14:paraId="2D3F9ABF" w14:textId="77777777" w:rsidR="00062A8D" w:rsidRDefault="00000000">
      <w:pPr>
        <w:pStyle w:val="Heading2"/>
      </w:pPr>
      <w:r>
        <w:t>S1. Cohort construction</w:t>
      </w:r>
    </w:p>
    <w:p w14:paraId="7C206680" w14:textId="74A84427" w:rsidR="00062A8D" w:rsidRDefault="00000000">
      <w:pPr>
        <w:pStyle w:val="FirstParagraph"/>
      </w:pPr>
      <w:r>
        <w:t xml:space="preserve">The analytical cohort was assembled within the Secure </w:t>
      </w:r>
      <w:proofErr w:type="spellStart"/>
      <w:r>
        <w:t>Anonymised</w:t>
      </w:r>
      <w:proofErr w:type="spellEnd"/>
      <w:r>
        <w:t xml:space="preserve"> Information Linkage (SAIL) Databank by linking population, household, area and health records through </w:t>
      </w:r>
      <w:proofErr w:type="spellStart"/>
      <w:r>
        <w:t>anonymised</w:t>
      </w:r>
      <w:proofErr w:type="spellEnd"/>
      <w:r>
        <w:t xml:space="preserve"> identifiers. The 2011 Census person and household files formed the population spine and provided demographic, educational, family, housing and household-resource measures together with 2011 lower-layer super output area identifiers. The census extract contained 3,264,772 people living in 1,421,337 households</w:t>
      </w:r>
      <w:r w:rsidR="00884A5A">
        <w:t xml:space="preserve"> (Table S1)</w:t>
      </w:r>
      <w:r>
        <w:t>.</w:t>
      </w:r>
    </w:p>
    <w:p w14:paraId="020949E5" w14:textId="77777777" w:rsidR="00062A8D" w:rsidRDefault="00000000">
      <w:pPr>
        <w:pStyle w:val="BodyText"/>
      </w:pPr>
      <w:r>
        <w:t>Area-level deprivation information was added through the Wales Demographic Service Dataset and external Office for National Statistics classifications, including 2011 Welsh Index of Multiple Deprivation (WIMD) quintile and rural–urban category. Primary-care diagnoses and related prescribing or laboratory information were obtained from the Welsh Longitudinal General Practice dataset, while hospital inpatient diagnoses were obtained from the Patient Episode Database for Wales.</w:t>
      </w:r>
    </w:p>
    <w:p w14:paraId="39648060" w14:textId="1A32F1E1" w:rsidR="00062A8D" w:rsidRDefault="00000000">
      <w:pPr>
        <w:pStyle w:val="BodyText"/>
      </w:pPr>
      <w:r>
        <w:t>The multiple</w:t>
      </w:r>
      <w:r w:rsidR="00884A5A">
        <w:t xml:space="preserve"> </w:t>
      </w:r>
      <w:r>
        <w:t>long-term</w:t>
      </w:r>
      <w:r w:rsidR="00884A5A">
        <w:t xml:space="preserve"> </w:t>
      </w:r>
      <w:r>
        <w:t>condition measures developed by MacRae et al. (2023) were available for 2,472,944 SAIL-registered patients. Inner linkage to the census- and area-enriched population file yielded 2,075,591 people. Eligibility was then restricted to people aged at least 65 years who were registered with a Welsh general practice on the census date, 27 March 2011, and had complete information for LTC count and all 14 candidate social dimensions. The final analytical cohort contained 375,070 older adults</w:t>
      </w:r>
      <w:r w:rsidR="00884A5A">
        <w:t xml:space="preserve"> (Table S1)</w:t>
      </w:r>
      <w:r>
        <w:t>.</w:t>
      </w:r>
    </w:p>
    <w:p w14:paraId="5F9DC6D5" w14:textId="77777777" w:rsidR="00062A8D" w:rsidRDefault="00000000">
      <w:pPr>
        <w:pStyle w:val="Heading3"/>
      </w:pPr>
      <w:r>
        <w:lastRenderedPageBreak/>
        <w:t>Table S1. Cohort-construction stages</w:t>
      </w:r>
    </w:p>
    <w:tbl>
      <w:tblPr>
        <w:tblW w:w="7920" w:type="dxa"/>
        <w:jc w:val="center"/>
        <w:tblLayout w:type="fixed"/>
        <w:tblCellMar>
          <w:top w:w="80" w:type="dxa"/>
          <w:left w:w="80" w:type="dxa"/>
          <w:bottom w:w="80" w:type="dxa"/>
          <w:right w:w="80" w:type="dxa"/>
        </w:tblCellMar>
        <w:tblLook w:val="0000" w:firstRow="0" w:lastRow="0" w:firstColumn="0" w:lastColumn="0" w:noHBand="0" w:noVBand="0"/>
      </w:tblPr>
      <w:tblGrid>
        <w:gridCol w:w="2640"/>
        <w:gridCol w:w="2640"/>
        <w:gridCol w:w="2640"/>
      </w:tblGrid>
      <w:tr w:rsidR="00062A8D" w14:paraId="34BEC22A" w14:textId="77777777">
        <w:trPr>
          <w:tblHeader/>
          <w:jc w:val="center"/>
        </w:trPr>
        <w:tc>
          <w:tcPr>
            <w:tcW w:w="2640" w:type="dxa"/>
            <w:tcBorders>
              <w:bottom w:val="single" w:sz="6" w:space="0" w:color="000000"/>
            </w:tcBorders>
            <w:shd w:val="clear" w:color="auto" w:fill="D9EAF7"/>
            <w:vAlign w:val="center"/>
          </w:tcPr>
          <w:p w14:paraId="42E1AFB2" w14:textId="77777777" w:rsidR="00062A8D" w:rsidRDefault="00000000">
            <w:pPr>
              <w:pStyle w:val="Compact"/>
              <w:spacing w:after="0" w:line="240" w:lineRule="auto"/>
              <w:rPr>
                <w:sz w:val="17"/>
                <w:szCs w:val="20"/>
                <w:lang w:val="en-GB" w:eastAsia="en-GB"/>
              </w:rPr>
            </w:pPr>
            <w:r>
              <w:rPr>
                <w:sz w:val="17"/>
                <w:szCs w:val="20"/>
                <w:lang w:val="en-GB" w:eastAsia="en-GB"/>
              </w:rPr>
              <w:t>Cohort stage</w:t>
            </w:r>
          </w:p>
        </w:tc>
        <w:tc>
          <w:tcPr>
            <w:tcW w:w="2640" w:type="dxa"/>
            <w:tcBorders>
              <w:bottom w:val="single" w:sz="6" w:space="0" w:color="000000"/>
            </w:tcBorders>
            <w:shd w:val="clear" w:color="auto" w:fill="D9EAF7"/>
            <w:vAlign w:val="center"/>
          </w:tcPr>
          <w:p w14:paraId="671E2318" w14:textId="77777777" w:rsidR="00062A8D" w:rsidRDefault="00000000">
            <w:pPr>
              <w:pStyle w:val="Compact"/>
              <w:spacing w:after="0" w:line="240" w:lineRule="auto"/>
              <w:rPr>
                <w:sz w:val="17"/>
                <w:szCs w:val="20"/>
                <w:lang w:val="en-GB" w:eastAsia="en-GB"/>
              </w:rPr>
            </w:pPr>
            <w:r>
              <w:rPr>
                <w:sz w:val="17"/>
                <w:szCs w:val="20"/>
                <w:lang w:val="en-GB" w:eastAsia="en-GB"/>
              </w:rPr>
              <w:t>Records in the linked-data workflow</w:t>
            </w:r>
          </w:p>
        </w:tc>
        <w:tc>
          <w:tcPr>
            <w:tcW w:w="2640" w:type="dxa"/>
            <w:tcBorders>
              <w:bottom w:val="single" w:sz="6" w:space="0" w:color="000000"/>
            </w:tcBorders>
            <w:shd w:val="clear" w:color="auto" w:fill="D9EAF7"/>
            <w:vAlign w:val="center"/>
          </w:tcPr>
          <w:p w14:paraId="0A352AFC" w14:textId="77777777" w:rsidR="00062A8D" w:rsidRDefault="00000000">
            <w:pPr>
              <w:pStyle w:val="Compact"/>
              <w:spacing w:after="0" w:line="240" w:lineRule="auto"/>
              <w:rPr>
                <w:sz w:val="17"/>
                <w:szCs w:val="20"/>
                <w:lang w:val="en-GB" w:eastAsia="en-GB"/>
              </w:rPr>
            </w:pPr>
            <w:r>
              <w:rPr>
                <w:sz w:val="17"/>
                <w:szCs w:val="20"/>
                <w:lang w:val="en-GB" w:eastAsia="en-GB"/>
              </w:rPr>
              <w:t>Role in cohort construction</w:t>
            </w:r>
          </w:p>
        </w:tc>
      </w:tr>
      <w:tr w:rsidR="00062A8D" w14:paraId="48E1699D" w14:textId="77777777">
        <w:trPr>
          <w:jc w:val="center"/>
        </w:trPr>
        <w:tc>
          <w:tcPr>
            <w:tcW w:w="2640" w:type="dxa"/>
            <w:vAlign w:val="center"/>
          </w:tcPr>
          <w:p w14:paraId="152B9D14" w14:textId="77777777" w:rsidR="00062A8D" w:rsidRDefault="00000000">
            <w:pPr>
              <w:pStyle w:val="Compact"/>
              <w:spacing w:after="0" w:line="240" w:lineRule="auto"/>
              <w:rPr>
                <w:sz w:val="17"/>
                <w:szCs w:val="20"/>
                <w:lang w:val="en-GB" w:eastAsia="en-GB"/>
              </w:rPr>
            </w:pPr>
            <w:r>
              <w:rPr>
                <w:sz w:val="17"/>
                <w:szCs w:val="20"/>
                <w:lang w:val="en-GB" w:eastAsia="en-GB"/>
              </w:rPr>
              <w:t>2011 Census person and household records</w:t>
            </w:r>
          </w:p>
        </w:tc>
        <w:tc>
          <w:tcPr>
            <w:tcW w:w="2640" w:type="dxa"/>
            <w:vAlign w:val="center"/>
          </w:tcPr>
          <w:p w14:paraId="4535B73F" w14:textId="77777777" w:rsidR="00062A8D" w:rsidRDefault="00000000">
            <w:pPr>
              <w:pStyle w:val="Compact"/>
              <w:spacing w:after="0" w:line="240" w:lineRule="auto"/>
              <w:rPr>
                <w:sz w:val="17"/>
                <w:szCs w:val="20"/>
                <w:lang w:val="en-GB" w:eastAsia="en-GB"/>
              </w:rPr>
            </w:pPr>
            <w:r>
              <w:rPr>
                <w:sz w:val="17"/>
                <w:szCs w:val="20"/>
                <w:lang w:val="en-GB" w:eastAsia="en-GB"/>
              </w:rPr>
              <w:t>3,264,772 people in 1,421,337 households</w:t>
            </w:r>
          </w:p>
        </w:tc>
        <w:tc>
          <w:tcPr>
            <w:tcW w:w="2640" w:type="dxa"/>
            <w:vAlign w:val="center"/>
          </w:tcPr>
          <w:p w14:paraId="38C3C175" w14:textId="77777777" w:rsidR="00062A8D" w:rsidRDefault="00000000">
            <w:pPr>
              <w:pStyle w:val="Compact"/>
              <w:spacing w:after="0" w:line="240" w:lineRule="auto"/>
              <w:rPr>
                <w:sz w:val="17"/>
                <w:szCs w:val="20"/>
                <w:lang w:val="en-GB" w:eastAsia="en-GB"/>
              </w:rPr>
            </w:pPr>
            <w:r>
              <w:rPr>
                <w:sz w:val="17"/>
                <w:szCs w:val="20"/>
                <w:lang w:val="en-GB" w:eastAsia="en-GB"/>
              </w:rPr>
              <w:t>Population spine and personal, family, household and dwelling characteristics</w:t>
            </w:r>
          </w:p>
        </w:tc>
      </w:tr>
      <w:tr w:rsidR="00062A8D" w14:paraId="2F75B489" w14:textId="77777777">
        <w:trPr>
          <w:jc w:val="center"/>
        </w:trPr>
        <w:tc>
          <w:tcPr>
            <w:tcW w:w="2640" w:type="dxa"/>
            <w:vAlign w:val="center"/>
          </w:tcPr>
          <w:p w14:paraId="0A9D8A26" w14:textId="77777777" w:rsidR="00062A8D" w:rsidRDefault="00000000">
            <w:pPr>
              <w:pStyle w:val="Compact"/>
              <w:spacing w:after="0" w:line="240" w:lineRule="auto"/>
              <w:rPr>
                <w:sz w:val="17"/>
                <w:szCs w:val="20"/>
                <w:lang w:val="en-GB" w:eastAsia="en-GB"/>
              </w:rPr>
            </w:pPr>
            <w:r>
              <w:rPr>
                <w:sz w:val="17"/>
                <w:szCs w:val="20"/>
                <w:lang w:val="en-GB" w:eastAsia="en-GB"/>
              </w:rPr>
              <w:t>Wales Demographic Service Dataset</w:t>
            </w:r>
          </w:p>
        </w:tc>
        <w:tc>
          <w:tcPr>
            <w:tcW w:w="2640" w:type="dxa"/>
            <w:vAlign w:val="center"/>
          </w:tcPr>
          <w:p w14:paraId="58C98CAD" w14:textId="77777777" w:rsidR="00062A8D" w:rsidRDefault="00000000">
            <w:pPr>
              <w:pStyle w:val="Compact"/>
              <w:spacing w:after="0" w:line="240" w:lineRule="auto"/>
              <w:rPr>
                <w:sz w:val="17"/>
                <w:szCs w:val="20"/>
                <w:lang w:val="en-GB" w:eastAsia="en-GB"/>
              </w:rPr>
            </w:pPr>
            <w:r>
              <w:rPr>
                <w:sz w:val="17"/>
                <w:szCs w:val="20"/>
                <w:lang w:val="en-GB" w:eastAsia="en-GB"/>
              </w:rPr>
              <w:t>3,092,046 people in the dataset</w:t>
            </w:r>
          </w:p>
        </w:tc>
        <w:tc>
          <w:tcPr>
            <w:tcW w:w="2640" w:type="dxa"/>
            <w:vAlign w:val="center"/>
          </w:tcPr>
          <w:p w14:paraId="47269D84" w14:textId="77777777" w:rsidR="00062A8D" w:rsidRDefault="00000000">
            <w:pPr>
              <w:pStyle w:val="Compact"/>
              <w:spacing w:after="0" w:line="240" w:lineRule="auto"/>
              <w:rPr>
                <w:sz w:val="17"/>
                <w:szCs w:val="20"/>
                <w:lang w:val="en-GB" w:eastAsia="en-GB"/>
              </w:rPr>
            </w:pPr>
            <w:r>
              <w:rPr>
                <w:sz w:val="17"/>
                <w:szCs w:val="20"/>
                <w:lang w:val="en-GB" w:eastAsia="en-GB"/>
              </w:rPr>
              <w:t>Area-based deprivation attributes linked through area identifiers</w:t>
            </w:r>
          </w:p>
        </w:tc>
      </w:tr>
      <w:tr w:rsidR="00062A8D" w14:paraId="5BA9C965" w14:textId="77777777">
        <w:trPr>
          <w:jc w:val="center"/>
        </w:trPr>
        <w:tc>
          <w:tcPr>
            <w:tcW w:w="2640" w:type="dxa"/>
            <w:vAlign w:val="center"/>
          </w:tcPr>
          <w:p w14:paraId="519BAE9B" w14:textId="77777777" w:rsidR="00062A8D" w:rsidRDefault="00000000">
            <w:pPr>
              <w:pStyle w:val="Compact"/>
              <w:spacing w:after="0" w:line="240" w:lineRule="auto"/>
              <w:rPr>
                <w:sz w:val="17"/>
                <w:szCs w:val="20"/>
                <w:lang w:val="en-GB" w:eastAsia="en-GB"/>
              </w:rPr>
            </w:pPr>
            <w:r>
              <w:rPr>
                <w:sz w:val="17"/>
                <w:szCs w:val="20"/>
                <w:lang w:val="en-GB" w:eastAsia="en-GB"/>
              </w:rPr>
              <w:t>SAIL-registered patients with LTC measures</w:t>
            </w:r>
          </w:p>
        </w:tc>
        <w:tc>
          <w:tcPr>
            <w:tcW w:w="2640" w:type="dxa"/>
            <w:vAlign w:val="center"/>
          </w:tcPr>
          <w:p w14:paraId="5C864B0C" w14:textId="77777777" w:rsidR="00062A8D" w:rsidRDefault="00000000">
            <w:pPr>
              <w:pStyle w:val="Compact"/>
              <w:spacing w:after="0" w:line="240" w:lineRule="auto"/>
              <w:rPr>
                <w:sz w:val="17"/>
                <w:szCs w:val="20"/>
                <w:lang w:val="en-GB" w:eastAsia="en-GB"/>
              </w:rPr>
            </w:pPr>
            <w:r>
              <w:rPr>
                <w:sz w:val="17"/>
                <w:szCs w:val="20"/>
                <w:lang w:val="en-GB" w:eastAsia="en-GB"/>
              </w:rPr>
              <w:t>2,472,944</w:t>
            </w:r>
          </w:p>
        </w:tc>
        <w:tc>
          <w:tcPr>
            <w:tcW w:w="2640" w:type="dxa"/>
            <w:vAlign w:val="center"/>
          </w:tcPr>
          <w:p w14:paraId="26F9E3ED" w14:textId="77777777" w:rsidR="00062A8D" w:rsidRDefault="00000000">
            <w:pPr>
              <w:pStyle w:val="Compact"/>
              <w:spacing w:after="0" w:line="240" w:lineRule="auto"/>
              <w:rPr>
                <w:sz w:val="17"/>
                <w:szCs w:val="20"/>
                <w:lang w:val="en-GB" w:eastAsia="en-GB"/>
              </w:rPr>
            </w:pPr>
            <w:r>
              <w:rPr>
                <w:sz w:val="17"/>
                <w:szCs w:val="20"/>
                <w:lang w:val="en-GB" w:eastAsia="en-GB"/>
              </w:rPr>
              <w:t>LTC measures derived from primary-care and hospital-inpatient records</w:t>
            </w:r>
          </w:p>
        </w:tc>
      </w:tr>
      <w:tr w:rsidR="00062A8D" w14:paraId="63E627CF" w14:textId="77777777">
        <w:trPr>
          <w:jc w:val="center"/>
        </w:trPr>
        <w:tc>
          <w:tcPr>
            <w:tcW w:w="2640" w:type="dxa"/>
            <w:vAlign w:val="center"/>
          </w:tcPr>
          <w:p w14:paraId="1BA020C7" w14:textId="77777777" w:rsidR="00062A8D" w:rsidRDefault="00000000">
            <w:pPr>
              <w:pStyle w:val="Compact"/>
              <w:spacing w:after="0" w:line="240" w:lineRule="auto"/>
              <w:rPr>
                <w:sz w:val="17"/>
                <w:szCs w:val="20"/>
                <w:lang w:val="en-GB" w:eastAsia="en-GB"/>
              </w:rPr>
            </w:pPr>
            <w:r>
              <w:rPr>
                <w:sz w:val="17"/>
                <w:szCs w:val="20"/>
                <w:lang w:val="en-GB" w:eastAsia="en-GB"/>
              </w:rPr>
              <w:t>Census, area and health linked cohort</w:t>
            </w:r>
          </w:p>
        </w:tc>
        <w:tc>
          <w:tcPr>
            <w:tcW w:w="2640" w:type="dxa"/>
            <w:vAlign w:val="center"/>
          </w:tcPr>
          <w:p w14:paraId="69163A26" w14:textId="77777777" w:rsidR="00062A8D" w:rsidRDefault="00000000">
            <w:pPr>
              <w:pStyle w:val="Compact"/>
              <w:spacing w:after="0" w:line="240" w:lineRule="auto"/>
              <w:rPr>
                <w:sz w:val="17"/>
                <w:szCs w:val="20"/>
                <w:lang w:val="en-GB" w:eastAsia="en-GB"/>
              </w:rPr>
            </w:pPr>
            <w:r>
              <w:rPr>
                <w:sz w:val="17"/>
                <w:szCs w:val="20"/>
                <w:lang w:val="en-GB" w:eastAsia="en-GB"/>
              </w:rPr>
              <w:t>2,075,591</w:t>
            </w:r>
          </w:p>
        </w:tc>
        <w:tc>
          <w:tcPr>
            <w:tcW w:w="2640" w:type="dxa"/>
            <w:vAlign w:val="center"/>
          </w:tcPr>
          <w:p w14:paraId="14C1A511" w14:textId="77777777" w:rsidR="00062A8D" w:rsidRDefault="00000000">
            <w:pPr>
              <w:pStyle w:val="Compact"/>
              <w:spacing w:after="0" w:line="240" w:lineRule="auto"/>
              <w:rPr>
                <w:sz w:val="17"/>
                <w:szCs w:val="20"/>
                <w:lang w:val="en-GB" w:eastAsia="en-GB"/>
              </w:rPr>
            </w:pPr>
            <w:r>
              <w:rPr>
                <w:sz w:val="17"/>
                <w:szCs w:val="20"/>
                <w:lang w:val="en-GB" w:eastAsia="en-GB"/>
              </w:rPr>
              <w:t>People retained after inner linkage</w:t>
            </w:r>
          </w:p>
        </w:tc>
      </w:tr>
      <w:tr w:rsidR="00062A8D" w14:paraId="4F11F2A5" w14:textId="77777777">
        <w:trPr>
          <w:jc w:val="center"/>
        </w:trPr>
        <w:tc>
          <w:tcPr>
            <w:tcW w:w="2640" w:type="dxa"/>
            <w:vAlign w:val="center"/>
          </w:tcPr>
          <w:p w14:paraId="0F92179B" w14:textId="77777777" w:rsidR="00062A8D" w:rsidRDefault="00000000">
            <w:pPr>
              <w:pStyle w:val="Compact"/>
              <w:spacing w:after="0" w:line="240" w:lineRule="auto"/>
              <w:rPr>
                <w:sz w:val="17"/>
                <w:szCs w:val="20"/>
                <w:lang w:val="en-GB" w:eastAsia="en-GB"/>
              </w:rPr>
            </w:pPr>
            <w:r>
              <w:rPr>
                <w:sz w:val="17"/>
                <w:szCs w:val="20"/>
                <w:lang w:val="en-GB" w:eastAsia="en-GB"/>
              </w:rPr>
              <w:t>Age ≥65 years with complete outcome and 14 dimensions</w:t>
            </w:r>
          </w:p>
        </w:tc>
        <w:tc>
          <w:tcPr>
            <w:tcW w:w="2640" w:type="dxa"/>
            <w:vAlign w:val="center"/>
          </w:tcPr>
          <w:p w14:paraId="72A03BE5" w14:textId="77777777" w:rsidR="00062A8D" w:rsidRDefault="00000000">
            <w:pPr>
              <w:pStyle w:val="Compact"/>
              <w:spacing w:after="0" w:line="240" w:lineRule="auto"/>
              <w:rPr>
                <w:sz w:val="17"/>
                <w:szCs w:val="20"/>
                <w:lang w:val="en-GB" w:eastAsia="en-GB"/>
              </w:rPr>
            </w:pPr>
            <w:r>
              <w:rPr>
                <w:sz w:val="17"/>
                <w:szCs w:val="20"/>
                <w:lang w:val="en-GB" w:eastAsia="en-GB"/>
              </w:rPr>
              <w:t>375,070</w:t>
            </w:r>
          </w:p>
        </w:tc>
        <w:tc>
          <w:tcPr>
            <w:tcW w:w="2640" w:type="dxa"/>
            <w:vAlign w:val="center"/>
          </w:tcPr>
          <w:p w14:paraId="0826AEF0" w14:textId="77777777" w:rsidR="00062A8D" w:rsidRDefault="00000000">
            <w:pPr>
              <w:pStyle w:val="Compact"/>
              <w:spacing w:after="0" w:line="240" w:lineRule="auto"/>
              <w:rPr>
                <w:sz w:val="17"/>
                <w:szCs w:val="20"/>
                <w:lang w:val="en-GB" w:eastAsia="en-GB"/>
              </w:rPr>
            </w:pPr>
            <w:r>
              <w:rPr>
                <w:sz w:val="17"/>
                <w:szCs w:val="20"/>
                <w:lang w:val="en-GB" w:eastAsia="en-GB"/>
              </w:rPr>
              <w:t>Final analytical cohort</w:t>
            </w:r>
            <w:bookmarkStart w:id="3" w:name="table-s1-cohort-construction-stages"/>
            <w:bookmarkStart w:id="4" w:name="s1-cohort-construction"/>
            <w:bookmarkEnd w:id="3"/>
            <w:bookmarkEnd w:id="4"/>
          </w:p>
        </w:tc>
      </w:tr>
    </w:tbl>
    <w:p w14:paraId="7E968C63" w14:textId="77777777" w:rsidR="00062A8D" w:rsidRDefault="00000000">
      <w:pPr>
        <w:pStyle w:val="Heading2"/>
      </w:pPr>
      <w:r>
        <w:t>S2. Outcome and candidate social dimensions</w:t>
      </w:r>
    </w:p>
    <w:p w14:paraId="7094BA1B" w14:textId="77777777" w:rsidR="00062A8D" w:rsidRDefault="00000000">
      <w:pPr>
        <w:pStyle w:val="Heading3"/>
      </w:pPr>
      <w:r>
        <w:t>S2.1 Outcome ascertainment</w:t>
      </w:r>
    </w:p>
    <w:p w14:paraId="14B49FAA" w14:textId="77777777" w:rsidR="00062A8D" w:rsidRDefault="00000000">
      <w:pPr>
        <w:pStyle w:val="FirstParagraph"/>
      </w:pPr>
      <w:r>
        <w:t>The response was the number of long-term conditions recorded at the index date, with a theoretical range from 0 to 47. The 47-condition set and phenotype rules followed MacRae et al. (2023), who adapted Delphi-consensus recommendations and combined primary-care and hospital-inpatient records. The outcome therefore represents recorded multimorbidity burden as a count rather than the prevalence of a binary threshold.</w:t>
      </w:r>
    </w:p>
    <w:p w14:paraId="705DE7FD" w14:textId="77777777" w:rsidR="00062A8D" w:rsidRDefault="00000000">
      <w:pPr>
        <w:pStyle w:val="BodyText"/>
      </w:pPr>
      <w:bookmarkStart w:id="5" w:name="s21-outcome-ascertainment"/>
      <w:r>
        <w:t xml:space="preserve">Condition-specific look-back periods reflected the expected clinical course of each condition. Lifelong or life-threatening </w:t>
      </w:r>
      <w:proofErr w:type="spellStart"/>
      <w:r>
        <w:t>anaemias</w:t>
      </w:r>
      <w:proofErr w:type="spellEnd"/>
      <w:r>
        <w:t xml:space="preserve">, for example, were identified from any prior record, whereas iron-, vitamin B12- or folate-deficiency </w:t>
      </w:r>
      <w:proofErr w:type="spellStart"/>
      <w:r>
        <w:t>anaemia</w:t>
      </w:r>
      <w:proofErr w:type="spellEnd"/>
      <w:r>
        <w:t xml:space="preserve"> required a record within the preceding 12 months. Unless a shorter period was explicitly stipulated, eligible diagnostic codes recorded from 1 January 2000 through 27 March 2011 were considered. Conditions requiring evidence of current activity, including asthma and epilepsy, were qualified using available prescribing or laboratory information from primary care. The cohort median was 3 LTCs (Q1 2; Q3 5).</w:t>
      </w:r>
      <w:bookmarkEnd w:id="5"/>
    </w:p>
    <w:p w14:paraId="5D99CDB1" w14:textId="77777777" w:rsidR="00062A8D" w:rsidRDefault="00000000">
      <w:pPr>
        <w:pStyle w:val="Heading3"/>
      </w:pPr>
      <w:bookmarkStart w:id="6" w:name="X7757cd438b7f3fa7dda7d64f7a73142c047e290"/>
      <w:r>
        <w:t>S2.2 Dimensions, codes and reference categories</w:t>
      </w:r>
    </w:p>
    <w:p w14:paraId="7074F802" w14:textId="2FFCB2D6" w:rsidR="00062A8D" w:rsidRDefault="00000000">
      <w:pPr>
        <w:pStyle w:val="FirstParagraph"/>
      </w:pPr>
      <w:r>
        <w:t>All 14 candidate dimensions</w:t>
      </w:r>
      <w:r w:rsidR="00884A5A">
        <w:t xml:space="preserve"> (Table S2)</w:t>
      </w:r>
      <w:r>
        <w:t xml:space="preserve"> were </w:t>
      </w:r>
      <w:proofErr w:type="gramStart"/>
      <w:r>
        <w:t>selected</w:t>
      </w:r>
      <w:proofErr w:type="gramEnd"/>
      <w:r>
        <w:t xml:space="preserve"> </w:t>
      </w:r>
      <w:r>
        <w:rPr>
          <w:i/>
          <w:iCs/>
        </w:rPr>
        <w:t>a priori</w:t>
      </w:r>
      <w:r>
        <w:t xml:space="preserve"> because prior evidence and substantive reasoning indicated relevance to multimorbidity inequality. The empirical VIVI screen compared their relative predictive salience for constructing alternative five-way intersections; it was not used to determine whether any dimension was theoretically legitimate or socially meaningful.</w:t>
      </w:r>
      <w:bookmarkEnd w:id="6"/>
    </w:p>
    <w:p w14:paraId="525B5678" w14:textId="77777777" w:rsidR="00062A8D" w:rsidRDefault="00000000">
      <w:pPr>
        <w:pStyle w:val="Heading3"/>
      </w:pPr>
      <w:r>
        <w:t>Table S2. Candidate dimensions and fixed-effect coding</w:t>
      </w:r>
    </w:p>
    <w:tbl>
      <w:tblPr>
        <w:tblW w:w="5000" w:type="pct"/>
        <w:jc w:val="center"/>
        <w:tblLayout w:type="fixed"/>
        <w:tblCellMar>
          <w:top w:w="80" w:type="dxa"/>
          <w:left w:w="80" w:type="dxa"/>
          <w:bottom w:w="80" w:type="dxa"/>
          <w:right w:w="80" w:type="dxa"/>
        </w:tblCellMar>
        <w:tblLook w:val="0000" w:firstRow="0" w:lastRow="0" w:firstColumn="0" w:lastColumn="0" w:noHBand="0" w:noVBand="0"/>
      </w:tblPr>
      <w:tblGrid>
        <w:gridCol w:w="1699"/>
        <w:gridCol w:w="1324"/>
        <w:gridCol w:w="3053"/>
        <w:gridCol w:w="1556"/>
        <w:gridCol w:w="1440"/>
      </w:tblGrid>
      <w:tr w:rsidR="00062A8D" w14:paraId="568EEB7D" w14:textId="77777777">
        <w:trPr>
          <w:cantSplit/>
          <w:tblHeader/>
          <w:jc w:val="center"/>
        </w:trPr>
        <w:tc>
          <w:tcPr>
            <w:tcW w:w="1699" w:type="dxa"/>
            <w:tcBorders>
              <w:bottom w:val="single" w:sz="6" w:space="0" w:color="000000"/>
            </w:tcBorders>
            <w:shd w:val="clear" w:color="auto" w:fill="D9EAF7"/>
            <w:vAlign w:val="center"/>
          </w:tcPr>
          <w:p w14:paraId="1511093F" w14:textId="77777777" w:rsidR="00062A8D" w:rsidRDefault="00000000">
            <w:pPr>
              <w:pStyle w:val="Compact"/>
              <w:spacing w:after="0" w:line="240" w:lineRule="auto"/>
              <w:rPr>
                <w:sz w:val="16"/>
                <w:szCs w:val="20"/>
                <w:lang w:val="en-GB" w:eastAsia="en-GB"/>
              </w:rPr>
            </w:pPr>
            <w:r>
              <w:rPr>
                <w:sz w:val="16"/>
                <w:szCs w:val="20"/>
                <w:lang w:val="en-GB" w:eastAsia="en-GB"/>
              </w:rPr>
              <w:t>Dimension</w:t>
            </w:r>
          </w:p>
        </w:tc>
        <w:tc>
          <w:tcPr>
            <w:tcW w:w="1324" w:type="dxa"/>
            <w:tcBorders>
              <w:bottom w:val="single" w:sz="6" w:space="0" w:color="000000"/>
            </w:tcBorders>
            <w:shd w:val="clear" w:color="auto" w:fill="D9EAF7"/>
            <w:vAlign w:val="center"/>
          </w:tcPr>
          <w:p w14:paraId="499C6C96" w14:textId="77777777" w:rsidR="00062A8D" w:rsidRDefault="00000000">
            <w:pPr>
              <w:pStyle w:val="Compact"/>
              <w:spacing w:after="0" w:line="240" w:lineRule="auto"/>
              <w:rPr>
                <w:sz w:val="16"/>
                <w:szCs w:val="20"/>
                <w:lang w:val="en-GB" w:eastAsia="en-GB"/>
              </w:rPr>
            </w:pPr>
            <w:r>
              <w:rPr>
                <w:sz w:val="16"/>
                <w:szCs w:val="20"/>
                <w:lang w:val="en-GB" w:eastAsia="en-GB"/>
              </w:rPr>
              <w:t>Raw code prefix</w:t>
            </w:r>
          </w:p>
        </w:tc>
        <w:tc>
          <w:tcPr>
            <w:tcW w:w="3053" w:type="dxa"/>
            <w:tcBorders>
              <w:bottom w:val="single" w:sz="6" w:space="0" w:color="000000"/>
            </w:tcBorders>
            <w:shd w:val="clear" w:color="auto" w:fill="D9EAF7"/>
            <w:vAlign w:val="center"/>
          </w:tcPr>
          <w:p w14:paraId="10FE80E6" w14:textId="77777777" w:rsidR="00062A8D" w:rsidRDefault="00000000">
            <w:pPr>
              <w:pStyle w:val="Compact"/>
              <w:spacing w:after="0" w:line="240" w:lineRule="auto"/>
              <w:rPr>
                <w:sz w:val="16"/>
                <w:szCs w:val="20"/>
                <w:lang w:val="en-GB" w:eastAsia="en-GB"/>
              </w:rPr>
            </w:pPr>
            <w:r>
              <w:rPr>
                <w:sz w:val="16"/>
                <w:szCs w:val="20"/>
                <w:lang w:val="en-GB" w:eastAsia="en-GB"/>
              </w:rPr>
              <w:t>Categories</w:t>
            </w:r>
          </w:p>
        </w:tc>
        <w:tc>
          <w:tcPr>
            <w:tcW w:w="1556" w:type="dxa"/>
            <w:tcBorders>
              <w:bottom w:val="single" w:sz="6" w:space="0" w:color="000000"/>
            </w:tcBorders>
            <w:shd w:val="clear" w:color="auto" w:fill="D9EAF7"/>
            <w:vAlign w:val="center"/>
          </w:tcPr>
          <w:p w14:paraId="0EA3B932" w14:textId="77777777" w:rsidR="00062A8D" w:rsidRDefault="00000000">
            <w:pPr>
              <w:pStyle w:val="Compact"/>
              <w:spacing w:after="0" w:line="240" w:lineRule="auto"/>
              <w:rPr>
                <w:sz w:val="16"/>
                <w:szCs w:val="20"/>
                <w:lang w:val="en-GB" w:eastAsia="en-GB"/>
              </w:rPr>
            </w:pPr>
            <w:r>
              <w:rPr>
                <w:sz w:val="16"/>
                <w:szCs w:val="20"/>
                <w:lang w:val="en-GB" w:eastAsia="en-GB"/>
              </w:rPr>
              <w:t>Fixed-effect reference</w:t>
            </w:r>
          </w:p>
        </w:tc>
        <w:tc>
          <w:tcPr>
            <w:tcW w:w="1440" w:type="dxa"/>
            <w:tcBorders>
              <w:bottom w:val="single" w:sz="6" w:space="0" w:color="000000"/>
            </w:tcBorders>
            <w:shd w:val="clear" w:color="auto" w:fill="D9EAF7"/>
            <w:vAlign w:val="center"/>
          </w:tcPr>
          <w:p w14:paraId="3A046B23" w14:textId="77777777" w:rsidR="00062A8D" w:rsidRDefault="00000000">
            <w:pPr>
              <w:pStyle w:val="Compact"/>
              <w:spacing w:after="0" w:line="240" w:lineRule="auto"/>
              <w:rPr>
                <w:sz w:val="16"/>
                <w:szCs w:val="20"/>
                <w:lang w:val="en-GB" w:eastAsia="en-GB"/>
              </w:rPr>
            </w:pPr>
            <w:r>
              <w:rPr>
                <w:sz w:val="16"/>
                <w:szCs w:val="20"/>
                <w:lang w:val="en-GB" w:eastAsia="en-GB"/>
              </w:rPr>
              <w:t>Analytical level</w:t>
            </w:r>
          </w:p>
        </w:tc>
      </w:tr>
      <w:tr w:rsidR="00062A8D" w14:paraId="13EC2624" w14:textId="77777777">
        <w:trPr>
          <w:cantSplit/>
          <w:jc w:val="center"/>
        </w:trPr>
        <w:tc>
          <w:tcPr>
            <w:tcW w:w="1699" w:type="dxa"/>
            <w:vAlign w:val="center"/>
          </w:tcPr>
          <w:p w14:paraId="43ED0914" w14:textId="77777777" w:rsidR="00062A8D" w:rsidRDefault="00000000">
            <w:pPr>
              <w:pStyle w:val="Compact"/>
              <w:spacing w:after="0" w:line="240" w:lineRule="auto"/>
              <w:rPr>
                <w:sz w:val="16"/>
                <w:szCs w:val="20"/>
                <w:lang w:val="en-GB" w:eastAsia="en-GB"/>
              </w:rPr>
            </w:pPr>
            <w:r>
              <w:rPr>
                <w:sz w:val="16"/>
                <w:szCs w:val="20"/>
                <w:lang w:val="en-GB" w:eastAsia="en-GB"/>
              </w:rPr>
              <w:t>Age group</w:t>
            </w:r>
          </w:p>
        </w:tc>
        <w:tc>
          <w:tcPr>
            <w:tcW w:w="1324" w:type="dxa"/>
            <w:vAlign w:val="center"/>
          </w:tcPr>
          <w:p w14:paraId="778228F7" w14:textId="77777777" w:rsidR="00062A8D" w:rsidRDefault="00000000">
            <w:pPr>
              <w:pStyle w:val="Compact"/>
              <w:spacing w:after="0" w:line="240" w:lineRule="auto"/>
              <w:rPr>
                <w:sz w:val="16"/>
                <w:szCs w:val="20"/>
                <w:lang w:val="en-GB" w:eastAsia="en-GB"/>
              </w:rPr>
            </w:pPr>
            <w:r>
              <w:rPr>
                <w:sz w:val="16"/>
                <w:szCs w:val="20"/>
                <w:lang w:val="en-GB" w:eastAsia="en-GB"/>
              </w:rPr>
              <w:t>age_10yr_grp</w:t>
            </w:r>
          </w:p>
        </w:tc>
        <w:tc>
          <w:tcPr>
            <w:tcW w:w="3053" w:type="dxa"/>
            <w:vAlign w:val="center"/>
          </w:tcPr>
          <w:p w14:paraId="576A90BA" w14:textId="77777777" w:rsidR="00062A8D" w:rsidRDefault="00000000">
            <w:pPr>
              <w:pStyle w:val="Compact"/>
              <w:spacing w:after="0" w:line="240" w:lineRule="auto"/>
              <w:rPr>
                <w:sz w:val="16"/>
                <w:szCs w:val="20"/>
                <w:lang w:val="en-GB" w:eastAsia="en-GB"/>
              </w:rPr>
            </w:pPr>
            <w:r>
              <w:rPr>
                <w:sz w:val="16"/>
                <w:szCs w:val="20"/>
                <w:lang w:val="en-GB" w:eastAsia="en-GB"/>
              </w:rPr>
              <w:t>65–74; 75–84; ≥85 years</w:t>
            </w:r>
          </w:p>
        </w:tc>
        <w:tc>
          <w:tcPr>
            <w:tcW w:w="1556" w:type="dxa"/>
            <w:vAlign w:val="center"/>
          </w:tcPr>
          <w:p w14:paraId="2E3F194C" w14:textId="77777777" w:rsidR="00062A8D" w:rsidRDefault="00000000">
            <w:pPr>
              <w:pStyle w:val="Compact"/>
              <w:spacing w:after="0" w:line="240" w:lineRule="auto"/>
              <w:rPr>
                <w:sz w:val="16"/>
                <w:szCs w:val="20"/>
                <w:lang w:val="en-GB" w:eastAsia="en-GB"/>
              </w:rPr>
            </w:pPr>
            <w:r>
              <w:rPr>
                <w:sz w:val="16"/>
                <w:szCs w:val="20"/>
                <w:lang w:val="en-GB" w:eastAsia="en-GB"/>
              </w:rPr>
              <w:t>65–74</w:t>
            </w:r>
          </w:p>
        </w:tc>
        <w:tc>
          <w:tcPr>
            <w:tcW w:w="1440" w:type="dxa"/>
            <w:vAlign w:val="center"/>
          </w:tcPr>
          <w:p w14:paraId="45BA3766" w14:textId="77777777" w:rsidR="00062A8D" w:rsidRDefault="00000000">
            <w:pPr>
              <w:pStyle w:val="Compact"/>
              <w:spacing w:after="0" w:line="240" w:lineRule="auto"/>
              <w:rPr>
                <w:sz w:val="16"/>
                <w:szCs w:val="20"/>
                <w:lang w:val="en-GB" w:eastAsia="en-GB"/>
              </w:rPr>
            </w:pPr>
            <w:r>
              <w:rPr>
                <w:sz w:val="16"/>
                <w:szCs w:val="20"/>
                <w:lang w:val="en-GB" w:eastAsia="en-GB"/>
              </w:rPr>
              <w:t>Personal/demographic</w:t>
            </w:r>
          </w:p>
        </w:tc>
      </w:tr>
      <w:tr w:rsidR="00062A8D" w14:paraId="399F4840" w14:textId="77777777">
        <w:trPr>
          <w:cantSplit/>
          <w:jc w:val="center"/>
        </w:trPr>
        <w:tc>
          <w:tcPr>
            <w:tcW w:w="1699" w:type="dxa"/>
            <w:vAlign w:val="center"/>
          </w:tcPr>
          <w:p w14:paraId="657FDDA3" w14:textId="77777777" w:rsidR="00062A8D" w:rsidRDefault="00000000">
            <w:pPr>
              <w:pStyle w:val="Compact"/>
              <w:spacing w:after="0" w:line="240" w:lineRule="auto"/>
              <w:rPr>
                <w:sz w:val="16"/>
                <w:szCs w:val="20"/>
                <w:lang w:val="en-GB" w:eastAsia="en-GB"/>
              </w:rPr>
            </w:pPr>
            <w:r>
              <w:rPr>
                <w:sz w:val="16"/>
                <w:szCs w:val="20"/>
                <w:lang w:val="en-GB" w:eastAsia="en-GB"/>
              </w:rPr>
              <w:t>Highest qualification</w:t>
            </w:r>
          </w:p>
        </w:tc>
        <w:tc>
          <w:tcPr>
            <w:tcW w:w="1324" w:type="dxa"/>
            <w:vAlign w:val="center"/>
          </w:tcPr>
          <w:p w14:paraId="756696A5" w14:textId="77777777" w:rsidR="00062A8D" w:rsidRDefault="00000000">
            <w:pPr>
              <w:pStyle w:val="Compact"/>
              <w:spacing w:after="0" w:line="240" w:lineRule="auto"/>
              <w:rPr>
                <w:sz w:val="16"/>
                <w:szCs w:val="20"/>
                <w:lang w:val="en-GB" w:eastAsia="en-GB"/>
              </w:rPr>
            </w:pPr>
            <w:r>
              <w:rPr>
                <w:sz w:val="16"/>
                <w:szCs w:val="20"/>
                <w:lang w:val="en-GB" w:eastAsia="en-GB"/>
              </w:rPr>
              <w:t>HLQPUK11</w:t>
            </w:r>
          </w:p>
        </w:tc>
        <w:tc>
          <w:tcPr>
            <w:tcW w:w="3053" w:type="dxa"/>
            <w:vAlign w:val="center"/>
          </w:tcPr>
          <w:p w14:paraId="7BAE2F60" w14:textId="77777777" w:rsidR="00062A8D" w:rsidRDefault="00000000">
            <w:pPr>
              <w:rPr>
                <w:sz w:val="16"/>
                <w:szCs w:val="20"/>
                <w:lang w:val="en-GB" w:eastAsia="en-GB"/>
              </w:rPr>
            </w:pPr>
            <w:r>
              <w:rPr>
                <w:sz w:val="16"/>
                <w:szCs w:val="20"/>
                <w:lang w:val="en-GB" w:eastAsia="en-GB"/>
              </w:rPr>
              <w:t>No qualifications; Level 1; Level 2; apprenticeship; Level 3; Level 4 or above; other; not applicable (administrative/structural category; see interpretation below)</w:t>
            </w:r>
          </w:p>
        </w:tc>
        <w:tc>
          <w:tcPr>
            <w:tcW w:w="1556" w:type="dxa"/>
            <w:vAlign w:val="center"/>
          </w:tcPr>
          <w:p w14:paraId="645C6464" w14:textId="77777777" w:rsidR="00062A8D" w:rsidRDefault="00000000">
            <w:pPr>
              <w:pStyle w:val="Compact"/>
              <w:spacing w:after="0" w:line="240" w:lineRule="auto"/>
              <w:rPr>
                <w:sz w:val="16"/>
                <w:szCs w:val="20"/>
                <w:lang w:val="en-GB" w:eastAsia="en-GB"/>
              </w:rPr>
            </w:pPr>
            <w:r>
              <w:rPr>
                <w:sz w:val="16"/>
                <w:szCs w:val="20"/>
                <w:lang w:val="en-GB" w:eastAsia="en-GB"/>
              </w:rPr>
              <w:t>No qualifications</w:t>
            </w:r>
          </w:p>
        </w:tc>
        <w:tc>
          <w:tcPr>
            <w:tcW w:w="1440" w:type="dxa"/>
            <w:vAlign w:val="center"/>
          </w:tcPr>
          <w:p w14:paraId="47844D88" w14:textId="77777777" w:rsidR="00062A8D" w:rsidRDefault="00000000">
            <w:pPr>
              <w:pStyle w:val="Compact"/>
              <w:spacing w:after="0" w:line="240" w:lineRule="auto"/>
              <w:rPr>
                <w:sz w:val="16"/>
                <w:szCs w:val="20"/>
                <w:lang w:val="en-GB" w:eastAsia="en-GB"/>
              </w:rPr>
            </w:pPr>
            <w:r>
              <w:rPr>
                <w:sz w:val="16"/>
                <w:szCs w:val="20"/>
                <w:lang w:val="en-GB" w:eastAsia="en-GB"/>
              </w:rPr>
              <w:t>Personal socioeconomic</w:t>
            </w:r>
          </w:p>
        </w:tc>
      </w:tr>
      <w:tr w:rsidR="00062A8D" w14:paraId="5E31BBA3" w14:textId="77777777">
        <w:trPr>
          <w:cantSplit/>
          <w:jc w:val="center"/>
        </w:trPr>
        <w:tc>
          <w:tcPr>
            <w:tcW w:w="1699" w:type="dxa"/>
            <w:vAlign w:val="center"/>
          </w:tcPr>
          <w:p w14:paraId="2EA3A408" w14:textId="77777777" w:rsidR="00062A8D" w:rsidRDefault="00000000">
            <w:pPr>
              <w:pStyle w:val="Compact"/>
              <w:spacing w:after="0" w:line="240" w:lineRule="auto"/>
              <w:rPr>
                <w:sz w:val="16"/>
                <w:szCs w:val="20"/>
                <w:lang w:val="en-GB" w:eastAsia="en-GB"/>
              </w:rPr>
            </w:pPr>
            <w:r>
              <w:rPr>
                <w:sz w:val="16"/>
                <w:szCs w:val="20"/>
                <w:lang w:val="en-GB" w:eastAsia="en-GB"/>
              </w:rPr>
              <w:t>Dwelling tenure</w:t>
            </w:r>
          </w:p>
        </w:tc>
        <w:tc>
          <w:tcPr>
            <w:tcW w:w="1324" w:type="dxa"/>
            <w:vAlign w:val="center"/>
          </w:tcPr>
          <w:p w14:paraId="56D88625" w14:textId="77777777" w:rsidR="00062A8D" w:rsidRDefault="00000000">
            <w:pPr>
              <w:pStyle w:val="Compact"/>
              <w:spacing w:after="0" w:line="240" w:lineRule="auto"/>
              <w:rPr>
                <w:sz w:val="16"/>
                <w:szCs w:val="20"/>
                <w:lang w:val="en-GB" w:eastAsia="en-GB"/>
              </w:rPr>
            </w:pPr>
            <w:r>
              <w:rPr>
                <w:sz w:val="16"/>
                <w:szCs w:val="20"/>
                <w:lang w:val="en-GB" w:eastAsia="en-GB"/>
              </w:rPr>
              <w:t>TENDUK11</w:t>
            </w:r>
          </w:p>
        </w:tc>
        <w:tc>
          <w:tcPr>
            <w:tcW w:w="3053" w:type="dxa"/>
            <w:vAlign w:val="center"/>
          </w:tcPr>
          <w:p w14:paraId="4B9F1EF8" w14:textId="77777777" w:rsidR="00062A8D" w:rsidRDefault="00000000">
            <w:pPr>
              <w:pStyle w:val="Compact"/>
              <w:spacing w:after="0" w:line="240" w:lineRule="auto"/>
              <w:rPr>
                <w:sz w:val="16"/>
                <w:szCs w:val="20"/>
                <w:lang w:val="en-GB" w:eastAsia="en-GB"/>
              </w:rPr>
            </w:pPr>
            <w:r>
              <w:rPr>
                <w:sz w:val="16"/>
                <w:szCs w:val="20"/>
                <w:lang w:val="en-GB" w:eastAsia="en-GB"/>
              </w:rPr>
              <w:t>Owned/shared ownership; private rented; social rented; living rent free</w:t>
            </w:r>
          </w:p>
        </w:tc>
        <w:tc>
          <w:tcPr>
            <w:tcW w:w="1556" w:type="dxa"/>
            <w:vAlign w:val="center"/>
          </w:tcPr>
          <w:p w14:paraId="3273EEA8" w14:textId="77777777" w:rsidR="00062A8D" w:rsidRDefault="00000000">
            <w:pPr>
              <w:pStyle w:val="Compact"/>
              <w:spacing w:after="0" w:line="240" w:lineRule="auto"/>
              <w:rPr>
                <w:sz w:val="16"/>
                <w:szCs w:val="20"/>
                <w:lang w:val="en-GB" w:eastAsia="en-GB"/>
              </w:rPr>
            </w:pPr>
            <w:r>
              <w:rPr>
                <w:sz w:val="16"/>
                <w:szCs w:val="20"/>
                <w:lang w:val="en-GB" w:eastAsia="en-GB"/>
              </w:rPr>
              <w:t>Owned/shared ownership</w:t>
            </w:r>
          </w:p>
        </w:tc>
        <w:tc>
          <w:tcPr>
            <w:tcW w:w="1440" w:type="dxa"/>
            <w:vAlign w:val="center"/>
          </w:tcPr>
          <w:p w14:paraId="24975F5A" w14:textId="77777777" w:rsidR="00062A8D" w:rsidRDefault="00000000">
            <w:pPr>
              <w:pStyle w:val="Compact"/>
              <w:spacing w:after="0" w:line="240" w:lineRule="auto"/>
              <w:rPr>
                <w:sz w:val="16"/>
                <w:szCs w:val="20"/>
                <w:lang w:val="en-GB" w:eastAsia="en-GB"/>
              </w:rPr>
            </w:pPr>
            <w:r>
              <w:rPr>
                <w:sz w:val="16"/>
                <w:szCs w:val="20"/>
                <w:lang w:val="en-GB" w:eastAsia="en-GB"/>
              </w:rPr>
              <w:t>Household/residential</w:t>
            </w:r>
          </w:p>
        </w:tc>
      </w:tr>
      <w:tr w:rsidR="00062A8D" w14:paraId="3A4618FF" w14:textId="77777777">
        <w:trPr>
          <w:cantSplit/>
          <w:jc w:val="center"/>
        </w:trPr>
        <w:tc>
          <w:tcPr>
            <w:tcW w:w="1699" w:type="dxa"/>
            <w:vAlign w:val="center"/>
          </w:tcPr>
          <w:p w14:paraId="34F8420B" w14:textId="77777777" w:rsidR="00062A8D" w:rsidRDefault="00000000">
            <w:pPr>
              <w:pStyle w:val="Compact"/>
              <w:spacing w:after="0" w:line="240" w:lineRule="auto"/>
              <w:rPr>
                <w:sz w:val="16"/>
                <w:szCs w:val="20"/>
                <w:lang w:val="en-GB" w:eastAsia="en-GB"/>
              </w:rPr>
            </w:pPr>
            <w:r>
              <w:rPr>
                <w:sz w:val="16"/>
                <w:szCs w:val="20"/>
                <w:lang w:val="en-GB" w:eastAsia="en-GB"/>
              </w:rPr>
              <w:t>Cars/vans in household</w:t>
            </w:r>
          </w:p>
        </w:tc>
        <w:tc>
          <w:tcPr>
            <w:tcW w:w="1324" w:type="dxa"/>
            <w:vAlign w:val="center"/>
          </w:tcPr>
          <w:p w14:paraId="330A7411" w14:textId="77777777" w:rsidR="00062A8D" w:rsidRDefault="00000000">
            <w:pPr>
              <w:pStyle w:val="Compact"/>
              <w:spacing w:after="0" w:line="240" w:lineRule="auto"/>
              <w:rPr>
                <w:sz w:val="16"/>
                <w:szCs w:val="20"/>
                <w:lang w:val="en-GB" w:eastAsia="en-GB"/>
              </w:rPr>
            </w:pPr>
            <w:r>
              <w:rPr>
                <w:sz w:val="16"/>
                <w:szCs w:val="20"/>
                <w:lang w:val="en-GB" w:eastAsia="en-GB"/>
              </w:rPr>
              <w:t>CARSNO</w:t>
            </w:r>
          </w:p>
        </w:tc>
        <w:tc>
          <w:tcPr>
            <w:tcW w:w="3053" w:type="dxa"/>
            <w:vAlign w:val="center"/>
          </w:tcPr>
          <w:p w14:paraId="33138260" w14:textId="77777777" w:rsidR="00062A8D" w:rsidRDefault="00000000">
            <w:pPr>
              <w:pStyle w:val="Compact"/>
              <w:spacing w:after="0" w:line="240" w:lineRule="auto"/>
              <w:rPr>
                <w:sz w:val="16"/>
                <w:szCs w:val="20"/>
                <w:lang w:val="en-GB" w:eastAsia="en-GB"/>
              </w:rPr>
            </w:pPr>
            <w:r>
              <w:rPr>
                <w:sz w:val="16"/>
                <w:szCs w:val="20"/>
                <w:lang w:val="en-GB" w:eastAsia="en-GB"/>
              </w:rPr>
              <w:t>None; one; two or more</w:t>
            </w:r>
          </w:p>
        </w:tc>
        <w:tc>
          <w:tcPr>
            <w:tcW w:w="1556" w:type="dxa"/>
            <w:vAlign w:val="center"/>
          </w:tcPr>
          <w:p w14:paraId="0E7D5A52" w14:textId="77777777" w:rsidR="00062A8D" w:rsidRDefault="00000000">
            <w:pPr>
              <w:pStyle w:val="Compact"/>
              <w:spacing w:after="0" w:line="240" w:lineRule="auto"/>
              <w:rPr>
                <w:sz w:val="16"/>
                <w:szCs w:val="20"/>
                <w:lang w:val="en-GB" w:eastAsia="en-GB"/>
              </w:rPr>
            </w:pPr>
            <w:r>
              <w:rPr>
                <w:sz w:val="16"/>
                <w:szCs w:val="20"/>
                <w:lang w:val="en-GB" w:eastAsia="en-GB"/>
              </w:rPr>
              <w:t>None</w:t>
            </w:r>
          </w:p>
        </w:tc>
        <w:tc>
          <w:tcPr>
            <w:tcW w:w="1440" w:type="dxa"/>
            <w:vAlign w:val="center"/>
          </w:tcPr>
          <w:p w14:paraId="79FEAD2A" w14:textId="77777777" w:rsidR="00062A8D" w:rsidRDefault="00000000">
            <w:pPr>
              <w:pStyle w:val="Compact"/>
              <w:spacing w:after="0" w:line="240" w:lineRule="auto"/>
              <w:rPr>
                <w:sz w:val="16"/>
                <w:szCs w:val="20"/>
                <w:lang w:val="en-GB" w:eastAsia="en-GB"/>
              </w:rPr>
            </w:pPr>
            <w:r>
              <w:rPr>
                <w:sz w:val="16"/>
                <w:szCs w:val="20"/>
                <w:lang w:val="en-GB" w:eastAsia="en-GB"/>
              </w:rPr>
              <w:t>Household material resource</w:t>
            </w:r>
          </w:p>
        </w:tc>
      </w:tr>
      <w:tr w:rsidR="00062A8D" w14:paraId="43468FD7" w14:textId="77777777">
        <w:trPr>
          <w:cantSplit/>
          <w:jc w:val="center"/>
        </w:trPr>
        <w:tc>
          <w:tcPr>
            <w:tcW w:w="1699" w:type="dxa"/>
            <w:vAlign w:val="center"/>
          </w:tcPr>
          <w:p w14:paraId="2E39C87A" w14:textId="77777777" w:rsidR="00062A8D" w:rsidRDefault="00000000">
            <w:pPr>
              <w:pStyle w:val="Compact"/>
              <w:spacing w:after="0" w:line="240" w:lineRule="auto"/>
              <w:rPr>
                <w:sz w:val="16"/>
                <w:szCs w:val="20"/>
                <w:lang w:val="en-GB" w:eastAsia="en-GB"/>
              </w:rPr>
            </w:pPr>
            <w:r>
              <w:rPr>
                <w:sz w:val="16"/>
                <w:szCs w:val="20"/>
                <w:lang w:val="en-GB" w:eastAsia="en-GB"/>
              </w:rPr>
              <w:lastRenderedPageBreak/>
              <w:t>Employed adults in household</w:t>
            </w:r>
          </w:p>
        </w:tc>
        <w:tc>
          <w:tcPr>
            <w:tcW w:w="1324" w:type="dxa"/>
            <w:vAlign w:val="center"/>
          </w:tcPr>
          <w:p w14:paraId="79CCC1FD" w14:textId="77777777" w:rsidR="00062A8D" w:rsidRDefault="00000000">
            <w:pPr>
              <w:pStyle w:val="Compact"/>
              <w:spacing w:after="0" w:line="240" w:lineRule="auto"/>
              <w:rPr>
                <w:sz w:val="16"/>
                <w:szCs w:val="20"/>
                <w:lang w:val="en-GB" w:eastAsia="en-GB"/>
              </w:rPr>
            </w:pPr>
            <w:r>
              <w:rPr>
                <w:sz w:val="16"/>
                <w:szCs w:val="20"/>
                <w:lang w:val="en-GB" w:eastAsia="en-GB"/>
              </w:rPr>
              <w:t>ADEMHUK11</w:t>
            </w:r>
          </w:p>
        </w:tc>
        <w:tc>
          <w:tcPr>
            <w:tcW w:w="3053" w:type="dxa"/>
            <w:vAlign w:val="center"/>
          </w:tcPr>
          <w:p w14:paraId="3F3B06AA" w14:textId="77777777" w:rsidR="00062A8D" w:rsidRDefault="00000000">
            <w:pPr>
              <w:pStyle w:val="Compact"/>
              <w:spacing w:after="0" w:line="240" w:lineRule="auto"/>
              <w:rPr>
                <w:sz w:val="16"/>
                <w:szCs w:val="20"/>
                <w:lang w:val="en-GB" w:eastAsia="en-GB"/>
              </w:rPr>
            </w:pPr>
            <w:r>
              <w:rPr>
                <w:sz w:val="16"/>
                <w:szCs w:val="20"/>
                <w:lang w:val="en-GB" w:eastAsia="en-GB"/>
              </w:rPr>
              <w:t>One; two; three or more</w:t>
            </w:r>
          </w:p>
        </w:tc>
        <w:tc>
          <w:tcPr>
            <w:tcW w:w="1556" w:type="dxa"/>
            <w:vAlign w:val="center"/>
          </w:tcPr>
          <w:p w14:paraId="567B760F" w14:textId="77777777" w:rsidR="00062A8D" w:rsidRDefault="00000000">
            <w:pPr>
              <w:pStyle w:val="Compact"/>
              <w:spacing w:after="0" w:line="240" w:lineRule="auto"/>
              <w:rPr>
                <w:sz w:val="16"/>
                <w:szCs w:val="20"/>
                <w:lang w:val="en-GB" w:eastAsia="en-GB"/>
              </w:rPr>
            </w:pPr>
            <w:r>
              <w:rPr>
                <w:sz w:val="16"/>
                <w:szCs w:val="20"/>
                <w:lang w:val="en-GB" w:eastAsia="en-GB"/>
              </w:rPr>
              <w:t>One</w:t>
            </w:r>
          </w:p>
        </w:tc>
        <w:tc>
          <w:tcPr>
            <w:tcW w:w="1440" w:type="dxa"/>
            <w:vAlign w:val="center"/>
          </w:tcPr>
          <w:p w14:paraId="596CF02B" w14:textId="77777777" w:rsidR="00062A8D" w:rsidRDefault="00000000">
            <w:pPr>
              <w:pStyle w:val="Compact"/>
              <w:spacing w:after="0" w:line="240" w:lineRule="auto"/>
              <w:rPr>
                <w:sz w:val="16"/>
                <w:szCs w:val="20"/>
                <w:lang w:val="en-GB" w:eastAsia="en-GB"/>
              </w:rPr>
            </w:pPr>
            <w:r>
              <w:rPr>
                <w:sz w:val="16"/>
                <w:szCs w:val="20"/>
                <w:lang w:val="en-GB" w:eastAsia="en-GB"/>
              </w:rPr>
              <w:t>Household economic/compositional</w:t>
            </w:r>
          </w:p>
        </w:tc>
      </w:tr>
      <w:tr w:rsidR="00062A8D" w14:paraId="745F37C8" w14:textId="77777777">
        <w:trPr>
          <w:cantSplit/>
          <w:jc w:val="center"/>
        </w:trPr>
        <w:tc>
          <w:tcPr>
            <w:tcW w:w="1699" w:type="dxa"/>
            <w:vAlign w:val="center"/>
          </w:tcPr>
          <w:p w14:paraId="05090C5E" w14:textId="77777777" w:rsidR="00062A8D" w:rsidRDefault="00000000">
            <w:pPr>
              <w:pStyle w:val="Compact"/>
              <w:spacing w:after="0" w:line="240" w:lineRule="auto"/>
              <w:rPr>
                <w:sz w:val="16"/>
                <w:szCs w:val="20"/>
                <w:lang w:val="en-GB" w:eastAsia="en-GB"/>
              </w:rPr>
            </w:pPr>
            <w:r>
              <w:rPr>
                <w:sz w:val="16"/>
                <w:szCs w:val="20"/>
                <w:lang w:val="en-GB" w:eastAsia="en-GB"/>
              </w:rPr>
              <w:t>Accommodation type</w:t>
            </w:r>
          </w:p>
        </w:tc>
        <w:tc>
          <w:tcPr>
            <w:tcW w:w="1324" w:type="dxa"/>
            <w:vAlign w:val="center"/>
          </w:tcPr>
          <w:p w14:paraId="472C1CC8" w14:textId="77777777" w:rsidR="00062A8D" w:rsidRDefault="00000000">
            <w:pPr>
              <w:pStyle w:val="Compact"/>
              <w:spacing w:after="0" w:line="240" w:lineRule="auto"/>
              <w:rPr>
                <w:sz w:val="16"/>
                <w:szCs w:val="20"/>
                <w:lang w:val="en-GB" w:eastAsia="en-GB"/>
              </w:rPr>
            </w:pPr>
            <w:r>
              <w:rPr>
                <w:sz w:val="16"/>
                <w:szCs w:val="20"/>
                <w:lang w:val="en-GB" w:eastAsia="en-GB"/>
              </w:rPr>
              <w:t>TYPACCOM</w:t>
            </w:r>
          </w:p>
        </w:tc>
        <w:tc>
          <w:tcPr>
            <w:tcW w:w="3053" w:type="dxa"/>
            <w:vAlign w:val="center"/>
          </w:tcPr>
          <w:p w14:paraId="02590C10" w14:textId="77777777" w:rsidR="00062A8D" w:rsidRDefault="00000000">
            <w:pPr>
              <w:pStyle w:val="Compact"/>
              <w:spacing w:after="0" w:line="240" w:lineRule="auto"/>
              <w:rPr>
                <w:sz w:val="16"/>
                <w:szCs w:val="20"/>
                <w:lang w:val="en-GB" w:eastAsia="en-GB"/>
              </w:rPr>
            </w:pPr>
            <w:r>
              <w:rPr>
                <w:sz w:val="16"/>
                <w:szCs w:val="20"/>
                <w:lang w:val="en-GB" w:eastAsia="en-GB"/>
              </w:rPr>
              <w:t>Detached; semi-detached; terraced; flat/maisonette/apartment; mobile/temporary structure</w:t>
            </w:r>
          </w:p>
        </w:tc>
        <w:tc>
          <w:tcPr>
            <w:tcW w:w="1556" w:type="dxa"/>
            <w:vAlign w:val="center"/>
          </w:tcPr>
          <w:p w14:paraId="2D306867" w14:textId="77777777" w:rsidR="00062A8D" w:rsidRDefault="00000000">
            <w:pPr>
              <w:pStyle w:val="Compact"/>
              <w:spacing w:after="0" w:line="240" w:lineRule="auto"/>
              <w:rPr>
                <w:sz w:val="16"/>
                <w:szCs w:val="20"/>
                <w:lang w:val="en-GB" w:eastAsia="en-GB"/>
              </w:rPr>
            </w:pPr>
            <w:r>
              <w:rPr>
                <w:sz w:val="16"/>
                <w:szCs w:val="20"/>
                <w:lang w:val="en-GB" w:eastAsia="en-GB"/>
              </w:rPr>
              <w:t>Detached</w:t>
            </w:r>
          </w:p>
        </w:tc>
        <w:tc>
          <w:tcPr>
            <w:tcW w:w="1440" w:type="dxa"/>
            <w:vAlign w:val="center"/>
          </w:tcPr>
          <w:p w14:paraId="3521FFCD" w14:textId="77777777" w:rsidR="00062A8D" w:rsidRDefault="00000000">
            <w:pPr>
              <w:pStyle w:val="Compact"/>
              <w:spacing w:after="0" w:line="240" w:lineRule="auto"/>
              <w:rPr>
                <w:sz w:val="16"/>
                <w:szCs w:val="20"/>
                <w:lang w:val="en-GB" w:eastAsia="en-GB"/>
              </w:rPr>
            </w:pPr>
            <w:r>
              <w:rPr>
                <w:sz w:val="16"/>
                <w:szCs w:val="20"/>
                <w:lang w:val="en-GB" w:eastAsia="en-GB"/>
              </w:rPr>
              <w:t>Household/residential</w:t>
            </w:r>
          </w:p>
        </w:tc>
      </w:tr>
      <w:tr w:rsidR="00062A8D" w14:paraId="3B4DD986" w14:textId="77777777">
        <w:trPr>
          <w:cantSplit/>
          <w:jc w:val="center"/>
        </w:trPr>
        <w:tc>
          <w:tcPr>
            <w:tcW w:w="1699" w:type="dxa"/>
            <w:vAlign w:val="center"/>
          </w:tcPr>
          <w:p w14:paraId="03EBEB78" w14:textId="77777777" w:rsidR="00062A8D" w:rsidRDefault="00000000">
            <w:pPr>
              <w:pStyle w:val="Compact"/>
              <w:spacing w:after="0" w:line="240" w:lineRule="auto"/>
              <w:rPr>
                <w:sz w:val="16"/>
                <w:szCs w:val="20"/>
                <w:lang w:val="en-GB" w:eastAsia="en-GB"/>
              </w:rPr>
            </w:pPr>
            <w:r>
              <w:rPr>
                <w:sz w:val="16"/>
                <w:szCs w:val="20"/>
                <w:lang w:val="en-GB" w:eastAsia="en-GB"/>
              </w:rPr>
              <w:t>Provision of unpaid care</w:t>
            </w:r>
          </w:p>
        </w:tc>
        <w:tc>
          <w:tcPr>
            <w:tcW w:w="1324" w:type="dxa"/>
            <w:vAlign w:val="center"/>
          </w:tcPr>
          <w:p w14:paraId="0CB51F28" w14:textId="77777777" w:rsidR="00062A8D" w:rsidRDefault="00000000">
            <w:pPr>
              <w:pStyle w:val="Compact"/>
              <w:spacing w:after="0" w:line="240" w:lineRule="auto"/>
              <w:rPr>
                <w:sz w:val="16"/>
                <w:szCs w:val="20"/>
                <w:lang w:val="en-GB" w:eastAsia="en-GB"/>
              </w:rPr>
            </w:pPr>
            <w:r>
              <w:rPr>
                <w:sz w:val="16"/>
                <w:szCs w:val="20"/>
                <w:lang w:val="en-GB" w:eastAsia="en-GB"/>
              </w:rPr>
              <w:t>CARER</w:t>
            </w:r>
          </w:p>
        </w:tc>
        <w:tc>
          <w:tcPr>
            <w:tcW w:w="3053" w:type="dxa"/>
            <w:vAlign w:val="center"/>
          </w:tcPr>
          <w:p w14:paraId="1B78FCBA" w14:textId="77777777" w:rsidR="00062A8D" w:rsidRDefault="00000000">
            <w:pPr>
              <w:pStyle w:val="Compact"/>
              <w:spacing w:after="0" w:line="240" w:lineRule="auto"/>
              <w:rPr>
                <w:sz w:val="16"/>
                <w:szCs w:val="20"/>
                <w:lang w:val="en-GB" w:eastAsia="en-GB"/>
              </w:rPr>
            </w:pPr>
            <w:r>
              <w:rPr>
                <w:sz w:val="16"/>
                <w:szCs w:val="20"/>
                <w:lang w:val="en-GB" w:eastAsia="en-GB"/>
              </w:rPr>
              <w:t>0; 1–19; 20–49; ≥50 hours</w:t>
            </w:r>
          </w:p>
        </w:tc>
        <w:tc>
          <w:tcPr>
            <w:tcW w:w="1556" w:type="dxa"/>
            <w:vAlign w:val="center"/>
          </w:tcPr>
          <w:p w14:paraId="0B843215" w14:textId="77777777" w:rsidR="00062A8D" w:rsidRDefault="00000000">
            <w:pPr>
              <w:pStyle w:val="Compact"/>
              <w:spacing w:after="0" w:line="240" w:lineRule="auto"/>
              <w:rPr>
                <w:sz w:val="16"/>
                <w:szCs w:val="20"/>
                <w:lang w:val="en-GB" w:eastAsia="en-GB"/>
              </w:rPr>
            </w:pPr>
            <w:r>
              <w:rPr>
                <w:sz w:val="16"/>
                <w:szCs w:val="20"/>
                <w:lang w:val="en-GB" w:eastAsia="en-GB"/>
              </w:rPr>
              <w:t>0</w:t>
            </w:r>
          </w:p>
        </w:tc>
        <w:tc>
          <w:tcPr>
            <w:tcW w:w="1440" w:type="dxa"/>
            <w:vAlign w:val="center"/>
          </w:tcPr>
          <w:p w14:paraId="6982002E" w14:textId="77777777" w:rsidR="00062A8D" w:rsidRDefault="00000000">
            <w:pPr>
              <w:pStyle w:val="Compact"/>
              <w:spacing w:after="0" w:line="240" w:lineRule="auto"/>
              <w:rPr>
                <w:sz w:val="16"/>
                <w:szCs w:val="20"/>
                <w:lang w:val="en-GB" w:eastAsia="en-GB"/>
              </w:rPr>
            </w:pPr>
            <w:r>
              <w:rPr>
                <w:sz w:val="16"/>
                <w:szCs w:val="20"/>
                <w:lang w:val="en-GB" w:eastAsia="en-GB"/>
              </w:rPr>
              <w:t>Personal/household role</w:t>
            </w:r>
          </w:p>
        </w:tc>
      </w:tr>
      <w:tr w:rsidR="00062A8D" w14:paraId="11AC6BC6" w14:textId="77777777">
        <w:trPr>
          <w:cantSplit/>
          <w:jc w:val="center"/>
        </w:trPr>
        <w:tc>
          <w:tcPr>
            <w:tcW w:w="1699" w:type="dxa"/>
            <w:vAlign w:val="center"/>
          </w:tcPr>
          <w:p w14:paraId="349ECA57" w14:textId="77777777" w:rsidR="00062A8D" w:rsidRDefault="00000000">
            <w:pPr>
              <w:pStyle w:val="Compact"/>
              <w:spacing w:after="0" w:line="240" w:lineRule="auto"/>
              <w:rPr>
                <w:sz w:val="16"/>
                <w:szCs w:val="20"/>
                <w:lang w:val="en-GB" w:eastAsia="en-GB"/>
              </w:rPr>
            </w:pPr>
            <w:r>
              <w:rPr>
                <w:sz w:val="16"/>
                <w:szCs w:val="20"/>
                <w:lang w:val="en-GB" w:eastAsia="en-GB"/>
              </w:rPr>
              <w:t>Sex</w:t>
            </w:r>
          </w:p>
        </w:tc>
        <w:tc>
          <w:tcPr>
            <w:tcW w:w="1324" w:type="dxa"/>
            <w:vAlign w:val="center"/>
          </w:tcPr>
          <w:p w14:paraId="4AC52B38" w14:textId="77777777" w:rsidR="00062A8D" w:rsidRDefault="00000000">
            <w:pPr>
              <w:pStyle w:val="Compact"/>
              <w:spacing w:after="0" w:line="240" w:lineRule="auto"/>
              <w:rPr>
                <w:sz w:val="16"/>
                <w:szCs w:val="20"/>
                <w:lang w:val="en-GB" w:eastAsia="en-GB"/>
              </w:rPr>
            </w:pPr>
            <w:r>
              <w:rPr>
                <w:sz w:val="16"/>
                <w:szCs w:val="20"/>
                <w:lang w:val="en-GB" w:eastAsia="en-GB"/>
              </w:rPr>
              <w:t>GNDR_CD</w:t>
            </w:r>
          </w:p>
        </w:tc>
        <w:tc>
          <w:tcPr>
            <w:tcW w:w="3053" w:type="dxa"/>
            <w:vAlign w:val="center"/>
          </w:tcPr>
          <w:p w14:paraId="0917E55B" w14:textId="77777777" w:rsidR="00062A8D" w:rsidRDefault="00000000">
            <w:pPr>
              <w:pStyle w:val="Compact"/>
              <w:spacing w:after="0" w:line="240" w:lineRule="auto"/>
              <w:rPr>
                <w:sz w:val="16"/>
                <w:szCs w:val="20"/>
                <w:lang w:val="en-GB" w:eastAsia="en-GB"/>
              </w:rPr>
            </w:pPr>
            <w:r>
              <w:rPr>
                <w:sz w:val="16"/>
                <w:szCs w:val="20"/>
                <w:lang w:val="en-GB" w:eastAsia="en-GB"/>
              </w:rPr>
              <w:t>Female; male</w:t>
            </w:r>
          </w:p>
        </w:tc>
        <w:tc>
          <w:tcPr>
            <w:tcW w:w="1556" w:type="dxa"/>
            <w:vAlign w:val="center"/>
          </w:tcPr>
          <w:p w14:paraId="74C677A6" w14:textId="77777777" w:rsidR="00062A8D" w:rsidRDefault="00000000">
            <w:pPr>
              <w:pStyle w:val="Compact"/>
              <w:spacing w:after="0" w:line="240" w:lineRule="auto"/>
              <w:rPr>
                <w:sz w:val="16"/>
                <w:szCs w:val="20"/>
                <w:lang w:val="en-GB" w:eastAsia="en-GB"/>
              </w:rPr>
            </w:pPr>
            <w:r>
              <w:rPr>
                <w:sz w:val="16"/>
                <w:szCs w:val="20"/>
                <w:lang w:val="en-GB" w:eastAsia="en-GB"/>
              </w:rPr>
              <w:t>Female</w:t>
            </w:r>
          </w:p>
        </w:tc>
        <w:tc>
          <w:tcPr>
            <w:tcW w:w="1440" w:type="dxa"/>
            <w:vAlign w:val="center"/>
          </w:tcPr>
          <w:p w14:paraId="7CE8FFDB" w14:textId="77777777" w:rsidR="00062A8D" w:rsidRDefault="00000000">
            <w:pPr>
              <w:pStyle w:val="Compact"/>
              <w:spacing w:after="0" w:line="240" w:lineRule="auto"/>
              <w:rPr>
                <w:sz w:val="16"/>
                <w:szCs w:val="20"/>
                <w:lang w:val="en-GB" w:eastAsia="en-GB"/>
              </w:rPr>
            </w:pPr>
            <w:r>
              <w:rPr>
                <w:sz w:val="16"/>
                <w:szCs w:val="20"/>
                <w:lang w:val="en-GB" w:eastAsia="en-GB"/>
              </w:rPr>
              <w:t>Personal/demographic</w:t>
            </w:r>
          </w:p>
        </w:tc>
      </w:tr>
      <w:tr w:rsidR="00062A8D" w14:paraId="28840FA9" w14:textId="77777777">
        <w:trPr>
          <w:cantSplit/>
          <w:jc w:val="center"/>
        </w:trPr>
        <w:tc>
          <w:tcPr>
            <w:tcW w:w="1699" w:type="dxa"/>
            <w:vAlign w:val="center"/>
          </w:tcPr>
          <w:p w14:paraId="1EAF3E1C" w14:textId="77777777" w:rsidR="00062A8D" w:rsidRDefault="00000000">
            <w:pPr>
              <w:pStyle w:val="Compact"/>
              <w:spacing w:after="0" w:line="240" w:lineRule="auto"/>
              <w:rPr>
                <w:sz w:val="16"/>
                <w:szCs w:val="20"/>
                <w:lang w:val="en-GB" w:eastAsia="en-GB"/>
              </w:rPr>
            </w:pPr>
            <w:r>
              <w:rPr>
                <w:sz w:val="16"/>
                <w:szCs w:val="20"/>
                <w:lang w:val="en-GB" w:eastAsia="en-GB"/>
              </w:rPr>
              <w:t>WIMD 2011 quintile</w:t>
            </w:r>
          </w:p>
        </w:tc>
        <w:tc>
          <w:tcPr>
            <w:tcW w:w="1324" w:type="dxa"/>
            <w:vAlign w:val="center"/>
          </w:tcPr>
          <w:p w14:paraId="43EE6DF8" w14:textId="77777777" w:rsidR="00062A8D" w:rsidRDefault="00000000">
            <w:pPr>
              <w:pStyle w:val="Compact"/>
              <w:spacing w:after="0" w:line="240" w:lineRule="auto"/>
              <w:rPr>
                <w:sz w:val="16"/>
                <w:szCs w:val="20"/>
                <w:lang w:val="en-GB" w:eastAsia="en-GB"/>
              </w:rPr>
            </w:pPr>
            <w:proofErr w:type="spellStart"/>
            <w:r>
              <w:rPr>
                <w:sz w:val="16"/>
                <w:szCs w:val="20"/>
                <w:lang w:val="en-GB" w:eastAsia="en-GB"/>
              </w:rPr>
              <w:t>WIMD_qntl</w:t>
            </w:r>
            <w:proofErr w:type="spellEnd"/>
          </w:p>
        </w:tc>
        <w:tc>
          <w:tcPr>
            <w:tcW w:w="3053" w:type="dxa"/>
            <w:vAlign w:val="center"/>
          </w:tcPr>
          <w:p w14:paraId="2CFDACF8" w14:textId="77777777" w:rsidR="00062A8D" w:rsidRDefault="00000000">
            <w:pPr>
              <w:pStyle w:val="Compact"/>
              <w:spacing w:after="0" w:line="240" w:lineRule="auto"/>
              <w:rPr>
                <w:sz w:val="16"/>
                <w:szCs w:val="20"/>
                <w:lang w:val="en-GB" w:eastAsia="en-GB"/>
              </w:rPr>
            </w:pPr>
            <w:r>
              <w:rPr>
                <w:sz w:val="16"/>
                <w:szCs w:val="20"/>
                <w:lang w:val="en-GB" w:eastAsia="en-GB"/>
              </w:rPr>
              <w:t>5 least deprived; 4; 3; 2; 1 most deprived</w:t>
            </w:r>
          </w:p>
        </w:tc>
        <w:tc>
          <w:tcPr>
            <w:tcW w:w="1556" w:type="dxa"/>
            <w:vAlign w:val="center"/>
          </w:tcPr>
          <w:p w14:paraId="1AE172D3" w14:textId="77777777" w:rsidR="00062A8D" w:rsidRDefault="00000000">
            <w:pPr>
              <w:pStyle w:val="Compact"/>
              <w:spacing w:after="0" w:line="240" w:lineRule="auto"/>
              <w:rPr>
                <w:sz w:val="16"/>
                <w:szCs w:val="20"/>
                <w:lang w:val="en-GB" w:eastAsia="en-GB"/>
              </w:rPr>
            </w:pPr>
            <w:r>
              <w:rPr>
                <w:sz w:val="16"/>
                <w:szCs w:val="20"/>
                <w:lang w:val="en-GB" w:eastAsia="en-GB"/>
              </w:rPr>
              <w:t>5 least deprived</w:t>
            </w:r>
          </w:p>
        </w:tc>
        <w:tc>
          <w:tcPr>
            <w:tcW w:w="1440" w:type="dxa"/>
            <w:vAlign w:val="center"/>
          </w:tcPr>
          <w:p w14:paraId="55FEBC21" w14:textId="77777777" w:rsidR="00062A8D" w:rsidRDefault="00000000">
            <w:pPr>
              <w:pStyle w:val="Compact"/>
              <w:spacing w:after="0" w:line="240" w:lineRule="auto"/>
              <w:rPr>
                <w:sz w:val="16"/>
                <w:szCs w:val="20"/>
                <w:lang w:val="en-GB" w:eastAsia="en-GB"/>
              </w:rPr>
            </w:pPr>
            <w:r>
              <w:rPr>
                <w:sz w:val="16"/>
                <w:szCs w:val="20"/>
                <w:lang w:val="en-GB" w:eastAsia="en-GB"/>
              </w:rPr>
              <w:t>Area socioeconomic</w:t>
            </w:r>
          </w:p>
        </w:tc>
      </w:tr>
      <w:tr w:rsidR="00062A8D" w14:paraId="5D698ADA" w14:textId="77777777">
        <w:trPr>
          <w:cantSplit/>
          <w:jc w:val="center"/>
        </w:trPr>
        <w:tc>
          <w:tcPr>
            <w:tcW w:w="1699" w:type="dxa"/>
            <w:vAlign w:val="center"/>
          </w:tcPr>
          <w:p w14:paraId="6D599FC8" w14:textId="77777777" w:rsidR="00062A8D" w:rsidRDefault="00000000">
            <w:pPr>
              <w:pStyle w:val="Compact"/>
              <w:spacing w:after="0" w:line="240" w:lineRule="auto"/>
              <w:rPr>
                <w:sz w:val="16"/>
                <w:szCs w:val="20"/>
                <w:lang w:val="en-GB" w:eastAsia="en-GB"/>
              </w:rPr>
            </w:pPr>
            <w:r>
              <w:rPr>
                <w:sz w:val="16"/>
                <w:szCs w:val="20"/>
                <w:lang w:val="en-GB" w:eastAsia="en-GB"/>
              </w:rPr>
              <w:t>Household size</w:t>
            </w:r>
          </w:p>
        </w:tc>
        <w:tc>
          <w:tcPr>
            <w:tcW w:w="1324" w:type="dxa"/>
            <w:vAlign w:val="center"/>
          </w:tcPr>
          <w:p w14:paraId="2253B03F" w14:textId="77777777" w:rsidR="00062A8D" w:rsidRDefault="00000000">
            <w:pPr>
              <w:pStyle w:val="Compact"/>
              <w:spacing w:after="0" w:line="240" w:lineRule="auto"/>
              <w:rPr>
                <w:sz w:val="16"/>
                <w:szCs w:val="20"/>
                <w:lang w:val="en-GB" w:eastAsia="en-GB"/>
              </w:rPr>
            </w:pPr>
            <w:r>
              <w:rPr>
                <w:sz w:val="16"/>
                <w:szCs w:val="20"/>
                <w:lang w:val="en-GB" w:eastAsia="en-GB"/>
              </w:rPr>
              <w:t>SIZHUK11</w:t>
            </w:r>
          </w:p>
        </w:tc>
        <w:tc>
          <w:tcPr>
            <w:tcW w:w="3053" w:type="dxa"/>
            <w:vAlign w:val="center"/>
          </w:tcPr>
          <w:p w14:paraId="7F9D2CA3" w14:textId="77777777" w:rsidR="00062A8D" w:rsidRDefault="00000000">
            <w:pPr>
              <w:pStyle w:val="Compact"/>
              <w:spacing w:after="0" w:line="240" w:lineRule="auto"/>
              <w:rPr>
                <w:sz w:val="16"/>
                <w:szCs w:val="20"/>
                <w:lang w:val="en-GB" w:eastAsia="en-GB"/>
              </w:rPr>
            </w:pPr>
            <w:r>
              <w:rPr>
                <w:sz w:val="16"/>
                <w:szCs w:val="20"/>
                <w:lang w:val="en-GB" w:eastAsia="en-GB"/>
              </w:rPr>
              <w:t>One; two; three or more</w:t>
            </w:r>
          </w:p>
        </w:tc>
        <w:tc>
          <w:tcPr>
            <w:tcW w:w="1556" w:type="dxa"/>
            <w:vAlign w:val="center"/>
          </w:tcPr>
          <w:p w14:paraId="4BC65B8E" w14:textId="77777777" w:rsidR="00062A8D" w:rsidRDefault="00000000">
            <w:pPr>
              <w:pStyle w:val="Compact"/>
              <w:spacing w:after="0" w:line="240" w:lineRule="auto"/>
              <w:rPr>
                <w:sz w:val="16"/>
                <w:szCs w:val="20"/>
                <w:lang w:val="en-GB" w:eastAsia="en-GB"/>
              </w:rPr>
            </w:pPr>
            <w:r>
              <w:rPr>
                <w:sz w:val="16"/>
                <w:szCs w:val="20"/>
                <w:lang w:val="en-GB" w:eastAsia="en-GB"/>
              </w:rPr>
              <w:t>One</w:t>
            </w:r>
          </w:p>
        </w:tc>
        <w:tc>
          <w:tcPr>
            <w:tcW w:w="1440" w:type="dxa"/>
            <w:vAlign w:val="center"/>
          </w:tcPr>
          <w:p w14:paraId="13B3379F" w14:textId="77777777" w:rsidR="00062A8D" w:rsidRDefault="00000000">
            <w:pPr>
              <w:pStyle w:val="Compact"/>
              <w:spacing w:after="0" w:line="240" w:lineRule="auto"/>
              <w:rPr>
                <w:sz w:val="16"/>
                <w:szCs w:val="20"/>
                <w:lang w:val="en-GB" w:eastAsia="en-GB"/>
              </w:rPr>
            </w:pPr>
            <w:r>
              <w:rPr>
                <w:sz w:val="16"/>
                <w:szCs w:val="20"/>
                <w:lang w:val="en-GB" w:eastAsia="en-GB"/>
              </w:rPr>
              <w:t>Household composition</w:t>
            </w:r>
          </w:p>
        </w:tc>
      </w:tr>
      <w:tr w:rsidR="00062A8D" w14:paraId="033C0C02" w14:textId="77777777">
        <w:trPr>
          <w:cantSplit/>
          <w:jc w:val="center"/>
        </w:trPr>
        <w:tc>
          <w:tcPr>
            <w:tcW w:w="1699" w:type="dxa"/>
            <w:vAlign w:val="center"/>
          </w:tcPr>
          <w:p w14:paraId="3500C0F6" w14:textId="77777777" w:rsidR="00062A8D" w:rsidRDefault="00000000">
            <w:pPr>
              <w:pStyle w:val="Compact"/>
              <w:spacing w:after="0" w:line="240" w:lineRule="auto"/>
              <w:rPr>
                <w:sz w:val="16"/>
                <w:szCs w:val="20"/>
                <w:lang w:val="en-GB" w:eastAsia="en-GB"/>
              </w:rPr>
            </w:pPr>
            <w:r>
              <w:rPr>
                <w:sz w:val="16"/>
                <w:szCs w:val="20"/>
                <w:lang w:val="en-GB" w:eastAsia="en-GB"/>
              </w:rPr>
              <w:t>NS-SEC of household reference person</w:t>
            </w:r>
          </w:p>
        </w:tc>
        <w:tc>
          <w:tcPr>
            <w:tcW w:w="1324" w:type="dxa"/>
            <w:vAlign w:val="center"/>
          </w:tcPr>
          <w:p w14:paraId="78F76931" w14:textId="77777777" w:rsidR="00062A8D" w:rsidRDefault="00000000">
            <w:pPr>
              <w:pStyle w:val="Compact"/>
              <w:spacing w:after="0" w:line="240" w:lineRule="auto"/>
              <w:rPr>
                <w:sz w:val="16"/>
                <w:szCs w:val="20"/>
                <w:lang w:val="en-GB" w:eastAsia="en-GB"/>
              </w:rPr>
            </w:pPr>
            <w:r>
              <w:rPr>
                <w:sz w:val="16"/>
                <w:szCs w:val="20"/>
                <w:lang w:val="en-GB" w:eastAsia="en-GB"/>
              </w:rPr>
              <w:t>NSSHUK11</w:t>
            </w:r>
          </w:p>
        </w:tc>
        <w:tc>
          <w:tcPr>
            <w:tcW w:w="3053" w:type="dxa"/>
            <w:vAlign w:val="center"/>
          </w:tcPr>
          <w:p w14:paraId="468B761C" w14:textId="77777777" w:rsidR="00062A8D" w:rsidRDefault="00000000">
            <w:pPr>
              <w:pStyle w:val="Compact"/>
              <w:spacing w:after="0" w:line="240" w:lineRule="auto"/>
              <w:rPr>
                <w:sz w:val="16"/>
                <w:szCs w:val="20"/>
                <w:lang w:val="en-GB" w:eastAsia="en-GB"/>
              </w:rPr>
            </w:pPr>
            <w:r>
              <w:rPr>
                <w:sz w:val="16"/>
                <w:szCs w:val="20"/>
                <w:lang w:val="en-GB" w:eastAsia="en-GB"/>
              </w:rPr>
              <w:t>Higher managerial/administrative/professional; intermediate; lower supervisory/technical; never worked/long-term unemployed; routine/semi-routine; small employer/</w:t>
            </w:r>
            <w:proofErr w:type="gramStart"/>
            <w:r>
              <w:rPr>
                <w:sz w:val="16"/>
                <w:szCs w:val="20"/>
                <w:lang w:val="en-GB" w:eastAsia="en-GB"/>
              </w:rPr>
              <w:t>own-account</w:t>
            </w:r>
            <w:proofErr w:type="gramEnd"/>
          </w:p>
        </w:tc>
        <w:tc>
          <w:tcPr>
            <w:tcW w:w="1556" w:type="dxa"/>
            <w:vAlign w:val="center"/>
          </w:tcPr>
          <w:p w14:paraId="6F3EED01" w14:textId="77777777" w:rsidR="00062A8D" w:rsidRDefault="00000000">
            <w:pPr>
              <w:pStyle w:val="Compact"/>
              <w:spacing w:after="0" w:line="240" w:lineRule="auto"/>
              <w:rPr>
                <w:sz w:val="16"/>
                <w:szCs w:val="20"/>
                <w:lang w:val="en-GB" w:eastAsia="en-GB"/>
              </w:rPr>
            </w:pPr>
            <w:r>
              <w:rPr>
                <w:sz w:val="16"/>
                <w:szCs w:val="20"/>
                <w:lang w:val="en-GB" w:eastAsia="en-GB"/>
              </w:rPr>
              <w:t>Higher managerial/administrative/professional</w:t>
            </w:r>
          </w:p>
        </w:tc>
        <w:tc>
          <w:tcPr>
            <w:tcW w:w="1440" w:type="dxa"/>
            <w:vAlign w:val="center"/>
          </w:tcPr>
          <w:p w14:paraId="5C174196" w14:textId="77777777" w:rsidR="00062A8D" w:rsidRDefault="00000000">
            <w:pPr>
              <w:pStyle w:val="Compact"/>
              <w:spacing w:after="0" w:line="240" w:lineRule="auto"/>
              <w:rPr>
                <w:sz w:val="16"/>
                <w:szCs w:val="20"/>
                <w:lang w:val="en-GB" w:eastAsia="en-GB"/>
              </w:rPr>
            </w:pPr>
            <w:r>
              <w:rPr>
                <w:sz w:val="16"/>
                <w:szCs w:val="20"/>
                <w:lang w:val="en-GB" w:eastAsia="en-GB"/>
              </w:rPr>
              <w:t>Household socioeconomic</w:t>
            </w:r>
          </w:p>
        </w:tc>
      </w:tr>
      <w:tr w:rsidR="00062A8D" w14:paraId="6B4B0EC8" w14:textId="77777777">
        <w:trPr>
          <w:cantSplit/>
          <w:jc w:val="center"/>
        </w:trPr>
        <w:tc>
          <w:tcPr>
            <w:tcW w:w="1699" w:type="dxa"/>
            <w:vAlign w:val="center"/>
          </w:tcPr>
          <w:p w14:paraId="31A56D83" w14:textId="77777777" w:rsidR="00062A8D" w:rsidRDefault="00000000">
            <w:pPr>
              <w:pStyle w:val="Compact"/>
              <w:spacing w:after="0" w:line="240" w:lineRule="auto"/>
              <w:rPr>
                <w:sz w:val="16"/>
                <w:szCs w:val="20"/>
                <w:lang w:val="en-GB" w:eastAsia="en-GB"/>
              </w:rPr>
            </w:pPr>
            <w:r>
              <w:rPr>
                <w:sz w:val="16"/>
                <w:szCs w:val="20"/>
                <w:lang w:val="en-GB" w:eastAsia="en-GB"/>
              </w:rPr>
              <w:t>Ethnic group</w:t>
            </w:r>
          </w:p>
        </w:tc>
        <w:tc>
          <w:tcPr>
            <w:tcW w:w="1324" w:type="dxa"/>
            <w:vAlign w:val="center"/>
          </w:tcPr>
          <w:p w14:paraId="32670AB1" w14:textId="77777777" w:rsidR="00062A8D" w:rsidRDefault="00000000">
            <w:pPr>
              <w:pStyle w:val="Compact"/>
              <w:spacing w:after="0" w:line="240" w:lineRule="auto"/>
              <w:rPr>
                <w:sz w:val="16"/>
                <w:szCs w:val="20"/>
                <w:lang w:val="en-GB" w:eastAsia="en-GB"/>
              </w:rPr>
            </w:pPr>
            <w:r>
              <w:rPr>
                <w:sz w:val="16"/>
                <w:szCs w:val="20"/>
                <w:lang w:val="en-GB" w:eastAsia="en-GB"/>
              </w:rPr>
              <w:t>AGGETHPUK111</w:t>
            </w:r>
          </w:p>
        </w:tc>
        <w:tc>
          <w:tcPr>
            <w:tcW w:w="3053" w:type="dxa"/>
            <w:vAlign w:val="center"/>
          </w:tcPr>
          <w:p w14:paraId="3611F973" w14:textId="77777777" w:rsidR="00062A8D" w:rsidRDefault="00000000">
            <w:pPr>
              <w:pStyle w:val="Compact"/>
              <w:spacing w:after="0" w:line="240" w:lineRule="auto"/>
              <w:rPr>
                <w:sz w:val="16"/>
                <w:szCs w:val="20"/>
                <w:lang w:val="en-GB" w:eastAsia="en-GB"/>
              </w:rPr>
            </w:pPr>
            <w:r>
              <w:rPr>
                <w:sz w:val="16"/>
                <w:szCs w:val="20"/>
                <w:lang w:val="en-GB" w:eastAsia="en-GB"/>
              </w:rPr>
              <w:t>White; mixed/multiple; Asian/Asian British; Black/African/Caribbean/Black British; other</w:t>
            </w:r>
          </w:p>
        </w:tc>
        <w:tc>
          <w:tcPr>
            <w:tcW w:w="1556" w:type="dxa"/>
            <w:vAlign w:val="center"/>
          </w:tcPr>
          <w:p w14:paraId="6A9B7FC0" w14:textId="77777777" w:rsidR="00062A8D" w:rsidRDefault="00000000">
            <w:pPr>
              <w:pStyle w:val="Compact"/>
              <w:spacing w:after="0" w:line="240" w:lineRule="auto"/>
              <w:rPr>
                <w:sz w:val="16"/>
                <w:szCs w:val="20"/>
                <w:lang w:val="en-GB" w:eastAsia="en-GB"/>
              </w:rPr>
            </w:pPr>
            <w:r>
              <w:rPr>
                <w:sz w:val="16"/>
                <w:szCs w:val="20"/>
                <w:lang w:val="en-GB" w:eastAsia="en-GB"/>
              </w:rPr>
              <w:t>White</w:t>
            </w:r>
          </w:p>
        </w:tc>
        <w:tc>
          <w:tcPr>
            <w:tcW w:w="1440" w:type="dxa"/>
            <w:vAlign w:val="center"/>
          </w:tcPr>
          <w:p w14:paraId="6A80D3D2" w14:textId="77777777" w:rsidR="00062A8D" w:rsidRDefault="00000000">
            <w:pPr>
              <w:pStyle w:val="Compact"/>
              <w:spacing w:after="0" w:line="240" w:lineRule="auto"/>
              <w:rPr>
                <w:sz w:val="16"/>
                <w:szCs w:val="20"/>
                <w:lang w:val="en-GB" w:eastAsia="en-GB"/>
              </w:rPr>
            </w:pPr>
            <w:r>
              <w:rPr>
                <w:sz w:val="16"/>
                <w:szCs w:val="20"/>
                <w:lang w:val="en-GB" w:eastAsia="en-GB"/>
              </w:rPr>
              <w:t>Personal/social position</w:t>
            </w:r>
          </w:p>
        </w:tc>
      </w:tr>
      <w:tr w:rsidR="00062A8D" w14:paraId="204FC442" w14:textId="77777777">
        <w:trPr>
          <w:cantSplit/>
          <w:jc w:val="center"/>
        </w:trPr>
        <w:tc>
          <w:tcPr>
            <w:tcW w:w="1699" w:type="dxa"/>
            <w:vAlign w:val="center"/>
          </w:tcPr>
          <w:p w14:paraId="3982F349" w14:textId="77777777" w:rsidR="00062A8D" w:rsidRDefault="00000000">
            <w:pPr>
              <w:pStyle w:val="Compact"/>
              <w:spacing w:after="0" w:line="240" w:lineRule="auto"/>
              <w:rPr>
                <w:sz w:val="16"/>
                <w:szCs w:val="20"/>
                <w:lang w:val="en-GB" w:eastAsia="en-GB"/>
              </w:rPr>
            </w:pPr>
            <w:r>
              <w:rPr>
                <w:sz w:val="16"/>
                <w:szCs w:val="20"/>
                <w:lang w:val="en-GB" w:eastAsia="en-GB"/>
              </w:rPr>
              <w:t>Family status</w:t>
            </w:r>
          </w:p>
        </w:tc>
        <w:tc>
          <w:tcPr>
            <w:tcW w:w="1324" w:type="dxa"/>
            <w:vAlign w:val="center"/>
          </w:tcPr>
          <w:p w14:paraId="6FBC0F42" w14:textId="77777777" w:rsidR="00062A8D" w:rsidRDefault="00000000">
            <w:pPr>
              <w:pStyle w:val="Compact"/>
              <w:spacing w:after="0" w:line="240" w:lineRule="auto"/>
              <w:rPr>
                <w:sz w:val="16"/>
                <w:szCs w:val="20"/>
                <w:lang w:val="en-GB" w:eastAsia="en-GB"/>
              </w:rPr>
            </w:pPr>
            <w:r>
              <w:rPr>
                <w:sz w:val="16"/>
                <w:szCs w:val="20"/>
                <w:lang w:val="en-GB" w:eastAsia="en-GB"/>
              </w:rPr>
              <w:t>FMSPUK11</w:t>
            </w:r>
          </w:p>
        </w:tc>
        <w:tc>
          <w:tcPr>
            <w:tcW w:w="3053" w:type="dxa"/>
            <w:vAlign w:val="center"/>
          </w:tcPr>
          <w:p w14:paraId="1CA24BB8" w14:textId="77777777" w:rsidR="00062A8D" w:rsidRDefault="00000000">
            <w:pPr>
              <w:pStyle w:val="Compact"/>
              <w:spacing w:after="0" w:line="240" w:lineRule="auto"/>
              <w:rPr>
                <w:sz w:val="16"/>
                <w:szCs w:val="20"/>
                <w:lang w:val="en-GB" w:eastAsia="en-GB"/>
              </w:rPr>
            </w:pPr>
            <w:r>
              <w:rPr>
                <w:sz w:val="16"/>
                <w:szCs w:val="20"/>
                <w:lang w:val="en-GB" w:eastAsia="en-GB"/>
              </w:rPr>
              <w:t>Couple family; lone-parent family; students, short-term migrants and others not in a family</w:t>
            </w:r>
          </w:p>
        </w:tc>
        <w:tc>
          <w:tcPr>
            <w:tcW w:w="1556" w:type="dxa"/>
            <w:vAlign w:val="center"/>
          </w:tcPr>
          <w:p w14:paraId="193F8552" w14:textId="77777777" w:rsidR="00062A8D" w:rsidRDefault="00000000">
            <w:pPr>
              <w:pStyle w:val="Compact"/>
              <w:spacing w:after="0" w:line="240" w:lineRule="auto"/>
              <w:rPr>
                <w:sz w:val="16"/>
                <w:szCs w:val="20"/>
                <w:lang w:val="en-GB" w:eastAsia="en-GB"/>
              </w:rPr>
            </w:pPr>
            <w:r>
              <w:rPr>
                <w:sz w:val="16"/>
                <w:szCs w:val="20"/>
                <w:lang w:val="en-GB" w:eastAsia="en-GB"/>
              </w:rPr>
              <w:t>Couple family</w:t>
            </w:r>
          </w:p>
        </w:tc>
        <w:tc>
          <w:tcPr>
            <w:tcW w:w="1440" w:type="dxa"/>
            <w:vAlign w:val="center"/>
          </w:tcPr>
          <w:p w14:paraId="34EA6C76" w14:textId="77777777" w:rsidR="00062A8D" w:rsidRDefault="00000000">
            <w:pPr>
              <w:pStyle w:val="Compact"/>
              <w:spacing w:after="0" w:line="240" w:lineRule="auto"/>
              <w:rPr>
                <w:sz w:val="16"/>
                <w:szCs w:val="20"/>
                <w:lang w:val="en-GB" w:eastAsia="en-GB"/>
              </w:rPr>
            </w:pPr>
            <w:r>
              <w:rPr>
                <w:sz w:val="16"/>
                <w:szCs w:val="20"/>
                <w:lang w:val="en-GB" w:eastAsia="en-GB"/>
              </w:rPr>
              <w:t>Household/family</w:t>
            </w:r>
          </w:p>
        </w:tc>
      </w:tr>
      <w:tr w:rsidR="00062A8D" w14:paraId="2EFCCCFF" w14:textId="77777777">
        <w:trPr>
          <w:cantSplit/>
          <w:jc w:val="center"/>
        </w:trPr>
        <w:tc>
          <w:tcPr>
            <w:tcW w:w="1699" w:type="dxa"/>
            <w:vAlign w:val="center"/>
          </w:tcPr>
          <w:p w14:paraId="2F28E634" w14:textId="77777777" w:rsidR="00062A8D" w:rsidRDefault="00000000">
            <w:pPr>
              <w:pStyle w:val="Compact"/>
              <w:spacing w:after="0" w:line="240" w:lineRule="auto"/>
              <w:rPr>
                <w:sz w:val="16"/>
                <w:szCs w:val="20"/>
                <w:lang w:val="en-GB" w:eastAsia="en-GB"/>
              </w:rPr>
            </w:pPr>
            <w:r>
              <w:rPr>
                <w:sz w:val="16"/>
                <w:szCs w:val="20"/>
                <w:lang w:val="en-GB" w:eastAsia="en-GB"/>
              </w:rPr>
              <w:t>Rural–urban classification</w:t>
            </w:r>
          </w:p>
        </w:tc>
        <w:tc>
          <w:tcPr>
            <w:tcW w:w="1324" w:type="dxa"/>
            <w:vAlign w:val="center"/>
          </w:tcPr>
          <w:p w14:paraId="4F1424A4" w14:textId="77777777" w:rsidR="00062A8D" w:rsidRDefault="00000000">
            <w:pPr>
              <w:pStyle w:val="Compact"/>
              <w:spacing w:after="0" w:line="240" w:lineRule="auto"/>
              <w:rPr>
                <w:sz w:val="16"/>
                <w:szCs w:val="20"/>
                <w:lang w:val="en-GB" w:eastAsia="en-GB"/>
              </w:rPr>
            </w:pPr>
            <w:r>
              <w:rPr>
                <w:sz w:val="16"/>
                <w:szCs w:val="20"/>
                <w:lang w:val="en-GB" w:eastAsia="en-GB"/>
              </w:rPr>
              <w:t>RUC11</w:t>
            </w:r>
          </w:p>
        </w:tc>
        <w:tc>
          <w:tcPr>
            <w:tcW w:w="3053" w:type="dxa"/>
            <w:vAlign w:val="center"/>
          </w:tcPr>
          <w:p w14:paraId="52CE99EB" w14:textId="77777777" w:rsidR="00062A8D" w:rsidRDefault="00000000">
            <w:pPr>
              <w:pStyle w:val="Compact"/>
              <w:spacing w:after="0" w:line="240" w:lineRule="auto"/>
              <w:rPr>
                <w:sz w:val="16"/>
                <w:szCs w:val="20"/>
                <w:lang w:val="en-GB" w:eastAsia="en-GB"/>
              </w:rPr>
            </w:pPr>
            <w:r>
              <w:rPr>
                <w:sz w:val="16"/>
                <w:szCs w:val="20"/>
                <w:lang w:val="en-GB" w:eastAsia="en-GB"/>
              </w:rPr>
              <w:t>Urban city/town; rural town/fringe; rural village/dispersed</w:t>
            </w:r>
          </w:p>
        </w:tc>
        <w:tc>
          <w:tcPr>
            <w:tcW w:w="1556" w:type="dxa"/>
            <w:vAlign w:val="center"/>
          </w:tcPr>
          <w:p w14:paraId="5AF3AD41" w14:textId="77777777" w:rsidR="00062A8D" w:rsidRDefault="00000000">
            <w:pPr>
              <w:pStyle w:val="Compact"/>
              <w:spacing w:after="0" w:line="240" w:lineRule="auto"/>
              <w:rPr>
                <w:sz w:val="16"/>
                <w:szCs w:val="20"/>
                <w:lang w:val="en-GB" w:eastAsia="en-GB"/>
              </w:rPr>
            </w:pPr>
            <w:r>
              <w:rPr>
                <w:sz w:val="16"/>
                <w:szCs w:val="20"/>
                <w:lang w:val="en-GB" w:eastAsia="en-GB"/>
              </w:rPr>
              <w:t>Urban city/town</w:t>
            </w:r>
          </w:p>
        </w:tc>
        <w:tc>
          <w:tcPr>
            <w:tcW w:w="1440" w:type="dxa"/>
            <w:vAlign w:val="center"/>
          </w:tcPr>
          <w:p w14:paraId="514A6B22" w14:textId="77777777" w:rsidR="00062A8D" w:rsidRDefault="00000000">
            <w:pPr>
              <w:pStyle w:val="Compact"/>
              <w:spacing w:after="0" w:line="240" w:lineRule="auto"/>
              <w:rPr>
                <w:sz w:val="16"/>
                <w:szCs w:val="20"/>
                <w:lang w:val="en-GB" w:eastAsia="en-GB"/>
              </w:rPr>
            </w:pPr>
            <w:r>
              <w:rPr>
                <w:sz w:val="16"/>
                <w:szCs w:val="20"/>
                <w:lang w:val="en-GB" w:eastAsia="en-GB"/>
              </w:rPr>
              <w:t>Area context</w:t>
            </w:r>
          </w:p>
        </w:tc>
      </w:tr>
    </w:tbl>
    <w:p w14:paraId="1CD977B7" w14:textId="3460434F" w:rsidR="00115176" w:rsidRDefault="00115176" w:rsidP="00115176">
      <w:pPr>
        <w:pStyle w:val="BodyText"/>
        <w:spacing w:before="240"/>
      </w:pPr>
      <w:bookmarkStart w:id="7" w:name="X4c4221ce16d92cac325b041fcdbe8bd14e1a119"/>
      <w:r w:rsidRPr="00115176">
        <w:t xml:space="preserve">The categories require several interpretive qualifications. `HLQPUK11Not applicable` contained 385 people (0.10%) and contributed to several </w:t>
      </w:r>
      <w:proofErr w:type="gramStart"/>
      <w:r w:rsidRPr="00115176">
        <w:t>extreme</w:t>
      </w:r>
      <w:proofErr w:type="gramEnd"/>
      <w:r w:rsidRPr="00115176">
        <w:t xml:space="preserve"> low-count predictions. The number of employed adults in the household may reflect co-residence with working-age adults, household income and household composition, but may also be affected by illness or care needs. Sex was available only as female/male and cannot represent gender diversity or the full operation of gendered institutions. The cohort was 99.02% White, which limits the precision and scope of contrasts involving broad ethnic categories. WIMD and rural–urban classifications were area attributes attached to individuals; they did not constitute a separately modelled geographical level.</w:t>
      </w:r>
    </w:p>
    <w:p w14:paraId="33511DB7" w14:textId="0128FF5E" w:rsidR="00062A8D" w:rsidRDefault="00000000">
      <w:pPr>
        <w:pStyle w:val="BodyText"/>
      </w:pPr>
      <w:r>
        <w:t xml:space="preserve">The category labels are derived from the 2011 UK </w:t>
      </w:r>
      <w:proofErr w:type="gramStart"/>
      <w:r>
        <w:t>Census</w:t>
      </w:r>
      <w:proofErr w:type="gramEnd"/>
      <w:r>
        <w:t xml:space="preserve"> and some do not map directly onto education, housing or social-class classifications used elsewhere. The notes below provide the interpretation used in this study and direct readers to authoritative sources for fuller category definitions.</w:t>
      </w:r>
      <w:bookmarkEnd w:id="7"/>
    </w:p>
    <w:p w14:paraId="49EDCF78" w14:textId="77777777" w:rsidR="00062A8D" w:rsidRDefault="00000000">
      <w:pPr>
        <w:pStyle w:val="Heading4"/>
      </w:pPr>
      <w:bookmarkStart w:id="8" w:name="X08ff47a355ee5c41280e649a7266e0002c104f8"/>
      <w:r>
        <w:t>Highest qualification (HLQPUK11)</w:t>
      </w:r>
    </w:p>
    <w:p w14:paraId="433D0E34" w14:textId="2F1861E1" w:rsidR="00062A8D" w:rsidRDefault="00000000">
      <w:pPr>
        <w:pStyle w:val="BodyText"/>
      </w:pPr>
      <w:r>
        <w:t xml:space="preserve">The substantive attainment categories describe the highest qualification reported rather than years of schooling. In broad terms, </w:t>
      </w:r>
      <w:r w:rsidRPr="008F2E25">
        <w:t>Level 1</w:t>
      </w:r>
      <w:r>
        <w:t xml:space="preserve"> covers lower secondary or foundation qualifications (for example, one to four GCSEs or equivalent); </w:t>
      </w:r>
      <w:r w:rsidRPr="008F2E25">
        <w:t>Level 2</w:t>
      </w:r>
      <w:r>
        <w:t xml:space="preserve"> covers five or more GCSE passes at the former A*–C standard or equivalent intermediate vocational qualifications; </w:t>
      </w:r>
      <w:r w:rsidRPr="008F2E25">
        <w:t>apprenticeship</w:t>
      </w:r>
      <w:r>
        <w:t xml:space="preserve"> identifies a </w:t>
      </w:r>
      <w:proofErr w:type="spellStart"/>
      <w:r>
        <w:t>recognised</w:t>
      </w:r>
      <w:proofErr w:type="spellEnd"/>
      <w:r>
        <w:t xml:space="preserve"> apprenticeship; </w:t>
      </w:r>
      <w:r w:rsidRPr="008F2E25">
        <w:t>Level 3</w:t>
      </w:r>
      <w:r>
        <w:t xml:space="preserve"> covers advanced secondary qualifications such as two or more A levels or equivalent; and </w:t>
      </w:r>
      <w:r w:rsidRPr="008F2E25">
        <w:t>Level 4 or above</w:t>
      </w:r>
      <w:r>
        <w:t xml:space="preserve"> covers degree-level, higher-degree and professional qualifications. </w:t>
      </w:r>
      <w:proofErr w:type="gramStart"/>
      <w:r w:rsidR="008F2E25">
        <w:t>‘</w:t>
      </w:r>
      <w:r w:rsidRPr="008F2E25">
        <w:t>Other</w:t>
      </w:r>
      <w:r w:rsidR="008F2E25">
        <w:t>’</w:t>
      </w:r>
      <w:r>
        <w:t xml:space="preserve"> includes</w:t>
      </w:r>
      <w:proofErr w:type="gramEnd"/>
      <w:r>
        <w:t xml:space="preserve"> vocational or work-related qualifications and qualifications gained outside the UK whose level was not stated or could not be assigned to the standard hierarchy. These categories are UK-specific equivalence groupings and should not be read as direct international schooling-year equivalents. Detailed mappings are available from the </w:t>
      </w:r>
      <w:hyperlink r:id="rId8">
        <w:r w:rsidR="00062A8D">
          <w:rPr>
            <w:color w:val="0563C1"/>
            <w:u w:val="single"/>
          </w:rPr>
          <w:t>Office for National Statistics (ONS)</w:t>
        </w:r>
      </w:hyperlink>
      <w:r>
        <w:t>.</w:t>
      </w:r>
    </w:p>
    <w:p w14:paraId="1856B20A" w14:textId="77777777" w:rsidR="00062A8D" w:rsidRDefault="00000000">
      <w:pPr>
        <w:pStyle w:val="BodyText"/>
      </w:pPr>
      <w:r>
        <w:lastRenderedPageBreak/>
        <w:t>For the official UK-</w:t>
      </w:r>
      <w:proofErr w:type="spellStart"/>
      <w:r>
        <w:t>harmonised</w:t>
      </w:r>
      <w:proofErr w:type="spellEnd"/>
      <w:r>
        <w:t xml:space="preserve"> 2011 Census highest-level-of-qualification variable—identified as </w:t>
      </w:r>
      <w:r>
        <w:rPr>
          <w:rFonts w:ascii="Courier New" w:hAnsi="Courier New"/>
          <w:sz w:val="19"/>
        </w:rPr>
        <w:t>HLQPUK</w:t>
      </w:r>
      <w:r>
        <w:t xml:space="preserve"> in the </w:t>
      </w:r>
      <w:proofErr w:type="spellStart"/>
      <w:r>
        <w:t>harmonised</w:t>
      </w:r>
      <w:proofErr w:type="spellEnd"/>
      <w:r>
        <w:t xml:space="preserve"> metadata—the statistical universe is people aged 16–74. Its </w:t>
      </w:r>
      <w:r w:rsidRPr="008F2E25">
        <w:t>Not applicable</w:t>
      </w:r>
      <w:r>
        <w:t xml:space="preserve"> category is a structural, out-of-universe code comprising people aged 15 or younger and people aged 75 or older; it does not describe educational attainment. The official UK-</w:t>
      </w:r>
      <w:proofErr w:type="spellStart"/>
      <w:r>
        <w:t>harmonised</w:t>
      </w:r>
      <w:proofErr w:type="spellEnd"/>
      <w:r>
        <w:t xml:space="preserve"> definition is available from </w:t>
      </w:r>
      <w:hyperlink r:id="rId9">
        <w:r w:rsidR="00062A8D">
          <w:rPr>
            <w:color w:val="0563C1"/>
            <w:u w:val="single"/>
          </w:rPr>
          <w:t>Scotland's Census</w:t>
        </w:r>
      </w:hyperlink>
      <w:r>
        <w:t>.</w:t>
      </w:r>
    </w:p>
    <w:p w14:paraId="50F8F89B" w14:textId="77777777" w:rsidR="00062A8D" w:rsidRDefault="00000000">
      <w:pPr>
        <w:pStyle w:val="BodyText"/>
      </w:pPr>
      <w:r>
        <w:t xml:space="preserve">The analytical field used in this study is labelled </w:t>
      </w:r>
      <w:r>
        <w:rPr>
          <w:rFonts w:ascii="Courier New" w:hAnsi="Courier New"/>
          <w:sz w:val="19"/>
        </w:rPr>
        <w:t>HLQPUK11</w:t>
      </w:r>
      <w:r>
        <w:t xml:space="preserve">, but its observed coding does not reproduce that strict 16–74 universe: the cohort contains 183,175 people aged 75 years or older, whereas only 385 records are labelled </w:t>
      </w:r>
      <w:r w:rsidRPr="008F2E25">
        <w:t>Not applicable</w:t>
      </w:r>
      <w:r>
        <w:t xml:space="preserve">, and the England-and-Wales-specific </w:t>
      </w:r>
      <w:r w:rsidRPr="008F2E25">
        <w:t>apprenticeship</w:t>
      </w:r>
      <w:r>
        <w:t xml:space="preserve"> and </w:t>
      </w:r>
      <w:r w:rsidRPr="008F2E25">
        <w:t>other</w:t>
      </w:r>
      <w:r>
        <w:t xml:space="preserve"> categories are retained. The field therefore behaves as a country-specific or recoded England-and-Wales qualification derivation despite its mnemonic. In this analysis, </w:t>
      </w:r>
      <w:proofErr w:type="gramStart"/>
      <w:r w:rsidRPr="008F2E25">
        <w:t>Not</w:t>
      </w:r>
      <w:proofErr w:type="gramEnd"/>
      <w:r w:rsidRPr="008F2E25">
        <w:t xml:space="preserve"> applicable</w:t>
      </w:r>
      <w:r>
        <w:t xml:space="preserve"> is retained as a small administrative/structural category and is not interpreted as an educational level. Any coefficient or stratum estimate involving it should be understood as reflecting the coding status and the characteristics of the people assigned to it, rather than the health effect of a particular level of educational attainment.</w:t>
      </w:r>
    </w:p>
    <w:p w14:paraId="7A663D61" w14:textId="77777777" w:rsidR="00062A8D" w:rsidRDefault="00000000">
      <w:pPr>
        <w:pStyle w:val="BodyText"/>
      </w:pPr>
      <w:r>
        <w:t>This distinction explains why the age restriction can otherwise appear confusing. Standard published England-and-Wales qualification tables classify usual residents aged 16 and over without an upper age limit, so qualification information can be available for people aged 75 or older in country-specific Census outputs even though the official UK-</w:t>
      </w:r>
      <w:proofErr w:type="spellStart"/>
      <w:r>
        <w:t>harmonised</w:t>
      </w:r>
      <w:proofErr w:type="spellEnd"/>
      <w:r>
        <w:t xml:space="preserve"> variable treats that age group as out of universe. See the official </w:t>
      </w:r>
      <w:hyperlink r:id="rId10">
        <w:r w:rsidR="00062A8D">
          <w:rPr>
            <w:color w:val="0563C1"/>
            <w:u w:val="single"/>
          </w:rPr>
          <w:t>Nomis table QS501EW</w:t>
        </w:r>
      </w:hyperlink>
      <w:r>
        <w:t>.</w:t>
      </w:r>
    </w:p>
    <w:p w14:paraId="3F4DA1BB" w14:textId="77777777" w:rsidR="00062A8D" w:rsidRDefault="00000000">
      <w:pPr>
        <w:pStyle w:val="Heading4"/>
      </w:pPr>
      <w:r>
        <w:t>Dwelling tenure (TENDUK11)</w:t>
      </w:r>
    </w:p>
    <w:p w14:paraId="20426791" w14:textId="77777777" w:rsidR="00062A8D" w:rsidRDefault="00000000">
      <w:pPr>
        <w:pStyle w:val="BodyText"/>
      </w:pPr>
      <w:r>
        <w:t>Tenure describes the legal or rental basis on which a household occupies its accommodation, not the physical type or condition of the dwelling</w:t>
      </w:r>
      <w:r w:rsidRPr="008F2E25">
        <w:t>. Owned or shared ownership combines accommodation owned outright, owned with a mortgage or loan, and part-owned/part-rented through a shared-ownership scheme. Social rented includes renting from a local authority, housing association or another registered social landlord. Private rented includes renting from a private landlord or letting agency and other private arrangements, such as renting from an employer, relative or friend. Living rent free identifies</w:t>
      </w:r>
      <w:r>
        <w:t xml:space="preserve"> households occupying accommodation without paying rent and is retained separately here rather than combined with private renting. The ONS 2011 Census tenure definitions and distributions are described in the </w:t>
      </w:r>
      <w:hyperlink r:id="rId11">
        <w:r w:rsidR="00062A8D">
          <w:rPr>
            <w:color w:val="0563C1"/>
            <w:u w:val="single"/>
          </w:rPr>
          <w:t>2011 Census key statistics for England and Wales</w:t>
        </w:r>
      </w:hyperlink>
      <w:r>
        <w:t>.</w:t>
      </w:r>
    </w:p>
    <w:p w14:paraId="2E8BD6FB" w14:textId="77777777" w:rsidR="00062A8D" w:rsidRDefault="00000000">
      <w:pPr>
        <w:pStyle w:val="Heading4"/>
      </w:pPr>
      <w:r>
        <w:t>NS-SEC of household reference person (NSSHUK11)</w:t>
      </w:r>
    </w:p>
    <w:p w14:paraId="45C32297" w14:textId="77777777" w:rsidR="00062A8D" w:rsidRDefault="00000000">
      <w:pPr>
        <w:pStyle w:val="BodyText"/>
      </w:pPr>
      <w:r>
        <w:t xml:space="preserve">The National Statistics Socio-economic Classification (NS-SEC) is an occupational measure of socio-economic position. It is derived from occupation together with employment status, self-employment and supervisory responsibility. The </w:t>
      </w:r>
      <w:r w:rsidRPr="008F2E25">
        <w:t>household reference person (HRP)</w:t>
      </w:r>
      <w:r>
        <w:t xml:space="preserve"> is the individual selected by Census rules to provide a consistent reference point for </w:t>
      </w:r>
      <w:proofErr w:type="spellStart"/>
      <w:r>
        <w:t>characterising</w:t>
      </w:r>
      <w:proofErr w:type="spellEnd"/>
      <w:r>
        <w:t xml:space="preserve"> the household; in a one-person household, that person is the HRP, whereas in multi-person </w:t>
      </w:r>
      <w:proofErr w:type="gramStart"/>
      <w:r>
        <w:t>households</w:t>
      </w:r>
      <w:proofErr w:type="gramEnd"/>
      <w:r>
        <w:t xml:space="preserve"> selection </w:t>
      </w:r>
      <w:proofErr w:type="spellStart"/>
      <w:r>
        <w:t>prioritises</w:t>
      </w:r>
      <w:proofErr w:type="spellEnd"/>
      <w:r>
        <w:t xml:space="preserve"> economic activity and then age. Consequently, </w:t>
      </w:r>
      <w:r w:rsidRPr="008F2E25">
        <w:t>NSSHUK11</w:t>
      </w:r>
      <w:r>
        <w:t xml:space="preserve"> assigns all members of a household the NS-SEC of its HRP and should not be interpreted as each older adult's own current or former occupation.</w:t>
      </w:r>
    </w:p>
    <w:p w14:paraId="6A12D8AA" w14:textId="77777777" w:rsidR="00062A8D" w:rsidRDefault="00000000">
      <w:pPr>
        <w:pStyle w:val="BodyText"/>
      </w:pPr>
      <w:r>
        <w:t xml:space="preserve">The study uses an aggregated classification comprising </w:t>
      </w:r>
      <w:r w:rsidRPr="008F2E25">
        <w:t>higher managerial, administrative and professional occupations</w:t>
      </w:r>
      <w:r>
        <w:t xml:space="preserve">; </w:t>
      </w:r>
      <w:r w:rsidRPr="008F2E25">
        <w:t>intermediate occupations</w:t>
      </w:r>
      <w:r>
        <w:t xml:space="preserve">; </w:t>
      </w:r>
      <w:r w:rsidRPr="008F2E25">
        <w:t>small employers and own-account workers</w:t>
      </w:r>
      <w:r>
        <w:t xml:space="preserve">; </w:t>
      </w:r>
      <w:r w:rsidRPr="008F2E25">
        <w:t>lower supervisory and technical occupations</w:t>
      </w:r>
      <w:r>
        <w:t xml:space="preserve">; </w:t>
      </w:r>
      <w:r w:rsidRPr="008F2E25">
        <w:t>routine and semi-routine occupations</w:t>
      </w:r>
      <w:r>
        <w:t xml:space="preserve">; and </w:t>
      </w:r>
      <w:r w:rsidRPr="008F2E25">
        <w:t>never worked and long-term unemployed</w:t>
      </w:r>
      <w:r>
        <w:t xml:space="preserve">. The category labels denote employment relations and occupational conditions rather than a simple income ranking, and the ordering should therefore not be treated as a perfectly linear social-class scale. Authoritative information is available from </w:t>
      </w:r>
      <w:hyperlink r:id="rId12">
        <w:r w:rsidR="00062A8D">
          <w:rPr>
            <w:color w:val="0563C1"/>
            <w:u w:val="single"/>
          </w:rPr>
          <w:t>Nomis table QS609EW</w:t>
        </w:r>
      </w:hyperlink>
      <w:r>
        <w:t xml:space="preserve">, while the ONS discussion of how the HRP is selected is provided in its </w:t>
      </w:r>
      <w:hyperlink r:id="rId13">
        <w:r w:rsidR="00062A8D">
          <w:rPr>
            <w:color w:val="0563C1"/>
            <w:u w:val="single"/>
          </w:rPr>
          <w:t>2011 Census family and household analysis</w:t>
        </w:r>
      </w:hyperlink>
      <w:r>
        <w:t>.</w:t>
      </w:r>
    </w:p>
    <w:p w14:paraId="700EDB7B" w14:textId="77777777" w:rsidR="00062A8D" w:rsidRDefault="00000000">
      <w:pPr>
        <w:pStyle w:val="Heading4"/>
      </w:pPr>
      <w:r>
        <w:t>Rural–urban classification (RUC11)</w:t>
      </w:r>
    </w:p>
    <w:p w14:paraId="0506E2D7" w14:textId="77777777" w:rsidR="00062A8D" w:rsidRDefault="00000000">
      <w:pPr>
        <w:pStyle w:val="BodyText"/>
      </w:pPr>
      <w:r>
        <w:t xml:space="preserve">The 2011 Rural–Urban Classification is a settlement-based area typology rather than a measure of remoteness, service accessibility or </w:t>
      </w:r>
      <w:proofErr w:type="spellStart"/>
      <w:r>
        <w:t>neighbourhood</w:t>
      </w:r>
      <w:proofErr w:type="spellEnd"/>
      <w:r>
        <w:t xml:space="preserve"> deprivation. At Output Area level, places are classified as urban when they fall within a built-up area containing at least 10,000 people; remaining areas are rural. The standard classification further distinguishes settlement form and whether the wider setting is sparse. For this study, the six small-area categories were collapsed into three settlement-form groups by combining sparse and non-sparse </w:t>
      </w:r>
      <w:r>
        <w:lastRenderedPageBreak/>
        <w:t xml:space="preserve">versions: </w:t>
      </w:r>
      <w:r w:rsidRPr="008F2E25">
        <w:t>urban city and town</w:t>
      </w:r>
      <w:r>
        <w:t xml:space="preserve">, </w:t>
      </w:r>
      <w:r w:rsidRPr="008F2E25">
        <w:t>rural town and fringe</w:t>
      </w:r>
      <w:r>
        <w:t xml:space="preserve">, and </w:t>
      </w:r>
      <w:r w:rsidRPr="008F2E25">
        <w:t>rural village and dispersed</w:t>
      </w:r>
      <w:r>
        <w:t xml:space="preserve">. At LSOA level, classification follows the category applying to the majority of constituent Output Areas. Full methodology and lookup resources are available from the </w:t>
      </w:r>
      <w:hyperlink r:id="rId14">
        <w:r w:rsidR="00062A8D">
          <w:rPr>
            <w:color w:val="0563C1"/>
            <w:u w:val="single"/>
          </w:rPr>
          <w:t>ONS 2011 Rural–Urban Classification</w:t>
        </w:r>
      </w:hyperlink>
      <w:r>
        <w:t>.</w:t>
      </w:r>
    </w:p>
    <w:p w14:paraId="74390DF8" w14:textId="77777777" w:rsidR="00062A8D" w:rsidRDefault="00000000">
      <w:pPr>
        <w:pStyle w:val="BodyText"/>
      </w:pPr>
      <w:r>
        <w:t>Several further qualifications apply across the candidate dimensions. The number of employed adults in the household may capture co-residence with working-age adults, pooled economic resources and household composition, but may also be affected by illness or caring responsibilities. Sex was available only as female/male and cannot represent gender diversity or the full operation of gendered institutions. The cohort was 99.02% White, limiting the precision and scope of contrasts involving broad ethnic categories. WIMD and rural–urban classifications were area attributes attached to individuals; they were not fitted as a separate geographical level in these MAIHDA models.</w:t>
      </w:r>
    </w:p>
    <w:p w14:paraId="4BD9E851" w14:textId="77777777" w:rsidR="00062A8D" w:rsidRDefault="00000000">
      <w:pPr>
        <w:pStyle w:val="Heading2"/>
      </w:pPr>
      <w:r>
        <w:t>S3. VIVI screening and configuration of 15 MAIHDA models</w:t>
      </w:r>
    </w:p>
    <w:p w14:paraId="01B243C5" w14:textId="77777777" w:rsidR="00062A8D" w:rsidRDefault="00000000">
      <w:pPr>
        <w:pStyle w:val="Heading3"/>
      </w:pPr>
      <w:r>
        <w:t>S3.1 Gradient-boosting and VIVI specification</w:t>
      </w:r>
    </w:p>
    <w:p w14:paraId="2EDE95F6" w14:textId="77777777" w:rsidR="00062A8D" w:rsidRDefault="00000000">
      <w:pPr>
        <w:pStyle w:val="FirstParagraph"/>
      </w:pPr>
      <w:r>
        <w:t xml:space="preserve">A gradient-boosting model was fitted with </w:t>
      </w:r>
      <w:proofErr w:type="spellStart"/>
      <w:proofErr w:type="gramStart"/>
      <w:r>
        <w:rPr>
          <w:rStyle w:val="VerbatimChar"/>
        </w:rPr>
        <w:t>gbm</w:t>
      </w:r>
      <w:proofErr w:type="spellEnd"/>
      <w:r>
        <w:rPr>
          <w:rStyle w:val="VerbatimChar"/>
        </w:rPr>
        <w:t>(</w:t>
      </w:r>
      <w:proofErr w:type="gramEnd"/>
      <w:r>
        <w:rPr>
          <w:rStyle w:val="VerbatimChar"/>
        </w:rPr>
        <w:t>)</w:t>
      </w:r>
      <w:r>
        <w:t xml:space="preserve"> using LTC count as the response and all 14 candidate dimensions as predictors. The model used a Poisson loss, </w:t>
      </w:r>
      <w:proofErr w:type="spellStart"/>
      <w:proofErr w:type="gramStart"/>
      <w:r>
        <w:rPr>
          <w:rStyle w:val="VerbatimChar"/>
        </w:rPr>
        <w:t>train.fraction</w:t>
      </w:r>
      <w:proofErr w:type="spellEnd"/>
      <w:proofErr w:type="gramEnd"/>
      <w:r>
        <w:rPr>
          <w:rStyle w:val="VerbatimChar"/>
        </w:rPr>
        <w:t xml:space="preserve"> = 0.8</w:t>
      </w:r>
      <w:r>
        <w:t xml:space="preserve">, fivefold cross-validation and parallel processing on all but one detected core. The analytical specification used 100 trees, </w:t>
      </w:r>
      <w:proofErr w:type="spellStart"/>
      <w:proofErr w:type="gramStart"/>
      <w:r>
        <w:rPr>
          <w:rStyle w:val="VerbatimChar"/>
        </w:rPr>
        <w:t>interaction.depth</w:t>
      </w:r>
      <w:proofErr w:type="spellEnd"/>
      <w:proofErr w:type="gramEnd"/>
      <w:r>
        <w:rPr>
          <w:rStyle w:val="VerbatimChar"/>
        </w:rPr>
        <w:t xml:space="preserve"> = 5</w:t>
      </w:r>
      <w:r>
        <w:t>, minimum terminal-node size 10, learning rate 0.1 and bag fraction 0.5, with model data retained and verbose output disabled. An interaction depth of five allowed each tree to represent interaction structures involving up to five predictors, consistent with the five-way configurations subsequently examined. The first 80% of rows were used for model fitting and the remaining rows for the package's out-of-sample loss calculation. Fivefold cross-validation error was generated within the fitted object as the predictive-performance statistic; it informed assessment of the learner but was not used as a variable-inclusion threshold.</w:t>
      </w:r>
    </w:p>
    <w:p w14:paraId="2C2BDD74" w14:textId="77777777" w:rsidR="00062A8D" w:rsidRDefault="00000000">
      <w:pPr>
        <w:pStyle w:val="BodyText"/>
      </w:pPr>
      <w:r>
        <w:t xml:space="preserve">The fitted model was passed to </w:t>
      </w:r>
      <w:proofErr w:type="gramStart"/>
      <w:r>
        <w:rPr>
          <w:rStyle w:val="VerbatimChar"/>
        </w:rPr>
        <w:t>vivid::</w:t>
      </w:r>
      <w:proofErr w:type="spellStart"/>
      <w:r>
        <w:rPr>
          <w:rStyle w:val="VerbatimChar"/>
        </w:rPr>
        <w:t>vivi</w:t>
      </w:r>
      <w:proofErr w:type="spellEnd"/>
      <w:r>
        <w:rPr>
          <w:rStyle w:val="VerbatimChar"/>
        </w:rPr>
        <w:t>(</w:t>
      </w:r>
      <w:proofErr w:type="gramEnd"/>
      <w:r>
        <w:rPr>
          <w:rStyle w:val="VerbatimChar"/>
        </w:rPr>
        <w:t>)</w:t>
      </w:r>
      <w:r>
        <w:t xml:space="preserve"> with the complete analytical cohort and </w:t>
      </w:r>
      <w:proofErr w:type="spellStart"/>
      <w:r>
        <w:rPr>
          <w:rStyle w:val="VerbatimChar"/>
        </w:rPr>
        <w:t>ltc_all_count</w:t>
      </w:r>
      <w:proofErr w:type="spellEnd"/>
      <w:r>
        <w:t xml:space="preserve"> identified as the response. The specification used model-agnostic permutation importance with four permutations, Friedman's </w:t>
      </w:r>
      <w:proofErr w:type="spellStart"/>
      <w:r>
        <w:t>unnormalised</w:t>
      </w:r>
      <w:proofErr w:type="spellEnd"/>
      <w:r>
        <w:t xml:space="preserve"> pairwise H-statistic, a maximum sample of 500 observations for partial-dependence calculations, a grid size of 50 and matrix reordering enabled. Seed 2211 was set immediately before VIVI computation. Variable importance quantified the increase in prediction error after a predictor was permuted, whereas the H-statistic quantified the extent to which the joint partial-dependence function for a variable pair departed from the sum of its marginal functions. The VIVI network retained all variables and displayed interaction edges with values of at least 0.001.</w:t>
      </w:r>
    </w:p>
    <w:p w14:paraId="29DB88E1" w14:textId="77777777" w:rsidR="00062A8D" w:rsidRDefault="00000000">
      <w:pPr>
        <w:pStyle w:val="BodyText"/>
      </w:pPr>
      <w:bookmarkStart w:id="9" w:name="X9c7fa43378b8db02b241d29d08b70d8808c55b9"/>
      <w:r>
        <w:t xml:space="preserve">The resulting matrix was used comparatively: diagonal values informed the ordering of relative variable importance and off-diagonal values represented pairwise interaction strength. Because the learner permitted interactions up to depth five, both components were used to </w:t>
      </w:r>
      <w:proofErr w:type="spellStart"/>
      <w:r>
        <w:t>organise</w:t>
      </w:r>
      <w:proofErr w:type="spellEnd"/>
      <w:r>
        <w:t xml:space="preserve"> the high-, low- and mixed-VIVI configurations. The VIVI screen remained subordinate to substantive reasoning; it did not determine whether any candidate dimension was theoretically meaningful.</w:t>
      </w:r>
      <w:bookmarkEnd w:id="9"/>
    </w:p>
    <w:p w14:paraId="661EDC21" w14:textId="77777777" w:rsidR="00062A8D" w:rsidRDefault="00000000">
      <w:pPr>
        <w:pStyle w:val="Heading3"/>
      </w:pPr>
      <w:r>
        <w:t>S3.2 Configuration strategy</w:t>
      </w:r>
    </w:p>
    <w:p w14:paraId="48EFC743" w14:textId="2E9DE572" w:rsidR="00062A8D" w:rsidRDefault="00000000" w:rsidP="008F2E25">
      <w:pPr>
        <w:pStyle w:val="FirstParagraph"/>
        <w:spacing w:after="0"/>
      </w:pPr>
      <w:r>
        <w:t>Three families of five-dimensional intersections were constructed while holding the number of dimensions constant</w:t>
      </w:r>
      <w:r w:rsidR="00884A5A">
        <w:t xml:space="preserve"> (Table S3)</w:t>
      </w:r>
      <w:r>
        <w:t>:</w:t>
      </w:r>
    </w:p>
    <w:p w14:paraId="31BC370C" w14:textId="28DCE252" w:rsidR="00062A8D" w:rsidRDefault="00000000">
      <w:pPr>
        <w:pStyle w:val="Compact"/>
        <w:numPr>
          <w:ilvl w:val="0"/>
          <w:numId w:val="3"/>
        </w:numPr>
      </w:pPr>
      <w:r>
        <w:rPr>
          <w:b/>
          <w:bCs/>
        </w:rPr>
        <w:t>High</w:t>
      </w:r>
      <w:r w:rsidR="008509AE">
        <w:rPr>
          <w:b/>
          <w:bCs/>
        </w:rPr>
        <w:t xml:space="preserve"> </w:t>
      </w:r>
      <w:r>
        <w:rPr>
          <w:b/>
          <w:bCs/>
        </w:rPr>
        <w:t>VIVI configurations:</w:t>
      </w:r>
      <w:r>
        <w:t xml:space="preserve"> five models progressively combining dimensions from the upper end of the VIVI ordering.</w:t>
      </w:r>
    </w:p>
    <w:p w14:paraId="1C989BCE" w14:textId="706A8D14" w:rsidR="00062A8D" w:rsidRDefault="00000000">
      <w:pPr>
        <w:pStyle w:val="Compact"/>
        <w:numPr>
          <w:ilvl w:val="0"/>
          <w:numId w:val="3"/>
        </w:numPr>
      </w:pPr>
      <w:r>
        <w:rPr>
          <w:b/>
          <w:bCs/>
        </w:rPr>
        <w:t>Low</w:t>
      </w:r>
      <w:r w:rsidR="008509AE">
        <w:rPr>
          <w:b/>
          <w:bCs/>
        </w:rPr>
        <w:t xml:space="preserve"> </w:t>
      </w:r>
      <w:r>
        <w:rPr>
          <w:b/>
          <w:bCs/>
        </w:rPr>
        <w:t>VIVI configurations:</w:t>
      </w:r>
      <w:r>
        <w:t xml:space="preserve"> five models progressively combining dimensions from the lower end.</w:t>
      </w:r>
    </w:p>
    <w:p w14:paraId="259DFC83" w14:textId="77777777" w:rsidR="00062A8D" w:rsidRDefault="00000000">
      <w:pPr>
        <w:pStyle w:val="Compact"/>
        <w:numPr>
          <w:ilvl w:val="0"/>
          <w:numId w:val="3"/>
        </w:numPr>
      </w:pPr>
      <w:r>
        <w:rPr>
          <w:b/>
          <w:bCs/>
        </w:rPr>
        <w:t>Mixed configurations:</w:t>
      </w:r>
      <w:r>
        <w:t xml:space="preserve"> five manually specified models combining higher- and lower-ranked dimensions on substantive grounds.</w:t>
      </w:r>
    </w:p>
    <w:p w14:paraId="38ECFCCA" w14:textId="77777777" w:rsidR="00062A8D" w:rsidRDefault="00000000">
      <w:pPr>
        <w:pStyle w:val="FirstParagraph"/>
      </w:pPr>
      <w:bookmarkStart w:id="10" w:name="s32-configuration-strategy"/>
      <w:r>
        <w:t>The mixed family served two purposes. It prevented empirical rank from becoming the sole basis of model construction, and it ensured that area context was examined despite lower relative importance. WIMD was retained in mixed Models 4, 9 and 11, while rural–urban classification was retained in mixed Models 2, 5 and 11. Every observed combination of categories across the selected five dimensions defined an intersectional stratum.</w:t>
      </w:r>
      <w:bookmarkEnd w:id="10"/>
    </w:p>
    <w:p w14:paraId="75532855" w14:textId="77777777" w:rsidR="0046158D" w:rsidRPr="00B16A4C" w:rsidRDefault="00000000" w:rsidP="00CA56D1">
      <w:pPr>
        <w:pStyle w:val="Heading3"/>
      </w:pPr>
      <w:bookmarkStart w:id="11" w:name="Xb37bdf85d6a4cceae04c7f71a3753bafb761fce"/>
      <w:r>
        <w:lastRenderedPageBreak/>
        <w:t xml:space="preserve">Table S3. </w:t>
      </w:r>
      <w:bookmarkEnd w:id="8"/>
      <w:bookmarkEnd w:id="11"/>
      <w:r w:rsidR="0046158D" w:rsidRPr="00B16A4C">
        <w:t>Fifteen VIVI-informed null MAIHDA configurations, ranked by discriminatory accuracy</w:t>
      </w:r>
    </w:p>
    <w:tbl>
      <w:tblPr>
        <w:tblStyle w:val="Table"/>
        <w:tblW w:w="9072" w:type="dxa"/>
        <w:jc w:val="center"/>
        <w:tblLook w:val="0020" w:firstRow="1" w:lastRow="0" w:firstColumn="0" w:lastColumn="0" w:noHBand="0" w:noVBand="0"/>
      </w:tblPr>
      <w:tblGrid>
        <w:gridCol w:w="623"/>
        <w:gridCol w:w="1072"/>
        <w:gridCol w:w="1031"/>
        <w:gridCol w:w="790"/>
        <w:gridCol w:w="974"/>
        <w:gridCol w:w="4582"/>
      </w:tblGrid>
      <w:tr w:rsidR="0046158D" w:rsidRPr="00B16A4C" w14:paraId="119E828F" w14:textId="77777777" w:rsidTr="00B73F65">
        <w:trPr>
          <w:cnfStyle w:val="100000000000" w:firstRow="1" w:lastRow="0" w:firstColumn="0" w:lastColumn="0" w:oddVBand="0" w:evenVBand="0" w:oddHBand="0" w:evenHBand="0" w:firstRowFirstColumn="0" w:firstRowLastColumn="0" w:lastRowFirstColumn="0" w:lastRowLastColumn="0"/>
          <w:cantSplit/>
          <w:tblHeader/>
          <w:jc w:val="center"/>
        </w:trPr>
        <w:tc>
          <w:tcPr>
            <w:tcW w:w="547" w:type="dxa"/>
            <w:shd w:val="clear" w:color="auto" w:fill="D9EAF7"/>
            <w:tcMar>
              <w:top w:w="80" w:type="dxa"/>
              <w:left w:w="80" w:type="dxa"/>
              <w:bottom w:w="80" w:type="dxa"/>
              <w:right w:w="80" w:type="dxa"/>
            </w:tcMar>
            <w:vAlign w:val="center"/>
          </w:tcPr>
          <w:p w14:paraId="123F3B6C" w14:textId="2478445B" w:rsidR="0046158D" w:rsidRPr="00B16A4C" w:rsidRDefault="0046158D" w:rsidP="00B73F65">
            <w:pPr>
              <w:pStyle w:val="Compact"/>
              <w:widowControl w:val="0"/>
              <w:spacing w:before="0" w:after="0" w:line="240" w:lineRule="auto"/>
              <w:jc w:val="right"/>
            </w:pPr>
            <w:r>
              <w:rPr>
                <w:b/>
                <w:sz w:val="17"/>
              </w:rPr>
              <w:t>Model</w:t>
            </w:r>
          </w:p>
        </w:tc>
        <w:tc>
          <w:tcPr>
            <w:tcW w:w="1080" w:type="dxa"/>
            <w:shd w:val="clear" w:color="auto" w:fill="D9EAF7"/>
            <w:tcMar>
              <w:top w:w="80" w:type="dxa"/>
              <w:left w:w="80" w:type="dxa"/>
              <w:bottom w:w="80" w:type="dxa"/>
              <w:right w:w="80" w:type="dxa"/>
            </w:tcMar>
            <w:vAlign w:val="center"/>
          </w:tcPr>
          <w:p w14:paraId="1ED75010" w14:textId="77777777" w:rsidR="0046158D" w:rsidRPr="00B16A4C" w:rsidRDefault="0046158D" w:rsidP="00B73F65">
            <w:pPr>
              <w:pStyle w:val="Compact"/>
              <w:widowControl w:val="0"/>
              <w:spacing w:before="0" w:after="0" w:line="240" w:lineRule="auto"/>
            </w:pPr>
            <w:r w:rsidRPr="00B16A4C">
              <w:rPr>
                <w:b/>
                <w:sz w:val="17"/>
              </w:rPr>
              <w:t>Analytical label</w:t>
            </w:r>
          </w:p>
        </w:tc>
        <w:tc>
          <w:tcPr>
            <w:tcW w:w="1037" w:type="dxa"/>
            <w:shd w:val="clear" w:color="auto" w:fill="D9EAF7"/>
            <w:tcMar>
              <w:top w:w="80" w:type="dxa"/>
              <w:left w:w="80" w:type="dxa"/>
              <w:bottom w:w="80" w:type="dxa"/>
              <w:right w:w="80" w:type="dxa"/>
            </w:tcMar>
            <w:vAlign w:val="center"/>
          </w:tcPr>
          <w:p w14:paraId="452747A2" w14:textId="7F8EDE60" w:rsidR="0046158D" w:rsidRPr="00B16A4C" w:rsidRDefault="0046158D" w:rsidP="00B73F65">
            <w:pPr>
              <w:pStyle w:val="Compact"/>
              <w:widowControl w:val="0"/>
              <w:spacing w:before="0" w:after="0" w:line="240" w:lineRule="auto"/>
            </w:pPr>
            <w:r w:rsidRPr="00B16A4C">
              <w:rPr>
                <w:b/>
                <w:sz w:val="17"/>
              </w:rPr>
              <w:t>Configu</w:t>
            </w:r>
            <w:r w:rsidR="00F64BA9">
              <w:rPr>
                <w:b/>
                <w:sz w:val="17"/>
              </w:rPr>
              <w:t>ra</w:t>
            </w:r>
            <w:r w:rsidRPr="00B16A4C">
              <w:rPr>
                <w:b/>
                <w:sz w:val="17"/>
              </w:rPr>
              <w:t>tion class</w:t>
            </w:r>
          </w:p>
        </w:tc>
        <w:tc>
          <w:tcPr>
            <w:tcW w:w="792" w:type="dxa"/>
            <w:shd w:val="clear" w:color="auto" w:fill="D9EAF7"/>
            <w:tcMar>
              <w:top w:w="80" w:type="dxa"/>
              <w:left w:w="80" w:type="dxa"/>
              <w:bottom w:w="80" w:type="dxa"/>
              <w:right w:w="80" w:type="dxa"/>
            </w:tcMar>
            <w:vAlign w:val="center"/>
          </w:tcPr>
          <w:p w14:paraId="0EF3F92E" w14:textId="457410B5" w:rsidR="0046158D" w:rsidRPr="00B16A4C" w:rsidRDefault="0046158D" w:rsidP="00B73F65">
            <w:pPr>
              <w:pStyle w:val="Compact"/>
              <w:widowControl w:val="0"/>
              <w:spacing w:before="0" w:after="0" w:line="240" w:lineRule="auto"/>
              <w:jc w:val="right"/>
            </w:pPr>
            <w:r w:rsidRPr="00B16A4C">
              <w:rPr>
                <w:b/>
                <w:sz w:val="17"/>
              </w:rPr>
              <w:t>Null</w:t>
            </w:r>
            <w:r w:rsidR="00F64BA9">
              <w:rPr>
                <w:b/>
                <w:sz w:val="17"/>
              </w:rPr>
              <w:t xml:space="preserve"> </w:t>
            </w:r>
            <w:r w:rsidRPr="00B16A4C">
              <w:rPr>
                <w:b/>
                <w:sz w:val="17"/>
              </w:rPr>
              <w:t>model DA*</w:t>
            </w:r>
          </w:p>
        </w:tc>
        <w:tc>
          <w:tcPr>
            <w:tcW w:w="979" w:type="dxa"/>
            <w:shd w:val="clear" w:color="auto" w:fill="D9EAF7"/>
            <w:tcMar>
              <w:top w:w="80" w:type="dxa"/>
              <w:left w:w="80" w:type="dxa"/>
              <w:bottom w:w="80" w:type="dxa"/>
              <w:right w:w="80" w:type="dxa"/>
            </w:tcMar>
            <w:vAlign w:val="center"/>
          </w:tcPr>
          <w:p w14:paraId="40AB1FB2" w14:textId="10DA2F05" w:rsidR="0046158D" w:rsidRPr="00B16A4C" w:rsidRDefault="0046158D" w:rsidP="00B73F65">
            <w:pPr>
              <w:pStyle w:val="Compact"/>
              <w:widowControl w:val="0"/>
              <w:spacing w:before="0" w:after="0" w:line="240" w:lineRule="auto"/>
              <w:jc w:val="right"/>
            </w:pPr>
            <w:r w:rsidRPr="00B16A4C">
              <w:rPr>
                <w:b/>
                <w:sz w:val="17"/>
              </w:rPr>
              <w:t>Null</w:t>
            </w:r>
            <w:r w:rsidR="00F64BA9">
              <w:rPr>
                <w:b/>
                <w:sz w:val="17"/>
              </w:rPr>
              <w:t xml:space="preserve"> </w:t>
            </w:r>
            <w:r w:rsidRPr="00B16A4C">
              <w:rPr>
                <w:b/>
                <w:sz w:val="17"/>
              </w:rPr>
              <w:t>model Variance (τ₀₀)</w:t>
            </w:r>
          </w:p>
        </w:tc>
        <w:tc>
          <w:tcPr>
            <w:tcW w:w="4637" w:type="dxa"/>
            <w:shd w:val="clear" w:color="auto" w:fill="D9EAF7"/>
            <w:tcMar>
              <w:top w:w="80" w:type="dxa"/>
              <w:left w:w="80" w:type="dxa"/>
              <w:bottom w:w="80" w:type="dxa"/>
              <w:right w:w="80" w:type="dxa"/>
            </w:tcMar>
            <w:vAlign w:val="center"/>
          </w:tcPr>
          <w:p w14:paraId="7FEBBC2A" w14:textId="581EF15B" w:rsidR="0046158D" w:rsidRPr="00B16A4C" w:rsidRDefault="0046158D" w:rsidP="00B73F65">
            <w:pPr>
              <w:pStyle w:val="Compact"/>
              <w:widowControl w:val="0"/>
              <w:spacing w:before="0" w:after="0" w:line="240" w:lineRule="auto"/>
            </w:pPr>
            <w:r w:rsidRPr="00B16A4C">
              <w:rPr>
                <w:b/>
                <w:sz w:val="17"/>
              </w:rPr>
              <w:t xml:space="preserve">Five stratum-defining </w:t>
            </w:r>
            <w:r w:rsidR="00664076">
              <w:rPr>
                <w:b/>
                <w:sz w:val="17"/>
              </w:rPr>
              <w:t>factor</w:t>
            </w:r>
            <w:r w:rsidRPr="00B16A4C">
              <w:rPr>
                <w:b/>
                <w:sz w:val="17"/>
              </w:rPr>
              <w:t>s</w:t>
            </w:r>
          </w:p>
        </w:tc>
      </w:tr>
      <w:tr w:rsidR="0046158D" w:rsidRPr="00B16A4C" w14:paraId="0F9A8E8B" w14:textId="77777777" w:rsidTr="00B73F65">
        <w:trPr>
          <w:cantSplit/>
          <w:jc w:val="center"/>
        </w:trPr>
        <w:tc>
          <w:tcPr>
            <w:tcW w:w="547" w:type="dxa"/>
            <w:tcMar>
              <w:top w:w="80" w:type="dxa"/>
              <w:left w:w="80" w:type="dxa"/>
              <w:bottom w:w="80" w:type="dxa"/>
              <w:right w:w="80" w:type="dxa"/>
            </w:tcMar>
            <w:vAlign w:val="center"/>
          </w:tcPr>
          <w:p w14:paraId="09035FA0" w14:textId="77777777" w:rsidR="0046158D" w:rsidRPr="00B16A4C" w:rsidRDefault="0046158D" w:rsidP="00B73F65">
            <w:pPr>
              <w:pStyle w:val="Compact"/>
              <w:widowControl w:val="0"/>
              <w:spacing w:before="0" w:after="0" w:line="240" w:lineRule="auto"/>
              <w:jc w:val="right"/>
            </w:pPr>
            <w:r w:rsidRPr="00B16A4C">
              <w:rPr>
                <w:sz w:val="17"/>
                <w:szCs w:val="17"/>
              </w:rPr>
              <w:t>1</w:t>
            </w:r>
          </w:p>
        </w:tc>
        <w:tc>
          <w:tcPr>
            <w:tcW w:w="1080" w:type="dxa"/>
            <w:tcMar>
              <w:top w:w="80" w:type="dxa"/>
              <w:left w:w="80" w:type="dxa"/>
              <w:bottom w:w="80" w:type="dxa"/>
              <w:right w:w="80" w:type="dxa"/>
            </w:tcMar>
            <w:vAlign w:val="center"/>
          </w:tcPr>
          <w:p w14:paraId="61782F07" w14:textId="77777777" w:rsidR="0046158D" w:rsidRPr="00B16A4C" w:rsidRDefault="0046158D" w:rsidP="00B73F65">
            <w:pPr>
              <w:pStyle w:val="Compact"/>
              <w:widowControl w:val="0"/>
              <w:spacing w:before="0" w:after="0" w:line="240" w:lineRule="auto"/>
            </w:pPr>
            <w:r w:rsidRPr="00B16A4C">
              <w:rPr>
                <w:sz w:val="17"/>
              </w:rPr>
              <w:t>Max VIVI 1</w:t>
            </w:r>
          </w:p>
        </w:tc>
        <w:tc>
          <w:tcPr>
            <w:tcW w:w="1037" w:type="dxa"/>
            <w:tcMar>
              <w:top w:w="80" w:type="dxa"/>
              <w:left w:w="80" w:type="dxa"/>
              <w:bottom w:w="80" w:type="dxa"/>
              <w:right w:w="80" w:type="dxa"/>
            </w:tcMar>
            <w:vAlign w:val="center"/>
          </w:tcPr>
          <w:p w14:paraId="5AB0F855" w14:textId="26CD439C" w:rsidR="0046158D" w:rsidRPr="00B16A4C" w:rsidRDefault="0046158D" w:rsidP="00B73F65">
            <w:pPr>
              <w:pStyle w:val="Compact"/>
              <w:widowControl w:val="0"/>
              <w:spacing w:before="0" w:after="0" w:line="240" w:lineRule="auto"/>
            </w:pPr>
            <w:r w:rsidRPr="00B16A4C">
              <w:rPr>
                <w:sz w:val="17"/>
              </w:rPr>
              <w:t>High</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5233B815" w14:textId="77777777" w:rsidR="0046158D" w:rsidRPr="00B16A4C" w:rsidRDefault="0046158D" w:rsidP="00B73F65">
            <w:pPr>
              <w:pStyle w:val="Compact"/>
              <w:widowControl w:val="0"/>
              <w:spacing w:before="0" w:after="0" w:line="240" w:lineRule="auto"/>
              <w:jc w:val="right"/>
            </w:pPr>
            <w:r w:rsidRPr="00B16A4C">
              <w:rPr>
                <w:sz w:val="17"/>
              </w:rPr>
              <w:t>12.40%</w:t>
            </w:r>
          </w:p>
        </w:tc>
        <w:tc>
          <w:tcPr>
            <w:tcW w:w="979" w:type="dxa"/>
            <w:tcMar>
              <w:top w:w="80" w:type="dxa"/>
              <w:left w:w="80" w:type="dxa"/>
              <w:bottom w:w="80" w:type="dxa"/>
              <w:right w:w="80" w:type="dxa"/>
            </w:tcMar>
            <w:vAlign w:val="center"/>
          </w:tcPr>
          <w:p w14:paraId="2529EA5A" w14:textId="77777777" w:rsidR="0046158D" w:rsidRPr="00B16A4C" w:rsidRDefault="0046158D" w:rsidP="00B73F65">
            <w:pPr>
              <w:pStyle w:val="Compact"/>
              <w:widowControl w:val="0"/>
              <w:spacing w:before="0" w:after="0" w:line="240" w:lineRule="auto"/>
              <w:jc w:val="right"/>
            </w:pPr>
            <w:r w:rsidRPr="00B16A4C">
              <w:rPr>
                <w:sz w:val="17"/>
              </w:rPr>
              <w:t>0.1431</w:t>
            </w:r>
          </w:p>
        </w:tc>
        <w:tc>
          <w:tcPr>
            <w:tcW w:w="4637" w:type="dxa"/>
            <w:tcMar>
              <w:top w:w="80" w:type="dxa"/>
              <w:left w:w="80" w:type="dxa"/>
              <w:bottom w:w="80" w:type="dxa"/>
              <w:right w:w="80" w:type="dxa"/>
            </w:tcMar>
            <w:vAlign w:val="center"/>
          </w:tcPr>
          <w:p w14:paraId="541047AD" w14:textId="77777777" w:rsidR="0046158D" w:rsidRPr="00B16A4C" w:rsidRDefault="0046158D" w:rsidP="00B73F65">
            <w:pPr>
              <w:pStyle w:val="Compact"/>
              <w:widowControl w:val="0"/>
              <w:spacing w:before="0" w:after="0" w:line="240" w:lineRule="auto"/>
              <w:rPr>
                <w:sz w:val="17"/>
                <w:szCs w:val="17"/>
              </w:rPr>
            </w:pPr>
            <w:r w:rsidRPr="00B16A4C">
              <w:rPr>
                <w:sz w:val="17"/>
                <w:szCs w:val="17"/>
              </w:rPr>
              <w:t>Age group; Highest qualification; Dwelling tenure; Cars/vans in household; Employed adults in household</w:t>
            </w:r>
          </w:p>
        </w:tc>
      </w:tr>
      <w:tr w:rsidR="0046158D" w:rsidRPr="00B16A4C" w14:paraId="0C011214" w14:textId="77777777" w:rsidTr="00B73F65">
        <w:trPr>
          <w:cantSplit/>
          <w:jc w:val="center"/>
        </w:trPr>
        <w:tc>
          <w:tcPr>
            <w:tcW w:w="547" w:type="dxa"/>
            <w:tcMar>
              <w:top w:w="80" w:type="dxa"/>
              <w:left w:w="80" w:type="dxa"/>
              <w:bottom w:w="80" w:type="dxa"/>
              <w:right w:w="80" w:type="dxa"/>
            </w:tcMar>
            <w:vAlign w:val="center"/>
          </w:tcPr>
          <w:p w14:paraId="375B240B" w14:textId="77777777" w:rsidR="0046158D" w:rsidRPr="00B16A4C" w:rsidRDefault="0046158D" w:rsidP="00B73F65">
            <w:pPr>
              <w:pStyle w:val="Compact"/>
              <w:widowControl w:val="0"/>
              <w:spacing w:before="0" w:after="0" w:line="240" w:lineRule="auto"/>
              <w:jc w:val="right"/>
            </w:pPr>
            <w:r w:rsidRPr="00B16A4C">
              <w:rPr>
                <w:sz w:val="17"/>
              </w:rPr>
              <w:t>2</w:t>
            </w:r>
          </w:p>
        </w:tc>
        <w:tc>
          <w:tcPr>
            <w:tcW w:w="1080" w:type="dxa"/>
            <w:tcMar>
              <w:top w:w="80" w:type="dxa"/>
              <w:left w:w="80" w:type="dxa"/>
              <w:bottom w:w="80" w:type="dxa"/>
              <w:right w:w="80" w:type="dxa"/>
            </w:tcMar>
            <w:vAlign w:val="center"/>
          </w:tcPr>
          <w:p w14:paraId="3E8280A7" w14:textId="77777777" w:rsidR="0046158D" w:rsidRPr="00B16A4C" w:rsidRDefault="0046158D" w:rsidP="00B73F65">
            <w:pPr>
              <w:pStyle w:val="Compact"/>
              <w:widowControl w:val="0"/>
              <w:spacing w:before="0" w:after="0" w:line="240" w:lineRule="auto"/>
            </w:pPr>
            <w:proofErr w:type="spellStart"/>
            <w:r w:rsidRPr="00B16A4C">
              <w:rPr>
                <w:sz w:val="17"/>
                <w:szCs w:val="17"/>
              </w:rPr>
              <w:t>mnl</w:t>
            </w:r>
            <w:proofErr w:type="spellEnd"/>
            <w:r w:rsidRPr="00B16A4C">
              <w:rPr>
                <w:sz w:val="17"/>
                <w:szCs w:val="17"/>
              </w:rPr>
              <w:t xml:space="preserve"> </w:t>
            </w:r>
            <w:proofErr w:type="spellStart"/>
            <w:r w:rsidRPr="00B16A4C">
              <w:rPr>
                <w:sz w:val="17"/>
                <w:szCs w:val="17"/>
              </w:rPr>
              <w:t>strta</w:t>
            </w:r>
            <w:proofErr w:type="spellEnd"/>
            <w:r w:rsidRPr="00B16A4C">
              <w:rPr>
                <w:sz w:val="17"/>
                <w:szCs w:val="17"/>
              </w:rPr>
              <w:t xml:space="preserve"> 3</w:t>
            </w:r>
          </w:p>
        </w:tc>
        <w:tc>
          <w:tcPr>
            <w:tcW w:w="1037" w:type="dxa"/>
            <w:tcMar>
              <w:top w:w="80" w:type="dxa"/>
              <w:left w:w="80" w:type="dxa"/>
              <w:bottom w:w="80" w:type="dxa"/>
              <w:right w:w="80" w:type="dxa"/>
            </w:tcMar>
            <w:vAlign w:val="center"/>
          </w:tcPr>
          <w:p w14:paraId="2F8E6B86" w14:textId="540ADCD8" w:rsidR="0046158D" w:rsidRPr="00B16A4C" w:rsidRDefault="0046158D" w:rsidP="00B73F65">
            <w:pPr>
              <w:pStyle w:val="Compact"/>
              <w:widowControl w:val="0"/>
              <w:spacing w:before="0" w:after="0" w:line="240" w:lineRule="auto"/>
            </w:pPr>
            <w:r w:rsidRPr="00B16A4C">
              <w:rPr>
                <w:sz w:val="17"/>
              </w:rPr>
              <w:t>Mixed</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05BFB9E4" w14:textId="77777777" w:rsidR="0046158D" w:rsidRPr="00B16A4C" w:rsidRDefault="0046158D" w:rsidP="00B73F65">
            <w:pPr>
              <w:pStyle w:val="Compact"/>
              <w:widowControl w:val="0"/>
              <w:spacing w:before="0" w:after="0" w:line="240" w:lineRule="auto"/>
              <w:jc w:val="right"/>
            </w:pPr>
            <w:r w:rsidRPr="00B16A4C">
              <w:rPr>
                <w:sz w:val="17"/>
              </w:rPr>
              <w:t>9.78%</w:t>
            </w:r>
          </w:p>
        </w:tc>
        <w:tc>
          <w:tcPr>
            <w:tcW w:w="979" w:type="dxa"/>
            <w:tcMar>
              <w:top w:w="80" w:type="dxa"/>
              <w:left w:w="80" w:type="dxa"/>
              <w:bottom w:w="80" w:type="dxa"/>
              <w:right w:w="80" w:type="dxa"/>
            </w:tcMar>
            <w:vAlign w:val="center"/>
          </w:tcPr>
          <w:p w14:paraId="274B1AE0" w14:textId="77777777" w:rsidR="0046158D" w:rsidRPr="00B16A4C" w:rsidRDefault="0046158D" w:rsidP="00B73F65">
            <w:pPr>
              <w:pStyle w:val="Compact"/>
              <w:widowControl w:val="0"/>
              <w:spacing w:before="0" w:after="0" w:line="240" w:lineRule="auto"/>
              <w:jc w:val="right"/>
            </w:pPr>
            <w:r w:rsidRPr="00B16A4C">
              <w:rPr>
                <w:sz w:val="17"/>
              </w:rPr>
              <w:t>0.1020</w:t>
            </w:r>
          </w:p>
        </w:tc>
        <w:tc>
          <w:tcPr>
            <w:tcW w:w="4637" w:type="dxa"/>
            <w:tcMar>
              <w:top w:w="80" w:type="dxa"/>
              <w:left w:w="80" w:type="dxa"/>
              <w:bottom w:w="80" w:type="dxa"/>
              <w:right w:w="80" w:type="dxa"/>
            </w:tcMar>
            <w:vAlign w:val="center"/>
          </w:tcPr>
          <w:p w14:paraId="0752BBF3" w14:textId="77777777" w:rsidR="0046158D" w:rsidRPr="00B16A4C" w:rsidRDefault="0046158D" w:rsidP="00B73F65">
            <w:pPr>
              <w:pStyle w:val="Compact"/>
              <w:widowControl w:val="0"/>
              <w:spacing w:before="0" w:after="0" w:line="240" w:lineRule="auto"/>
            </w:pPr>
            <w:r w:rsidRPr="00B16A4C">
              <w:rPr>
                <w:sz w:val="17"/>
              </w:rPr>
              <w:t>Highest qualification; Cars/vans in household; Dwelling tenure; Ethnic group; Rural–urban classification</w:t>
            </w:r>
          </w:p>
        </w:tc>
      </w:tr>
      <w:tr w:rsidR="0046158D" w:rsidRPr="00B16A4C" w14:paraId="43CEBDC8" w14:textId="77777777" w:rsidTr="00B73F65">
        <w:trPr>
          <w:cantSplit/>
          <w:jc w:val="center"/>
        </w:trPr>
        <w:tc>
          <w:tcPr>
            <w:tcW w:w="547" w:type="dxa"/>
            <w:tcMar>
              <w:top w:w="80" w:type="dxa"/>
              <w:left w:w="80" w:type="dxa"/>
              <w:bottom w:w="80" w:type="dxa"/>
              <w:right w:w="80" w:type="dxa"/>
            </w:tcMar>
            <w:vAlign w:val="center"/>
          </w:tcPr>
          <w:p w14:paraId="201F309B" w14:textId="77777777" w:rsidR="0046158D" w:rsidRPr="00B16A4C" w:rsidRDefault="0046158D" w:rsidP="00B73F65">
            <w:pPr>
              <w:pStyle w:val="Compact"/>
              <w:widowControl w:val="0"/>
              <w:spacing w:before="0" w:after="0" w:line="240" w:lineRule="auto"/>
              <w:jc w:val="right"/>
            </w:pPr>
            <w:r w:rsidRPr="00B16A4C">
              <w:rPr>
                <w:sz w:val="17"/>
              </w:rPr>
              <w:t>3</w:t>
            </w:r>
          </w:p>
        </w:tc>
        <w:tc>
          <w:tcPr>
            <w:tcW w:w="1080" w:type="dxa"/>
            <w:tcMar>
              <w:top w:w="80" w:type="dxa"/>
              <w:left w:w="80" w:type="dxa"/>
              <w:bottom w:w="80" w:type="dxa"/>
              <w:right w:w="80" w:type="dxa"/>
            </w:tcMar>
            <w:vAlign w:val="center"/>
          </w:tcPr>
          <w:p w14:paraId="67986BA5" w14:textId="77777777" w:rsidR="0046158D" w:rsidRPr="00B16A4C" w:rsidRDefault="0046158D" w:rsidP="00B73F65">
            <w:pPr>
              <w:pStyle w:val="Compact"/>
              <w:widowControl w:val="0"/>
              <w:spacing w:before="0" w:after="0" w:line="240" w:lineRule="auto"/>
            </w:pPr>
            <w:r w:rsidRPr="00B16A4C">
              <w:rPr>
                <w:sz w:val="17"/>
              </w:rPr>
              <w:t>Max VIVI 2</w:t>
            </w:r>
          </w:p>
        </w:tc>
        <w:tc>
          <w:tcPr>
            <w:tcW w:w="1037" w:type="dxa"/>
            <w:tcMar>
              <w:top w:w="80" w:type="dxa"/>
              <w:left w:w="80" w:type="dxa"/>
              <w:bottom w:w="80" w:type="dxa"/>
              <w:right w:w="80" w:type="dxa"/>
            </w:tcMar>
            <w:vAlign w:val="center"/>
          </w:tcPr>
          <w:p w14:paraId="5D6681C4" w14:textId="54392E59" w:rsidR="0046158D" w:rsidRPr="00B16A4C" w:rsidRDefault="0046158D" w:rsidP="00B73F65">
            <w:pPr>
              <w:pStyle w:val="Compact"/>
              <w:widowControl w:val="0"/>
              <w:spacing w:before="0" w:after="0" w:line="240" w:lineRule="auto"/>
            </w:pPr>
            <w:r w:rsidRPr="00B16A4C">
              <w:rPr>
                <w:sz w:val="17"/>
              </w:rPr>
              <w:t>High</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408D1A77" w14:textId="77777777" w:rsidR="0046158D" w:rsidRPr="00B16A4C" w:rsidRDefault="0046158D" w:rsidP="00B73F65">
            <w:pPr>
              <w:pStyle w:val="Compact"/>
              <w:widowControl w:val="0"/>
              <w:spacing w:before="0" w:after="0" w:line="240" w:lineRule="auto"/>
              <w:jc w:val="right"/>
            </w:pPr>
            <w:r w:rsidRPr="00B16A4C">
              <w:rPr>
                <w:sz w:val="17"/>
              </w:rPr>
              <w:t>6.70%</w:t>
            </w:r>
          </w:p>
        </w:tc>
        <w:tc>
          <w:tcPr>
            <w:tcW w:w="979" w:type="dxa"/>
            <w:tcMar>
              <w:top w:w="80" w:type="dxa"/>
              <w:left w:w="80" w:type="dxa"/>
              <w:bottom w:w="80" w:type="dxa"/>
              <w:right w:w="80" w:type="dxa"/>
            </w:tcMar>
            <w:vAlign w:val="center"/>
          </w:tcPr>
          <w:p w14:paraId="003D0E0B" w14:textId="77777777" w:rsidR="0046158D" w:rsidRPr="00B16A4C" w:rsidRDefault="0046158D" w:rsidP="00B73F65">
            <w:pPr>
              <w:pStyle w:val="Compact"/>
              <w:widowControl w:val="0"/>
              <w:spacing w:before="0" w:after="0" w:line="240" w:lineRule="auto"/>
              <w:jc w:val="right"/>
            </w:pPr>
            <w:r w:rsidRPr="00B16A4C">
              <w:rPr>
                <w:sz w:val="17"/>
              </w:rPr>
              <w:t>0.0683</w:t>
            </w:r>
          </w:p>
        </w:tc>
        <w:tc>
          <w:tcPr>
            <w:tcW w:w="4637" w:type="dxa"/>
            <w:tcMar>
              <w:top w:w="80" w:type="dxa"/>
              <w:left w:w="80" w:type="dxa"/>
              <w:bottom w:w="80" w:type="dxa"/>
              <w:right w:w="80" w:type="dxa"/>
            </w:tcMar>
            <w:vAlign w:val="center"/>
          </w:tcPr>
          <w:p w14:paraId="4150620F" w14:textId="77777777" w:rsidR="0046158D" w:rsidRPr="00B16A4C" w:rsidRDefault="0046158D" w:rsidP="00B73F65">
            <w:pPr>
              <w:pStyle w:val="Compact"/>
              <w:widowControl w:val="0"/>
              <w:spacing w:before="0" w:after="0" w:line="240" w:lineRule="auto"/>
            </w:pPr>
            <w:r w:rsidRPr="00B16A4C">
              <w:rPr>
                <w:sz w:val="17"/>
              </w:rPr>
              <w:t>Highest qualification; Dwelling tenure; Cars/vans in household; Employed adults in household; Accommodation type</w:t>
            </w:r>
          </w:p>
        </w:tc>
      </w:tr>
      <w:tr w:rsidR="0046158D" w:rsidRPr="00B16A4C" w14:paraId="14FC3EBD" w14:textId="77777777" w:rsidTr="00B73F65">
        <w:trPr>
          <w:cantSplit/>
          <w:jc w:val="center"/>
        </w:trPr>
        <w:tc>
          <w:tcPr>
            <w:tcW w:w="547" w:type="dxa"/>
            <w:tcMar>
              <w:top w:w="80" w:type="dxa"/>
              <w:left w:w="80" w:type="dxa"/>
              <w:bottom w:w="80" w:type="dxa"/>
              <w:right w:w="80" w:type="dxa"/>
            </w:tcMar>
            <w:vAlign w:val="center"/>
          </w:tcPr>
          <w:p w14:paraId="6D536BD5" w14:textId="77777777" w:rsidR="0046158D" w:rsidRPr="00B16A4C" w:rsidRDefault="0046158D" w:rsidP="00B73F65">
            <w:pPr>
              <w:pStyle w:val="Compact"/>
              <w:widowControl w:val="0"/>
              <w:spacing w:before="0" w:after="0" w:line="240" w:lineRule="auto"/>
              <w:jc w:val="right"/>
            </w:pPr>
            <w:r w:rsidRPr="00B16A4C">
              <w:rPr>
                <w:sz w:val="17"/>
              </w:rPr>
              <w:t>4</w:t>
            </w:r>
          </w:p>
        </w:tc>
        <w:tc>
          <w:tcPr>
            <w:tcW w:w="1080" w:type="dxa"/>
            <w:tcMar>
              <w:top w:w="80" w:type="dxa"/>
              <w:left w:w="80" w:type="dxa"/>
              <w:bottom w:w="80" w:type="dxa"/>
              <w:right w:w="80" w:type="dxa"/>
            </w:tcMar>
            <w:vAlign w:val="center"/>
          </w:tcPr>
          <w:p w14:paraId="345CC3D7" w14:textId="77777777" w:rsidR="0046158D" w:rsidRPr="00B16A4C" w:rsidRDefault="0046158D" w:rsidP="00B73F65">
            <w:pPr>
              <w:pStyle w:val="Compact"/>
              <w:widowControl w:val="0"/>
              <w:spacing w:before="0" w:after="0" w:line="240" w:lineRule="auto"/>
            </w:pPr>
            <w:proofErr w:type="spellStart"/>
            <w:r w:rsidRPr="00B16A4C">
              <w:rPr>
                <w:sz w:val="17"/>
              </w:rPr>
              <w:t>mnl</w:t>
            </w:r>
            <w:proofErr w:type="spellEnd"/>
            <w:r w:rsidRPr="00B16A4C">
              <w:rPr>
                <w:sz w:val="17"/>
              </w:rPr>
              <w:t xml:space="preserve"> </w:t>
            </w:r>
            <w:proofErr w:type="spellStart"/>
            <w:r w:rsidRPr="00B16A4C">
              <w:rPr>
                <w:sz w:val="17"/>
              </w:rPr>
              <w:t>strta</w:t>
            </w:r>
            <w:proofErr w:type="spellEnd"/>
            <w:r w:rsidRPr="00B16A4C">
              <w:rPr>
                <w:sz w:val="17"/>
              </w:rPr>
              <w:t xml:space="preserve"> 2</w:t>
            </w:r>
          </w:p>
        </w:tc>
        <w:tc>
          <w:tcPr>
            <w:tcW w:w="1037" w:type="dxa"/>
            <w:tcMar>
              <w:top w:w="80" w:type="dxa"/>
              <w:left w:w="80" w:type="dxa"/>
              <w:bottom w:w="80" w:type="dxa"/>
              <w:right w:w="80" w:type="dxa"/>
            </w:tcMar>
            <w:vAlign w:val="center"/>
          </w:tcPr>
          <w:p w14:paraId="65D1D383" w14:textId="001C1CF6" w:rsidR="0046158D" w:rsidRPr="00B16A4C" w:rsidRDefault="0046158D" w:rsidP="00B73F65">
            <w:pPr>
              <w:pStyle w:val="Compact"/>
              <w:widowControl w:val="0"/>
              <w:spacing w:before="0" w:after="0" w:line="240" w:lineRule="auto"/>
            </w:pPr>
            <w:r w:rsidRPr="00B16A4C">
              <w:rPr>
                <w:sz w:val="17"/>
              </w:rPr>
              <w:t>Mixed</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3DAC4293" w14:textId="77777777" w:rsidR="0046158D" w:rsidRPr="00B16A4C" w:rsidRDefault="0046158D" w:rsidP="00B73F65">
            <w:pPr>
              <w:pStyle w:val="Compact"/>
              <w:widowControl w:val="0"/>
              <w:spacing w:before="0" w:after="0" w:line="240" w:lineRule="auto"/>
              <w:jc w:val="right"/>
            </w:pPr>
            <w:r w:rsidRPr="00B16A4C">
              <w:rPr>
                <w:sz w:val="17"/>
              </w:rPr>
              <w:t>3.82%</w:t>
            </w:r>
          </w:p>
        </w:tc>
        <w:tc>
          <w:tcPr>
            <w:tcW w:w="979" w:type="dxa"/>
            <w:tcMar>
              <w:top w:w="80" w:type="dxa"/>
              <w:left w:w="80" w:type="dxa"/>
              <w:bottom w:w="80" w:type="dxa"/>
              <w:right w:w="80" w:type="dxa"/>
            </w:tcMar>
            <w:vAlign w:val="center"/>
          </w:tcPr>
          <w:p w14:paraId="1482D028" w14:textId="77777777" w:rsidR="0046158D" w:rsidRPr="00B16A4C" w:rsidRDefault="0046158D" w:rsidP="00B73F65">
            <w:pPr>
              <w:pStyle w:val="Compact"/>
              <w:widowControl w:val="0"/>
              <w:spacing w:before="0" w:after="0" w:line="240" w:lineRule="auto"/>
              <w:jc w:val="right"/>
            </w:pPr>
            <w:r w:rsidRPr="00B16A4C">
              <w:rPr>
                <w:sz w:val="17"/>
              </w:rPr>
              <w:t>0.0365</w:t>
            </w:r>
          </w:p>
        </w:tc>
        <w:tc>
          <w:tcPr>
            <w:tcW w:w="4637" w:type="dxa"/>
            <w:tcMar>
              <w:top w:w="80" w:type="dxa"/>
              <w:left w:w="80" w:type="dxa"/>
              <w:bottom w:w="80" w:type="dxa"/>
              <w:right w:w="80" w:type="dxa"/>
            </w:tcMar>
            <w:vAlign w:val="center"/>
          </w:tcPr>
          <w:p w14:paraId="79783E55" w14:textId="77777777" w:rsidR="0046158D" w:rsidRPr="00B16A4C" w:rsidRDefault="0046158D" w:rsidP="00B73F65">
            <w:pPr>
              <w:pStyle w:val="Compact"/>
              <w:widowControl w:val="0"/>
              <w:spacing w:before="0" w:after="0" w:line="240" w:lineRule="auto"/>
            </w:pPr>
            <w:r w:rsidRPr="00B16A4C">
              <w:rPr>
                <w:sz w:val="17"/>
              </w:rPr>
              <w:t>Highest qualification; Accommodation type; Dwelling tenure; Sex; WIMD quintile</w:t>
            </w:r>
          </w:p>
        </w:tc>
      </w:tr>
      <w:tr w:rsidR="0046158D" w:rsidRPr="00B16A4C" w14:paraId="4C5CBBBE" w14:textId="77777777" w:rsidTr="00B73F65">
        <w:trPr>
          <w:cantSplit/>
          <w:jc w:val="center"/>
        </w:trPr>
        <w:tc>
          <w:tcPr>
            <w:tcW w:w="547" w:type="dxa"/>
            <w:tcMar>
              <w:top w:w="80" w:type="dxa"/>
              <w:left w:w="80" w:type="dxa"/>
              <w:bottom w:w="80" w:type="dxa"/>
              <w:right w:w="80" w:type="dxa"/>
            </w:tcMar>
            <w:vAlign w:val="center"/>
          </w:tcPr>
          <w:p w14:paraId="2BFF95E1" w14:textId="77777777" w:rsidR="0046158D" w:rsidRPr="00B16A4C" w:rsidRDefault="0046158D" w:rsidP="00B73F65">
            <w:pPr>
              <w:pStyle w:val="Compact"/>
              <w:widowControl w:val="0"/>
              <w:spacing w:before="0" w:after="0" w:line="240" w:lineRule="auto"/>
              <w:jc w:val="right"/>
            </w:pPr>
            <w:r w:rsidRPr="00B16A4C">
              <w:rPr>
                <w:sz w:val="17"/>
              </w:rPr>
              <w:t>5</w:t>
            </w:r>
          </w:p>
        </w:tc>
        <w:tc>
          <w:tcPr>
            <w:tcW w:w="1080" w:type="dxa"/>
            <w:tcMar>
              <w:top w:w="80" w:type="dxa"/>
              <w:left w:w="80" w:type="dxa"/>
              <w:bottom w:w="80" w:type="dxa"/>
              <w:right w:w="80" w:type="dxa"/>
            </w:tcMar>
            <w:vAlign w:val="center"/>
          </w:tcPr>
          <w:p w14:paraId="07259B94" w14:textId="77777777" w:rsidR="0046158D" w:rsidRPr="00B16A4C" w:rsidRDefault="0046158D" w:rsidP="00B73F65">
            <w:pPr>
              <w:pStyle w:val="Compact"/>
              <w:widowControl w:val="0"/>
              <w:spacing w:before="0" w:after="0" w:line="240" w:lineRule="auto"/>
            </w:pPr>
            <w:proofErr w:type="spellStart"/>
            <w:r w:rsidRPr="00B16A4C">
              <w:rPr>
                <w:sz w:val="17"/>
              </w:rPr>
              <w:t>mnl</w:t>
            </w:r>
            <w:proofErr w:type="spellEnd"/>
            <w:r w:rsidRPr="00B16A4C">
              <w:rPr>
                <w:sz w:val="17"/>
              </w:rPr>
              <w:t xml:space="preserve"> </w:t>
            </w:r>
            <w:proofErr w:type="spellStart"/>
            <w:r w:rsidRPr="00B16A4C">
              <w:rPr>
                <w:sz w:val="17"/>
              </w:rPr>
              <w:t>strta</w:t>
            </w:r>
            <w:proofErr w:type="spellEnd"/>
            <w:r w:rsidRPr="00B16A4C">
              <w:rPr>
                <w:sz w:val="17"/>
              </w:rPr>
              <w:t xml:space="preserve"> 1</w:t>
            </w:r>
          </w:p>
        </w:tc>
        <w:tc>
          <w:tcPr>
            <w:tcW w:w="1037" w:type="dxa"/>
            <w:tcMar>
              <w:top w:w="80" w:type="dxa"/>
              <w:left w:w="80" w:type="dxa"/>
              <w:bottom w:w="80" w:type="dxa"/>
              <w:right w:w="80" w:type="dxa"/>
            </w:tcMar>
            <w:vAlign w:val="center"/>
          </w:tcPr>
          <w:p w14:paraId="48CE3124" w14:textId="148E4227" w:rsidR="0046158D" w:rsidRPr="00B16A4C" w:rsidRDefault="0046158D" w:rsidP="00B73F65">
            <w:pPr>
              <w:pStyle w:val="Compact"/>
              <w:widowControl w:val="0"/>
              <w:spacing w:before="0" w:after="0" w:line="240" w:lineRule="auto"/>
            </w:pPr>
            <w:r w:rsidRPr="00B16A4C">
              <w:rPr>
                <w:sz w:val="17"/>
              </w:rPr>
              <w:t>Mixed</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29400AA5" w14:textId="77777777" w:rsidR="0046158D" w:rsidRPr="00B16A4C" w:rsidRDefault="0046158D" w:rsidP="00B73F65">
            <w:pPr>
              <w:pStyle w:val="Compact"/>
              <w:widowControl w:val="0"/>
              <w:spacing w:before="0" w:after="0" w:line="240" w:lineRule="auto"/>
              <w:jc w:val="right"/>
            </w:pPr>
            <w:r w:rsidRPr="00B16A4C">
              <w:rPr>
                <w:sz w:val="17"/>
              </w:rPr>
              <w:t>3.54%</w:t>
            </w:r>
          </w:p>
        </w:tc>
        <w:tc>
          <w:tcPr>
            <w:tcW w:w="979" w:type="dxa"/>
            <w:tcMar>
              <w:top w:w="80" w:type="dxa"/>
              <w:left w:w="80" w:type="dxa"/>
              <w:bottom w:w="80" w:type="dxa"/>
              <w:right w:w="80" w:type="dxa"/>
            </w:tcMar>
            <w:vAlign w:val="center"/>
          </w:tcPr>
          <w:p w14:paraId="18E52A3F" w14:textId="77777777" w:rsidR="0046158D" w:rsidRPr="00B16A4C" w:rsidRDefault="0046158D" w:rsidP="00B73F65">
            <w:pPr>
              <w:pStyle w:val="Compact"/>
              <w:widowControl w:val="0"/>
              <w:spacing w:before="0" w:after="0" w:line="240" w:lineRule="auto"/>
              <w:jc w:val="right"/>
            </w:pPr>
            <w:r w:rsidRPr="00B16A4C">
              <w:rPr>
                <w:sz w:val="17"/>
              </w:rPr>
              <w:t>0.0340</w:t>
            </w:r>
          </w:p>
        </w:tc>
        <w:tc>
          <w:tcPr>
            <w:tcW w:w="4637" w:type="dxa"/>
            <w:tcMar>
              <w:top w:w="80" w:type="dxa"/>
              <w:left w:w="80" w:type="dxa"/>
              <w:bottom w:w="80" w:type="dxa"/>
              <w:right w:w="80" w:type="dxa"/>
            </w:tcMar>
            <w:vAlign w:val="center"/>
          </w:tcPr>
          <w:p w14:paraId="2A925F3F" w14:textId="77777777" w:rsidR="0046158D" w:rsidRPr="00B16A4C" w:rsidRDefault="0046158D" w:rsidP="00B73F65">
            <w:pPr>
              <w:pStyle w:val="Compact"/>
              <w:widowControl w:val="0"/>
              <w:spacing w:before="0" w:after="0" w:line="240" w:lineRule="auto"/>
            </w:pPr>
            <w:r w:rsidRPr="00B16A4C">
              <w:rPr>
                <w:sz w:val="17"/>
              </w:rPr>
              <w:t>Employed adults in household; Accommodation type; Cars/vans in household; Dwelling tenure; Rural–urban classification</w:t>
            </w:r>
          </w:p>
        </w:tc>
      </w:tr>
      <w:tr w:rsidR="0046158D" w:rsidRPr="00B16A4C" w14:paraId="0957561F" w14:textId="77777777" w:rsidTr="00B73F65">
        <w:trPr>
          <w:cantSplit/>
          <w:jc w:val="center"/>
        </w:trPr>
        <w:tc>
          <w:tcPr>
            <w:tcW w:w="547" w:type="dxa"/>
            <w:tcMar>
              <w:top w:w="80" w:type="dxa"/>
              <w:left w:w="80" w:type="dxa"/>
              <w:bottom w:w="80" w:type="dxa"/>
              <w:right w:w="80" w:type="dxa"/>
            </w:tcMar>
            <w:vAlign w:val="center"/>
          </w:tcPr>
          <w:p w14:paraId="1C9B4948" w14:textId="77777777" w:rsidR="0046158D" w:rsidRPr="00B16A4C" w:rsidRDefault="0046158D" w:rsidP="00B73F65">
            <w:pPr>
              <w:pStyle w:val="Compact"/>
              <w:widowControl w:val="0"/>
              <w:spacing w:before="0" w:after="0" w:line="240" w:lineRule="auto"/>
              <w:jc w:val="right"/>
            </w:pPr>
            <w:r w:rsidRPr="00B16A4C">
              <w:rPr>
                <w:sz w:val="17"/>
              </w:rPr>
              <w:t>6</w:t>
            </w:r>
          </w:p>
        </w:tc>
        <w:tc>
          <w:tcPr>
            <w:tcW w:w="1080" w:type="dxa"/>
            <w:tcMar>
              <w:top w:w="80" w:type="dxa"/>
              <w:left w:w="80" w:type="dxa"/>
              <w:bottom w:w="80" w:type="dxa"/>
              <w:right w:w="80" w:type="dxa"/>
            </w:tcMar>
            <w:vAlign w:val="center"/>
          </w:tcPr>
          <w:p w14:paraId="0C572028" w14:textId="77777777" w:rsidR="0046158D" w:rsidRPr="00B16A4C" w:rsidRDefault="0046158D" w:rsidP="00B73F65">
            <w:pPr>
              <w:pStyle w:val="Compact"/>
              <w:widowControl w:val="0"/>
              <w:spacing w:before="0" w:after="0" w:line="240" w:lineRule="auto"/>
            </w:pPr>
            <w:r w:rsidRPr="00B16A4C">
              <w:rPr>
                <w:sz w:val="17"/>
              </w:rPr>
              <w:t>Max VIVI 3</w:t>
            </w:r>
          </w:p>
        </w:tc>
        <w:tc>
          <w:tcPr>
            <w:tcW w:w="1037" w:type="dxa"/>
            <w:tcMar>
              <w:top w:w="80" w:type="dxa"/>
              <w:left w:w="80" w:type="dxa"/>
              <w:bottom w:w="80" w:type="dxa"/>
              <w:right w:w="80" w:type="dxa"/>
            </w:tcMar>
            <w:vAlign w:val="center"/>
          </w:tcPr>
          <w:p w14:paraId="05795F93" w14:textId="189F8BBF" w:rsidR="0046158D" w:rsidRPr="00B16A4C" w:rsidRDefault="0046158D" w:rsidP="00B73F65">
            <w:pPr>
              <w:pStyle w:val="Compact"/>
              <w:widowControl w:val="0"/>
              <w:spacing w:before="0" w:after="0" w:line="240" w:lineRule="auto"/>
            </w:pPr>
            <w:r w:rsidRPr="00B16A4C">
              <w:rPr>
                <w:sz w:val="17"/>
              </w:rPr>
              <w:t>High</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1C5430FE" w14:textId="77777777" w:rsidR="0046158D" w:rsidRPr="00B16A4C" w:rsidRDefault="0046158D" w:rsidP="00B73F65">
            <w:pPr>
              <w:pStyle w:val="Compact"/>
              <w:widowControl w:val="0"/>
              <w:spacing w:before="0" w:after="0" w:line="240" w:lineRule="auto"/>
              <w:jc w:val="right"/>
            </w:pPr>
            <w:r w:rsidRPr="00B16A4C">
              <w:rPr>
                <w:sz w:val="17"/>
              </w:rPr>
              <w:t>3.32%</w:t>
            </w:r>
          </w:p>
        </w:tc>
        <w:tc>
          <w:tcPr>
            <w:tcW w:w="979" w:type="dxa"/>
            <w:tcMar>
              <w:top w:w="80" w:type="dxa"/>
              <w:left w:w="80" w:type="dxa"/>
              <w:bottom w:w="80" w:type="dxa"/>
              <w:right w:w="80" w:type="dxa"/>
            </w:tcMar>
            <w:vAlign w:val="center"/>
          </w:tcPr>
          <w:p w14:paraId="64E848A7" w14:textId="77777777" w:rsidR="0046158D" w:rsidRPr="00B16A4C" w:rsidRDefault="0046158D" w:rsidP="00B73F65">
            <w:pPr>
              <w:pStyle w:val="Compact"/>
              <w:widowControl w:val="0"/>
              <w:spacing w:before="0" w:after="0" w:line="240" w:lineRule="auto"/>
              <w:jc w:val="right"/>
            </w:pPr>
            <w:r w:rsidRPr="00B16A4C">
              <w:rPr>
                <w:sz w:val="17"/>
              </w:rPr>
              <w:t>0.0320</w:t>
            </w:r>
          </w:p>
        </w:tc>
        <w:tc>
          <w:tcPr>
            <w:tcW w:w="4637" w:type="dxa"/>
            <w:tcMar>
              <w:top w:w="80" w:type="dxa"/>
              <w:left w:w="80" w:type="dxa"/>
              <w:bottom w:w="80" w:type="dxa"/>
              <w:right w:w="80" w:type="dxa"/>
            </w:tcMar>
            <w:vAlign w:val="center"/>
          </w:tcPr>
          <w:p w14:paraId="3E381A57" w14:textId="77777777" w:rsidR="0046158D" w:rsidRPr="00B16A4C" w:rsidRDefault="0046158D" w:rsidP="00B73F65">
            <w:pPr>
              <w:pStyle w:val="Compact"/>
              <w:widowControl w:val="0"/>
              <w:spacing w:before="0" w:after="0" w:line="240" w:lineRule="auto"/>
            </w:pPr>
            <w:r w:rsidRPr="00B16A4C">
              <w:rPr>
                <w:sz w:val="17"/>
              </w:rPr>
              <w:t>Dwelling tenure; Cars/vans in household; Employed adults in household; Accommodation type; Unpaid care</w:t>
            </w:r>
          </w:p>
        </w:tc>
      </w:tr>
      <w:tr w:rsidR="0046158D" w:rsidRPr="00B16A4C" w14:paraId="370501B2" w14:textId="77777777" w:rsidTr="00B73F65">
        <w:trPr>
          <w:cantSplit/>
          <w:jc w:val="center"/>
        </w:trPr>
        <w:tc>
          <w:tcPr>
            <w:tcW w:w="547" w:type="dxa"/>
            <w:tcMar>
              <w:top w:w="80" w:type="dxa"/>
              <w:left w:w="80" w:type="dxa"/>
              <w:bottom w:w="80" w:type="dxa"/>
              <w:right w:w="80" w:type="dxa"/>
            </w:tcMar>
            <w:vAlign w:val="center"/>
          </w:tcPr>
          <w:p w14:paraId="768FA6EB" w14:textId="77777777" w:rsidR="0046158D" w:rsidRPr="00B16A4C" w:rsidRDefault="0046158D" w:rsidP="00B73F65">
            <w:pPr>
              <w:pStyle w:val="Compact"/>
              <w:widowControl w:val="0"/>
              <w:spacing w:before="0" w:after="0" w:line="240" w:lineRule="auto"/>
              <w:jc w:val="right"/>
            </w:pPr>
            <w:r w:rsidRPr="00B16A4C">
              <w:rPr>
                <w:sz w:val="17"/>
              </w:rPr>
              <w:t>7</w:t>
            </w:r>
          </w:p>
        </w:tc>
        <w:tc>
          <w:tcPr>
            <w:tcW w:w="1080" w:type="dxa"/>
            <w:tcMar>
              <w:top w:w="80" w:type="dxa"/>
              <w:left w:w="80" w:type="dxa"/>
              <w:bottom w:w="80" w:type="dxa"/>
              <w:right w:w="80" w:type="dxa"/>
            </w:tcMar>
            <w:vAlign w:val="center"/>
          </w:tcPr>
          <w:p w14:paraId="00038667" w14:textId="77777777" w:rsidR="0046158D" w:rsidRPr="00B16A4C" w:rsidRDefault="0046158D" w:rsidP="00B73F65">
            <w:pPr>
              <w:pStyle w:val="Compact"/>
              <w:widowControl w:val="0"/>
              <w:spacing w:before="0" w:after="0" w:line="240" w:lineRule="auto"/>
            </w:pPr>
            <w:r w:rsidRPr="00B16A4C">
              <w:rPr>
                <w:sz w:val="17"/>
              </w:rPr>
              <w:t>Max VIVI 4</w:t>
            </w:r>
          </w:p>
        </w:tc>
        <w:tc>
          <w:tcPr>
            <w:tcW w:w="1037" w:type="dxa"/>
            <w:tcMar>
              <w:top w:w="80" w:type="dxa"/>
              <w:left w:w="80" w:type="dxa"/>
              <w:bottom w:w="80" w:type="dxa"/>
              <w:right w:w="80" w:type="dxa"/>
            </w:tcMar>
            <w:vAlign w:val="center"/>
          </w:tcPr>
          <w:p w14:paraId="2247C8CE" w14:textId="72731819" w:rsidR="0046158D" w:rsidRPr="00B16A4C" w:rsidRDefault="0046158D" w:rsidP="00B73F65">
            <w:pPr>
              <w:pStyle w:val="Compact"/>
              <w:widowControl w:val="0"/>
              <w:spacing w:before="0" w:after="0" w:line="240" w:lineRule="auto"/>
            </w:pPr>
            <w:r w:rsidRPr="00B16A4C">
              <w:rPr>
                <w:sz w:val="17"/>
              </w:rPr>
              <w:t>High</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36EF40D5" w14:textId="77777777" w:rsidR="0046158D" w:rsidRPr="00B16A4C" w:rsidRDefault="0046158D" w:rsidP="00B73F65">
            <w:pPr>
              <w:pStyle w:val="Compact"/>
              <w:widowControl w:val="0"/>
              <w:spacing w:before="0" w:after="0" w:line="240" w:lineRule="auto"/>
              <w:jc w:val="right"/>
            </w:pPr>
            <w:r w:rsidRPr="00B16A4C">
              <w:rPr>
                <w:sz w:val="17"/>
              </w:rPr>
              <w:t>3.04%</w:t>
            </w:r>
          </w:p>
        </w:tc>
        <w:tc>
          <w:tcPr>
            <w:tcW w:w="979" w:type="dxa"/>
            <w:tcMar>
              <w:top w:w="80" w:type="dxa"/>
              <w:left w:w="80" w:type="dxa"/>
              <w:bottom w:w="80" w:type="dxa"/>
              <w:right w:w="80" w:type="dxa"/>
            </w:tcMar>
            <w:vAlign w:val="center"/>
          </w:tcPr>
          <w:p w14:paraId="1397034F" w14:textId="77777777" w:rsidR="0046158D" w:rsidRPr="00B16A4C" w:rsidRDefault="0046158D" w:rsidP="00B73F65">
            <w:pPr>
              <w:pStyle w:val="Compact"/>
              <w:widowControl w:val="0"/>
              <w:spacing w:before="0" w:after="0" w:line="240" w:lineRule="auto"/>
              <w:jc w:val="right"/>
            </w:pPr>
            <w:r w:rsidRPr="00B16A4C">
              <w:rPr>
                <w:sz w:val="17"/>
              </w:rPr>
              <w:t>0.0294</w:t>
            </w:r>
          </w:p>
        </w:tc>
        <w:tc>
          <w:tcPr>
            <w:tcW w:w="4637" w:type="dxa"/>
            <w:tcMar>
              <w:top w:w="80" w:type="dxa"/>
              <w:left w:w="80" w:type="dxa"/>
              <w:bottom w:w="80" w:type="dxa"/>
              <w:right w:w="80" w:type="dxa"/>
            </w:tcMar>
            <w:vAlign w:val="center"/>
          </w:tcPr>
          <w:p w14:paraId="2366BA47" w14:textId="77777777" w:rsidR="0046158D" w:rsidRPr="00B16A4C" w:rsidRDefault="0046158D" w:rsidP="00B73F65">
            <w:pPr>
              <w:pStyle w:val="Compact"/>
              <w:widowControl w:val="0"/>
              <w:spacing w:before="0" w:after="0" w:line="240" w:lineRule="auto"/>
            </w:pPr>
            <w:r w:rsidRPr="00B16A4C">
              <w:rPr>
                <w:sz w:val="17"/>
              </w:rPr>
              <w:t>Cars/vans in household; Employed adults in household; Accommodation type; Unpaid care; Sex</w:t>
            </w:r>
          </w:p>
        </w:tc>
      </w:tr>
      <w:tr w:rsidR="0046158D" w:rsidRPr="00B16A4C" w14:paraId="1BA8DA4C" w14:textId="77777777" w:rsidTr="00B73F65">
        <w:trPr>
          <w:cantSplit/>
          <w:jc w:val="center"/>
        </w:trPr>
        <w:tc>
          <w:tcPr>
            <w:tcW w:w="547" w:type="dxa"/>
            <w:tcMar>
              <w:top w:w="80" w:type="dxa"/>
              <w:left w:w="80" w:type="dxa"/>
              <w:bottom w:w="80" w:type="dxa"/>
              <w:right w:w="80" w:type="dxa"/>
            </w:tcMar>
            <w:vAlign w:val="center"/>
          </w:tcPr>
          <w:p w14:paraId="561EE394" w14:textId="77777777" w:rsidR="0046158D" w:rsidRPr="00B16A4C" w:rsidRDefault="0046158D" w:rsidP="00B73F65">
            <w:pPr>
              <w:pStyle w:val="Compact"/>
              <w:widowControl w:val="0"/>
              <w:spacing w:before="0" w:after="0" w:line="240" w:lineRule="auto"/>
              <w:jc w:val="right"/>
            </w:pPr>
            <w:r w:rsidRPr="00B16A4C">
              <w:rPr>
                <w:sz w:val="17"/>
              </w:rPr>
              <w:t>8</w:t>
            </w:r>
          </w:p>
        </w:tc>
        <w:tc>
          <w:tcPr>
            <w:tcW w:w="1080" w:type="dxa"/>
            <w:tcMar>
              <w:top w:w="80" w:type="dxa"/>
              <w:left w:w="80" w:type="dxa"/>
              <w:bottom w:w="80" w:type="dxa"/>
              <w:right w:w="80" w:type="dxa"/>
            </w:tcMar>
            <w:vAlign w:val="center"/>
          </w:tcPr>
          <w:p w14:paraId="7A0D7D67" w14:textId="77777777" w:rsidR="0046158D" w:rsidRPr="00B16A4C" w:rsidRDefault="0046158D" w:rsidP="00B73F65">
            <w:pPr>
              <w:pStyle w:val="Compact"/>
              <w:widowControl w:val="0"/>
              <w:spacing w:before="0" w:after="0" w:line="240" w:lineRule="auto"/>
            </w:pPr>
            <w:r w:rsidRPr="00B16A4C">
              <w:rPr>
                <w:sz w:val="17"/>
              </w:rPr>
              <w:t>Max VIVI 5</w:t>
            </w:r>
          </w:p>
        </w:tc>
        <w:tc>
          <w:tcPr>
            <w:tcW w:w="1037" w:type="dxa"/>
            <w:tcMar>
              <w:top w:w="80" w:type="dxa"/>
              <w:left w:w="80" w:type="dxa"/>
              <w:bottom w:w="80" w:type="dxa"/>
              <w:right w:w="80" w:type="dxa"/>
            </w:tcMar>
            <w:vAlign w:val="center"/>
          </w:tcPr>
          <w:p w14:paraId="7290D40C" w14:textId="260246DB" w:rsidR="0046158D" w:rsidRPr="00B16A4C" w:rsidRDefault="0046158D" w:rsidP="00B73F65">
            <w:pPr>
              <w:pStyle w:val="Compact"/>
              <w:widowControl w:val="0"/>
              <w:spacing w:before="0" w:after="0" w:line="240" w:lineRule="auto"/>
            </w:pPr>
            <w:r w:rsidRPr="00B16A4C">
              <w:rPr>
                <w:sz w:val="17"/>
              </w:rPr>
              <w:t>High</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3923C579" w14:textId="77777777" w:rsidR="0046158D" w:rsidRPr="00B16A4C" w:rsidRDefault="0046158D" w:rsidP="00B73F65">
            <w:pPr>
              <w:pStyle w:val="Compact"/>
              <w:widowControl w:val="0"/>
              <w:spacing w:before="0" w:after="0" w:line="240" w:lineRule="auto"/>
              <w:jc w:val="right"/>
            </w:pPr>
            <w:r w:rsidRPr="00B16A4C">
              <w:rPr>
                <w:sz w:val="17"/>
              </w:rPr>
              <w:t>2.79%</w:t>
            </w:r>
          </w:p>
        </w:tc>
        <w:tc>
          <w:tcPr>
            <w:tcW w:w="979" w:type="dxa"/>
            <w:tcMar>
              <w:top w:w="80" w:type="dxa"/>
              <w:left w:w="80" w:type="dxa"/>
              <w:bottom w:w="80" w:type="dxa"/>
              <w:right w:w="80" w:type="dxa"/>
            </w:tcMar>
            <w:vAlign w:val="center"/>
          </w:tcPr>
          <w:p w14:paraId="2C5B8933" w14:textId="77777777" w:rsidR="0046158D" w:rsidRPr="00B16A4C" w:rsidRDefault="0046158D" w:rsidP="00B73F65">
            <w:pPr>
              <w:pStyle w:val="Compact"/>
              <w:widowControl w:val="0"/>
              <w:spacing w:before="0" w:after="0" w:line="240" w:lineRule="auto"/>
              <w:jc w:val="right"/>
            </w:pPr>
            <w:r w:rsidRPr="00B16A4C">
              <w:rPr>
                <w:sz w:val="17"/>
              </w:rPr>
              <w:t>0.0264</w:t>
            </w:r>
          </w:p>
        </w:tc>
        <w:tc>
          <w:tcPr>
            <w:tcW w:w="4637" w:type="dxa"/>
            <w:tcMar>
              <w:top w:w="80" w:type="dxa"/>
              <w:left w:w="80" w:type="dxa"/>
              <w:bottom w:w="80" w:type="dxa"/>
              <w:right w:w="80" w:type="dxa"/>
            </w:tcMar>
            <w:vAlign w:val="center"/>
          </w:tcPr>
          <w:p w14:paraId="4EAB45FD" w14:textId="77777777" w:rsidR="0046158D" w:rsidRPr="00B16A4C" w:rsidRDefault="0046158D" w:rsidP="00B73F65">
            <w:pPr>
              <w:pStyle w:val="Compact"/>
              <w:widowControl w:val="0"/>
              <w:spacing w:before="0" w:after="0" w:line="240" w:lineRule="auto"/>
            </w:pPr>
            <w:r w:rsidRPr="00B16A4C">
              <w:rPr>
                <w:sz w:val="17"/>
              </w:rPr>
              <w:t>Employed adults in household; Accommodation type; Unpaid care; Sex; WIMD quintile</w:t>
            </w:r>
          </w:p>
        </w:tc>
      </w:tr>
      <w:tr w:rsidR="0046158D" w:rsidRPr="00B16A4C" w14:paraId="0AF8DD78" w14:textId="77777777" w:rsidTr="00B73F65">
        <w:trPr>
          <w:cantSplit/>
          <w:jc w:val="center"/>
        </w:trPr>
        <w:tc>
          <w:tcPr>
            <w:tcW w:w="547" w:type="dxa"/>
            <w:tcMar>
              <w:top w:w="80" w:type="dxa"/>
              <w:left w:w="80" w:type="dxa"/>
              <w:bottom w:w="80" w:type="dxa"/>
              <w:right w:w="80" w:type="dxa"/>
            </w:tcMar>
            <w:vAlign w:val="center"/>
          </w:tcPr>
          <w:p w14:paraId="37CB51DA" w14:textId="77777777" w:rsidR="0046158D" w:rsidRPr="00B16A4C" w:rsidRDefault="0046158D" w:rsidP="00B73F65">
            <w:pPr>
              <w:pStyle w:val="Compact"/>
              <w:widowControl w:val="0"/>
              <w:spacing w:before="0" w:after="0" w:line="240" w:lineRule="auto"/>
              <w:jc w:val="right"/>
            </w:pPr>
            <w:r w:rsidRPr="00B16A4C">
              <w:rPr>
                <w:sz w:val="17"/>
              </w:rPr>
              <w:t>9</w:t>
            </w:r>
          </w:p>
        </w:tc>
        <w:tc>
          <w:tcPr>
            <w:tcW w:w="1080" w:type="dxa"/>
            <w:tcMar>
              <w:top w:w="80" w:type="dxa"/>
              <w:left w:w="80" w:type="dxa"/>
              <w:bottom w:w="80" w:type="dxa"/>
              <w:right w:w="80" w:type="dxa"/>
            </w:tcMar>
            <w:vAlign w:val="center"/>
          </w:tcPr>
          <w:p w14:paraId="0E0FF389" w14:textId="77777777" w:rsidR="0046158D" w:rsidRPr="00B16A4C" w:rsidRDefault="0046158D" w:rsidP="00B73F65">
            <w:pPr>
              <w:pStyle w:val="Compact"/>
              <w:widowControl w:val="0"/>
              <w:spacing w:before="0" w:after="0" w:line="240" w:lineRule="auto"/>
            </w:pPr>
            <w:proofErr w:type="spellStart"/>
            <w:r w:rsidRPr="00B16A4C">
              <w:rPr>
                <w:sz w:val="17"/>
              </w:rPr>
              <w:t>mnl</w:t>
            </w:r>
            <w:proofErr w:type="spellEnd"/>
            <w:r w:rsidRPr="00B16A4C">
              <w:rPr>
                <w:sz w:val="17"/>
              </w:rPr>
              <w:t xml:space="preserve"> </w:t>
            </w:r>
            <w:proofErr w:type="spellStart"/>
            <w:r w:rsidRPr="00B16A4C">
              <w:rPr>
                <w:sz w:val="17"/>
              </w:rPr>
              <w:t>strta</w:t>
            </w:r>
            <w:proofErr w:type="spellEnd"/>
            <w:r w:rsidRPr="00B16A4C">
              <w:rPr>
                <w:sz w:val="17"/>
              </w:rPr>
              <w:t xml:space="preserve"> 4</w:t>
            </w:r>
          </w:p>
        </w:tc>
        <w:tc>
          <w:tcPr>
            <w:tcW w:w="1037" w:type="dxa"/>
            <w:tcMar>
              <w:top w:w="80" w:type="dxa"/>
              <w:left w:w="80" w:type="dxa"/>
              <w:bottom w:w="80" w:type="dxa"/>
              <w:right w:w="80" w:type="dxa"/>
            </w:tcMar>
            <w:vAlign w:val="center"/>
          </w:tcPr>
          <w:p w14:paraId="14FE925C" w14:textId="0097DAB9" w:rsidR="0046158D" w:rsidRPr="00B16A4C" w:rsidRDefault="0046158D" w:rsidP="00B73F65">
            <w:pPr>
              <w:pStyle w:val="Compact"/>
              <w:widowControl w:val="0"/>
              <w:spacing w:before="0" w:after="0" w:line="240" w:lineRule="auto"/>
            </w:pPr>
            <w:r w:rsidRPr="00B16A4C">
              <w:rPr>
                <w:sz w:val="17"/>
              </w:rPr>
              <w:t>Mixed</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054180C2" w14:textId="77777777" w:rsidR="0046158D" w:rsidRPr="00B16A4C" w:rsidRDefault="0046158D" w:rsidP="00B73F65">
            <w:pPr>
              <w:pStyle w:val="Compact"/>
              <w:widowControl w:val="0"/>
              <w:spacing w:before="0" w:after="0" w:line="240" w:lineRule="auto"/>
              <w:jc w:val="right"/>
            </w:pPr>
            <w:r w:rsidRPr="00B16A4C">
              <w:rPr>
                <w:sz w:val="17"/>
              </w:rPr>
              <w:t>2.56%</w:t>
            </w:r>
          </w:p>
        </w:tc>
        <w:tc>
          <w:tcPr>
            <w:tcW w:w="979" w:type="dxa"/>
            <w:tcMar>
              <w:top w:w="80" w:type="dxa"/>
              <w:left w:w="80" w:type="dxa"/>
              <w:bottom w:w="80" w:type="dxa"/>
              <w:right w:w="80" w:type="dxa"/>
            </w:tcMar>
            <w:vAlign w:val="center"/>
          </w:tcPr>
          <w:p w14:paraId="3CF541D5" w14:textId="77777777" w:rsidR="0046158D" w:rsidRPr="00B16A4C" w:rsidRDefault="0046158D" w:rsidP="00B73F65">
            <w:pPr>
              <w:pStyle w:val="Compact"/>
              <w:widowControl w:val="0"/>
              <w:spacing w:before="0" w:after="0" w:line="240" w:lineRule="auto"/>
              <w:jc w:val="right"/>
            </w:pPr>
            <w:r w:rsidRPr="00B16A4C">
              <w:rPr>
                <w:sz w:val="17"/>
              </w:rPr>
              <w:t>0.0241</w:t>
            </w:r>
          </w:p>
        </w:tc>
        <w:tc>
          <w:tcPr>
            <w:tcW w:w="4637" w:type="dxa"/>
            <w:tcMar>
              <w:top w:w="80" w:type="dxa"/>
              <w:left w:w="80" w:type="dxa"/>
              <w:bottom w:w="80" w:type="dxa"/>
              <w:right w:w="80" w:type="dxa"/>
            </w:tcMar>
            <w:vAlign w:val="center"/>
          </w:tcPr>
          <w:p w14:paraId="27EB5A6D" w14:textId="77777777" w:rsidR="0046158D" w:rsidRPr="00B16A4C" w:rsidRDefault="0046158D" w:rsidP="00B73F65">
            <w:pPr>
              <w:pStyle w:val="Compact"/>
              <w:widowControl w:val="0"/>
              <w:spacing w:before="0" w:after="0" w:line="240" w:lineRule="auto"/>
            </w:pPr>
            <w:r w:rsidRPr="00B16A4C">
              <w:rPr>
                <w:sz w:val="17"/>
                <w:szCs w:val="17"/>
              </w:rPr>
              <w:t>Ethnic group; Cars/vans in household; Accommodation type; Sex; WIMD quintile</w:t>
            </w:r>
          </w:p>
        </w:tc>
      </w:tr>
      <w:tr w:rsidR="0046158D" w:rsidRPr="00B16A4C" w14:paraId="2BAD6EAC" w14:textId="77777777" w:rsidTr="00B73F65">
        <w:trPr>
          <w:cantSplit/>
          <w:jc w:val="center"/>
        </w:trPr>
        <w:tc>
          <w:tcPr>
            <w:tcW w:w="547" w:type="dxa"/>
            <w:tcMar>
              <w:top w:w="80" w:type="dxa"/>
              <w:left w:w="80" w:type="dxa"/>
              <w:bottom w:w="80" w:type="dxa"/>
              <w:right w:w="80" w:type="dxa"/>
            </w:tcMar>
            <w:vAlign w:val="center"/>
          </w:tcPr>
          <w:p w14:paraId="0854FE38" w14:textId="77777777" w:rsidR="0046158D" w:rsidRPr="00B16A4C" w:rsidRDefault="0046158D" w:rsidP="00B73F65">
            <w:pPr>
              <w:pStyle w:val="Compact"/>
              <w:widowControl w:val="0"/>
              <w:spacing w:before="0" w:after="0" w:line="240" w:lineRule="auto"/>
              <w:jc w:val="right"/>
            </w:pPr>
            <w:r w:rsidRPr="00B16A4C">
              <w:rPr>
                <w:sz w:val="17"/>
              </w:rPr>
              <w:t>10</w:t>
            </w:r>
          </w:p>
        </w:tc>
        <w:tc>
          <w:tcPr>
            <w:tcW w:w="1080" w:type="dxa"/>
            <w:tcMar>
              <w:top w:w="80" w:type="dxa"/>
              <w:left w:w="80" w:type="dxa"/>
              <w:bottom w:w="80" w:type="dxa"/>
              <w:right w:w="80" w:type="dxa"/>
            </w:tcMar>
            <w:vAlign w:val="center"/>
          </w:tcPr>
          <w:p w14:paraId="3FA9519B" w14:textId="77777777" w:rsidR="0046158D" w:rsidRPr="00B16A4C" w:rsidRDefault="0046158D" w:rsidP="00B73F65">
            <w:pPr>
              <w:pStyle w:val="Compact"/>
              <w:widowControl w:val="0"/>
              <w:spacing w:before="0" w:after="0" w:line="240" w:lineRule="auto"/>
            </w:pPr>
            <w:r w:rsidRPr="00B16A4C">
              <w:rPr>
                <w:sz w:val="17"/>
              </w:rPr>
              <w:t>Min VIVI 5</w:t>
            </w:r>
          </w:p>
        </w:tc>
        <w:tc>
          <w:tcPr>
            <w:tcW w:w="1037" w:type="dxa"/>
            <w:tcMar>
              <w:top w:w="80" w:type="dxa"/>
              <w:left w:w="80" w:type="dxa"/>
              <w:bottom w:w="80" w:type="dxa"/>
              <w:right w:w="80" w:type="dxa"/>
            </w:tcMar>
            <w:vAlign w:val="center"/>
          </w:tcPr>
          <w:p w14:paraId="5DAC880A" w14:textId="32B9C95C" w:rsidR="0046158D" w:rsidRPr="00B16A4C" w:rsidRDefault="0046158D" w:rsidP="00B73F65">
            <w:pPr>
              <w:pStyle w:val="Compact"/>
              <w:widowControl w:val="0"/>
              <w:spacing w:before="0" w:after="0" w:line="240" w:lineRule="auto"/>
            </w:pPr>
            <w:r w:rsidRPr="00B16A4C">
              <w:rPr>
                <w:sz w:val="17"/>
              </w:rPr>
              <w:t>Low</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3EEBD494" w14:textId="77777777" w:rsidR="0046158D" w:rsidRPr="00B16A4C" w:rsidRDefault="0046158D" w:rsidP="00B73F65">
            <w:pPr>
              <w:pStyle w:val="Compact"/>
              <w:widowControl w:val="0"/>
              <w:spacing w:before="0" w:after="0" w:line="240" w:lineRule="auto"/>
              <w:jc w:val="right"/>
            </w:pPr>
            <w:r w:rsidRPr="00B16A4C">
              <w:rPr>
                <w:sz w:val="17"/>
              </w:rPr>
              <w:t>1.86%</w:t>
            </w:r>
          </w:p>
        </w:tc>
        <w:tc>
          <w:tcPr>
            <w:tcW w:w="979" w:type="dxa"/>
            <w:tcMar>
              <w:top w:w="80" w:type="dxa"/>
              <w:left w:w="80" w:type="dxa"/>
              <w:bottom w:w="80" w:type="dxa"/>
              <w:right w:w="80" w:type="dxa"/>
            </w:tcMar>
            <w:vAlign w:val="center"/>
          </w:tcPr>
          <w:p w14:paraId="78470FA6" w14:textId="77777777" w:rsidR="0046158D" w:rsidRPr="00B16A4C" w:rsidRDefault="0046158D" w:rsidP="00B73F65">
            <w:pPr>
              <w:pStyle w:val="Compact"/>
              <w:widowControl w:val="0"/>
              <w:spacing w:before="0" w:after="0" w:line="240" w:lineRule="auto"/>
              <w:jc w:val="right"/>
            </w:pPr>
            <w:r w:rsidRPr="00B16A4C">
              <w:rPr>
                <w:sz w:val="17"/>
              </w:rPr>
              <w:t>0.0172</w:t>
            </w:r>
          </w:p>
        </w:tc>
        <w:tc>
          <w:tcPr>
            <w:tcW w:w="4637" w:type="dxa"/>
            <w:tcMar>
              <w:top w:w="80" w:type="dxa"/>
              <w:left w:w="80" w:type="dxa"/>
              <w:bottom w:w="80" w:type="dxa"/>
              <w:right w:w="80" w:type="dxa"/>
            </w:tcMar>
            <w:vAlign w:val="center"/>
          </w:tcPr>
          <w:p w14:paraId="593043FF" w14:textId="77777777" w:rsidR="0046158D" w:rsidRPr="00B16A4C" w:rsidRDefault="0046158D" w:rsidP="00B73F65">
            <w:pPr>
              <w:pStyle w:val="Compact"/>
              <w:widowControl w:val="0"/>
              <w:spacing w:before="0" w:after="0" w:line="240" w:lineRule="auto"/>
            </w:pPr>
            <w:r w:rsidRPr="00B16A4C">
              <w:rPr>
                <w:sz w:val="17"/>
              </w:rPr>
              <w:t>Household size; WIMD quintile; Sex; Unpaid care; Accommodation type</w:t>
            </w:r>
          </w:p>
        </w:tc>
      </w:tr>
      <w:tr w:rsidR="0046158D" w:rsidRPr="00B16A4C" w14:paraId="5EF92908" w14:textId="77777777" w:rsidTr="00B73F65">
        <w:trPr>
          <w:cantSplit/>
          <w:jc w:val="center"/>
        </w:trPr>
        <w:tc>
          <w:tcPr>
            <w:tcW w:w="547" w:type="dxa"/>
            <w:tcMar>
              <w:top w:w="80" w:type="dxa"/>
              <w:left w:w="80" w:type="dxa"/>
              <w:bottom w:w="80" w:type="dxa"/>
              <w:right w:w="80" w:type="dxa"/>
            </w:tcMar>
            <w:vAlign w:val="center"/>
          </w:tcPr>
          <w:p w14:paraId="377B7894" w14:textId="77777777" w:rsidR="0046158D" w:rsidRPr="00B16A4C" w:rsidRDefault="0046158D" w:rsidP="00B73F65">
            <w:pPr>
              <w:pStyle w:val="Compact"/>
              <w:widowControl w:val="0"/>
              <w:spacing w:before="0" w:after="0" w:line="240" w:lineRule="auto"/>
              <w:jc w:val="right"/>
            </w:pPr>
            <w:r w:rsidRPr="00B16A4C">
              <w:rPr>
                <w:sz w:val="17"/>
              </w:rPr>
              <w:t>11</w:t>
            </w:r>
          </w:p>
        </w:tc>
        <w:tc>
          <w:tcPr>
            <w:tcW w:w="1080" w:type="dxa"/>
            <w:tcMar>
              <w:top w:w="80" w:type="dxa"/>
              <w:left w:w="80" w:type="dxa"/>
              <w:bottom w:w="80" w:type="dxa"/>
              <w:right w:w="80" w:type="dxa"/>
            </w:tcMar>
            <w:vAlign w:val="center"/>
          </w:tcPr>
          <w:p w14:paraId="16CD932B" w14:textId="77777777" w:rsidR="0046158D" w:rsidRPr="00B16A4C" w:rsidRDefault="0046158D" w:rsidP="00B73F65">
            <w:pPr>
              <w:pStyle w:val="Compact"/>
              <w:widowControl w:val="0"/>
              <w:spacing w:before="0" w:after="0" w:line="240" w:lineRule="auto"/>
            </w:pPr>
            <w:proofErr w:type="spellStart"/>
            <w:r w:rsidRPr="00B16A4C">
              <w:rPr>
                <w:sz w:val="17"/>
              </w:rPr>
              <w:t>mnl</w:t>
            </w:r>
            <w:proofErr w:type="spellEnd"/>
            <w:r w:rsidRPr="00B16A4C">
              <w:rPr>
                <w:sz w:val="17"/>
              </w:rPr>
              <w:t xml:space="preserve"> </w:t>
            </w:r>
            <w:proofErr w:type="spellStart"/>
            <w:r w:rsidRPr="00B16A4C">
              <w:rPr>
                <w:sz w:val="17"/>
              </w:rPr>
              <w:t>strta</w:t>
            </w:r>
            <w:proofErr w:type="spellEnd"/>
            <w:r w:rsidRPr="00B16A4C">
              <w:rPr>
                <w:sz w:val="17"/>
              </w:rPr>
              <w:t xml:space="preserve"> 5</w:t>
            </w:r>
          </w:p>
        </w:tc>
        <w:tc>
          <w:tcPr>
            <w:tcW w:w="1037" w:type="dxa"/>
            <w:tcMar>
              <w:top w:w="80" w:type="dxa"/>
              <w:left w:w="80" w:type="dxa"/>
              <w:bottom w:w="80" w:type="dxa"/>
              <w:right w:w="80" w:type="dxa"/>
            </w:tcMar>
            <w:vAlign w:val="center"/>
          </w:tcPr>
          <w:p w14:paraId="6793A472" w14:textId="5AB2F599" w:rsidR="0046158D" w:rsidRPr="00B16A4C" w:rsidRDefault="0046158D" w:rsidP="00B73F65">
            <w:pPr>
              <w:pStyle w:val="Compact"/>
              <w:widowControl w:val="0"/>
              <w:spacing w:before="0" w:after="0" w:line="240" w:lineRule="auto"/>
            </w:pPr>
            <w:r w:rsidRPr="00B16A4C">
              <w:rPr>
                <w:sz w:val="17"/>
              </w:rPr>
              <w:t>Mixed</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2618A2BA" w14:textId="77777777" w:rsidR="0046158D" w:rsidRPr="00B16A4C" w:rsidRDefault="0046158D" w:rsidP="00B73F65">
            <w:pPr>
              <w:pStyle w:val="Compact"/>
              <w:widowControl w:val="0"/>
              <w:spacing w:before="0" w:after="0" w:line="240" w:lineRule="auto"/>
              <w:jc w:val="right"/>
            </w:pPr>
            <w:r w:rsidRPr="00B16A4C">
              <w:rPr>
                <w:sz w:val="17"/>
              </w:rPr>
              <w:t>1.83%</w:t>
            </w:r>
          </w:p>
        </w:tc>
        <w:tc>
          <w:tcPr>
            <w:tcW w:w="979" w:type="dxa"/>
            <w:tcMar>
              <w:top w:w="80" w:type="dxa"/>
              <w:left w:w="80" w:type="dxa"/>
              <w:bottom w:w="80" w:type="dxa"/>
              <w:right w:w="80" w:type="dxa"/>
            </w:tcMar>
            <w:vAlign w:val="center"/>
          </w:tcPr>
          <w:p w14:paraId="1A276FF9" w14:textId="77777777" w:rsidR="0046158D" w:rsidRPr="00B16A4C" w:rsidRDefault="0046158D" w:rsidP="00B73F65">
            <w:pPr>
              <w:pStyle w:val="Compact"/>
              <w:widowControl w:val="0"/>
              <w:spacing w:before="0" w:after="0" w:line="240" w:lineRule="auto"/>
              <w:jc w:val="right"/>
            </w:pPr>
            <w:r w:rsidRPr="00B16A4C">
              <w:rPr>
                <w:sz w:val="17"/>
              </w:rPr>
              <w:t>0.0166</w:t>
            </w:r>
          </w:p>
        </w:tc>
        <w:tc>
          <w:tcPr>
            <w:tcW w:w="4637" w:type="dxa"/>
            <w:tcMar>
              <w:top w:w="80" w:type="dxa"/>
              <w:left w:w="80" w:type="dxa"/>
              <w:bottom w:w="80" w:type="dxa"/>
              <w:right w:w="80" w:type="dxa"/>
            </w:tcMar>
            <w:vAlign w:val="center"/>
          </w:tcPr>
          <w:p w14:paraId="75FF51FC" w14:textId="77777777" w:rsidR="0046158D" w:rsidRPr="00B16A4C" w:rsidRDefault="0046158D" w:rsidP="00B73F65">
            <w:pPr>
              <w:pStyle w:val="Compact"/>
              <w:widowControl w:val="0"/>
              <w:spacing w:before="0" w:after="0" w:line="240" w:lineRule="auto"/>
            </w:pPr>
            <w:r w:rsidRPr="00B16A4C">
              <w:rPr>
                <w:sz w:val="17"/>
              </w:rPr>
              <w:t>Dwelling tenure; Sex; Ethnic group; Rural–urban classification; WIMD quintile</w:t>
            </w:r>
          </w:p>
        </w:tc>
      </w:tr>
      <w:tr w:rsidR="0046158D" w:rsidRPr="00B16A4C" w14:paraId="771DDA13" w14:textId="77777777" w:rsidTr="00B73F65">
        <w:trPr>
          <w:cantSplit/>
          <w:jc w:val="center"/>
        </w:trPr>
        <w:tc>
          <w:tcPr>
            <w:tcW w:w="547" w:type="dxa"/>
            <w:tcMar>
              <w:top w:w="80" w:type="dxa"/>
              <w:left w:w="80" w:type="dxa"/>
              <w:bottom w:w="80" w:type="dxa"/>
              <w:right w:w="80" w:type="dxa"/>
            </w:tcMar>
            <w:vAlign w:val="center"/>
          </w:tcPr>
          <w:p w14:paraId="17A7F4BF" w14:textId="77777777" w:rsidR="0046158D" w:rsidRPr="00B16A4C" w:rsidRDefault="0046158D" w:rsidP="00B73F65">
            <w:pPr>
              <w:pStyle w:val="Compact"/>
              <w:widowControl w:val="0"/>
              <w:spacing w:before="0" w:after="0" w:line="240" w:lineRule="auto"/>
              <w:jc w:val="right"/>
            </w:pPr>
            <w:r w:rsidRPr="00B16A4C">
              <w:rPr>
                <w:sz w:val="17"/>
              </w:rPr>
              <w:t>12</w:t>
            </w:r>
          </w:p>
        </w:tc>
        <w:tc>
          <w:tcPr>
            <w:tcW w:w="1080" w:type="dxa"/>
            <w:tcMar>
              <w:top w:w="80" w:type="dxa"/>
              <w:left w:w="80" w:type="dxa"/>
              <w:bottom w:w="80" w:type="dxa"/>
              <w:right w:w="80" w:type="dxa"/>
            </w:tcMar>
            <w:vAlign w:val="center"/>
          </w:tcPr>
          <w:p w14:paraId="2164F8E3" w14:textId="77777777" w:rsidR="0046158D" w:rsidRPr="00B16A4C" w:rsidRDefault="0046158D" w:rsidP="00B73F65">
            <w:pPr>
              <w:pStyle w:val="Compact"/>
              <w:widowControl w:val="0"/>
              <w:spacing w:before="0" w:after="0" w:line="240" w:lineRule="auto"/>
            </w:pPr>
            <w:r w:rsidRPr="00B16A4C">
              <w:rPr>
                <w:sz w:val="17"/>
              </w:rPr>
              <w:t>Min VIVI 4</w:t>
            </w:r>
          </w:p>
        </w:tc>
        <w:tc>
          <w:tcPr>
            <w:tcW w:w="1037" w:type="dxa"/>
            <w:tcMar>
              <w:top w:w="80" w:type="dxa"/>
              <w:left w:w="80" w:type="dxa"/>
              <w:bottom w:w="80" w:type="dxa"/>
              <w:right w:w="80" w:type="dxa"/>
            </w:tcMar>
            <w:vAlign w:val="center"/>
          </w:tcPr>
          <w:p w14:paraId="39ACEA77" w14:textId="6A794155" w:rsidR="0046158D" w:rsidRPr="00B16A4C" w:rsidRDefault="0046158D" w:rsidP="00B73F65">
            <w:pPr>
              <w:pStyle w:val="Compact"/>
              <w:widowControl w:val="0"/>
              <w:spacing w:before="0" w:after="0" w:line="240" w:lineRule="auto"/>
            </w:pPr>
            <w:r w:rsidRPr="00B16A4C">
              <w:rPr>
                <w:sz w:val="17"/>
              </w:rPr>
              <w:t>Low</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39ABB471" w14:textId="77777777" w:rsidR="0046158D" w:rsidRPr="00B16A4C" w:rsidRDefault="0046158D" w:rsidP="00B73F65">
            <w:pPr>
              <w:pStyle w:val="Compact"/>
              <w:widowControl w:val="0"/>
              <w:spacing w:before="0" w:after="0" w:line="240" w:lineRule="auto"/>
              <w:jc w:val="right"/>
            </w:pPr>
            <w:r w:rsidRPr="00B16A4C">
              <w:rPr>
                <w:sz w:val="17"/>
              </w:rPr>
              <w:t>1.80%</w:t>
            </w:r>
          </w:p>
        </w:tc>
        <w:tc>
          <w:tcPr>
            <w:tcW w:w="979" w:type="dxa"/>
            <w:tcMar>
              <w:top w:w="80" w:type="dxa"/>
              <w:left w:w="80" w:type="dxa"/>
              <w:bottom w:w="80" w:type="dxa"/>
              <w:right w:w="80" w:type="dxa"/>
            </w:tcMar>
            <w:vAlign w:val="center"/>
          </w:tcPr>
          <w:p w14:paraId="0B362B65" w14:textId="77777777" w:rsidR="0046158D" w:rsidRPr="00B16A4C" w:rsidRDefault="0046158D" w:rsidP="00B73F65">
            <w:pPr>
              <w:pStyle w:val="Compact"/>
              <w:widowControl w:val="0"/>
              <w:spacing w:before="0" w:after="0" w:line="240" w:lineRule="auto"/>
              <w:jc w:val="right"/>
            </w:pPr>
            <w:r w:rsidRPr="00B16A4C">
              <w:rPr>
                <w:sz w:val="17"/>
              </w:rPr>
              <w:t>0.0167</w:t>
            </w:r>
          </w:p>
        </w:tc>
        <w:tc>
          <w:tcPr>
            <w:tcW w:w="4637" w:type="dxa"/>
            <w:tcMar>
              <w:top w:w="80" w:type="dxa"/>
              <w:left w:w="80" w:type="dxa"/>
              <w:bottom w:w="80" w:type="dxa"/>
              <w:right w:w="80" w:type="dxa"/>
            </w:tcMar>
            <w:vAlign w:val="center"/>
          </w:tcPr>
          <w:p w14:paraId="382B7B16" w14:textId="77777777" w:rsidR="0046158D" w:rsidRPr="00B16A4C" w:rsidRDefault="0046158D" w:rsidP="00B73F65">
            <w:pPr>
              <w:pStyle w:val="Compact"/>
              <w:widowControl w:val="0"/>
              <w:spacing w:before="0" w:after="0" w:line="240" w:lineRule="auto"/>
            </w:pPr>
            <w:r w:rsidRPr="00B16A4C">
              <w:rPr>
                <w:sz w:val="17"/>
              </w:rPr>
              <w:t>NS-SEC of household reference person; Household size; WIMD quintile; Sex; Unpaid care</w:t>
            </w:r>
          </w:p>
        </w:tc>
      </w:tr>
      <w:tr w:rsidR="0046158D" w:rsidRPr="00B16A4C" w14:paraId="687246E6" w14:textId="77777777" w:rsidTr="00B73F65">
        <w:trPr>
          <w:cantSplit/>
          <w:jc w:val="center"/>
        </w:trPr>
        <w:tc>
          <w:tcPr>
            <w:tcW w:w="547" w:type="dxa"/>
            <w:tcMar>
              <w:top w:w="80" w:type="dxa"/>
              <w:left w:w="80" w:type="dxa"/>
              <w:bottom w:w="80" w:type="dxa"/>
              <w:right w:w="80" w:type="dxa"/>
            </w:tcMar>
            <w:vAlign w:val="center"/>
          </w:tcPr>
          <w:p w14:paraId="4F43F7FF" w14:textId="77777777" w:rsidR="0046158D" w:rsidRPr="00B16A4C" w:rsidRDefault="0046158D" w:rsidP="00B73F65">
            <w:pPr>
              <w:pStyle w:val="Compact"/>
              <w:widowControl w:val="0"/>
              <w:spacing w:before="0" w:after="0" w:line="240" w:lineRule="auto"/>
              <w:jc w:val="right"/>
            </w:pPr>
            <w:r w:rsidRPr="00B16A4C">
              <w:rPr>
                <w:sz w:val="17"/>
              </w:rPr>
              <w:t>13</w:t>
            </w:r>
          </w:p>
        </w:tc>
        <w:tc>
          <w:tcPr>
            <w:tcW w:w="1080" w:type="dxa"/>
            <w:tcMar>
              <w:top w:w="80" w:type="dxa"/>
              <w:left w:w="80" w:type="dxa"/>
              <w:bottom w:w="80" w:type="dxa"/>
              <w:right w:w="80" w:type="dxa"/>
            </w:tcMar>
            <w:vAlign w:val="center"/>
          </w:tcPr>
          <w:p w14:paraId="7D8DDD75" w14:textId="77777777" w:rsidR="0046158D" w:rsidRPr="00B16A4C" w:rsidRDefault="0046158D" w:rsidP="00B73F65">
            <w:pPr>
              <w:pStyle w:val="Compact"/>
              <w:widowControl w:val="0"/>
              <w:spacing w:before="0" w:after="0" w:line="240" w:lineRule="auto"/>
            </w:pPr>
            <w:r w:rsidRPr="00B16A4C">
              <w:rPr>
                <w:sz w:val="17"/>
              </w:rPr>
              <w:t>Min VIVI 2</w:t>
            </w:r>
          </w:p>
        </w:tc>
        <w:tc>
          <w:tcPr>
            <w:tcW w:w="1037" w:type="dxa"/>
            <w:tcMar>
              <w:top w:w="80" w:type="dxa"/>
              <w:left w:w="80" w:type="dxa"/>
              <w:bottom w:w="80" w:type="dxa"/>
              <w:right w:w="80" w:type="dxa"/>
            </w:tcMar>
            <w:vAlign w:val="center"/>
          </w:tcPr>
          <w:p w14:paraId="4675B9F4" w14:textId="5D9563C1" w:rsidR="0046158D" w:rsidRPr="00B16A4C" w:rsidRDefault="0046158D" w:rsidP="00B73F65">
            <w:pPr>
              <w:pStyle w:val="Compact"/>
              <w:widowControl w:val="0"/>
              <w:spacing w:before="0" w:after="0" w:line="240" w:lineRule="auto"/>
            </w:pPr>
            <w:r w:rsidRPr="00B16A4C">
              <w:rPr>
                <w:sz w:val="17"/>
              </w:rPr>
              <w:t>Low</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2D6BA793" w14:textId="77777777" w:rsidR="0046158D" w:rsidRPr="00B16A4C" w:rsidRDefault="0046158D" w:rsidP="00B73F65">
            <w:pPr>
              <w:pStyle w:val="Compact"/>
              <w:widowControl w:val="0"/>
              <w:spacing w:before="0" w:after="0" w:line="240" w:lineRule="auto"/>
              <w:jc w:val="right"/>
            </w:pPr>
            <w:r w:rsidRPr="00B16A4C">
              <w:rPr>
                <w:sz w:val="17"/>
              </w:rPr>
              <w:t>1.68%</w:t>
            </w:r>
          </w:p>
        </w:tc>
        <w:tc>
          <w:tcPr>
            <w:tcW w:w="979" w:type="dxa"/>
            <w:tcMar>
              <w:top w:w="80" w:type="dxa"/>
              <w:left w:w="80" w:type="dxa"/>
              <w:bottom w:w="80" w:type="dxa"/>
              <w:right w:w="80" w:type="dxa"/>
            </w:tcMar>
            <w:vAlign w:val="center"/>
          </w:tcPr>
          <w:p w14:paraId="16087564" w14:textId="77777777" w:rsidR="0046158D" w:rsidRPr="00B16A4C" w:rsidRDefault="0046158D" w:rsidP="00B73F65">
            <w:pPr>
              <w:pStyle w:val="Compact"/>
              <w:widowControl w:val="0"/>
              <w:spacing w:before="0" w:after="0" w:line="240" w:lineRule="auto"/>
              <w:jc w:val="right"/>
            </w:pPr>
            <w:r w:rsidRPr="00B16A4C">
              <w:rPr>
                <w:sz w:val="17"/>
              </w:rPr>
              <w:t>0.0153</w:t>
            </w:r>
          </w:p>
        </w:tc>
        <w:tc>
          <w:tcPr>
            <w:tcW w:w="4637" w:type="dxa"/>
            <w:tcMar>
              <w:top w:w="80" w:type="dxa"/>
              <w:left w:w="80" w:type="dxa"/>
              <w:bottom w:w="80" w:type="dxa"/>
              <w:right w:w="80" w:type="dxa"/>
            </w:tcMar>
            <w:vAlign w:val="center"/>
          </w:tcPr>
          <w:p w14:paraId="5D8C3FA3" w14:textId="77777777" w:rsidR="0046158D" w:rsidRPr="00B16A4C" w:rsidRDefault="0046158D" w:rsidP="00B73F65">
            <w:pPr>
              <w:pStyle w:val="Compact"/>
              <w:widowControl w:val="0"/>
              <w:spacing w:before="0" w:after="0" w:line="240" w:lineRule="auto"/>
            </w:pPr>
            <w:r w:rsidRPr="00B16A4C">
              <w:rPr>
                <w:sz w:val="17"/>
              </w:rPr>
              <w:t>Family status; Ethnic group; NS-SEC of household reference person; Household size; WIMD quintile</w:t>
            </w:r>
          </w:p>
        </w:tc>
      </w:tr>
      <w:tr w:rsidR="0046158D" w:rsidRPr="00B16A4C" w14:paraId="425F3046" w14:textId="77777777" w:rsidTr="00B73F65">
        <w:trPr>
          <w:cantSplit/>
          <w:jc w:val="center"/>
        </w:trPr>
        <w:tc>
          <w:tcPr>
            <w:tcW w:w="547" w:type="dxa"/>
            <w:tcMar>
              <w:top w:w="80" w:type="dxa"/>
              <w:left w:w="80" w:type="dxa"/>
              <w:bottom w:w="80" w:type="dxa"/>
              <w:right w:w="80" w:type="dxa"/>
            </w:tcMar>
            <w:vAlign w:val="center"/>
          </w:tcPr>
          <w:p w14:paraId="0316DAF9" w14:textId="77777777" w:rsidR="0046158D" w:rsidRPr="00B16A4C" w:rsidRDefault="0046158D" w:rsidP="00B73F65">
            <w:pPr>
              <w:pStyle w:val="Compact"/>
              <w:widowControl w:val="0"/>
              <w:spacing w:before="0" w:after="0" w:line="240" w:lineRule="auto"/>
              <w:jc w:val="right"/>
            </w:pPr>
            <w:r w:rsidRPr="00B16A4C">
              <w:rPr>
                <w:sz w:val="17"/>
              </w:rPr>
              <w:t>14</w:t>
            </w:r>
          </w:p>
        </w:tc>
        <w:tc>
          <w:tcPr>
            <w:tcW w:w="1080" w:type="dxa"/>
            <w:tcMar>
              <w:top w:w="80" w:type="dxa"/>
              <w:left w:w="80" w:type="dxa"/>
              <w:bottom w:w="80" w:type="dxa"/>
              <w:right w:w="80" w:type="dxa"/>
            </w:tcMar>
            <w:vAlign w:val="center"/>
          </w:tcPr>
          <w:p w14:paraId="1EDB27C6" w14:textId="77777777" w:rsidR="0046158D" w:rsidRPr="00B16A4C" w:rsidRDefault="0046158D" w:rsidP="00B73F65">
            <w:pPr>
              <w:pStyle w:val="Compact"/>
              <w:widowControl w:val="0"/>
              <w:spacing w:before="0" w:after="0" w:line="240" w:lineRule="auto"/>
            </w:pPr>
            <w:r w:rsidRPr="00B16A4C">
              <w:rPr>
                <w:sz w:val="17"/>
              </w:rPr>
              <w:t>Min VIVI 1</w:t>
            </w:r>
          </w:p>
        </w:tc>
        <w:tc>
          <w:tcPr>
            <w:tcW w:w="1037" w:type="dxa"/>
            <w:tcMar>
              <w:top w:w="80" w:type="dxa"/>
              <w:left w:w="80" w:type="dxa"/>
              <w:bottom w:w="80" w:type="dxa"/>
              <w:right w:w="80" w:type="dxa"/>
            </w:tcMar>
            <w:vAlign w:val="center"/>
          </w:tcPr>
          <w:p w14:paraId="58919BF1" w14:textId="511CCA5C" w:rsidR="0046158D" w:rsidRPr="00B16A4C" w:rsidRDefault="0046158D" w:rsidP="00B73F65">
            <w:pPr>
              <w:pStyle w:val="Compact"/>
              <w:widowControl w:val="0"/>
              <w:spacing w:before="0" w:after="0" w:line="240" w:lineRule="auto"/>
            </w:pPr>
            <w:r w:rsidRPr="00B16A4C">
              <w:rPr>
                <w:sz w:val="17"/>
              </w:rPr>
              <w:t>Low</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65184231" w14:textId="77777777" w:rsidR="0046158D" w:rsidRPr="00B16A4C" w:rsidRDefault="0046158D" w:rsidP="00B73F65">
            <w:pPr>
              <w:pStyle w:val="Compact"/>
              <w:widowControl w:val="0"/>
              <w:spacing w:before="0" w:after="0" w:line="240" w:lineRule="auto"/>
              <w:jc w:val="right"/>
            </w:pPr>
            <w:r w:rsidRPr="00B16A4C">
              <w:rPr>
                <w:sz w:val="17"/>
              </w:rPr>
              <w:t>1.67%</w:t>
            </w:r>
          </w:p>
        </w:tc>
        <w:tc>
          <w:tcPr>
            <w:tcW w:w="979" w:type="dxa"/>
            <w:tcMar>
              <w:top w:w="80" w:type="dxa"/>
              <w:left w:w="80" w:type="dxa"/>
              <w:bottom w:w="80" w:type="dxa"/>
              <w:right w:w="80" w:type="dxa"/>
            </w:tcMar>
            <w:vAlign w:val="center"/>
          </w:tcPr>
          <w:p w14:paraId="6EB0433D" w14:textId="77777777" w:rsidR="0046158D" w:rsidRPr="00B16A4C" w:rsidRDefault="0046158D" w:rsidP="00B73F65">
            <w:pPr>
              <w:pStyle w:val="Compact"/>
              <w:widowControl w:val="0"/>
              <w:spacing w:before="0" w:after="0" w:line="240" w:lineRule="auto"/>
              <w:jc w:val="right"/>
            </w:pPr>
            <w:r w:rsidRPr="00B16A4C">
              <w:rPr>
                <w:sz w:val="17"/>
              </w:rPr>
              <w:t>0.0153</w:t>
            </w:r>
          </w:p>
        </w:tc>
        <w:tc>
          <w:tcPr>
            <w:tcW w:w="4637" w:type="dxa"/>
            <w:tcMar>
              <w:top w:w="80" w:type="dxa"/>
              <w:left w:w="80" w:type="dxa"/>
              <w:bottom w:w="80" w:type="dxa"/>
              <w:right w:w="80" w:type="dxa"/>
            </w:tcMar>
            <w:vAlign w:val="center"/>
          </w:tcPr>
          <w:p w14:paraId="7B107B82" w14:textId="77777777" w:rsidR="0046158D" w:rsidRPr="00B16A4C" w:rsidRDefault="0046158D" w:rsidP="00B73F65">
            <w:pPr>
              <w:pStyle w:val="Compact"/>
              <w:widowControl w:val="0"/>
              <w:spacing w:before="0" w:after="0" w:line="240" w:lineRule="auto"/>
            </w:pPr>
            <w:r w:rsidRPr="00B16A4C">
              <w:rPr>
                <w:sz w:val="17"/>
              </w:rPr>
              <w:t>Rural–urban classification; Family status; Ethnic group; NS-SEC of household reference person; Household size</w:t>
            </w:r>
          </w:p>
        </w:tc>
      </w:tr>
      <w:tr w:rsidR="0046158D" w:rsidRPr="00B16A4C" w14:paraId="58B4EA75" w14:textId="77777777" w:rsidTr="00B73F65">
        <w:trPr>
          <w:cantSplit/>
          <w:jc w:val="center"/>
        </w:trPr>
        <w:tc>
          <w:tcPr>
            <w:tcW w:w="547" w:type="dxa"/>
            <w:tcMar>
              <w:top w:w="80" w:type="dxa"/>
              <w:left w:w="80" w:type="dxa"/>
              <w:bottom w:w="80" w:type="dxa"/>
              <w:right w:w="80" w:type="dxa"/>
            </w:tcMar>
            <w:vAlign w:val="center"/>
          </w:tcPr>
          <w:p w14:paraId="58CBC59E" w14:textId="77777777" w:rsidR="0046158D" w:rsidRPr="00B16A4C" w:rsidRDefault="0046158D" w:rsidP="00B73F65">
            <w:pPr>
              <w:pStyle w:val="Compact"/>
              <w:widowControl w:val="0"/>
              <w:spacing w:before="0" w:after="0" w:line="240" w:lineRule="auto"/>
              <w:jc w:val="right"/>
            </w:pPr>
            <w:r w:rsidRPr="00B16A4C">
              <w:rPr>
                <w:sz w:val="17"/>
              </w:rPr>
              <w:t>15</w:t>
            </w:r>
          </w:p>
        </w:tc>
        <w:tc>
          <w:tcPr>
            <w:tcW w:w="1080" w:type="dxa"/>
            <w:tcMar>
              <w:top w:w="80" w:type="dxa"/>
              <w:left w:w="80" w:type="dxa"/>
              <w:bottom w:w="80" w:type="dxa"/>
              <w:right w:w="80" w:type="dxa"/>
            </w:tcMar>
            <w:vAlign w:val="center"/>
          </w:tcPr>
          <w:p w14:paraId="1C693696" w14:textId="77777777" w:rsidR="0046158D" w:rsidRPr="00B16A4C" w:rsidRDefault="0046158D" w:rsidP="00B73F65">
            <w:pPr>
              <w:pStyle w:val="Compact"/>
              <w:widowControl w:val="0"/>
              <w:spacing w:before="0" w:after="0" w:line="240" w:lineRule="auto"/>
            </w:pPr>
            <w:r w:rsidRPr="00B16A4C">
              <w:rPr>
                <w:sz w:val="17"/>
              </w:rPr>
              <w:t>Min VIVI 3</w:t>
            </w:r>
          </w:p>
        </w:tc>
        <w:tc>
          <w:tcPr>
            <w:tcW w:w="1037" w:type="dxa"/>
            <w:tcMar>
              <w:top w:w="80" w:type="dxa"/>
              <w:left w:w="80" w:type="dxa"/>
              <w:bottom w:w="80" w:type="dxa"/>
              <w:right w:w="80" w:type="dxa"/>
            </w:tcMar>
            <w:vAlign w:val="center"/>
          </w:tcPr>
          <w:p w14:paraId="0B5FD975" w14:textId="0F6AA4BD" w:rsidR="0046158D" w:rsidRPr="00B16A4C" w:rsidRDefault="0046158D" w:rsidP="00B73F65">
            <w:pPr>
              <w:pStyle w:val="Compact"/>
              <w:widowControl w:val="0"/>
              <w:spacing w:before="0" w:after="0" w:line="240" w:lineRule="auto"/>
            </w:pPr>
            <w:r w:rsidRPr="00B16A4C">
              <w:rPr>
                <w:sz w:val="17"/>
              </w:rPr>
              <w:t>Low</w:t>
            </w:r>
            <w:r w:rsidR="00177770">
              <w:rPr>
                <w:sz w:val="17"/>
              </w:rPr>
              <w:t xml:space="preserve"> </w:t>
            </w:r>
            <w:r w:rsidRPr="00B16A4C">
              <w:rPr>
                <w:sz w:val="17"/>
              </w:rPr>
              <w:t>VIVI</w:t>
            </w:r>
          </w:p>
        </w:tc>
        <w:tc>
          <w:tcPr>
            <w:tcW w:w="792" w:type="dxa"/>
            <w:tcMar>
              <w:top w:w="80" w:type="dxa"/>
              <w:left w:w="80" w:type="dxa"/>
              <w:bottom w:w="80" w:type="dxa"/>
              <w:right w:w="80" w:type="dxa"/>
            </w:tcMar>
            <w:vAlign w:val="center"/>
          </w:tcPr>
          <w:p w14:paraId="7726237C" w14:textId="77777777" w:rsidR="0046158D" w:rsidRPr="00B16A4C" w:rsidRDefault="0046158D" w:rsidP="00B73F65">
            <w:pPr>
              <w:pStyle w:val="Compact"/>
              <w:widowControl w:val="0"/>
              <w:spacing w:before="0" w:after="0" w:line="240" w:lineRule="auto"/>
              <w:jc w:val="right"/>
            </w:pPr>
            <w:r w:rsidRPr="00B16A4C">
              <w:rPr>
                <w:sz w:val="17"/>
              </w:rPr>
              <w:t>1.30%</w:t>
            </w:r>
          </w:p>
        </w:tc>
        <w:tc>
          <w:tcPr>
            <w:tcW w:w="979" w:type="dxa"/>
            <w:tcMar>
              <w:top w:w="80" w:type="dxa"/>
              <w:left w:w="80" w:type="dxa"/>
              <w:bottom w:w="80" w:type="dxa"/>
              <w:right w:w="80" w:type="dxa"/>
            </w:tcMar>
            <w:vAlign w:val="center"/>
          </w:tcPr>
          <w:p w14:paraId="0D2C3EEA" w14:textId="77777777" w:rsidR="0046158D" w:rsidRPr="00B16A4C" w:rsidRDefault="0046158D" w:rsidP="00B73F65">
            <w:pPr>
              <w:pStyle w:val="Compact"/>
              <w:widowControl w:val="0"/>
              <w:spacing w:before="0" w:after="0" w:line="240" w:lineRule="auto"/>
              <w:jc w:val="right"/>
            </w:pPr>
            <w:r w:rsidRPr="00B16A4C">
              <w:rPr>
                <w:sz w:val="17"/>
              </w:rPr>
              <w:t>0.0118</w:t>
            </w:r>
          </w:p>
        </w:tc>
        <w:tc>
          <w:tcPr>
            <w:tcW w:w="4637" w:type="dxa"/>
            <w:tcMar>
              <w:top w:w="80" w:type="dxa"/>
              <w:left w:w="80" w:type="dxa"/>
              <w:bottom w:w="80" w:type="dxa"/>
              <w:right w:w="80" w:type="dxa"/>
            </w:tcMar>
            <w:vAlign w:val="center"/>
          </w:tcPr>
          <w:p w14:paraId="75765C04" w14:textId="77777777" w:rsidR="0046158D" w:rsidRPr="00B16A4C" w:rsidRDefault="0046158D" w:rsidP="00B73F65">
            <w:pPr>
              <w:pStyle w:val="Compact"/>
              <w:widowControl w:val="0"/>
              <w:spacing w:before="0" w:after="0" w:line="240" w:lineRule="auto"/>
            </w:pPr>
            <w:r w:rsidRPr="00B16A4C">
              <w:rPr>
                <w:sz w:val="17"/>
              </w:rPr>
              <w:t>Ethnic group; NS-SEC of household reference person; Household size; WIMD quintile; Sex</w:t>
            </w:r>
          </w:p>
        </w:tc>
      </w:tr>
    </w:tbl>
    <w:p w14:paraId="2F935EA6" w14:textId="4252BAE3" w:rsidR="0046158D" w:rsidRPr="00B16A4C" w:rsidRDefault="0046158D" w:rsidP="0046158D">
      <w:pPr>
        <w:pStyle w:val="BodyText"/>
        <w:spacing w:line="240" w:lineRule="auto"/>
      </w:pPr>
      <w:r w:rsidRPr="00B16A4C">
        <w:rPr>
          <w:i/>
          <w:iCs/>
          <w:sz w:val="18"/>
        </w:rPr>
        <w:t>DA percentages use the unrounded null</w:t>
      </w:r>
      <w:r w:rsidR="00177770">
        <w:rPr>
          <w:i/>
          <w:iCs/>
          <w:sz w:val="18"/>
        </w:rPr>
        <w:t xml:space="preserve"> </w:t>
      </w:r>
      <w:r w:rsidRPr="00B16A4C">
        <w:rPr>
          <w:i/>
          <w:iCs/>
          <w:sz w:val="18"/>
        </w:rPr>
        <w:t>model ICC</w:t>
      </w:r>
      <w:r w:rsidR="00525B30">
        <w:rPr>
          <w:i/>
          <w:iCs/>
          <w:sz w:val="18"/>
        </w:rPr>
        <w:t>.</w:t>
      </w:r>
      <w:r w:rsidRPr="00B16A4C">
        <w:rPr>
          <w:i/>
          <w:iCs/>
          <w:sz w:val="18"/>
        </w:rPr>
        <w:t xml:space="preserve"> Configuration classes describe the construction procedure, not the substantive importance of every included dimension.</w:t>
      </w:r>
    </w:p>
    <w:p w14:paraId="222A63F0" w14:textId="43A2DF78" w:rsidR="00062A8D" w:rsidRDefault="00000000" w:rsidP="00A55EA1">
      <w:pPr>
        <w:pStyle w:val="Heading2"/>
      </w:pPr>
      <w:r>
        <w:t xml:space="preserve">S4. MAIHDA model specification, </w:t>
      </w:r>
      <w:proofErr w:type="spellStart"/>
      <w:r>
        <w:t>estimands</w:t>
      </w:r>
      <w:proofErr w:type="spellEnd"/>
      <w:r>
        <w:t xml:space="preserve"> and predictions</w:t>
      </w:r>
    </w:p>
    <w:p w14:paraId="4F48BC30" w14:textId="77777777" w:rsidR="00062A8D" w:rsidRDefault="00000000">
      <w:pPr>
        <w:pStyle w:val="FirstParagraph"/>
      </w:pPr>
      <w:r>
        <w:t xml:space="preserve">For each configuration, individuals </w:t>
      </w:r>
      <m:oMath>
        <m:r>
          <w:rPr>
            <w:rFonts w:ascii="Cambria Math" w:hAnsi="Cambria Math"/>
          </w:rPr>
          <m:t>i</m:t>
        </m:r>
      </m:oMath>
      <w:r>
        <w:t xml:space="preserve"> were nested within intersectional strata </w:t>
      </w:r>
      <m:oMath>
        <m:r>
          <w:rPr>
            <w:rFonts w:ascii="Cambria Math" w:hAnsi="Cambria Math"/>
          </w:rPr>
          <m:t>j</m:t>
        </m:r>
      </m:oMath>
      <w:r>
        <w:t xml:space="preserve">. All null, partially adjusted and fully adjusted models were fitted with </w:t>
      </w:r>
      <w:proofErr w:type="spellStart"/>
      <w:proofErr w:type="gramStart"/>
      <w:r>
        <w:rPr>
          <w:rStyle w:val="VerbatimChar"/>
        </w:rPr>
        <w:t>glmmTMB</w:t>
      </w:r>
      <w:proofErr w:type="spellEnd"/>
      <w:r>
        <w:rPr>
          <w:rStyle w:val="VerbatimChar"/>
        </w:rPr>
        <w:t>(</w:t>
      </w:r>
      <w:proofErr w:type="gramEnd"/>
      <w:r>
        <w:rPr>
          <w:rStyle w:val="VerbatimChar"/>
        </w:rPr>
        <w:t>)</w:t>
      </w:r>
      <w:r>
        <w:t xml:space="preserve"> using </w:t>
      </w:r>
      <w:r>
        <w:rPr>
          <w:rStyle w:val="VerbatimChar"/>
        </w:rPr>
        <w:t>family = nbinom1</w:t>
      </w:r>
      <w:r>
        <w:t>. The default log link was therefore applied, with conditional variance</w:t>
      </w:r>
    </w:p>
    <w:p w14:paraId="34685AA6" w14:textId="77777777" w:rsidR="00062A8D" w:rsidRDefault="00000000">
      <w:pPr>
        <w:pStyle w:val="BodyText"/>
        <w:jc w:val="center"/>
      </w:pPr>
      <m:oMathPara>
        <m:oMathParaPr>
          <m:jc m:val="center"/>
        </m:oMathParaPr>
        <m:oMath>
          <m:r>
            <w:rPr>
              <w:rFonts w:ascii="Cambria Math" w:hAnsi="Cambria Math"/>
            </w:rPr>
            <m:t>Var</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e>
          </m:d>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ij</m:t>
              </m:r>
            </m:sub>
          </m:sSub>
          <m:d>
            <m:dPr>
              <m:ctrlPr>
                <w:rPr>
                  <w:rFonts w:ascii="Cambria Math" w:hAnsi="Cambria Math"/>
                </w:rPr>
              </m:ctrlPr>
            </m:dPr>
            <m:e>
              <m:r>
                <w:rPr>
                  <w:rFonts w:ascii="Cambria Math" w:hAnsi="Cambria Math"/>
                </w:rPr>
                <m:t>1+ϕ</m:t>
              </m:r>
            </m:e>
          </m:d>
          <m:r>
            <w:rPr>
              <w:rFonts w:ascii="Cambria Math" w:hAnsi="Cambria Math"/>
            </w:rPr>
            <m:t>,</m:t>
          </m:r>
        </m:oMath>
      </m:oMathPara>
    </w:p>
    <w:p w14:paraId="226A6AA6" w14:textId="77777777" w:rsidR="00062A8D" w:rsidRDefault="00000000">
      <w:pPr>
        <w:pStyle w:val="FirstParagraph"/>
      </w:pPr>
      <w:r>
        <w:t xml:space="preserve">where </w:t>
      </w:r>
      <m:oMath>
        <m:sSub>
          <m:sSubPr>
            <m:ctrlPr>
              <w:rPr>
                <w:rFonts w:ascii="Cambria Math" w:hAnsi="Cambria Math"/>
              </w:rPr>
            </m:ctrlPr>
          </m:sSubPr>
          <m:e>
            <m:r>
              <w:rPr>
                <w:rFonts w:ascii="Cambria Math" w:hAnsi="Cambria Math"/>
              </w:rPr>
              <m:t>μ</m:t>
            </m:r>
          </m:e>
          <m:sub>
            <m:r>
              <w:rPr>
                <w:rFonts w:ascii="Cambria Math" w:hAnsi="Cambria Math"/>
              </w:rPr>
              <m:t>ij</m:t>
            </m:r>
          </m:sub>
        </m:sSub>
      </m:oMath>
      <w:r>
        <w:t xml:space="preserve"> is the expected count and </w:t>
      </w:r>
      <m:oMath>
        <m:r>
          <w:rPr>
            <w:rFonts w:ascii="Cambria Math" w:hAnsi="Cambria Math"/>
          </w:rPr>
          <m:t>ϕ</m:t>
        </m:r>
      </m:oMath>
      <w:r>
        <w:t xml:space="preserve"> is the dispersion parameter. No zero-inflation component was specified (</w:t>
      </w:r>
      <w:proofErr w:type="spellStart"/>
      <w:r>
        <w:rPr>
          <w:rStyle w:val="VerbatimChar"/>
        </w:rPr>
        <w:t>ziformula</w:t>
      </w:r>
      <w:proofErr w:type="spellEnd"/>
      <w:r>
        <w:rPr>
          <w:rStyle w:val="VerbatimChar"/>
        </w:rPr>
        <w:t xml:space="preserve"> = ~0</w:t>
      </w:r>
      <w:r>
        <w:t>), and dispersion was constant (</w:t>
      </w:r>
      <w:proofErr w:type="spellStart"/>
      <w:r>
        <w:rPr>
          <w:rStyle w:val="VerbatimChar"/>
        </w:rPr>
        <w:t>dispformula</w:t>
      </w:r>
      <w:proofErr w:type="spellEnd"/>
      <w:r>
        <w:rPr>
          <w:rStyle w:val="VerbatimChar"/>
        </w:rPr>
        <w:t xml:space="preserve"> = ~1</w:t>
      </w:r>
      <w:r>
        <w:t xml:space="preserve">). Because </w:t>
      </w:r>
      <w:r>
        <w:rPr>
          <w:rStyle w:val="VerbatimChar"/>
        </w:rPr>
        <w:t>REML</w:t>
      </w:r>
      <w:r>
        <w:t xml:space="preserve"> was not enabled, models were estimated by maximum likelihood. Gaussian random effects were integrated through the Laplace approximation implemented by Template Model Builder, using the default </w:t>
      </w:r>
      <w:proofErr w:type="spellStart"/>
      <w:r>
        <w:rPr>
          <w:rStyle w:val="VerbatimChar"/>
        </w:rPr>
        <w:t>nlminb</w:t>
      </w:r>
      <w:proofErr w:type="spellEnd"/>
      <w:r>
        <w:t xml:space="preserve"> </w:t>
      </w:r>
      <w:proofErr w:type="spellStart"/>
      <w:r>
        <w:t>optimiser</w:t>
      </w:r>
      <w:proofErr w:type="spellEnd"/>
      <w:r>
        <w:t>. Parallel evaluation used all but one detected processor core.</w:t>
      </w:r>
    </w:p>
    <w:p w14:paraId="678A1BB3" w14:textId="4DED9413" w:rsidR="00062A8D" w:rsidRDefault="00000000">
      <w:pPr>
        <w:pStyle w:val="BodyText"/>
      </w:pPr>
      <w:r>
        <w:t>The retained model tabulations contained finite fixed-</w:t>
      </w:r>
      <w:proofErr w:type="gramStart"/>
      <w:r>
        <w:t>effect</w:t>
      </w:r>
      <w:proofErr w:type="gramEnd"/>
      <w:r>
        <w:t xml:space="preserve">, variance and likelihood-based fit statistics and did not display a failed fit. For reproducible refitting, convergence assessment should include the </w:t>
      </w:r>
      <w:proofErr w:type="spellStart"/>
      <w:r>
        <w:t>optimiser</w:t>
      </w:r>
      <w:proofErr w:type="spellEnd"/>
      <w:r>
        <w:t xml:space="preserve"> convergence code, the </w:t>
      </w:r>
      <w:proofErr w:type="spellStart"/>
      <w:r>
        <w:t>optimiser</w:t>
      </w:r>
      <w:proofErr w:type="spellEnd"/>
      <w:r>
        <w:t xml:space="preserve"> message, finite parameter estimates and a positive-definite Hessian </w:t>
      </w:r>
      <w:r>
        <w:lastRenderedPageBreak/>
        <w:t>(</w:t>
      </w:r>
      <w:proofErr w:type="spellStart"/>
      <w:r>
        <w:rPr>
          <w:rStyle w:val="VerbatimChar"/>
        </w:rPr>
        <w:t>model$sdr$pdHess</w:t>
      </w:r>
      <w:proofErr w:type="spellEnd"/>
      <w:r>
        <w:t xml:space="preserve">). The complete analysis workflow is accompanied in </w:t>
      </w:r>
      <w:r w:rsidR="0009099B">
        <w:t>Supplementary Material</w:t>
      </w:r>
      <w:r>
        <w:t xml:space="preserve"> 2 by a convergence-audit helper so that any model failing these checks can be identified before final export; convergence diagnostics are methodological checks rather than substantive selection criteria.</w:t>
      </w:r>
    </w:p>
    <w:p w14:paraId="3855811D" w14:textId="77777777" w:rsidR="00062A8D" w:rsidRDefault="00000000">
      <w:pPr>
        <w:pStyle w:val="Heading3"/>
      </w:pPr>
      <w:bookmarkStart w:id="12" w:name="X5f2ae8d8531c88d3087c8556013647ca15f59a8"/>
      <w:r>
        <w:t>S4.1 Null model: total between-stratum differentiation</w:t>
      </w:r>
    </w:p>
    <w:p w14:paraId="4346FC45" w14:textId="77777777" w:rsidR="00062A8D" w:rsidRDefault="00000000">
      <w:pPr>
        <w:pStyle w:val="FirstParagraph"/>
      </w:pPr>
      <w:r>
        <w:t>The null model was</w:t>
      </w:r>
    </w:p>
    <w:p w14:paraId="1548A887" w14:textId="77777777" w:rsidR="00062A8D" w:rsidRDefault="00000000">
      <w:pPr>
        <w:pStyle w:val="BodyText"/>
        <w:jc w:val="center"/>
      </w:pPr>
      <m:oMathPara>
        <m:oMathParaPr>
          <m:jc m:val="center"/>
        </m:oMathParaPr>
        <m:oMath>
          <m:r>
            <w:rPr>
              <w:rFonts w:ascii="Cambria Math" w:hAnsi="Cambria Math"/>
            </w:rPr>
            <m:t>log{E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e>
          </m:d>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r>
            <w:rPr>
              <w:rFonts w:ascii="Cambria Math" w:hAnsi="Cambria Math"/>
            </w:rPr>
            <m:t>∼N</m:t>
          </m:r>
          <m:d>
            <m:dPr>
              <m:ctrlPr>
                <w:rPr>
                  <w:rFonts w:ascii="Cambria Math" w:hAnsi="Cambria Math"/>
                </w:rPr>
              </m:ctrlPr>
            </m:dPr>
            <m:e>
              <m:r>
                <w:rPr>
                  <w:rFonts w:ascii="Cambria Math" w:hAnsi="Cambria Math"/>
                </w:rPr>
                <m:t>0,</m:t>
              </m:r>
              <m:sSub>
                <m:sSubPr>
                  <m:ctrlPr>
                    <w:rPr>
                      <w:rFonts w:ascii="Cambria Math" w:hAnsi="Cambria Math"/>
                    </w:rPr>
                  </m:ctrlPr>
                </m:sSubPr>
                <m:e>
                  <m:r>
                    <w:rPr>
                      <w:rFonts w:ascii="Cambria Math" w:hAnsi="Cambria Math"/>
                    </w:rPr>
                    <m:t>τ</m:t>
                  </m:r>
                </m:e>
                <m:sub>
                  <m:r>
                    <w:rPr>
                      <w:rFonts w:ascii="Cambria Math" w:hAnsi="Cambria Math"/>
                    </w:rPr>
                    <m:t>00</m:t>
                  </m:r>
                </m:sub>
              </m:sSub>
            </m:e>
          </m:d>
          <m:r>
            <w:rPr>
              <w:rFonts w:ascii="Cambria Math" w:hAnsi="Cambria Math"/>
            </w:rPr>
            <m:t>,</m:t>
          </m:r>
        </m:oMath>
      </m:oMathPara>
    </w:p>
    <w:p w14:paraId="1F760522" w14:textId="77777777" w:rsidR="00062A8D" w:rsidRDefault="00000000">
      <w:pPr>
        <w:pStyle w:val="FirstParagraph"/>
      </w:pPr>
      <w:r>
        <w:t xml:space="preserve">where </w:t>
      </w:r>
      <m:oMath>
        <m:sSub>
          <m:sSubPr>
            <m:ctrlPr>
              <w:rPr>
                <w:rFonts w:ascii="Cambria Math" w:hAnsi="Cambria Math"/>
              </w:rPr>
            </m:ctrlPr>
          </m:sSubPr>
          <m:e>
            <m:r>
              <w:rPr>
                <w:rFonts w:ascii="Cambria Math" w:hAnsi="Cambria Math"/>
              </w:rPr>
              <m:t>τ</m:t>
            </m:r>
          </m:e>
          <m:sub>
            <m:r>
              <w:rPr>
                <w:rFonts w:ascii="Cambria Math" w:hAnsi="Cambria Math"/>
              </w:rPr>
              <m:t>00</m:t>
            </m:r>
          </m:sub>
        </m:sSub>
      </m:oMath>
      <w:r>
        <w:t xml:space="preserve"> is the random-intercept variance. Adjusted ICCs were extracted with </w:t>
      </w:r>
      <w:proofErr w:type="gramStart"/>
      <w:r>
        <w:rPr>
          <w:rStyle w:val="VerbatimChar"/>
        </w:rPr>
        <w:t>performance::</w:t>
      </w:r>
      <w:proofErr w:type="spellStart"/>
      <w:proofErr w:type="gramEnd"/>
      <w:r>
        <w:rPr>
          <w:rStyle w:val="VerbatimChar"/>
        </w:rPr>
        <w:t>icc</w:t>
      </w:r>
      <w:proofErr w:type="spellEnd"/>
      <w:r>
        <w:rPr>
          <w:rStyle w:val="VerbatimChar"/>
        </w:rPr>
        <w:t>(model)$</w:t>
      </w:r>
      <w:proofErr w:type="spellStart"/>
      <w:r>
        <w:rPr>
          <w:rStyle w:val="VerbatimChar"/>
        </w:rPr>
        <w:t>ICC_adjusted</w:t>
      </w:r>
      <w:proofErr w:type="spellEnd"/>
      <w:r>
        <w:t xml:space="preserve">. For the non-Gaussian negative-binomial models, the function's default lognormal approximation was used to obtain the distribution-specific residual variance. Between-stratum variance was extracted with </w:t>
      </w:r>
      <w:proofErr w:type="gramStart"/>
      <w:r>
        <w:rPr>
          <w:rStyle w:val="VerbatimChar"/>
        </w:rPr>
        <w:t>insight::</w:t>
      </w:r>
      <w:proofErr w:type="spellStart"/>
      <w:proofErr w:type="gramEnd"/>
      <w:r>
        <w:rPr>
          <w:rStyle w:val="VerbatimChar"/>
        </w:rPr>
        <w:t>get_variance</w:t>
      </w:r>
      <w:proofErr w:type="spellEnd"/>
      <w:r>
        <w:rPr>
          <w:rStyle w:val="VerbatimChar"/>
        </w:rPr>
        <w:t>(model)$</w:t>
      </w:r>
      <w:proofErr w:type="spellStart"/>
      <w:proofErr w:type="gramStart"/>
      <w:r>
        <w:rPr>
          <w:rStyle w:val="VerbatimChar"/>
        </w:rPr>
        <w:t>var.random</w:t>
      </w:r>
      <w:proofErr w:type="spellEnd"/>
      <w:proofErr w:type="gramEnd"/>
      <w:r>
        <w:t>.</w:t>
      </w:r>
    </w:p>
    <w:p w14:paraId="0DAFA4C6" w14:textId="77777777" w:rsidR="00062A8D" w:rsidRDefault="00000000">
      <w:pPr>
        <w:pStyle w:val="BodyText"/>
      </w:pPr>
      <w:r>
        <w:t xml:space="preserve">In an intercept-only model containing one random effect, the adjusted ICC is equivalent to the conditional </w:t>
      </w:r>
      <m:oMath>
        <m:sSup>
          <m:sSupPr>
            <m:ctrlPr>
              <w:rPr>
                <w:rFonts w:ascii="Cambria Math" w:hAnsi="Cambria Math"/>
              </w:rPr>
            </m:ctrlPr>
          </m:sSupPr>
          <m:e>
            <m:r>
              <w:rPr>
                <w:rFonts w:ascii="Cambria Math" w:hAnsi="Cambria Math"/>
              </w:rPr>
              <m:t>R</m:t>
            </m:r>
          </m:e>
          <m:sup>
            <m:r>
              <w:rPr>
                <w:rFonts w:ascii="Cambria Math" w:hAnsi="Cambria Math"/>
              </w:rPr>
              <m:t>2</m:t>
            </m:r>
          </m:sup>
        </m:sSup>
      </m:oMath>
      <w:r>
        <w:t xml:space="preserve">. Unrounded conditional </w:t>
      </w:r>
      <m:oMath>
        <m:sSup>
          <m:sSupPr>
            <m:ctrlPr>
              <w:rPr>
                <w:rFonts w:ascii="Cambria Math" w:hAnsi="Cambria Math"/>
              </w:rPr>
            </m:ctrlPr>
          </m:sSupPr>
          <m:e>
            <m:r>
              <w:rPr>
                <w:rFonts w:ascii="Cambria Math" w:hAnsi="Cambria Math"/>
              </w:rPr>
              <m:t>R</m:t>
            </m:r>
          </m:e>
          <m:sup>
            <m:r>
              <w:rPr>
                <w:rFonts w:ascii="Cambria Math" w:hAnsi="Cambria Math"/>
              </w:rPr>
              <m:t>2</m:t>
            </m:r>
          </m:sup>
        </m:sSup>
      </m:oMath>
      <w:r>
        <w:t xml:space="preserve"> values were expressed as percentages for discriminatory accuracy (DA), whereas the raw parameter tables print ICCs rounded to two decimal places. A large null-model ICC indicates that the selected categorisation differentiates strata with different average LTC counts. It does not by itself demonstrate synergistic or causal interaction.</w:t>
      </w:r>
      <w:bookmarkEnd w:id="12"/>
    </w:p>
    <w:p w14:paraId="2650F4FB" w14:textId="77777777" w:rsidR="00062A8D" w:rsidRDefault="00000000">
      <w:pPr>
        <w:pStyle w:val="Heading3"/>
      </w:pPr>
      <w:r>
        <w:t>S4.2 Partially adjusted models: dimension-specific PCV</w:t>
      </w:r>
    </w:p>
    <w:p w14:paraId="0AD30BBE" w14:textId="77777777" w:rsidR="00062A8D" w:rsidRDefault="00000000">
      <w:pPr>
        <w:pStyle w:val="FirstParagraph"/>
      </w:pPr>
      <w:r>
        <w:t>Each of the five stratum-defining dimensions was entered separately as fixed effects while the same composite-stratum random intercept was retained:</w:t>
      </w:r>
    </w:p>
    <w:p w14:paraId="5D76213C" w14:textId="77777777" w:rsidR="00062A8D" w:rsidRDefault="00000000">
      <w:pPr>
        <w:pStyle w:val="BodyText"/>
        <w:jc w:val="center"/>
      </w:pPr>
      <m:oMathPara>
        <m:oMathParaPr>
          <m:jc m:val="center"/>
        </m:oMathParaPr>
        <m:oMath>
          <m:r>
            <w:rPr>
              <w:rFonts w:ascii="Cambria Math" w:hAnsi="Cambria Math"/>
            </w:rPr>
            <m:t>log{E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e>
          </m:d>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k</m:t>
              </m:r>
            </m:sub>
          </m:sSub>
          <m:sSub>
            <m:sSubPr>
              <m:ctrlPr>
                <w:rPr>
                  <w:rFonts w:ascii="Cambria Math" w:hAnsi="Cambria Math"/>
                </w:rPr>
              </m:ctrlPr>
            </m:sSubPr>
            <m:e>
              <m:r>
                <w:rPr>
                  <w:rFonts w:ascii="Cambria Math" w:hAnsi="Cambria Math"/>
                </w:rPr>
                <m:t>X</m:t>
              </m:r>
            </m:e>
            <m:sub>
              <m:r>
                <w:rPr>
                  <w:rFonts w:ascii="Cambria Math" w:hAnsi="Cambria Math"/>
                </w:rPr>
                <m:t>kj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r>
            <w:rPr>
              <w:rFonts w:ascii="Cambria Math" w:hAnsi="Cambria Math"/>
            </w:rPr>
            <m:t>.</m:t>
          </m:r>
        </m:oMath>
      </m:oMathPara>
    </w:p>
    <w:p w14:paraId="17E5D0E4" w14:textId="77777777" w:rsidR="00062A8D" w:rsidRDefault="00000000">
      <w:pPr>
        <w:pStyle w:val="FirstParagraph"/>
      </w:pPr>
      <w:r>
        <w:t xml:space="preserve">For dimension </w:t>
      </w:r>
      <m:oMath>
        <m:r>
          <w:rPr>
            <w:rFonts w:ascii="Cambria Math" w:hAnsi="Cambria Math"/>
          </w:rPr>
          <m:t>k</m:t>
        </m:r>
      </m:oMath>
      <w:r>
        <w:t>, the proportional change in variance was calculated as</w:t>
      </w:r>
    </w:p>
    <w:p w14:paraId="668B895A" w14:textId="77777777" w:rsidR="00062A8D" w:rsidRDefault="00000000">
      <w:pPr>
        <w:pStyle w:val="BodyText"/>
        <w:jc w:val="center"/>
      </w:pPr>
      <m:oMathPara>
        <m:oMathParaPr>
          <m:jc m:val="center"/>
        </m:oMathParaPr>
        <m:oMath>
          <m:sSub>
            <m:sSubPr>
              <m:ctrlPr>
                <w:rPr>
                  <w:rFonts w:ascii="Cambria Math" w:hAnsi="Cambria Math"/>
                </w:rPr>
              </m:ctrlPr>
            </m:sSubPr>
            <m:e>
              <m:r>
                <w:rPr>
                  <w:rFonts w:ascii="Cambria Math" w:hAnsi="Cambria Math"/>
                </w:rPr>
                <m:t>PCV</m:t>
              </m:r>
            </m:e>
            <m:sub>
              <m:r>
                <w:rPr>
                  <w:rFonts w:ascii="Cambria Math" w:hAnsi="Cambria Math"/>
                </w:rPr>
                <m:t>k</m:t>
              </m:r>
            </m:sub>
          </m:sSub>
          <m:r>
            <w:rPr>
              <w:rFonts w:ascii="Cambria Math" w:hAnsi="Cambria Math"/>
            </w:rPr>
            <m:t>=100×</m:t>
          </m:r>
          <m:f>
            <m:fPr>
              <m:ctrlPr>
                <w:rPr>
                  <w:rFonts w:ascii="Cambria Math" w:hAnsi="Cambria Math"/>
                </w:rPr>
              </m:ctrlPr>
            </m:fPr>
            <m:num>
              <m:sSubSup>
                <m:sSubSupPr>
                  <m:ctrlPr>
                    <w:rPr>
                      <w:rFonts w:ascii="Cambria Math" w:hAnsi="Cambria Math"/>
                    </w:rPr>
                  </m:ctrlPr>
                </m:sSubSupPr>
                <m:e>
                  <m:r>
                    <w:rPr>
                      <w:rFonts w:ascii="Cambria Math" w:hAnsi="Cambria Math"/>
                    </w:rPr>
                    <m:t>τ</m:t>
                  </m:r>
                </m:e>
                <m:sub>
                  <m:r>
                    <w:rPr>
                      <w:rFonts w:ascii="Cambria Math" w:hAnsi="Cambria Math"/>
                    </w:rPr>
                    <m:t>00</m:t>
                  </m:r>
                </m:sub>
                <m:sup>
                  <m:d>
                    <m:dPr>
                      <m:ctrlPr>
                        <w:rPr>
                          <w:rFonts w:ascii="Cambria Math" w:hAnsi="Cambria Math"/>
                        </w:rPr>
                      </m:ctrlPr>
                    </m:dPr>
                    <m:e>
                      <m:r>
                        <w:rPr>
                          <w:rFonts w:ascii="Cambria Math" w:hAnsi="Cambria Math"/>
                        </w:rPr>
                        <m:t>0</m:t>
                      </m:r>
                    </m:e>
                  </m:d>
                </m:sup>
              </m:sSubSup>
              <m:r>
                <w:rPr>
                  <w:rFonts w:ascii="Cambria Math" w:hAnsi="Cambria Math"/>
                </w:rPr>
                <m:t>-</m:t>
              </m:r>
              <m:sSubSup>
                <m:sSubSupPr>
                  <m:ctrlPr>
                    <w:rPr>
                      <w:rFonts w:ascii="Cambria Math" w:hAnsi="Cambria Math"/>
                    </w:rPr>
                  </m:ctrlPr>
                </m:sSubSupPr>
                <m:e>
                  <m:r>
                    <w:rPr>
                      <w:rFonts w:ascii="Cambria Math" w:hAnsi="Cambria Math"/>
                    </w:rPr>
                    <m:t>τ</m:t>
                  </m:r>
                </m:e>
                <m:sub>
                  <m:r>
                    <w:rPr>
                      <w:rFonts w:ascii="Cambria Math" w:hAnsi="Cambria Math"/>
                    </w:rPr>
                    <m:t>00</m:t>
                  </m:r>
                </m:sub>
                <m:sup>
                  <m:d>
                    <m:dPr>
                      <m:ctrlPr>
                        <w:rPr>
                          <w:rFonts w:ascii="Cambria Math" w:hAnsi="Cambria Math"/>
                        </w:rPr>
                      </m:ctrlPr>
                    </m:dPr>
                    <m:e>
                      <m:r>
                        <w:rPr>
                          <w:rFonts w:ascii="Cambria Math" w:hAnsi="Cambria Math"/>
                        </w:rPr>
                        <m:t>k</m:t>
                      </m:r>
                    </m:e>
                  </m:d>
                </m:sup>
              </m:sSubSup>
            </m:num>
            <m:den>
              <m:sSubSup>
                <m:sSubSupPr>
                  <m:ctrlPr>
                    <w:rPr>
                      <w:rFonts w:ascii="Cambria Math" w:hAnsi="Cambria Math"/>
                    </w:rPr>
                  </m:ctrlPr>
                </m:sSubSupPr>
                <m:e>
                  <m:r>
                    <w:rPr>
                      <w:rFonts w:ascii="Cambria Math" w:hAnsi="Cambria Math"/>
                    </w:rPr>
                    <m:t>τ</m:t>
                  </m:r>
                </m:e>
                <m:sub>
                  <m:r>
                    <w:rPr>
                      <w:rFonts w:ascii="Cambria Math" w:hAnsi="Cambria Math"/>
                    </w:rPr>
                    <m:t>00</m:t>
                  </m:r>
                </m:sub>
                <m:sup>
                  <m:d>
                    <m:dPr>
                      <m:ctrlPr>
                        <w:rPr>
                          <w:rFonts w:ascii="Cambria Math" w:hAnsi="Cambria Math"/>
                        </w:rPr>
                      </m:ctrlPr>
                    </m:dPr>
                    <m:e>
                      <m:r>
                        <w:rPr>
                          <w:rFonts w:ascii="Cambria Math" w:hAnsi="Cambria Math"/>
                        </w:rPr>
                        <m:t>0</m:t>
                      </m:r>
                    </m:e>
                  </m:d>
                </m:sup>
              </m:sSubSup>
            </m:den>
          </m:f>
          <m:r>
            <w:rPr>
              <w:rFonts w:ascii="Cambria Math" w:hAnsi="Cambria Math"/>
            </w:rPr>
            <m:t>.</m:t>
          </m:r>
        </m:oMath>
      </m:oMathPara>
    </w:p>
    <w:p w14:paraId="12212953" w14:textId="77777777" w:rsidR="00062A8D" w:rsidRDefault="00000000">
      <w:pPr>
        <w:pStyle w:val="FirstParagraph"/>
      </w:pPr>
      <w:bookmarkStart w:id="13" w:name="X34311dfb856f5cb411d0d8a17ebac0fab253720"/>
      <w:r>
        <w:t>These PCVs are overlapping, configuration-dependent reductions from separate models and should not be summed as a unique variance partition. Negative PCV denotes a small increase in estimated random-intercept variance after the relevant fixed effect was entered.</w:t>
      </w:r>
      <w:bookmarkEnd w:id="13"/>
    </w:p>
    <w:p w14:paraId="1D3B10A6" w14:textId="77777777" w:rsidR="00062A8D" w:rsidRDefault="00000000">
      <w:pPr>
        <w:pStyle w:val="Heading3"/>
      </w:pPr>
      <w:bookmarkStart w:id="14" w:name="X4f9f61e1f8ea9245c8b9b0c978503e5a1a75acd"/>
      <w:r>
        <w:t>S4.3 Fully adjusted models: residual departure from additivity</w:t>
      </w:r>
    </w:p>
    <w:p w14:paraId="7DFA6C52" w14:textId="77777777" w:rsidR="00062A8D" w:rsidRDefault="00000000">
      <w:pPr>
        <w:pStyle w:val="FirstParagraph"/>
      </w:pPr>
      <w:r>
        <w:t>All five dimensions were then entered simultaneously as fixed main effects while retaining the composite-stratum random intercept:</w:t>
      </w:r>
    </w:p>
    <w:p w14:paraId="0B1A7297" w14:textId="77777777" w:rsidR="00062A8D" w:rsidRDefault="00000000">
      <w:pPr>
        <w:pStyle w:val="BodyText"/>
        <w:jc w:val="center"/>
      </w:pPr>
      <m:oMathPara>
        <m:oMathParaPr>
          <m:jc m:val="center"/>
        </m:oMathParaPr>
        <m:oMath>
          <m:r>
            <w:rPr>
              <w:rFonts w:ascii="Cambria Math" w:hAnsi="Cambria Math"/>
            </w:rPr>
            <m:t>log{E</m:t>
          </m:r>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e>
          </m:d>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sSub>
            <m:sSubPr>
              <m:ctrlPr>
                <w:rPr>
                  <w:rFonts w:ascii="Cambria Math" w:hAnsi="Cambria Math"/>
                </w:rPr>
              </m:ctrlPr>
            </m:sSubPr>
            <m:e>
              <m:r>
                <w:rPr>
                  <w:rFonts w:ascii="Cambria Math" w:hAnsi="Cambria Math"/>
                </w:rPr>
                <m:t>X</m:t>
              </m:r>
            </m:e>
            <m:sub>
              <m:r>
                <w:rPr>
                  <w:rFonts w:ascii="Cambria Math" w:hAnsi="Cambria Math"/>
                </w:rPr>
                <m:t>1j</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5</m:t>
              </m:r>
            </m:sub>
          </m:sSub>
          <m:sSub>
            <m:sSubPr>
              <m:ctrlPr>
                <w:rPr>
                  <w:rFonts w:ascii="Cambria Math" w:hAnsi="Cambria Math"/>
                </w:rPr>
              </m:ctrlPr>
            </m:sSubPr>
            <m:e>
              <m:r>
                <w:rPr>
                  <w:rFonts w:ascii="Cambria Math" w:hAnsi="Cambria Math"/>
                </w:rPr>
                <m:t>X</m:t>
              </m:r>
            </m:e>
            <m:sub>
              <m:r>
                <w:rPr>
                  <w:rFonts w:ascii="Cambria Math" w:hAnsi="Cambria Math"/>
                </w:rPr>
                <m:t>5j</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r>
            <w:rPr>
              <w:rFonts w:ascii="Cambria Math" w:hAnsi="Cambria Math"/>
            </w:rPr>
            <m:t>.</m:t>
          </m:r>
        </m:oMath>
      </m:oMathPara>
    </w:p>
    <w:p w14:paraId="10AAB472" w14:textId="0EC48E97" w:rsidR="00062A8D" w:rsidRDefault="00000000">
      <w:pPr>
        <w:pStyle w:val="FirstParagraph"/>
      </w:pPr>
      <w:r>
        <w:t xml:space="preserve">Exponentiated fixed effects are reported as incidence rate ratios. The remaining </w:t>
      </w:r>
      <m:oMath>
        <m:sSub>
          <m:sSubPr>
            <m:ctrlPr>
              <w:rPr>
                <w:rFonts w:ascii="Cambria Math" w:hAnsi="Cambria Math"/>
              </w:rPr>
            </m:ctrlPr>
          </m:sSubPr>
          <m:e>
            <m:r>
              <w:rPr>
                <w:rFonts w:ascii="Cambria Math" w:hAnsi="Cambria Math"/>
              </w:rPr>
              <m:t>τ</m:t>
            </m:r>
          </m:e>
          <m:sub>
            <m:r>
              <w:rPr>
                <w:rFonts w:ascii="Cambria Math" w:hAnsi="Cambria Math"/>
              </w:rPr>
              <m:t>00</m:t>
            </m:r>
          </m:sub>
        </m:sSub>
      </m:oMath>
      <w:r>
        <w:t xml:space="preserve"> and adjusted ICC </w:t>
      </w:r>
      <w:r w:rsidR="005617C5">
        <w:t>represents</w:t>
      </w:r>
      <w:r>
        <w:t xml:space="preserve"> residual deviation of stratum means from the additive pattern implied by the five main effects. They are therefore the principal fitted-scale indicators of non-additivity. In the leading models, full-model variance was 0.01 or rounded to 0.00, showing that most null-model stratification was represented by additive or compositional contrasts.</w:t>
      </w:r>
      <w:bookmarkEnd w:id="14"/>
    </w:p>
    <w:p w14:paraId="7FD9259E" w14:textId="77777777" w:rsidR="00062A8D" w:rsidRDefault="00000000">
      <w:pPr>
        <w:pStyle w:val="Heading3"/>
      </w:pPr>
      <w:r>
        <w:t>S4.4 Stratum-level predictions and disclosure control</w:t>
      </w:r>
    </w:p>
    <w:p w14:paraId="4885250B" w14:textId="77777777" w:rsidR="00062A8D" w:rsidRDefault="00000000">
      <w:pPr>
        <w:pStyle w:val="FirstParagraph"/>
      </w:pPr>
      <w:r>
        <w:t xml:space="preserve">Random intercepts were obtained with </w:t>
      </w:r>
      <w:proofErr w:type="spellStart"/>
      <w:proofErr w:type="gramStart"/>
      <w:r>
        <w:rPr>
          <w:rStyle w:val="VerbatimChar"/>
        </w:rPr>
        <w:t>modelbased</w:t>
      </w:r>
      <w:proofErr w:type="spellEnd"/>
      <w:r>
        <w:rPr>
          <w:rStyle w:val="VerbatimChar"/>
        </w:rPr>
        <w:t>::</w:t>
      </w:r>
      <w:proofErr w:type="spellStart"/>
      <w:proofErr w:type="gramEnd"/>
      <w:r>
        <w:rPr>
          <w:rStyle w:val="VerbatimChar"/>
        </w:rPr>
        <w:t>estimate_</w:t>
      </w:r>
      <w:proofErr w:type="gramStart"/>
      <w:r>
        <w:rPr>
          <w:rStyle w:val="VerbatimChar"/>
        </w:rPr>
        <w:t>grouplevel</w:t>
      </w:r>
      <w:proofErr w:type="spellEnd"/>
      <w:r>
        <w:rPr>
          <w:rStyle w:val="VerbatimChar"/>
        </w:rPr>
        <w:t>(</w:t>
      </w:r>
      <w:proofErr w:type="gramEnd"/>
      <w:r>
        <w:rPr>
          <w:rStyle w:val="VerbatimChar"/>
        </w:rPr>
        <w:t>)</w:t>
      </w:r>
      <w:r>
        <w:t xml:space="preserve">. Expected counts and 95% confidence intervals on the response scale were generated with </w:t>
      </w:r>
      <w:proofErr w:type="spellStart"/>
      <w:proofErr w:type="gramStart"/>
      <w:r>
        <w:rPr>
          <w:rStyle w:val="VerbatimChar"/>
        </w:rPr>
        <w:t>modelbased</w:t>
      </w:r>
      <w:proofErr w:type="spellEnd"/>
      <w:r>
        <w:rPr>
          <w:rStyle w:val="VerbatimChar"/>
        </w:rPr>
        <w:t>::</w:t>
      </w:r>
      <w:proofErr w:type="spellStart"/>
      <w:proofErr w:type="gramEnd"/>
      <w:r>
        <w:rPr>
          <w:rStyle w:val="VerbatimChar"/>
        </w:rPr>
        <w:t>estimate_</w:t>
      </w:r>
      <w:proofErr w:type="gramStart"/>
      <w:r>
        <w:rPr>
          <w:rStyle w:val="VerbatimChar"/>
        </w:rPr>
        <w:t>relation</w:t>
      </w:r>
      <w:proofErr w:type="spellEnd"/>
      <w:r>
        <w:rPr>
          <w:rStyle w:val="VerbatimChar"/>
        </w:rPr>
        <w:t>(</w:t>
      </w:r>
      <w:proofErr w:type="gramEnd"/>
      <w:r>
        <w:rPr>
          <w:rStyle w:val="VerbatimChar"/>
        </w:rPr>
        <w:t>model, by = dimensions)</w:t>
      </w:r>
      <w:r>
        <w:t xml:space="preserve">, and corresponding link-scale estimates with </w:t>
      </w:r>
      <w:proofErr w:type="spellStart"/>
      <w:proofErr w:type="gramStart"/>
      <w:r>
        <w:rPr>
          <w:rStyle w:val="VerbatimChar"/>
        </w:rPr>
        <w:t>modelbased</w:t>
      </w:r>
      <w:proofErr w:type="spellEnd"/>
      <w:r>
        <w:rPr>
          <w:rStyle w:val="VerbatimChar"/>
        </w:rPr>
        <w:t>::</w:t>
      </w:r>
      <w:proofErr w:type="spellStart"/>
      <w:proofErr w:type="gramEnd"/>
      <w:r>
        <w:rPr>
          <w:rStyle w:val="VerbatimChar"/>
        </w:rPr>
        <w:t>estimate_</w:t>
      </w:r>
      <w:proofErr w:type="gramStart"/>
      <w:r>
        <w:rPr>
          <w:rStyle w:val="VerbatimChar"/>
        </w:rPr>
        <w:t>link</w:t>
      </w:r>
      <w:proofErr w:type="spellEnd"/>
      <w:r>
        <w:rPr>
          <w:rStyle w:val="VerbatimChar"/>
        </w:rPr>
        <w:t>(</w:t>
      </w:r>
      <w:proofErr w:type="gramEnd"/>
      <w:r>
        <w:rPr>
          <w:rStyle w:val="VerbatimChar"/>
        </w:rPr>
        <w:t>)</w:t>
      </w:r>
      <w:r>
        <w:t>. These estimates incorporate partial pooling, so small-stratum predictions are shrunk towards the overall mean.</w:t>
      </w:r>
    </w:p>
    <w:p w14:paraId="36EB0092" w14:textId="63508013" w:rsidR="00062A8D" w:rsidRDefault="00000000">
      <w:pPr>
        <w:pStyle w:val="BodyText"/>
      </w:pPr>
      <w:bookmarkStart w:id="15" w:name="X260a57223cc0ee3464ca87f1c29b9ce15f6695a"/>
      <w:bookmarkStart w:id="16" w:name="Xfebb5b1430c11b853886dba4cd39cb8c5317dd6"/>
      <w:r>
        <w:t>The complete rankings include structurally possible, empty and sparsely populated combinations. Figures show the upper and lower 5% of ranked predicted counts and report the population size associated with each stratum. Bold type</w:t>
      </w:r>
      <w:r w:rsidR="005617C5">
        <w:t xml:space="preserve"> font</w:t>
      </w:r>
      <w:r>
        <w:t xml:space="preserve"> identifies strata containing at least 0.5% of the cohort; this was a presentation criterion, not a </w:t>
      </w:r>
      <w:r>
        <w:lastRenderedPageBreak/>
        <w:t>significance threshold. Population counts below 10 and their percentages were masked under SAIL statistical disclosure-control requirements.</w:t>
      </w:r>
      <w:bookmarkEnd w:id="15"/>
      <w:bookmarkEnd w:id="16"/>
    </w:p>
    <w:p w14:paraId="7081B841" w14:textId="77777777" w:rsidR="00062A8D" w:rsidRDefault="00000000">
      <w:pPr>
        <w:pStyle w:val="Heading2"/>
      </w:pPr>
      <w:r>
        <w:t>S5. Complete model ranking and variance diagnostics</w:t>
      </w:r>
    </w:p>
    <w:p w14:paraId="6D29B2E7" w14:textId="4DDD33AD" w:rsidR="00884A5A" w:rsidRPr="00884A5A" w:rsidRDefault="00884A5A" w:rsidP="00884A5A">
      <w:pPr>
        <w:pStyle w:val="BodyText"/>
      </w:pPr>
      <w:r>
        <w:t>The complete model ranking and variance diagnostics are shown in Table S4 below.</w:t>
      </w:r>
    </w:p>
    <w:p w14:paraId="3B867FF0" w14:textId="77777777" w:rsidR="00062A8D" w:rsidRDefault="00000000">
      <w:pPr>
        <w:pStyle w:val="Heading3"/>
      </w:pPr>
      <w:r>
        <w:t>Table S4. Null and fully adjusted variance diagnostics for all 15 configurations</w:t>
      </w:r>
    </w:p>
    <w:tbl>
      <w:tblPr>
        <w:tblW w:w="8789" w:type="dxa"/>
        <w:jc w:val="center"/>
        <w:tblLayout w:type="fixed"/>
        <w:tblCellMar>
          <w:top w:w="80" w:type="dxa"/>
          <w:left w:w="80" w:type="dxa"/>
          <w:bottom w:w="80" w:type="dxa"/>
          <w:right w:w="80" w:type="dxa"/>
        </w:tblCellMar>
        <w:tblLook w:val="0000" w:firstRow="0" w:lastRow="0" w:firstColumn="0" w:lastColumn="0" w:noHBand="0" w:noVBand="0"/>
      </w:tblPr>
      <w:tblGrid>
        <w:gridCol w:w="709"/>
        <w:gridCol w:w="1134"/>
        <w:gridCol w:w="709"/>
        <w:gridCol w:w="709"/>
        <w:gridCol w:w="709"/>
        <w:gridCol w:w="842"/>
        <w:gridCol w:w="859"/>
        <w:gridCol w:w="850"/>
        <w:gridCol w:w="709"/>
        <w:gridCol w:w="709"/>
        <w:gridCol w:w="850"/>
      </w:tblGrid>
      <w:tr w:rsidR="00490C3E" w14:paraId="08D23BAF" w14:textId="77777777" w:rsidTr="009162E4">
        <w:trPr>
          <w:tblHeader/>
          <w:jc w:val="center"/>
        </w:trPr>
        <w:tc>
          <w:tcPr>
            <w:tcW w:w="709" w:type="dxa"/>
            <w:tcBorders>
              <w:bottom w:val="single" w:sz="6" w:space="0" w:color="000000"/>
            </w:tcBorders>
            <w:shd w:val="clear" w:color="auto" w:fill="D9EAF7"/>
            <w:vAlign w:val="center"/>
          </w:tcPr>
          <w:p w14:paraId="31E6EA70" w14:textId="0DF6A60B" w:rsidR="00490C3E" w:rsidRDefault="00083DDC" w:rsidP="00490C3E">
            <w:pPr>
              <w:pStyle w:val="Compact"/>
              <w:spacing w:after="0" w:line="240" w:lineRule="auto"/>
              <w:jc w:val="right"/>
              <w:rPr>
                <w:sz w:val="17"/>
                <w:szCs w:val="20"/>
                <w:lang w:val="en-GB" w:eastAsia="en-GB"/>
              </w:rPr>
            </w:pPr>
            <w:r>
              <w:rPr>
                <w:sz w:val="17"/>
                <w:szCs w:val="20"/>
                <w:lang w:val="en-GB" w:eastAsia="en-GB"/>
              </w:rPr>
              <w:t>Model</w:t>
            </w:r>
          </w:p>
        </w:tc>
        <w:tc>
          <w:tcPr>
            <w:tcW w:w="1134" w:type="dxa"/>
            <w:tcBorders>
              <w:bottom w:val="single" w:sz="6" w:space="0" w:color="000000"/>
            </w:tcBorders>
            <w:shd w:val="clear" w:color="auto" w:fill="D9EAF7"/>
            <w:vAlign w:val="center"/>
          </w:tcPr>
          <w:p w14:paraId="02BC92C6" w14:textId="497C6424" w:rsidR="00490C3E" w:rsidRDefault="00083DDC" w:rsidP="00490C3E">
            <w:pPr>
              <w:pStyle w:val="Compact"/>
              <w:spacing w:after="0" w:line="240" w:lineRule="auto"/>
              <w:rPr>
                <w:sz w:val="17"/>
                <w:szCs w:val="20"/>
                <w:lang w:val="en-GB" w:eastAsia="en-GB"/>
              </w:rPr>
            </w:pPr>
            <w:r>
              <w:rPr>
                <w:sz w:val="17"/>
                <w:szCs w:val="20"/>
                <w:lang w:val="en-GB" w:eastAsia="en-GB"/>
              </w:rPr>
              <w:t>Analytical label</w:t>
            </w:r>
          </w:p>
        </w:tc>
        <w:tc>
          <w:tcPr>
            <w:tcW w:w="709" w:type="dxa"/>
            <w:tcBorders>
              <w:bottom w:val="single" w:sz="6" w:space="0" w:color="000000"/>
            </w:tcBorders>
            <w:shd w:val="clear" w:color="auto" w:fill="D9EAF7"/>
            <w:vAlign w:val="center"/>
          </w:tcPr>
          <w:p w14:paraId="17575F5E" w14:textId="11DE76BB" w:rsidR="00490C3E" w:rsidRDefault="00F64BA9" w:rsidP="00490C3E">
            <w:pPr>
              <w:pStyle w:val="Compact"/>
              <w:spacing w:after="0" w:line="240" w:lineRule="auto"/>
              <w:rPr>
                <w:sz w:val="17"/>
                <w:szCs w:val="20"/>
                <w:lang w:val="en-GB" w:eastAsia="en-GB"/>
              </w:rPr>
            </w:pPr>
            <w:r>
              <w:rPr>
                <w:sz w:val="17"/>
                <w:szCs w:val="20"/>
                <w:lang w:val="en-GB" w:eastAsia="en-GB"/>
              </w:rPr>
              <w:t xml:space="preserve">Configuration </w:t>
            </w:r>
            <w:r w:rsidR="00490C3E">
              <w:rPr>
                <w:sz w:val="17"/>
                <w:szCs w:val="20"/>
                <w:lang w:val="en-GB" w:eastAsia="en-GB"/>
              </w:rPr>
              <w:t>Class</w:t>
            </w:r>
          </w:p>
        </w:tc>
        <w:tc>
          <w:tcPr>
            <w:tcW w:w="709" w:type="dxa"/>
            <w:tcBorders>
              <w:bottom w:val="single" w:sz="6" w:space="0" w:color="000000"/>
            </w:tcBorders>
            <w:shd w:val="clear" w:color="auto" w:fill="D9EAF7"/>
            <w:vAlign w:val="center"/>
          </w:tcPr>
          <w:p w14:paraId="0DF25DCA" w14:textId="57030DFF" w:rsidR="00490C3E" w:rsidRDefault="00490C3E" w:rsidP="00490C3E">
            <w:pPr>
              <w:pStyle w:val="Compact"/>
              <w:spacing w:after="0" w:line="240" w:lineRule="auto"/>
              <w:jc w:val="right"/>
              <w:rPr>
                <w:sz w:val="17"/>
                <w:szCs w:val="20"/>
                <w:lang w:val="en-GB" w:eastAsia="en-GB"/>
              </w:rPr>
            </w:pPr>
            <w:r>
              <w:rPr>
                <w:sz w:val="17"/>
                <w:szCs w:val="20"/>
                <w:lang w:val="en-GB" w:eastAsia="en-GB"/>
              </w:rPr>
              <w:t>Null</w:t>
            </w:r>
            <w:r w:rsidR="004E6CA8">
              <w:rPr>
                <w:sz w:val="17"/>
                <w:szCs w:val="20"/>
                <w:lang w:val="en-GB" w:eastAsia="en-GB"/>
              </w:rPr>
              <w:t xml:space="preserve"> model</w:t>
            </w:r>
            <w:r>
              <w:rPr>
                <w:sz w:val="17"/>
                <w:szCs w:val="20"/>
                <w:lang w:val="en-GB" w:eastAsia="en-GB"/>
              </w:rPr>
              <w:t xml:space="preserve"> DA*</w:t>
            </w:r>
          </w:p>
        </w:tc>
        <w:tc>
          <w:tcPr>
            <w:tcW w:w="709" w:type="dxa"/>
            <w:tcBorders>
              <w:bottom w:val="single" w:sz="6" w:space="0" w:color="000000"/>
            </w:tcBorders>
            <w:shd w:val="clear" w:color="auto" w:fill="D9EAF7"/>
            <w:vAlign w:val="center"/>
          </w:tcPr>
          <w:p w14:paraId="1DEC5FDE" w14:textId="664795AE" w:rsidR="00490C3E" w:rsidRDefault="00490C3E" w:rsidP="00490C3E">
            <w:pPr>
              <w:pStyle w:val="Compact"/>
              <w:spacing w:after="0" w:line="240" w:lineRule="auto"/>
              <w:jc w:val="right"/>
              <w:rPr>
                <w:sz w:val="17"/>
                <w:szCs w:val="20"/>
                <w:lang w:val="en-GB" w:eastAsia="en-GB"/>
              </w:rPr>
            </w:pPr>
            <w:r>
              <w:rPr>
                <w:sz w:val="17"/>
                <w:szCs w:val="20"/>
                <w:lang w:val="en-GB" w:eastAsia="en-GB"/>
              </w:rPr>
              <w:t>Full</w:t>
            </w:r>
            <w:r w:rsidR="004E6CA8">
              <w:rPr>
                <w:sz w:val="17"/>
                <w:szCs w:val="20"/>
                <w:lang w:val="en-GB" w:eastAsia="en-GB"/>
              </w:rPr>
              <w:t xml:space="preserve"> model</w:t>
            </w:r>
            <w:r>
              <w:rPr>
                <w:sz w:val="17"/>
                <w:szCs w:val="20"/>
                <w:lang w:val="en-GB" w:eastAsia="en-GB"/>
              </w:rPr>
              <w:t xml:space="preserve"> ICC</w:t>
            </w:r>
          </w:p>
        </w:tc>
        <w:tc>
          <w:tcPr>
            <w:tcW w:w="842" w:type="dxa"/>
            <w:tcBorders>
              <w:bottom w:val="single" w:sz="6" w:space="0" w:color="000000"/>
            </w:tcBorders>
            <w:shd w:val="clear" w:color="auto" w:fill="D9EAF7"/>
            <w:vAlign w:val="center"/>
          </w:tcPr>
          <w:p w14:paraId="2604C130" w14:textId="3ED7AB26" w:rsidR="00490C3E" w:rsidRDefault="00490C3E" w:rsidP="00490C3E">
            <w:pPr>
              <w:pStyle w:val="Compact"/>
              <w:spacing w:after="0" w:line="240" w:lineRule="auto"/>
              <w:jc w:val="right"/>
              <w:rPr>
                <w:sz w:val="17"/>
                <w:szCs w:val="20"/>
                <w:lang w:val="en-GB" w:eastAsia="en-GB"/>
              </w:rPr>
            </w:pPr>
            <w:r>
              <w:rPr>
                <w:sz w:val="17"/>
                <w:szCs w:val="20"/>
                <w:lang w:val="en-GB" w:eastAsia="en-GB"/>
              </w:rPr>
              <w:t>Null</w:t>
            </w:r>
            <w:r w:rsidR="004E6CA8">
              <w:rPr>
                <w:sz w:val="17"/>
                <w:szCs w:val="20"/>
                <w:lang w:val="en-GB" w:eastAsia="en-GB"/>
              </w:rPr>
              <w:t xml:space="preserve"> model</w:t>
            </w:r>
            <w:r>
              <w:rPr>
                <w:sz w:val="17"/>
                <w:szCs w:val="20"/>
                <w:lang w:val="en-GB" w:eastAsia="en-GB"/>
              </w:rPr>
              <w:t xml:space="preserve"> variance (τ</w:t>
            </w:r>
            <w:r w:rsidRPr="00024D5B">
              <w:rPr>
                <w:sz w:val="17"/>
                <w:szCs w:val="20"/>
                <w:vertAlign w:val="subscript"/>
                <w:lang w:val="en-GB" w:eastAsia="en-GB"/>
              </w:rPr>
              <w:t>00</w:t>
            </w:r>
            <w:r>
              <w:rPr>
                <w:sz w:val="17"/>
                <w:szCs w:val="20"/>
                <w:lang w:val="en-GB" w:eastAsia="en-GB"/>
              </w:rPr>
              <w:t>)</w:t>
            </w:r>
          </w:p>
        </w:tc>
        <w:tc>
          <w:tcPr>
            <w:tcW w:w="859" w:type="dxa"/>
            <w:tcBorders>
              <w:bottom w:val="single" w:sz="6" w:space="0" w:color="000000"/>
            </w:tcBorders>
            <w:shd w:val="clear" w:color="auto" w:fill="D9EAF7"/>
            <w:vAlign w:val="center"/>
          </w:tcPr>
          <w:p w14:paraId="415A7598" w14:textId="06EE76E1" w:rsidR="00490C3E" w:rsidRDefault="00490C3E" w:rsidP="00490C3E">
            <w:pPr>
              <w:pStyle w:val="Compact"/>
              <w:spacing w:after="0" w:line="240" w:lineRule="auto"/>
              <w:jc w:val="right"/>
              <w:rPr>
                <w:sz w:val="17"/>
                <w:szCs w:val="20"/>
                <w:lang w:val="en-GB" w:eastAsia="en-GB"/>
              </w:rPr>
            </w:pPr>
            <w:r>
              <w:rPr>
                <w:sz w:val="17"/>
                <w:szCs w:val="20"/>
                <w:lang w:val="en-GB" w:eastAsia="en-GB"/>
              </w:rPr>
              <w:t xml:space="preserve">Full </w:t>
            </w:r>
            <w:r w:rsidR="004E6CA8">
              <w:rPr>
                <w:sz w:val="17"/>
                <w:szCs w:val="20"/>
                <w:lang w:val="en-GB" w:eastAsia="en-GB"/>
              </w:rPr>
              <w:t xml:space="preserve">model </w:t>
            </w:r>
            <w:r>
              <w:rPr>
                <w:sz w:val="17"/>
                <w:szCs w:val="20"/>
                <w:lang w:val="en-GB" w:eastAsia="en-GB"/>
              </w:rPr>
              <w:t>variance (τ</w:t>
            </w:r>
            <w:r w:rsidRPr="00024D5B">
              <w:rPr>
                <w:sz w:val="17"/>
                <w:szCs w:val="20"/>
                <w:vertAlign w:val="subscript"/>
                <w:lang w:val="en-GB" w:eastAsia="en-GB"/>
              </w:rPr>
              <w:t>00</w:t>
            </w:r>
            <w:r>
              <w:rPr>
                <w:sz w:val="17"/>
                <w:szCs w:val="20"/>
                <w:lang w:val="en-GB" w:eastAsia="en-GB"/>
              </w:rPr>
              <w:t>)</w:t>
            </w:r>
          </w:p>
        </w:tc>
        <w:tc>
          <w:tcPr>
            <w:tcW w:w="850" w:type="dxa"/>
            <w:tcBorders>
              <w:bottom w:val="single" w:sz="6" w:space="0" w:color="000000"/>
            </w:tcBorders>
            <w:shd w:val="clear" w:color="auto" w:fill="D9EAF7"/>
            <w:vAlign w:val="center"/>
          </w:tcPr>
          <w:p w14:paraId="220E84FD" w14:textId="2C7B844D" w:rsidR="00490C3E" w:rsidRDefault="004E6CA8" w:rsidP="00490C3E">
            <w:pPr>
              <w:pStyle w:val="Compact"/>
              <w:spacing w:after="0" w:line="240" w:lineRule="auto"/>
              <w:jc w:val="right"/>
              <w:rPr>
                <w:sz w:val="17"/>
                <w:szCs w:val="20"/>
                <w:lang w:val="en-GB" w:eastAsia="en-GB"/>
              </w:rPr>
            </w:pPr>
            <w:r>
              <w:rPr>
                <w:sz w:val="17"/>
                <w:szCs w:val="20"/>
                <w:lang w:val="en-GB" w:eastAsia="en-GB"/>
              </w:rPr>
              <w:t>M</w:t>
            </w:r>
            <w:r w:rsidR="00490C3E">
              <w:rPr>
                <w:sz w:val="17"/>
                <w:szCs w:val="20"/>
                <w:lang w:val="en-GB" w:eastAsia="en-GB"/>
              </w:rPr>
              <w:t>arginal R²</w:t>
            </w:r>
          </w:p>
        </w:tc>
        <w:tc>
          <w:tcPr>
            <w:tcW w:w="709" w:type="dxa"/>
            <w:tcBorders>
              <w:bottom w:val="single" w:sz="6" w:space="0" w:color="000000"/>
            </w:tcBorders>
            <w:shd w:val="clear" w:color="auto" w:fill="D9EAF7"/>
            <w:vAlign w:val="center"/>
          </w:tcPr>
          <w:p w14:paraId="2210A385" w14:textId="22974953" w:rsidR="00490C3E" w:rsidRDefault="004E6CA8" w:rsidP="004E6CA8">
            <w:pPr>
              <w:pStyle w:val="Compact"/>
              <w:spacing w:after="0" w:line="240" w:lineRule="auto"/>
              <w:rPr>
                <w:sz w:val="17"/>
                <w:szCs w:val="20"/>
                <w:lang w:val="en-GB" w:eastAsia="en-GB"/>
              </w:rPr>
            </w:pPr>
            <w:r>
              <w:rPr>
                <w:sz w:val="17"/>
                <w:szCs w:val="20"/>
                <w:lang w:val="en-GB" w:eastAsia="en-GB"/>
              </w:rPr>
              <w:t>C</w:t>
            </w:r>
            <w:r w:rsidR="00490C3E">
              <w:rPr>
                <w:sz w:val="17"/>
                <w:szCs w:val="20"/>
                <w:lang w:val="en-GB" w:eastAsia="en-GB"/>
              </w:rPr>
              <w:t>onditional R²</w:t>
            </w:r>
          </w:p>
        </w:tc>
        <w:tc>
          <w:tcPr>
            <w:tcW w:w="709" w:type="dxa"/>
            <w:tcBorders>
              <w:bottom w:val="single" w:sz="6" w:space="0" w:color="000000"/>
            </w:tcBorders>
            <w:shd w:val="clear" w:color="auto" w:fill="D9EAF7"/>
            <w:vAlign w:val="center"/>
          </w:tcPr>
          <w:p w14:paraId="735DF556" w14:textId="690577E5" w:rsidR="00490C3E" w:rsidRDefault="00490C3E" w:rsidP="00490C3E">
            <w:pPr>
              <w:pStyle w:val="Compact"/>
              <w:spacing w:after="0" w:line="240" w:lineRule="auto"/>
              <w:jc w:val="right"/>
              <w:rPr>
                <w:sz w:val="17"/>
                <w:szCs w:val="20"/>
                <w:lang w:val="en-GB" w:eastAsia="en-GB"/>
              </w:rPr>
            </w:pPr>
            <w:r>
              <w:rPr>
                <w:sz w:val="17"/>
                <w:szCs w:val="20"/>
                <w:lang w:val="en-GB" w:eastAsia="en-GB"/>
              </w:rPr>
              <w:t>Null</w:t>
            </w:r>
            <w:r w:rsidR="004E6CA8">
              <w:rPr>
                <w:sz w:val="17"/>
                <w:szCs w:val="20"/>
                <w:lang w:val="en-GB" w:eastAsia="en-GB"/>
              </w:rPr>
              <w:t xml:space="preserve"> model</w:t>
            </w:r>
            <w:r>
              <w:rPr>
                <w:sz w:val="17"/>
                <w:szCs w:val="20"/>
                <w:lang w:val="en-GB" w:eastAsia="en-GB"/>
              </w:rPr>
              <w:t xml:space="preserve"> AIC</w:t>
            </w:r>
          </w:p>
        </w:tc>
        <w:tc>
          <w:tcPr>
            <w:tcW w:w="850" w:type="dxa"/>
            <w:tcBorders>
              <w:bottom w:val="single" w:sz="6" w:space="0" w:color="000000"/>
            </w:tcBorders>
            <w:shd w:val="clear" w:color="auto" w:fill="D9EAF7"/>
            <w:vAlign w:val="center"/>
          </w:tcPr>
          <w:p w14:paraId="7699E424" w14:textId="3847C376" w:rsidR="00490C3E" w:rsidRDefault="00490C3E" w:rsidP="00490C3E">
            <w:pPr>
              <w:pStyle w:val="Compact"/>
              <w:spacing w:after="0" w:line="240" w:lineRule="auto"/>
              <w:jc w:val="right"/>
              <w:rPr>
                <w:sz w:val="17"/>
                <w:szCs w:val="20"/>
                <w:lang w:val="en-GB" w:eastAsia="en-GB"/>
              </w:rPr>
            </w:pPr>
            <w:r>
              <w:rPr>
                <w:sz w:val="17"/>
                <w:szCs w:val="20"/>
                <w:lang w:val="en-GB" w:eastAsia="en-GB"/>
              </w:rPr>
              <w:t>Full</w:t>
            </w:r>
            <w:r w:rsidR="004E6CA8">
              <w:rPr>
                <w:sz w:val="17"/>
                <w:szCs w:val="20"/>
                <w:lang w:val="en-GB" w:eastAsia="en-GB"/>
              </w:rPr>
              <w:t xml:space="preserve"> model</w:t>
            </w:r>
            <w:r>
              <w:rPr>
                <w:sz w:val="17"/>
                <w:szCs w:val="20"/>
                <w:lang w:val="en-GB" w:eastAsia="en-GB"/>
              </w:rPr>
              <w:t xml:space="preserve"> AIC</w:t>
            </w:r>
          </w:p>
        </w:tc>
      </w:tr>
      <w:tr w:rsidR="00490C3E" w14:paraId="0054FA7B" w14:textId="77777777" w:rsidTr="009162E4">
        <w:trPr>
          <w:jc w:val="center"/>
        </w:trPr>
        <w:tc>
          <w:tcPr>
            <w:tcW w:w="709" w:type="dxa"/>
            <w:vAlign w:val="center"/>
          </w:tcPr>
          <w:p w14:paraId="04484CC5"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w:t>
            </w:r>
          </w:p>
        </w:tc>
        <w:tc>
          <w:tcPr>
            <w:tcW w:w="1134" w:type="dxa"/>
            <w:vAlign w:val="center"/>
          </w:tcPr>
          <w:p w14:paraId="64B5CAC6" w14:textId="77777777" w:rsidR="00490C3E" w:rsidRDefault="00490C3E" w:rsidP="00490C3E">
            <w:pPr>
              <w:pStyle w:val="Compact"/>
              <w:spacing w:after="0" w:line="240" w:lineRule="auto"/>
              <w:rPr>
                <w:sz w:val="17"/>
                <w:szCs w:val="20"/>
                <w:lang w:val="en-GB" w:eastAsia="en-GB"/>
              </w:rPr>
            </w:pPr>
            <w:r>
              <w:rPr>
                <w:sz w:val="17"/>
                <w:szCs w:val="20"/>
                <w:lang w:val="en-GB" w:eastAsia="en-GB"/>
              </w:rPr>
              <w:t>Max VIVI 1</w:t>
            </w:r>
          </w:p>
        </w:tc>
        <w:tc>
          <w:tcPr>
            <w:tcW w:w="709" w:type="dxa"/>
            <w:vAlign w:val="center"/>
          </w:tcPr>
          <w:p w14:paraId="2D310A63" w14:textId="77777777" w:rsidR="00490C3E" w:rsidRDefault="00490C3E" w:rsidP="00490C3E">
            <w:pPr>
              <w:pStyle w:val="Compact"/>
              <w:spacing w:after="0" w:line="240" w:lineRule="auto"/>
              <w:rPr>
                <w:sz w:val="17"/>
                <w:szCs w:val="20"/>
                <w:lang w:val="en-GB" w:eastAsia="en-GB"/>
              </w:rPr>
            </w:pPr>
            <w:r>
              <w:rPr>
                <w:sz w:val="17"/>
                <w:szCs w:val="20"/>
                <w:lang w:val="en-GB" w:eastAsia="en-GB"/>
              </w:rPr>
              <w:t>High-VIVI</w:t>
            </w:r>
          </w:p>
        </w:tc>
        <w:tc>
          <w:tcPr>
            <w:tcW w:w="709" w:type="dxa"/>
            <w:vAlign w:val="center"/>
          </w:tcPr>
          <w:p w14:paraId="4D68467D" w14:textId="40B45DE7" w:rsidR="00490C3E" w:rsidRDefault="00490C3E" w:rsidP="00490C3E">
            <w:pPr>
              <w:pStyle w:val="Compact"/>
              <w:spacing w:after="0" w:line="240" w:lineRule="auto"/>
              <w:jc w:val="right"/>
              <w:rPr>
                <w:sz w:val="17"/>
                <w:szCs w:val="20"/>
                <w:lang w:val="en-GB" w:eastAsia="en-GB"/>
              </w:rPr>
            </w:pPr>
            <w:r>
              <w:rPr>
                <w:sz w:val="17"/>
                <w:szCs w:val="20"/>
                <w:lang w:val="en-GB" w:eastAsia="en-GB"/>
              </w:rPr>
              <w:t>12.4</w:t>
            </w:r>
            <w:r w:rsidR="00DC27A9">
              <w:rPr>
                <w:sz w:val="17"/>
                <w:szCs w:val="20"/>
                <w:lang w:val="en-GB" w:eastAsia="en-GB"/>
              </w:rPr>
              <w:t>0</w:t>
            </w:r>
            <w:r>
              <w:rPr>
                <w:sz w:val="17"/>
                <w:szCs w:val="20"/>
                <w:lang w:val="en-GB" w:eastAsia="en-GB"/>
              </w:rPr>
              <w:t>%</w:t>
            </w:r>
          </w:p>
        </w:tc>
        <w:tc>
          <w:tcPr>
            <w:tcW w:w="709" w:type="dxa"/>
            <w:vAlign w:val="center"/>
          </w:tcPr>
          <w:p w14:paraId="2F17AEC1" w14:textId="6FA5193B" w:rsidR="00490C3E" w:rsidRDefault="004E6CA8" w:rsidP="00490C3E">
            <w:pPr>
              <w:pStyle w:val="Compact"/>
              <w:spacing w:after="0" w:line="240" w:lineRule="auto"/>
              <w:jc w:val="right"/>
              <w:rPr>
                <w:sz w:val="17"/>
                <w:szCs w:val="20"/>
                <w:lang w:val="en-GB" w:eastAsia="en-GB"/>
              </w:rPr>
            </w:pPr>
            <w:r>
              <w:rPr>
                <w:sz w:val="17"/>
                <w:szCs w:val="20"/>
                <w:lang w:val="en-GB" w:eastAsia="en-GB"/>
              </w:rPr>
              <w:t>1.31%</w:t>
            </w:r>
          </w:p>
        </w:tc>
        <w:tc>
          <w:tcPr>
            <w:tcW w:w="842" w:type="dxa"/>
            <w:vAlign w:val="center"/>
          </w:tcPr>
          <w:p w14:paraId="34651109" w14:textId="58D4C572" w:rsidR="00490C3E" w:rsidRDefault="00490C3E" w:rsidP="00490C3E">
            <w:pPr>
              <w:pStyle w:val="Compact"/>
              <w:spacing w:after="0" w:line="240" w:lineRule="auto"/>
              <w:jc w:val="right"/>
              <w:rPr>
                <w:sz w:val="17"/>
                <w:szCs w:val="20"/>
                <w:lang w:val="en-GB" w:eastAsia="en-GB"/>
              </w:rPr>
            </w:pPr>
            <w:r>
              <w:rPr>
                <w:sz w:val="17"/>
                <w:szCs w:val="20"/>
                <w:lang w:val="en-GB" w:eastAsia="en-GB"/>
              </w:rPr>
              <w:t>0.14</w:t>
            </w:r>
            <w:r w:rsidR="004E6CA8">
              <w:rPr>
                <w:sz w:val="17"/>
                <w:szCs w:val="20"/>
                <w:lang w:val="en-GB" w:eastAsia="en-GB"/>
              </w:rPr>
              <w:t>31</w:t>
            </w:r>
          </w:p>
        </w:tc>
        <w:tc>
          <w:tcPr>
            <w:tcW w:w="859" w:type="dxa"/>
            <w:vAlign w:val="center"/>
          </w:tcPr>
          <w:p w14:paraId="7BE67601" w14:textId="088E719B" w:rsidR="00490C3E" w:rsidRDefault="00490C3E" w:rsidP="00490C3E">
            <w:pPr>
              <w:pStyle w:val="Compact"/>
              <w:spacing w:after="0" w:line="240" w:lineRule="auto"/>
              <w:jc w:val="right"/>
              <w:rPr>
                <w:sz w:val="17"/>
                <w:szCs w:val="20"/>
                <w:lang w:val="en-GB" w:eastAsia="en-GB"/>
              </w:rPr>
            </w:pPr>
            <w:r>
              <w:rPr>
                <w:sz w:val="17"/>
                <w:szCs w:val="20"/>
                <w:lang w:val="en-GB" w:eastAsia="en-GB"/>
              </w:rPr>
              <w:t>0.01</w:t>
            </w:r>
            <w:r w:rsidR="004E6CA8">
              <w:rPr>
                <w:sz w:val="17"/>
                <w:szCs w:val="20"/>
                <w:lang w:val="en-GB" w:eastAsia="en-GB"/>
              </w:rPr>
              <w:t>34</w:t>
            </w:r>
          </w:p>
        </w:tc>
        <w:tc>
          <w:tcPr>
            <w:tcW w:w="850" w:type="dxa"/>
            <w:vAlign w:val="center"/>
          </w:tcPr>
          <w:p w14:paraId="56B581D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0.059</w:t>
            </w:r>
          </w:p>
        </w:tc>
        <w:tc>
          <w:tcPr>
            <w:tcW w:w="709" w:type="dxa"/>
            <w:vAlign w:val="center"/>
          </w:tcPr>
          <w:p w14:paraId="0C430E0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0.072</w:t>
            </w:r>
          </w:p>
        </w:tc>
        <w:tc>
          <w:tcPr>
            <w:tcW w:w="709" w:type="dxa"/>
            <w:vAlign w:val="center"/>
          </w:tcPr>
          <w:p w14:paraId="037E75E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1632004.662</w:t>
            </w:r>
          </w:p>
        </w:tc>
        <w:tc>
          <w:tcPr>
            <w:tcW w:w="850" w:type="dxa"/>
            <w:vAlign w:val="center"/>
          </w:tcPr>
          <w:p w14:paraId="257E7B82"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1630968.191</w:t>
            </w:r>
          </w:p>
        </w:tc>
      </w:tr>
      <w:tr w:rsidR="00490C3E" w14:paraId="336A1365" w14:textId="77777777" w:rsidTr="009162E4">
        <w:trPr>
          <w:jc w:val="center"/>
        </w:trPr>
        <w:tc>
          <w:tcPr>
            <w:tcW w:w="709" w:type="dxa"/>
            <w:vAlign w:val="center"/>
          </w:tcPr>
          <w:p w14:paraId="5719E266"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2</w:t>
            </w:r>
          </w:p>
        </w:tc>
        <w:tc>
          <w:tcPr>
            <w:tcW w:w="1134" w:type="dxa"/>
            <w:vAlign w:val="center"/>
          </w:tcPr>
          <w:p w14:paraId="170F5939" w14:textId="77777777" w:rsidR="00490C3E" w:rsidRDefault="00490C3E" w:rsidP="00490C3E">
            <w:pPr>
              <w:pStyle w:val="Compact"/>
              <w:spacing w:after="0" w:line="240" w:lineRule="auto"/>
              <w:rPr>
                <w:sz w:val="17"/>
                <w:szCs w:val="20"/>
                <w:lang w:val="en-GB" w:eastAsia="en-GB"/>
              </w:rPr>
            </w:pPr>
            <w:proofErr w:type="spellStart"/>
            <w:r>
              <w:rPr>
                <w:sz w:val="17"/>
                <w:szCs w:val="20"/>
                <w:lang w:val="en-GB" w:eastAsia="en-GB"/>
              </w:rPr>
              <w:t>mnl</w:t>
            </w:r>
            <w:proofErr w:type="spellEnd"/>
            <w:r>
              <w:rPr>
                <w:sz w:val="17"/>
                <w:szCs w:val="20"/>
                <w:lang w:val="en-GB" w:eastAsia="en-GB"/>
              </w:rPr>
              <w:t xml:space="preserve"> </w:t>
            </w:r>
            <w:proofErr w:type="spellStart"/>
            <w:r>
              <w:rPr>
                <w:sz w:val="17"/>
                <w:szCs w:val="20"/>
                <w:lang w:val="en-GB" w:eastAsia="en-GB"/>
              </w:rPr>
              <w:t>strta</w:t>
            </w:r>
            <w:proofErr w:type="spellEnd"/>
            <w:r>
              <w:rPr>
                <w:sz w:val="17"/>
                <w:szCs w:val="20"/>
                <w:lang w:val="en-GB" w:eastAsia="en-GB"/>
              </w:rPr>
              <w:t xml:space="preserve"> 3</w:t>
            </w:r>
          </w:p>
        </w:tc>
        <w:tc>
          <w:tcPr>
            <w:tcW w:w="709" w:type="dxa"/>
            <w:vAlign w:val="center"/>
          </w:tcPr>
          <w:p w14:paraId="42DE8C5D" w14:textId="77777777" w:rsidR="00490C3E" w:rsidRDefault="00490C3E" w:rsidP="00490C3E">
            <w:pPr>
              <w:pStyle w:val="Compact"/>
              <w:spacing w:after="0" w:line="240" w:lineRule="auto"/>
              <w:rPr>
                <w:sz w:val="17"/>
                <w:szCs w:val="20"/>
                <w:lang w:val="en-GB" w:eastAsia="en-GB"/>
              </w:rPr>
            </w:pPr>
            <w:r>
              <w:rPr>
                <w:sz w:val="17"/>
                <w:szCs w:val="20"/>
                <w:lang w:val="en-GB" w:eastAsia="en-GB"/>
              </w:rPr>
              <w:t>Mixed-VIVI</w:t>
            </w:r>
          </w:p>
        </w:tc>
        <w:tc>
          <w:tcPr>
            <w:tcW w:w="709" w:type="dxa"/>
            <w:vAlign w:val="center"/>
          </w:tcPr>
          <w:p w14:paraId="6EBBAF83" w14:textId="3AA58DD8" w:rsidR="00490C3E" w:rsidRDefault="00490C3E" w:rsidP="00490C3E">
            <w:pPr>
              <w:pStyle w:val="Compact"/>
              <w:spacing w:after="0" w:line="240" w:lineRule="auto"/>
              <w:jc w:val="right"/>
              <w:rPr>
                <w:sz w:val="17"/>
                <w:szCs w:val="20"/>
                <w:lang w:val="en-GB" w:eastAsia="en-GB"/>
              </w:rPr>
            </w:pPr>
            <w:r>
              <w:rPr>
                <w:sz w:val="17"/>
                <w:szCs w:val="20"/>
                <w:lang w:val="en-GB" w:eastAsia="en-GB"/>
              </w:rPr>
              <w:t>9.</w:t>
            </w:r>
            <w:r w:rsidR="004E6CA8">
              <w:rPr>
                <w:sz w:val="17"/>
                <w:szCs w:val="20"/>
                <w:lang w:val="en-GB" w:eastAsia="en-GB"/>
              </w:rPr>
              <w:t>7</w:t>
            </w:r>
            <w:r>
              <w:rPr>
                <w:sz w:val="17"/>
                <w:szCs w:val="20"/>
                <w:lang w:val="en-GB" w:eastAsia="en-GB"/>
              </w:rPr>
              <w:t>8%</w:t>
            </w:r>
          </w:p>
        </w:tc>
        <w:tc>
          <w:tcPr>
            <w:tcW w:w="709" w:type="dxa"/>
            <w:vAlign w:val="center"/>
          </w:tcPr>
          <w:p w14:paraId="73D4AF5F" w14:textId="5C002B46"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24%</w:t>
            </w:r>
          </w:p>
        </w:tc>
        <w:tc>
          <w:tcPr>
            <w:tcW w:w="842" w:type="dxa"/>
            <w:vAlign w:val="center"/>
          </w:tcPr>
          <w:p w14:paraId="31492BBA" w14:textId="3720C194" w:rsidR="00490C3E" w:rsidRDefault="00490C3E" w:rsidP="00490C3E">
            <w:pPr>
              <w:pStyle w:val="Compact"/>
              <w:spacing w:after="0" w:line="240" w:lineRule="auto"/>
              <w:jc w:val="right"/>
              <w:rPr>
                <w:sz w:val="17"/>
                <w:szCs w:val="20"/>
                <w:lang w:val="en-GB" w:eastAsia="en-GB"/>
              </w:rPr>
            </w:pPr>
            <w:r>
              <w:rPr>
                <w:sz w:val="17"/>
                <w:szCs w:val="20"/>
                <w:lang w:val="en-GB" w:eastAsia="en-GB"/>
              </w:rPr>
              <w:t>0.10</w:t>
            </w:r>
            <w:r w:rsidR="004E6CA8">
              <w:rPr>
                <w:sz w:val="17"/>
                <w:szCs w:val="20"/>
                <w:lang w:val="en-GB" w:eastAsia="en-GB"/>
              </w:rPr>
              <w:t>20</w:t>
            </w:r>
          </w:p>
        </w:tc>
        <w:tc>
          <w:tcPr>
            <w:tcW w:w="859" w:type="dxa"/>
            <w:vAlign w:val="center"/>
          </w:tcPr>
          <w:p w14:paraId="4F7B923B" w14:textId="7C59464F"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4E6CA8">
              <w:rPr>
                <w:sz w:val="17"/>
                <w:szCs w:val="20"/>
                <w:lang w:val="en-GB" w:eastAsia="en-GB"/>
              </w:rPr>
              <w:t>23</w:t>
            </w:r>
          </w:p>
        </w:tc>
        <w:tc>
          <w:tcPr>
            <w:tcW w:w="850" w:type="dxa"/>
            <w:vAlign w:val="center"/>
          </w:tcPr>
          <w:p w14:paraId="3CC8EA3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0.037</w:t>
            </w:r>
          </w:p>
        </w:tc>
        <w:tc>
          <w:tcPr>
            <w:tcW w:w="709" w:type="dxa"/>
            <w:vAlign w:val="center"/>
          </w:tcPr>
          <w:p w14:paraId="02CCF80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0.039</w:t>
            </w:r>
          </w:p>
        </w:tc>
        <w:tc>
          <w:tcPr>
            <w:tcW w:w="709" w:type="dxa"/>
            <w:vAlign w:val="center"/>
          </w:tcPr>
          <w:p w14:paraId="0C52D332"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1654165.416</w:t>
            </w:r>
          </w:p>
        </w:tc>
        <w:tc>
          <w:tcPr>
            <w:tcW w:w="850" w:type="dxa"/>
            <w:vAlign w:val="center"/>
          </w:tcPr>
          <w:p w14:paraId="607CEBAC"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1653060.764</w:t>
            </w:r>
          </w:p>
        </w:tc>
      </w:tr>
      <w:tr w:rsidR="00490C3E" w14:paraId="318ED181" w14:textId="77777777" w:rsidTr="009162E4">
        <w:trPr>
          <w:jc w:val="center"/>
        </w:trPr>
        <w:tc>
          <w:tcPr>
            <w:tcW w:w="709" w:type="dxa"/>
            <w:vAlign w:val="center"/>
          </w:tcPr>
          <w:p w14:paraId="0776E62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3</w:t>
            </w:r>
          </w:p>
        </w:tc>
        <w:tc>
          <w:tcPr>
            <w:tcW w:w="1134" w:type="dxa"/>
            <w:vAlign w:val="center"/>
          </w:tcPr>
          <w:p w14:paraId="7768458C" w14:textId="77777777" w:rsidR="00490C3E" w:rsidRDefault="00490C3E" w:rsidP="00490C3E">
            <w:pPr>
              <w:pStyle w:val="Compact"/>
              <w:spacing w:after="0" w:line="240" w:lineRule="auto"/>
              <w:rPr>
                <w:sz w:val="17"/>
                <w:szCs w:val="20"/>
                <w:lang w:val="en-GB" w:eastAsia="en-GB"/>
              </w:rPr>
            </w:pPr>
            <w:r>
              <w:rPr>
                <w:sz w:val="17"/>
                <w:szCs w:val="20"/>
                <w:lang w:val="en-GB" w:eastAsia="en-GB"/>
              </w:rPr>
              <w:t>Max VIVI 2</w:t>
            </w:r>
          </w:p>
        </w:tc>
        <w:tc>
          <w:tcPr>
            <w:tcW w:w="709" w:type="dxa"/>
            <w:vAlign w:val="center"/>
          </w:tcPr>
          <w:p w14:paraId="764114D3" w14:textId="77777777" w:rsidR="00490C3E" w:rsidRDefault="00490C3E" w:rsidP="00490C3E">
            <w:pPr>
              <w:pStyle w:val="Compact"/>
              <w:spacing w:after="0" w:line="240" w:lineRule="auto"/>
              <w:rPr>
                <w:sz w:val="17"/>
                <w:szCs w:val="20"/>
                <w:lang w:val="en-GB" w:eastAsia="en-GB"/>
              </w:rPr>
            </w:pPr>
            <w:r>
              <w:rPr>
                <w:sz w:val="17"/>
                <w:szCs w:val="20"/>
                <w:lang w:val="en-GB" w:eastAsia="en-GB"/>
              </w:rPr>
              <w:t>High-VIVI</w:t>
            </w:r>
          </w:p>
        </w:tc>
        <w:tc>
          <w:tcPr>
            <w:tcW w:w="709" w:type="dxa"/>
            <w:vAlign w:val="center"/>
          </w:tcPr>
          <w:p w14:paraId="39C8E45B" w14:textId="7C3F744D" w:rsidR="00490C3E" w:rsidRDefault="00490C3E" w:rsidP="00490C3E">
            <w:pPr>
              <w:pStyle w:val="Compact"/>
              <w:spacing w:after="0" w:line="240" w:lineRule="auto"/>
              <w:jc w:val="right"/>
              <w:rPr>
                <w:sz w:val="17"/>
                <w:szCs w:val="20"/>
                <w:lang w:val="en-GB" w:eastAsia="en-GB"/>
              </w:rPr>
            </w:pPr>
            <w:r>
              <w:rPr>
                <w:sz w:val="17"/>
                <w:szCs w:val="20"/>
                <w:lang w:val="en-GB" w:eastAsia="en-GB"/>
              </w:rPr>
              <w:t>6.7</w:t>
            </w:r>
            <w:r w:rsidR="004E6CA8">
              <w:rPr>
                <w:sz w:val="17"/>
                <w:szCs w:val="20"/>
                <w:lang w:val="en-GB" w:eastAsia="en-GB"/>
              </w:rPr>
              <w:t>0</w:t>
            </w:r>
            <w:r>
              <w:rPr>
                <w:sz w:val="17"/>
                <w:szCs w:val="20"/>
                <w:lang w:val="en-GB" w:eastAsia="en-GB"/>
              </w:rPr>
              <w:t>%</w:t>
            </w:r>
          </w:p>
        </w:tc>
        <w:tc>
          <w:tcPr>
            <w:tcW w:w="709" w:type="dxa"/>
            <w:vAlign w:val="center"/>
          </w:tcPr>
          <w:p w14:paraId="03907A69" w14:textId="09304666"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39%</w:t>
            </w:r>
          </w:p>
        </w:tc>
        <w:tc>
          <w:tcPr>
            <w:tcW w:w="842" w:type="dxa"/>
            <w:vAlign w:val="center"/>
          </w:tcPr>
          <w:p w14:paraId="6AED3AB7" w14:textId="7328E100"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683</w:t>
            </w:r>
          </w:p>
        </w:tc>
        <w:tc>
          <w:tcPr>
            <w:tcW w:w="859" w:type="dxa"/>
            <w:vAlign w:val="center"/>
          </w:tcPr>
          <w:p w14:paraId="57126FF9" w14:textId="67B963EC"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4E6CA8">
              <w:rPr>
                <w:sz w:val="17"/>
                <w:szCs w:val="20"/>
                <w:lang w:val="en-GB" w:eastAsia="en-GB"/>
              </w:rPr>
              <w:t>37</w:t>
            </w:r>
          </w:p>
        </w:tc>
        <w:tc>
          <w:tcPr>
            <w:tcW w:w="850" w:type="dxa"/>
            <w:vAlign w:val="center"/>
          </w:tcPr>
          <w:p w14:paraId="39F3B30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0.041</w:t>
            </w:r>
          </w:p>
        </w:tc>
        <w:tc>
          <w:tcPr>
            <w:tcW w:w="709" w:type="dxa"/>
            <w:vAlign w:val="center"/>
          </w:tcPr>
          <w:p w14:paraId="5528061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0.044</w:t>
            </w:r>
          </w:p>
        </w:tc>
        <w:tc>
          <w:tcPr>
            <w:tcW w:w="709" w:type="dxa"/>
            <w:vAlign w:val="center"/>
          </w:tcPr>
          <w:p w14:paraId="7B7F2F9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1652669.422</w:t>
            </w:r>
          </w:p>
        </w:tc>
        <w:tc>
          <w:tcPr>
            <w:tcW w:w="850" w:type="dxa"/>
            <w:vAlign w:val="center"/>
          </w:tcPr>
          <w:p w14:paraId="5951C8BD"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1650944.663</w:t>
            </w:r>
          </w:p>
        </w:tc>
      </w:tr>
      <w:tr w:rsidR="00490C3E" w14:paraId="4D1A9AF4" w14:textId="77777777" w:rsidTr="009162E4">
        <w:trPr>
          <w:jc w:val="center"/>
        </w:trPr>
        <w:tc>
          <w:tcPr>
            <w:tcW w:w="709" w:type="dxa"/>
            <w:vAlign w:val="center"/>
          </w:tcPr>
          <w:p w14:paraId="4F08095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4</w:t>
            </w:r>
          </w:p>
        </w:tc>
        <w:tc>
          <w:tcPr>
            <w:tcW w:w="1134" w:type="dxa"/>
            <w:vAlign w:val="center"/>
          </w:tcPr>
          <w:p w14:paraId="025B59C0" w14:textId="77777777" w:rsidR="00490C3E" w:rsidRDefault="00490C3E" w:rsidP="00490C3E">
            <w:pPr>
              <w:pStyle w:val="Compact"/>
              <w:spacing w:after="0" w:line="240" w:lineRule="auto"/>
              <w:rPr>
                <w:sz w:val="17"/>
                <w:szCs w:val="20"/>
                <w:lang w:val="en-GB" w:eastAsia="en-GB"/>
              </w:rPr>
            </w:pPr>
            <w:proofErr w:type="spellStart"/>
            <w:r>
              <w:rPr>
                <w:sz w:val="17"/>
                <w:szCs w:val="20"/>
                <w:lang w:val="en-GB" w:eastAsia="en-GB"/>
              </w:rPr>
              <w:t>mnl</w:t>
            </w:r>
            <w:proofErr w:type="spellEnd"/>
            <w:r>
              <w:rPr>
                <w:sz w:val="17"/>
                <w:szCs w:val="20"/>
                <w:lang w:val="en-GB" w:eastAsia="en-GB"/>
              </w:rPr>
              <w:t xml:space="preserve"> </w:t>
            </w:r>
            <w:proofErr w:type="spellStart"/>
            <w:r>
              <w:rPr>
                <w:sz w:val="17"/>
                <w:szCs w:val="20"/>
                <w:lang w:val="en-GB" w:eastAsia="en-GB"/>
              </w:rPr>
              <w:t>strta</w:t>
            </w:r>
            <w:proofErr w:type="spellEnd"/>
            <w:r>
              <w:rPr>
                <w:sz w:val="17"/>
                <w:szCs w:val="20"/>
                <w:lang w:val="en-GB" w:eastAsia="en-GB"/>
              </w:rPr>
              <w:t xml:space="preserve"> 2</w:t>
            </w:r>
          </w:p>
        </w:tc>
        <w:tc>
          <w:tcPr>
            <w:tcW w:w="709" w:type="dxa"/>
            <w:vAlign w:val="center"/>
          </w:tcPr>
          <w:p w14:paraId="058ED9FE" w14:textId="77777777" w:rsidR="00490C3E" w:rsidRDefault="00490C3E" w:rsidP="00490C3E">
            <w:pPr>
              <w:pStyle w:val="Compact"/>
              <w:spacing w:after="0" w:line="240" w:lineRule="auto"/>
              <w:rPr>
                <w:sz w:val="17"/>
                <w:szCs w:val="20"/>
                <w:lang w:val="en-GB" w:eastAsia="en-GB"/>
              </w:rPr>
            </w:pPr>
            <w:r>
              <w:rPr>
                <w:sz w:val="17"/>
                <w:szCs w:val="20"/>
                <w:lang w:val="en-GB" w:eastAsia="en-GB"/>
              </w:rPr>
              <w:t>Mixed-VIVI</w:t>
            </w:r>
          </w:p>
        </w:tc>
        <w:tc>
          <w:tcPr>
            <w:tcW w:w="709" w:type="dxa"/>
            <w:vAlign w:val="center"/>
          </w:tcPr>
          <w:p w14:paraId="544DA470" w14:textId="295DB033" w:rsidR="00490C3E" w:rsidRDefault="00490C3E" w:rsidP="00490C3E">
            <w:pPr>
              <w:pStyle w:val="Compact"/>
              <w:spacing w:after="0" w:line="240" w:lineRule="auto"/>
              <w:jc w:val="right"/>
              <w:rPr>
                <w:sz w:val="17"/>
                <w:szCs w:val="20"/>
                <w:lang w:val="en-GB" w:eastAsia="en-GB"/>
              </w:rPr>
            </w:pPr>
            <w:r>
              <w:rPr>
                <w:sz w:val="17"/>
                <w:szCs w:val="20"/>
                <w:lang w:val="en-GB" w:eastAsia="en-GB"/>
              </w:rPr>
              <w:t>3.8</w:t>
            </w:r>
            <w:r w:rsidR="004E6CA8">
              <w:rPr>
                <w:sz w:val="17"/>
                <w:szCs w:val="20"/>
                <w:lang w:val="en-GB" w:eastAsia="en-GB"/>
              </w:rPr>
              <w:t>2</w:t>
            </w:r>
            <w:r>
              <w:rPr>
                <w:sz w:val="17"/>
                <w:szCs w:val="20"/>
                <w:lang w:val="en-GB" w:eastAsia="en-GB"/>
              </w:rPr>
              <w:t>%</w:t>
            </w:r>
          </w:p>
        </w:tc>
        <w:tc>
          <w:tcPr>
            <w:tcW w:w="709" w:type="dxa"/>
            <w:vAlign w:val="center"/>
          </w:tcPr>
          <w:p w14:paraId="2AED517E" w14:textId="690277F6"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21%</w:t>
            </w:r>
          </w:p>
        </w:tc>
        <w:tc>
          <w:tcPr>
            <w:tcW w:w="842" w:type="dxa"/>
            <w:vAlign w:val="center"/>
          </w:tcPr>
          <w:p w14:paraId="41AA523E" w14:textId="19AF3D84"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365</w:t>
            </w:r>
          </w:p>
        </w:tc>
        <w:tc>
          <w:tcPr>
            <w:tcW w:w="859" w:type="dxa"/>
            <w:vAlign w:val="center"/>
          </w:tcPr>
          <w:p w14:paraId="346F323A" w14:textId="51ACD599"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4E6CA8">
              <w:rPr>
                <w:sz w:val="17"/>
                <w:szCs w:val="20"/>
                <w:lang w:val="en-GB" w:eastAsia="en-GB"/>
              </w:rPr>
              <w:t>19</w:t>
            </w:r>
          </w:p>
        </w:tc>
        <w:tc>
          <w:tcPr>
            <w:tcW w:w="850" w:type="dxa"/>
            <w:vAlign w:val="center"/>
          </w:tcPr>
          <w:p w14:paraId="3701B172"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0.029</w:t>
            </w:r>
          </w:p>
        </w:tc>
        <w:tc>
          <w:tcPr>
            <w:tcW w:w="709" w:type="dxa"/>
            <w:vAlign w:val="center"/>
          </w:tcPr>
          <w:p w14:paraId="57012E3E"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0.031</w:t>
            </w:r>
          </w:p>
        </w:tc>
        <w:tc>
          <w:tcPr>
            <w:tcW w:w="709" w:type="dxa"/>
            <w:vAlign w:val="center"/>
          </w:tcPr>
          <w:p w14:paraId="6357D37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1660725.706</w:t>
            </w:r>
          </w:p>
        </w:tc>
        <w:tc>
          <w:tcPr>
            <w:tcW w:w="850" w:type="dxa"/>
            <w:vAlign w:val="center"/>
          </w:tcPr>
          <w:p w14:paraId="3B587F5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1658579.591</w:t>
            </w:r>
          </w:p>
        </w:tc>
      </w:tr>
      <w:tr w:rsidR="00490C3E" w14:paraId="5B42DF00" w14:textId="77777777" w:rsidTr="009162E4">
        <w:trPr>
          <w:jc w:val="center"/>
        </w:trPr>
        <w:tc>
          <w:tcPr>
            <w:tcW w:w="709" w:type="dxa"/>
            <w:vAlign w:val="center"/>
          </w:tcPr>
          <w:p w14:paraId="10B754C4"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5</w:t>
            </w:r>
          </w:p>
        </w:tc>
        <w:tc>
          <w:tcPr>
            <w:tcW w:w="1134" w:type="dxa"/>
            <w:vAlign w:val="center"/>
          </w:tcPr>
          <w:p w14:paraId="643B99AD" w14:textId="77777777" w:rsidR="00490C3E" w:rsidRDefault="00490C3E" w:rsidP="00490C3E">
            <w:pPr>
              <w:pStyle w:val="Compact"/>
              <w:spacing w:after="0" w:line="240" w:lineRule="auto"/>
              <w:rPr>
                <w:sz w:val="17"/>
                <w:szCs w:val="20"/>
                <w:lang w:val="en-GB" w:eastAsia="en-GB"/>
              </w:rPr>
            </w:pPr>
            <w:proofErr w:type="spellStart"/>
            <w:r>
              <w:rPr>
                <w:sz w:val="17"/>
                <w:szCs w:val="20"/>
                <w:lang w:val="en-GB" w:eastAsia="en-GB"/>
              </w:rPr>
              <w:t>mnl</w:t>
            </w:r>
            <w:proofErr w:type="spellEnd"/>
            <w:r>
              <w:rPr>
                <w:sz w:val="17"/>
                <w:szCs w:val="20"/>
                <w:lang w:val="en-GB" w:eastAsia="en-GB"/>
              </w:rPr>
              <w:t xml:space="preserve"> </w:t>
            </w:r>
            <w:proofErr w:type="spellStart"/>
            <w:r>
              <w:rPr>
                <w:sz w:val="17"/>
                <w:szCs w:val="20"/>
                <w:lang w:val="en-GB" w:eastAsia="en-GB"/>
              </w:rPr>
              <w:t>strta</w:t>
            </w:r>
            <w:proofErr w:type="spellEnd"/>
            <w:r>
              <w:rPr>
                <w:sz w:val="17"/>
                <w:szCs w:val="20"/>
                <w:lang w:val="en-GB" w:eastAsia="en-GB"/>
              </w:rPr>
              <w:t xml:space="preserve"> 1</w:t>
            </w:r>
          </w:p>
        </w:tc>
        <w:tc>
          <w:tcPr>
            <w:tcW w:w="709" w:type="dxa"/>
            <w:vAlign w:val="center"/>
          </w:tcPr>
          <w:p w14:paraId="5D835DB5" w14:textId="77777777" w:rsidR="00490C3E" w:rsidRDefault="00490C3E" w:rsidP="00490C3E">
            <w:pPr>
              <w:pStyle w:val="Compact"/>
              <w:spacing w:after="0" w:line="240" w:lineRule="auto"/>
              <w:rPr>
                <w:sz w:val="17"/>
                <w:szCs w:val="20"/>
                <w:lang w:val="en-GB" w:eastAsia="en-GB"/>
              </w:rPr>
            </w:pPr>
            <w:r>
              <w:rPr>
                <w:sz w:val="17"/>
                <w:szCs w:val="20"/>
                <w:lang w:val="en-GB" w:eastAsia="en-GB"/>
              </w:rPr>
              <w:t>Mixed-VIVI</w:t>
            </w:r>
          </w:p>
        </w:tc>
        <w:tc>
          <w:tcPr>
            <w:tcW w:w="709" w:type="dxa"/>
            <w:vAlign w:val="center"/>
          </w:tcPr>
          <w:p w14:paraId="13AEDD1F" w14:textId="0A3D62AE" w:rsidR="00490C3E" w:rsidRDefault="00490C3E" w:rsidP="00490C3E">
            <w:pPr>
              <w:pStyle w:val="Compact"/>
              <w:spacing w:after="0" w:line="240" w:lineRule="auto"/>
              <w:jc w:val="right"/>
              <w:rPr>
                <w:sz w:val="17"/>
                <w:szCs w:val="20"/>
                <w:lang w:val="en-GB" w:eastAsia="en-GB"/>
              </w:rPr>
            </w:pPr>
            <w:r>
              <w:rPr>
                <w:sz w:val="17"/>
                <w:szCs w:val="20"/>
                <w:lang w:val="en-GB" w:eastAsia="en-GB"/>
              </w:rPr>
              <w:t>3.5</w:t>
            </w:r>
            <w:r w:rsidR="004E6CA8">
              <w:rPr>
                <w:sz w:val="17"/>
                <w:szCs w:val="20"/>
                <w:lang w:val="en-GB" w:eastAsia="en-GB"/>
              </w:rPr>
              <w:t>4</w:t>
            </w:r>
            <w:r>
              <w:rPr>
                <w:sz w:val="17"/>
                <w:szCs w:val="20"/>
                <w:lang w:val="en-GB" w:eastAsia="en-GB"/>
              </w:rPr>
              <w:t>%</w:t>
            </w:r>
          </w:p>
        </w:tc>
        <w:tc>
          <w:tcPr>
            <w:tcW w:w="709" w:type="dxa"/>
            <w:vAlign w:val="center"/>
          </w:tcPr>
          <w:p w14:paraId="03134646" w14:textId="3EE98DB7"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34%</w:t>
            </w:r>
          </w:p>
        </w:tc>
        <w:tc>
          <w:tcPr>
            <w:tcW w:w="842" w:type="dxa"/>
            <w:vAlign w:val="center"/>
          </w:tcPr>
          <w:p w14:paraId="3665A51C" w14:textId="59527906" w:rsidR="00490C3E" w:rsidRDefault="00490C3E" w:rsidP="00490C3E">
            <w:pPr>
              <w:pStyle w:val="Compact"/>
              <w:spacing w:after="0" w:line="240" w:lineRule="auto"/>
              <w:jc w:val="right"/>
              <w:rPr>
                <w:sz w:val="17"/>
                <w:szCs w:val="20"/>
                <w:lang w:val="en-GB" w:eastAsia="en-GB"/>
              </w:rPr>
            </w:pPr>
            <w:r>
              <w:rPr>
                <w:sz w:val="17"/>
                <w:szCs w:val="20"/>
                <w:lang w:val="en-GB" w:eastAsia="en-GB"/>
              </w:rPr>
              <w:t>0.03</w:t>
            </w:r>
            <w:r w:rsidR="004E6CA8">
              <w:rPr>
                <w:sz w:val="17"/>
                <w:szCs w:val="20"/>
                <w:lang w:val="en-GB" w:eastAsia="en-GB"/>
              </w:rPr>
              <w:t>40</w:t>
            </w:r>
          </w:p>
        </w:tc>
        <w:tc>
          <w:tcPr>
            <w:tcW w:w="859" w:type="dxa"/>
            <w:vAlign w:val="center"/>
          </w:tcPr>
          <w:p w14:paraId="536CB059" w14:textId="6A9AB46A"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4E6CA8">
              <w:rPr>
                <w:sz w:val="17"/>
                <w:szCs w:val="20"/>
                <w:lang w:val="en-GB" w:eastAsia="en-GB"/>
              </w:rPr>
              <w:t>31</w:t>
            </w:r>
          </w:p>
        </w:tc>
        <w:tc>
          <w:tcPr>
            <w:tcW w:w="850" w:type="dxa"/>
            <w:vAlign w:val="center"/>
          </w:tcPr>
          <w:p w14:paraId="65CC005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0.024</w:t>
            </w:r>
          </w:p>
        </w:tc>
        <w:tc>
          <w:tcPr>
            <w:tcW w:w="709" w:type="dxa"/>
            <w:vAlign w:val="center"/>
          </w:tcPr>
          <w:p w14:paraId="5E36138C"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0.027</w:t>
            </w:r>
          </w:p>
        </w:tc>
        <w:tc>
          <w:tcPr>
            <w:tcW w:w="709" w:type="dxa"/>
            <w:vAlign w:val="center"/>
          </w:tcPr>
          <w:p w14:paraId="5B98CB0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1657252.405</w:t>
            </w:r>
          </w:p>
        </w:tc>
        <w:tc>
          <w:tcPr>
            <w:tcW w:w="850" w:type="dxa"/>
            <w:vAlign w:val="center"/>
          </w:tcPr>
          <w:p w14:paraId="0FB2D931"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1656749.908</w:t>
            </w:r>
          </w:p>
        </w:tc>
      </w:tr>
      <w:tr w:rsidR="00490C3E" w14:paraId="2110A12E" w14:textId="77777777" w:rsidTr="009162E4">
        <w:trPr>
          <w:jc w:val="center"/>
        </w:trPr>
        <w:tc>
          <w:tcPr>
            <w:tcW w:w="709" w:type="dxa"/>
            <w:vAlign w:val="center"/>
          </w:tcPr>
          <w:p w14:paraId="2F71F7AA"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6</w:t>
            </w:r>
          </w:p>
        </w:tc>
        <w:tc>
          <w:tcPr>
            <w:tcW w:w="1134" w:type="dxa"/>
            <w:vAlign w:val="center"/>
          </w:tcPr>
          <w:p w14:paraId="4237077B" w14:textId="77777777" w:rsidR="00490C3E" w:rsidRDefault="00490C3E" w:rsidP="00490C3E">
            <w:pPr>
              <w:pStyle w:val="Compact"/>
              <w:spacing w:after="0" w:line="240" w:lineRule="auto"/>
              <w:rPr>
                <w:sz w:val="17"/>
                <w:szCs w:val="20"/>
                <w:lang w:val="en-GB" w:eastAsia="en-GB"/>
              </w:rPr>
            </w:pPr>
            <w:r>
              <w:rPr>
                <w:sz w:val="17"/>
                <w:szCs w:val="20"/>
                <w:lang w:val="en-GB" w:eastAsia="en-GB"/>
              </w:rPr>
              <w:t>Max VIVI 3</w:t>
            </w:r>
          </w:p>
        </w:tc>
        <w:tc>
          <w:tcPr>
            <w:tcW w:w="709" w:type="dxa"/>
            <w:vAlign w:val="center"/>
          </w:tcPr>
          <w:p w14:paraId="5426C18A" w14:textId="77777777" w:rsidR="00490C3E" w:rsidRDefault="00490C3E" w:rsidP="00490C3E">
            <w:pPr>
              <w:pStyle w:val="Compact"/>
              <w:spacing w:after="0" w:line="240" w:lineRule="auto"/>
              <w:rPr>
                <w:sz w:val="17"/>
                <w:szCs w:val="20"/>
                <w:lang w:val="en-GB" w:eastAsia="en-GB"/>
              </w:rPr>
            </w:pPr>
            <w:r>
              <w:rPr>
                <w:sz w:val="17"/>
                <w:szCs w:val="20"/>
                <w:lang w:val="en-GB" w:eastAsia="en-GB"/>
              </w:rPr>
              <w:t>High-VIVI</w:t>
            </w:r>
          </w:p>
        </w:tc>
        <w:tc>
          <w:tcPr>
            <w:tcW w:w="709" w:type="dxa"/>
            <w:vAlign w:val="center"/>
          </w:tcPr>
          <w:p w14:paraId="6DDBAC63" w14:textId="6FFF71FE" w:rsidR="00490C3E" w:rsidRDefault="00490C3E" w:rsidP="00490C3E">
            <w:pPr>
              <w:pStyle w:val="Compact"/>
              <w:spacing w:after="0" w:line="240" w:lineRule="auto"/>
              <w:jc w:val="right"/>
              <w:rPr>
                <w:sz w:val="17"/>
                <w:szCs w:val="20"/>
                <w:lang w:val="en-GB" w:eastAsia="en-GB"/>
              </w:rPr>
            </w:pPr>
            <w:r>
              <w:rPr>
                <w:sz w:val="17"/>
                <w:szCs w:val="20"/>
                <w:lang w:val="en-GB" w:eastAsia="en-GB"/>
              </w:rPr>
              <w:t>3.3</w:t>
            </w:r>
            <w:r w:rsidR="004E6CA8">
              <w:rPr>
                <w:sz w:val="17"/>
                <w:szCs w:val="20"/>
                <w:lang w:val="en-GB" w:eastAsia="en-GB"/>
              </w:rPr>
              <w:t>2</w:t>
            </w:r>
            <w:r>
              <w:rPr>
                <w:sz w:val="17"/>
                <w:szCs w:val="20"/>
                <w:lang w:val="en-GB" w:eastAsia="en-GB"/>
              </w:rPr>
              <w:t>%</w:t>
            </w:r>
          </w:p>
        </w:tc>
        <w:tc>
          <w:tcPr>
            <w:tcW w:w="709" w:type="dxa"/>
            <w:vAlign w:val="center"/>
          </w:tcPr>
          <w:p w14:paraId="404D15D2" w14:textId="3B2B3A6F"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33%</w:t>
            </w:r>
          </w:p>
        </w:tc>
        <w:tc>
          <w:tcPr>
            <w:tcW w:w="842" w:type="dxa"/>
            <w:vAlign w:val="center"/>
          </w:tcPr>
          <w:p w14:paraId="1F714954" w14:textId="471DC16B" w:rsidR="00490C3E" w:rsidRDefault="00490C3E" w:rsidP="00490C3E">
            <w:pPr>
              <w:pStyle w:val="Compact"/>
              <w:spacing w:after="0" w:line="240" w:lineRule="auto"/>
              <w:jc w:val="right"/>
              <w:rPr>
                <w:sz w:val="17"/>
                <w:szCs w:val="20"/>
                <w:lang w:val="en-GB" w:eastAsia="en-GB"/>
              </w:rPr>
            </w:pPr>
            <w:r>
              <w:rPr>
                <w:sz w:val="17"/>
                <w:szCs w:val="20"/>
                <w:lang w:val="en-GB" w:eastAsia="en-GB"/>
              </w:rPr>
              <w:t>0.03</w:t>
            </w:r>
            <w:r w:rsidR="004E6CA8">
              <w:rPr>
                <w:sz w:val="17"/>
                <w:szCs w:val="20"/>
                <w:lang w:val="en-GB" w:eastAsia="en-GB"/>
              </w:rPr>
              <w:t>20</w:t>
            </w:r>
          </w:p>
        </w:tc>
        <w:tc>
          <w:tcPr>
            <w:tcW w:w="859" w:type="dxa"/>
            <w:vAlign w:val="center"/>
          </w:tcPr>
          <w:p w14:paraId="001AE06A" w14:textId="7F87C10E"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31</w:t>
            </w:r>
          </w:p>
        </w:tc>
        <w:tc>
          <w:tcPr>
            <w:tcW w:w="850" w:type="dxa"/>
            <w:vAlign w:val="center"/>
          </w:tcPr>
          <w:p w14:paraId="3BF0BB77"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0.023</w:t>
            </w:r>
          </w:p>
        </w:tc>
        <w:tc>
          <w:tcPr>
            <w:tcW w:w="709" w:type="dxa"/>
            <w:vAlign w:val="center"/>
          </w:tcPr>
          <w:p w14:paraId="1D54A99C"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0.026</w:t>
            </w:r>
          </w:p>
        </w:tc>
        <w:tc>
          <w:tcPr>
            <w:tcW w:w="709" w:type="dxa"/>
            <w:vAlign w:val="center"/>
          </w:tcPr>
          <w:p w14:paraId="53FB964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1656185.095</w:t>
            </w:r>
          </w:p>
        </w:tc>
        <w:tc>
          <w:tcPr>
            <w:tcW w:w="850" w:type="dxa"/>
            <w:vAlign w:val="center"/>
          </w:tcPr>
          <w:p w14:paraId="75C1A62A"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1655718.208</w:t>
            </w:r>
          </w:p>
        </w:tc>
      </w:tr>
      <w:tr w:rsidR="00490C3E" w14:paraId="352A17D9" w14:textId="77777777" w:rsidTr="009162E4">
        <w:trPr>
          <w:jc w:val="center"/>
        </w:trPr>
        <w:tc>
          <w:tcPr>
            <w:tcW w:w="709" w:type="dxa"/>
            <w:vAlign w:val="center"/>
          </w:tcPr>
          <w:p w14:paraId="1604285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7</w:t>
            </w:r>
          </w:p>
        </w:tc>
        <w:tc>
          <w:tcPr>
            <w:tcW w:w="1134" w:type="dxa"/>
            <w:vAlign w:val="center"/>
          </w:tcPr>
          <w:p w14:paraId="388D8301" w14:textId="77777777" w:rsidR="00490C3E" w:rsidRDefault="00490C3E" w:rsidP="00490C3E">
            <w:pPr>
              <w:pStyle w:val="Compact"/>
              <w:spacing w:after="0" w:line="240" w:lineRule="auto"/>
              <w:rPr>
                <w:sz w:val="17"/>
                <w:szCs w:val="20"/>
                <w:lang w:val="en-GB" w:eastAsia="en-GB"/>
              </w:rPr>
            </w:pPr>
            <w:r>
              <w:rPr>
                <w:sz w:val="17"/>
                <w:szCs w:val="20"/>
                <w:lang w:val="en-GB" w:eastAsia="en-GB"/>
              </w:rPr>
              <w:t>Max VIVI 4</w:t>
            </w:r>
          </w:p>
        </w:tc>
        <w:tc>
          <w:tcPr>
            <w:tcW w:w="709" w:type="dxa"/>
            <w:vAlign w:val="center"/>
          </w:tcPr>
          <w:p w14:paraId="27E78393" w14:textId="77777777" w:rsidR="00490C3E" w:rsidRDefault="00490C3E" w:rsidP="00490C3E">
            <w:pPr>
              <w:pStyle w:val="Compact"/>
              <w:spacing w:after="0" w:line="240" w:lineRule="auto"/>
              <w:rPr>
                <w:sz w:val="17"/>
                <w:szCs w:val="20"/>
                <w:lang w:val="en-GB" w:eastAsia="en-GB"/>
              </w:rPr>
            </w:pPr>
            <w:r>
              <w:rPr>
                <w:sz w:val="17"/>
                <w:szCs w:val="20"/>
                <w:lang w:val="en-GB" w:eastAsia="en-GB"/>
              </w:rPr>
              <w:t>High-VIVI</w:t>
            </w:r>
          </w:p>
        </w:tc>
        <w:tc>
          <w:tcPr>
            <w:tcW w:w="709" w:type="dxa"/>
            <w:vAlign w:val="center"/>
          </w:tcPr>
          <w:p w14:paraId="77AF5971" w14:textId="35C513BC" w:rsidR="00490C3E" w:rsidRDefault="00490C3E" w:rsidP="00490C3E">
            <w:pPr>
              <w:pStyle w:val="Compact"/>
              <w:spacing w:after="0" w:line="240" w:lineRule="auto"/>
              <w:jc w:val="right"/>
              <w:rPr>
                <w:sz w:val="17"/>
                <w:szCs w:val="20"/>
                <w:lang w:val="en-GB" w:eastAsia="en-GB"/>
              </w:rPr>
            </w:pPr>
            <w:r>
              <w:rPr>
                <w:sz w:val="17"/>
                <w:szCs w:val="20"/>
                <w:lang w:val="en-GB" w:eastAsia="en-GB"/>
              </w:rPr>
              <w:t>3.0</w:t>
            </w:r>
            <w:r w:rsidR="004E6CA8">
              <w:rPr>
                <w:sz w:val="17"/>
                <w:szCs w:val="20"/>
                <w:lang w:val="en-GB" w:eastAsia="en-GB"/>
              </w:rPr>
              <w:t>4</w:t>
            </w:r>
            <w:r>
              <w:rPr>
                <w:sz w:val="17"/>
                <w:szCs w:val="20"/>
                <w:lang w:val="en-GB" w:eastAsia="en-GB"/>
              </w:rPr>
              <w:t>%</w:t>
            </w:r>
          </w:p>
        </w:tc>
        <w:tc>
          <w:tcPr>
            <w:tcW w:w="709" w:type="dxa"/>
            <w:vAlign w:val="center"/>
          </w:tcPr>
          <w:p w14:paraId="1EC865E1" w14:textId="2B775B4A"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36%</w:t>
            </w:r>
          </w:p>
        </w:tc>
        <w:tc>
          <w:tcPr>
            <w:tcW w:w="842" w:type="dxa"/>
            <w:vAlign w:val="center"/>
          </w:tcPr>
          <w:p w14:paraId="1D07495A" w14:textId="3798B649"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294</w:t>
            </w:r>
          </w:p>
        </w:tc>
        <w:tc>
          <w:tcPr>
            <w:tcW w:w="859" w:type="dxa"/>
            <w:vAlign w:val="center"/>
          </w:tcPr>
          <w:p w14:paraId="7A232157" w14:textId="5B7E5A45"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34</w:t>
            </w:r>
          </w:p>
        </w:tc>
        <w:tc>
          <w:tcPr>
            <w:tcW w:w="850" w:type="dxa"/>
            <w:vAlign w:val="center"/>
          </w:tcPr>
          <w:p w14:paraId="465EB422"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0.021</w:t>
            </w:r>
          </w:p>
        </w:tc>
        <w:tc>
          <w:tcPr>
            <w:tcW w:w="709" w:type="dxa"/>
            <w:vAlign w:val="center"/>
          </w:tcPr>
          <w:p w14:paraId="3A315E0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0.024</w:t>
            </w:r>
          </w:p>
        </w:tc>
        <w:tc>
          <w:tcPr>
            <w:tcW w:w="709" w:type="dxa"/>
            <w:vAlign w:val="center"/>
          </w:tcPr>
          <w:p w14:paraId="12F239E5"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1656800.680</w:t>
            </w:r>
          </w:p>
        </w:tc>
        <w:tc>
          <w:tcPr>
            <w:tcW w:w="850" w:type="dxa"/>
            <w:vAlign w:val="center"/>
          </w:tcPr>
          <w:p w14:paraId="71A3D4DD"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1656425.282</w:t>
            </w:r>
          </w:p>
        </w:tc>
      </w:tr>
      <w:tr w:rsidR="00490C3E" w14:paraId="77E50FFA" w14:textId="77777777" w:rsidTr="009162E4">
        <w:trPr>
          <w:jc w:val="center"/>
        </w:trPr>
        <w:tc>
          <w:tcPr>
            <w:tcW w:w="709" w:type="dxa"/>
            <w:vAlign w:val="center"/>
          </w:tcPr>
          <w:p w14:paraId="2AE1B986"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8</w:t>
            </w:r>
          </w:p>
        </w:tc>
        <w:tc>
          <w:tcPr>
            <w:tcW w:w="1134" w:type="dxa"/>
            <w:vAlign w:val="center"/>
          </w:tcPr>
          <w:p w14:paraId="30970D6B" w14:textId="77777777" w:rsidR="00490C3E" w:rsidRDefault="00490C3E" w:rsidP="00490C3E">
            <w:pPr>
              <w:pStyle w:val="Compact"/>
              <w:spacing w:after="0" w:line="240" w:lineRule="auto"/>
              <w:rPr>
                <w:sz w:val="17"/>
                <w:szCs w:val="20"/>
                <w:lang w:val="en-GB" w:eastAsia="en-GB"/>
              </w:rPr>
            </w:pPr>
            <w:r>
              <w:rPr>
                <w:sz w:val="17"/>
                <w:szCs w:val="20"/>
                <w:lang w:val="en-GB" w:eastAsia="en-GB"/>
              </w:rPr>
              <w:t>Max VIVI 5</w:t>
            </w:r>
          </w:p>
        </w:tc>
        <w:tc>
          <w:tcPr>
            <w:tcW w:w="709" w:type="dxa"/>
            <w:vAlign w:val="center"/>
          </w:tcPr>
          <w:p w14:paraId="2DEA7D24" w14:textId="77777777" w:rsidR="00490C3E" w:rsidRDefault="00490C3E" w:rsidP="00490C3E">
            <w:pPr>
              <w:pStyle w:val="Compact"/>
              <w:spacing w:after="0" w:line="240" w:lineRule="auto"/>
              <w:rPr>
                <w:sz w:val="17"/>
                <w:szCs w:val="20"/>
                <w:lang w:val="en-GB" w:eastAsia="en-GB"/>
              </w:rPr>
            </w:pPr>
            <w:r>
              <w:rPr>
                <w:sz w:val="17"/>
                <w:szCs w:val="20"/>
                <w:lang w:val="en-GB" w:eastAsia="en-GB"/>
              </w:rPr>
              <w:t>High-VIVI</w:t>
            </w:r>
          </w:p>
        </w:tc>
        <w:tc>
          <w:tcPr>
            <w:tcW w:w="709" w:type="dxa"/>
            <w:vAlign w:val="center"/>
          </w:tcPr>
          <w:p w14:paraId="17CF9B8F" w14:textId="2721CE84" w:rsidR="00490C3E" w:rsidRDefault="00490C3E" w:rsidP="00490C3E">
            <w:pPr>
              <w:pStyle w:val="Compact"/>
              <w:spacing w:after="0" w:line="240" w:lineRule="auto"/>
              <w:jc w:val="right"/>
              <w:rPr>
                <w:sz w:val="17"/>
                <w:szCs w:val="20"/>
                <w:lang w:val="en-GB" w:eastAsia="en-GB"/>
              </w:rPr>
            </w:pPr>
            <w:r>
              <w:rPr>
                <w:sz w:val="17"/>
                <w:szCs w:val="20"/>
                <w:lang w:val="en-GB" w:eastAsia="en-GB"/>
              </w:rPr>
              <w:t>2.</w:t>
            </w:r>
            <w:r w:rsidR="004E6CA8">
              <w:rPr>
                <w:sz w:val="17"/>
                <w:szCs w:val="20"/>
                <w:lang w:val="en-GB" w:eastAsia="en-GB"/>
              </w:rPr>
              <w:t>79</w:t>
            </w:r>
            <w:r>
              <w:rPr>
                <w:sz w:val="17"/>
                <w:szCs w:val="20"/>
                <w:lang w:val="en-GB" w:eastAsia="en-GB"/>
              </w:rPr>
              <w:t>%</w:t>
            </w:r>
          </w:p>
        </w:tc>
        <w:tc>
          <w:tcPr>
            <w:tcW w:w="709" w:type="dxa"/>
            <w:vAlign w:val="center"/>
          </w:tcPr>
          <w:p w14:paraId="57D05ABF" w14:textId="4146BEE5"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25%</w:t>
            </w:r>
          </w:p>
        </w:tc>
        <w:tc>
          <w:tcPr>
            <w:tcW w:w="842" w:type="dxa"/>
            <w:vAlign w:val="center"/>
          </w:tcPr>
          <w:p w14:paraId="128F6963" w14:textId="2FD31EDF"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264</w:t>
            </w:r>
          </w:p>
        </w:tc>
        <w:tc>
          <w:tcPr>
            <w:tcW w:w="859" w:type="dxa"/>
            <w:vAlign w:val="center"/>
          </w:tcPr>
          <w:p w14:paraId="52EC69BC" w14:textId="31711422"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23</w:t>
            </w:r>
          </w:p>
        </w:tc>
        <w:tc>
          <w:tcPr>
            <w:tcW w:w="850" w:type="dxa"/>
            <w:vAlign w:val="center"/>
          </w:tcPr>
          <w:p w14:paraId="0ABBDE01"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0.018</w:t>
            </w:r>
          </w:p>
        </w:tc>
        <w:tc>
          <w:tcPr>
            <w:tcW w:w="709" w:type="dxa"/>
            <w:vAlign w:val="center"/>
          </w:tcPr>
          <w:p w14:paraId="644084B5"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0.020</w:t>
            </w:r>
          </w:p>
        </w:tc>
        <w:tc>
          <w:tcPr>
            <w:tcW w:w="709" w:type="dxa"/>
            <w:vAlign w:val="center"/>
          </w:tcPr>
          <w:p w14:paraId="1A30046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1662917.931</w:t>
            </w:r>
          </w:p>
        </w:tc>
        <w:tc>
          <w:tcPr>
            <w:tcW w:w="850" w:type="dxa"/>
            <w:vAlign w:val="center"/>
          </w:tcPr>
          <w:p w14:paraId="3F248A93"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1662276.849</w:t>
            </w:r>
          </w:p>
        </w:tc>
      </w:tr>
      <w:tr w:rsidR="00490C3E" w14:paraId="2B422CD8" w14:textId="77777777" w:rsidTr="009162E4">
        <w:trPr>
          <w:jc w:val="center"/>
        </w:trPr>
        <w:tc>
          <w:tcPr>
            <w:tcW w:w="709" w:type="dxa"/>
            <w:vAlign w:val="center"/>
          </w:tcPr>
          <w:p w14:paraId="29A2DD36"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9</w:t>
            </w:r>
          </w:p>
        </w:tc>
        <w:tc>
          <w:tcPr>
            <w:tcW w:w="1134" w:type="dxa"/>
            <w:vAlign w:val="center"/>
          </w:tcPr>
          <w:p w14:paraId="680D2FF7" w14:textId="77777777" w:rsidR="00490C3E" w:rsidRDefault="00490C3E" w:rsidP="00490C3E">
            <w:pPr>
              <w:pStyle w:val="Compact"/>
              <w:spacing w:after="0" w:line="240" w:lineRule="auto"/>
              <w:rPr>
                <w:sz w:val="17"/>
                <w:szCs w:val="20"/>
                <w:lang w:val="en-GB" w:eastAsia="en-GB"/>
              </w:rPr>
            </w:pPr>
            <w:proofErr w:type="spellStart"/>
            <w:r>
              <w:rPr>
                <w:sz w:val="17"/>
                <w:szCs w:val="20"/>
                <w:lang w:val="en-GB" w:eastAsia="en-GB"/>
              </w:rPr>
              <w:t>mnl</w:t>
            </w:r>
            <w:proofErr w:type="spellEnd"/>
            <w:r>
              <w:rPr>
                <w:sz w:val="17"/>
                <w:szCs w:val="20"/>
                <w:lang w:val="en-GB" w:eastAsia="en-GB"/>
              </w:rPr>
              <w:t xml:space="preserve"> </w:t>
            </w:r>
            <w:proofErr w:type="spellStart"/>
            <w:r>
              <w:rPr>
                <w:sz w:val="17"/>
                <w:szCs w:val="20"/>
                <w:lang w:val="en-GB" w:eastAsia="en-GB"/>
              </w:rPr>
              <w:t>strta</w:t>
            </w:r>
            <w:proofErr w:type="spellEnd"/>
            <w:r>
              <w:rPr>
                <w:sz w:val="17"/>
                <w:szCs w:val="20"/>
                <w:lang w:val="en-GB" w:eastAsia="en-GB"/>
              </w:rPr>
              <w:t xml:space="preserve"> 4</w:t>
            </w:r>
          </w:p>
        </w:tc>
        <w:tc>
          <w:tcPr>
            <w:tcW w:w="709" w:type="dxa"/>
            <w:vAlign w:val="center"/>
          </w:tcPr>
          <w:p w14:paraId="5CF5FE48" w14:textId="77777777" w:rsidR="00490C3E" w:rsidRDefault="00490C3E" w:rsidP="00490C3E">
            <w:pPr>
              <w:pStyle w:val="Compact"/>
              <w:spacing w:after="0" w:line="240" w:lineRule="auto"/>
              <w:rPr>
                <w:sz w:val="17"/>
                <w:szCs w:val="20"/>
                <w:lang w:val="en-GB" w:eastAsia="en-GB"/>
              </w:rPr>
            </w:pPr>
            <w:r>
              <w:rPr>
                <w:sz w:val="17"/>
                <w:szCs w:val="20"/>
                <w:lang w:val="en-GB" w:eastAsia="en-GB"/>
              </w:rPr>
              <w:t>Mixed-VIVI</w:t>
            </w:r>
          </w:p>
        </w:tc>
        <w:tc>
          <w:tcPr>
            <w:tcW w:w="709" w:type="dxa"/>
            <w:vAlign w:val="center"/>
          </w:tcPr>
          <w:p w14:paraId="6428EB0B" w14:textId="56FC679B" w:rsidR="00490C3E" w:rsidRDefault="00490C3E" w:rsidP="00490C3E">
            <w:pPr>
              <w:pStyle w:val="Compact"/>
              <w:spacing w:after="0" w:line="240" w:lineRule="auto"/>
              <w:jc w:val="right"/>
              <w:rPr>
                <w:sz w:val="17"/>
                <w:szCs w:val="20"/>
                <w:lang w:val="en-GB" w:eastAsia="en-GB"/>
              </w:rPr>
            </w:pPr>
            <w:r>
              <w:rPr>
                <w:sz w:val="17"/>
                <w:szCs w:val="20"/>
                <w:lang w:val="en-GB" w:eastAsia="en-GB"/>
              </w:rPr>
              <w:t>2.</w:t>
            </w:r>
            <w:r w:rsidR="004E6CA8">
              <w:rPr>
                <w:sz w:val="17"/>
                <w:szCs w:val="20"/>
                <w:lang w:val="en-GB" w:eastAsia="en-GB"/>
              </w:rPr>
              <w:t>5</w:t>
            </w:r>
            <w:r>
              <w:rPr>
                <w:sz w:val="17"/>
                <w:szCs w:val="20"/>
                <w:lang w:val="en-GB" w:eastAsia="en-GB"/>
              </w:rPr>
              <w:t>6%</w:t>
            </w:r>
          </w:p>
        </w:tc>
        <w:tc>
          <w:tcPr>
            <w:tcW w:w="709" w:type="dxa"/>
            <w:vAlign w:val="center"/>
          </w:tcPr>
          <w:p w14:paraId="0D80F219" w14:textId="4933FC1C"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18%</w:t>
            </w:r>
          </w:p>
        </w:tc>
        <w:tc>
          <w:tcPr>
            <w:tcW w:w="842" w:type="dxa"/>
            <w:vAlign w:val="center"/>
          </w:tcPr>
          <w:p w14:paraId="10CDEB80" w14:textId="256A0575" w:rsidR="00490C3E" w:rsidRDefault="00490C3E" w:rsidP="00490C3E">
            <w:pPr>
              <w:pStyle w:val="Compact"/>
              <w:spacing w:after="0" w:line="240" w:lineRule="auto"/>
              <w:jc w:val="right"/>
              <w:rPr>
                <w:sz w:val="17"/>
                <w:szCs w:val="20"/>
                <w:lang w:val="en-GB" w:eastAsia="en-GB"/>
              </w:rPr>
            </w:pPr>
            <w:r>
              <w:rPr>
                <w:sz w:val="17"/>
                <w:szCs w:val="20"/>
                <w:lang w:val="en-GB" w:eastAsia="en-GB"/>
              </w:rPr>
              <w:t>0.02</w:t>
            </w:r>
            <w:r w:rsidR="004E6CA8">
              <w:rPr>
                <w:sz w:val="17"/>
                <w:szCs w:val="20"/>
                <w:lang w:val="en-GB" w:eastAsia="en-GB"/>
              </w:rPr>
              <w:t>41</w:t>
            </w:r>
          </w:p>
        </w:tc>
        <w:tc>
          <w:tcPr>
            <w:tcW w:w="859" w:type="dxa"/>
            <w:vAlign w:val="center"/>
          </w:tcPr>
          <w:p w14:paraId="4122686B" w14:textId="4314E70F"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17</w:t>
            </w:r>
          </w:p>
        </w:tc>
        <w:tc>
          <w:tcPr>
            <w:tcW w:w="850" w:type="dxa"/>
            <w:vAlign w:val="center"/>
          </w:tcPr>
          <w:p w14:paraId="62FD82C4"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0.021</w:t>
            </w:r>
          </w:p>
        </w:tc>
        <w:tc>
          <w:tcPr>
            <w:tcW w:w="709" w:type="dxa"/>
            <w:vAlign w:val="center"/>
          </w:tcPr>
          <w:p w14:paraId="328E945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0.023</w:t>
            </w:r>
          </w:p>
        </w:tc>
        <w:tc>
          <w:tcPr>
            <w:tcW w:w="709" w:type="dxa"/>
            <w:vAlign w:val="center"/>
          </w:tcPr>
          <w:p w14:paraId="22DC854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1659378.224</w:t>
            </w:r>
          </w:p>
        </w:tc>
        <w:tc>
          <w:tcPr>
            <w:tcW w:w="850" w:type="dxa"/>
            <w:vAlign w:val="center"/>
          </w:tcPr>
          <w:p w14:paraId="00F0A6F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1659059.886</w:t>
            </w:r>
          </w:p>
        </w:tc>
      </w:tr>
      <w:tr w:rsidR="00490C3E" w14:paraId="7CF2A469" w14:textId="77777777" w:rsidTr="009162E4">
        <w:trPr>
          <w:jc w:val="center"/>
        </w:trPr>
        <w:tc>
          <w:tcPr>
            <w:tcW w:w="709" w:type="dxa"/>
            <w:vAlign w:val="center"/>
          </w:tcPr>
          <w:p w14:paraId="24BF2F84"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10</w:t>
            </w:r>
          </w:p>
        </w:tc>
        <w:tc>
          <w:tcPr>
            <w:tcW w:w="1134" w:type="dxa"/>
            <w:vAlign w:val="center"/>
          </w:tcPr>
          <w:p w14:paraId="558EA026" w14:textId="77777777" w:rsidR="00490C3E" w:rsidRDefault="00490C3E" w:rsidP="00490C3E">
            <w:pPr>
              <w:pStyle w:val="Compact"/>
              <w:spacing w:after="0" w:line="240" w:lineRule="auto"/>
              <w:rPr>
                <w:sz w:val="17"/>
                <w:szCs w:val="20"/>
                <w:lang w:val="en-GB" w:eastAsia="en-GB"/>
              </w:rPr>
            </w:pPr>
            <w:r>
              <w:rPr>
                <w:sz w:val="17"/>
                <w:szCs w:val="20"/>
                <w:lang w:val="en-GB" w:eastAsia="en-GB"/>
              </w:rPr>
              <w:t>Min VIVI 5</w:t>
            </w:r>
          </w:p>
        </w:tc>
        <w:tc>
          <w:tcPr>
            <w:tcW w:w="709" w:type="dxa"/>
            <w:vAlign w:val="center"/>
          </w:tcPr>
          <w:p w14:paraId="5BA2B50C" w14:textId="77777777" w:rsidR="00490C3E" w:rsidRDefault="00490C3E" w:rsidP="00490C3E">
            <w:pPr>
              <w:pStyle w:val="Compact"/>
              <w:spacing w:after="0" w:line="240" w:lineRule="auto"/>
              <w:rPr>
                <w:sz w:val="17"/>
                <w:szCs w:val="20"/>
                <w:lang w:val="en-GB" w:eastAsia="en-GB"/>
              </w:rPr>
            </w:pPr>
            <w:r>
              <w:rPr>
                <w:sz w:val="17"/>
                <w:szCs w:val="20"/>
                <w:lang w:val="en-GB" w:eastAsia="en-GB"/>
              </w:rPr>
              <w:t>Low-VIVI</w:t>
            </w:r>
          </w:p>
        </w:tc>
        <w:tc>
          <w:tcPr>
            <w:tcW w:w="709" w:type="dxa"/>
            <w:vAlign w:val="center"/>
          </w:tcPr>
          <w:p w14:paraId="0C086A6C" w14:textId="3E9F7EC5" w:rsidR="00490C3E" w:rsidRDefault="00490C3E" w:rsidP="00490C3E">
            <w:pPr>
              <w:pStyle w:val="Compact"/>
              <w:spacing w:after="0" w:line="240" w:lineRule="auto"/>
              <w:jc w:val="right"/>
              <w:rPr>
                <w:sz w:val="17"/>
                <w:szCs w:val="20"/>
                <w:lang w:val="en-GB" w:eastAsia="en-GB"/>
              </w:rPr>
            </w:pPr>
            <w:r>
              <w:rPr>
                <w:sz w:val="17"/>
                <w:szCs w:val="20"/>
                <w:lang w:val="en-GB" w:eastAsia="en-GB"/>
              </w:rPr>
              <w:t>1.</w:t>
            </w:r>
            <w:r w:rsidR="004E6CA8">
              <w:rPr>
                <w:sz w:val="17"/>
                <w:szCs w:val="20"/>
                <w:lang w:val="en-GB" w:eastAsia="en-GB"/>
              </w:rPr>
              <w:t>86</w:t>
            </w:r>
            <w:r>
              <w:rPr>
                <w:sz w:val="17"/>
                <w:szCs w:val="20"/>
                <w:lang w:val="en-GB" w:eastAsia="en-GB"/>
              </w:rPr>
              <w:t>%</w:t>
            </w:r>
          </w:p>
        </w:tc>
        <w:tc>
          <w:tcPr>
            <w:tcW w:w="709" w:type="dxa"/>
            <w:vAlign w:val="center"/>
          </w:tcPr>
          <w:p w14:paraId="3BE42C24" w14:textId="26517EC2"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32%</w:t>
            </w:r>
          </w:p>
        </w:tc>
        <w:tc>
          <w:tcPr>
            <w:tcW w:w="842" w:type="dxa"/>
            <w:vAlign w:val="center"/>
          </w:tcPr>
          <w:p w14:paraId="39E77BA4" w14:textId="548557D8"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17</w:t>
            </w:r>
            <w:r>
              <w:rPr>
                <w:sz w:val="17"/>
                <w:szCs w:val="20"/>
                <w:lang w:val="en-GB" w:eastAsia="en-GB"/>
              </w:rPr>
              <w:t>2</w:t>
            </w:r>
          </w:p>
        </w:tc>
        <w:tc>
          <w:tcPr>
            <w:tcW w:w="859" w:type="dxa"/>
            <w:vAlign w:val="center"/>
          </w:tcPr>
          <w:p w14:paraId="23D19051" w14:textId="4925457B"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29</w:t>
            </w:r>
          </w:p>
        </w:tc>
        <w:tc>
          <w:tcPr>
            <w:tcW w:w="850" w:type="dxa"/>
            <w:vAlign w:val="center"/>
          </w:tcPr>
          <w:p w14:paraId="6DC43BB2"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0.011</w:t>
            </w:r>
          </w:p>
        </w:tc>
        <w:tc>
          <w:tcPr>
            <w:tcW w:w="709" w:type="dxa"/>
            <w:vAlign w:val="center"/>
          </w:tcPr>
          <w:p w14:paraId="1C330F0E"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0.014</w:t>
            </w:r>
          </w:p>
        </w:tc>
        <w:tc>
          <w:tcPr>
            <w:tcW w:w="709" w:type="dxa"/>
            <w:vAlign w:val="center"/>
          </w:tcPr>
          <w:p w14:paraId="6DD55B6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1664833.971</w:t>
            </w:r>
          </w:p>
        </w:tc>
        <w:tc>
          <w:tcPr>
            <w:tcW w:w="850" w:type="dxa"/>
            <w:vAlign w:val="center"/>
          </w:tcPr>
          <w:p w14:paraId="2D2198E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1664366.718</w:t>
            </w:r>
          </w:p>
        </w:tc>
      </w:tr>
      <w:tr w:rsidR="00490C3E" w14:paraId="22D5DC9D" w14:textId="77777777" w:rsidTr="009162E4">
        <w:trPr>
          <w:jc w:val="center"/>
        </w:trPr>
        <w:tc>
          <w:tcPr>
            <w:tcW w:w="709" w:type="dxa"/>
            <w:vAlign w:val="center"/>
          </w:tcPr>
          <w:p w14:paraId="039A4496"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11</w:t>
            </w:r>
          </w:p>
        </w:tc>
        <w:tc>
          <w:tcPr>
            <w:tcW w:w="1134" w:type="dxa"/>
            <w:vAlign w:val="center"/>
          </w:tcPr>
          <w:p w14:paraId="5045EC75" w14:textId="77777777" w:rsidR="00490C3E" w:rsidRDefault="00490C3E" w:rsidP="00490C3E">
            <w:pPr>
              <w:pStyle w:val="Compact"/>
              <w:spacing w:after="0" w:line="240" w:lineRule="auto"/>
              <w:rPr>
                <w:sz w:val="17"/>
                <w:szCs w:val="20"/>
                <w:lang w:val="en-GB" w:eastAsia="en-GB"/>
              </w:rPr>
            </w:pPr>
            <w:proofErr w:type="spellStart"/>
            <w:r>
              <w:rPr>
                <w:sz w:val="17"/>
                <w:szCs w:val="20"/>
                <w:lang w:val="en-GB" w:eastAsia="en-GB"/>
              </w:rPr>
              <w:t>mnl</w:t>
            </w:r>
            <w:proofErr w:type="spellEnd"/>
            <w:r>
              <w:rPr>
                <w:sz w:val="17"/>
                <w:szCs w:val="20"/>
                <w:lang w:val="en-GB" w:eastAsia="en-GB"/>
              </w:rPr>
              <w:t xml:space="preserve"> </w:t>
            </w:r>
            <w:proofErr w:type="spellStart"/>
            <w:r>
              <w:rPr>
                <w:sz w:val="17"/>
                <w:szCs w:val="20"/>
                <w:lang w:val="en-GB" w:eastAsia="en-GB"/>
              </w:rPr>
              <w:t>strta</w:t>
            </w:r>
            <w:proofErr w:type="spellEnd"/>
            <w:r>
              <w:rPr>
                <w:sz w:val="17"/>
                <w:szCs w:val="20"/>
                <w:lang w:val="en-GB" w:eastAsia="en-GB"/>
              </w:rPr>
              <w:t xml:space="preserve"> 5</w:t>
            </w:r>
          </w:p>
        </w:tc>
        <w:tc>
          <w:tcPr>
            <w:tcW w:w="709" w:type="dxa"/>
            <w:vAlign w:val="center"/>
          </w:tcPr>
          <w:p w14:paraId="258D26A9" w14:textId="77777777" w:rsidR="00490C3E" w:rsidRDefault="00490C3E" w:rsidP="00490C3E">
            <w:pPr>
              <w:pStyle w:val="Compact"/>
              <w:spacing w:after="0" w:line="240" w:lineRule="auto"/>
              <w:rPr>
                <w:sz w:val="17"/>
                <w:szCs w:val="20"/>
                <w:lang w:val="en-GB" w:eastAsia="en-GB"/>
              </w:rPr>
            </w:pPr>
            <w:r>
              <w:rPr>
                <w:sz w:val="17"/>
                <w:szCs w:val="20"/>
                <w:lang w:val="en-GB" w:eastAsia="en-GB"/>
              </w:rPr>
              <w:t>Mixed-VIVI</w:t>
            </w:r>
          </w:p>
        </w:tc>
        <w:tc>
          <w:tcPr>
            <w:tcW w:w="709" w:type="dxa"/>
            <w:vAlign w:val="center"/>
          </w:tcPr>
          <w:p w14:paraId="3310F949" w14:textId="07CF10BB" w:rsidR="00490C3E" w:rsidRDefault="00490C3E" w:rsidP="00490C3E">
            <w:pPr>
              <w:pStyle w:val="Compact"/>
              <w:spacing w:after="0" w:line="240" w:lineRule="auto"/>
              <w:jc w:val="right"/>
              <w:rPr>
                <w:sz w:val="17"/>
                <w:szCs w:val="20"/>
                <w:lang w:val="en-GB" w:eastAsia="en-GB"/>
              </w:rPr>
            </w:pPr>
            <w:r>
              <w:rPr>
                <w:sz w:val="17"/>
                <w:szCs w:val="20"/>
                <w:lang w:val="en-GB" w:eastAsia="en-GB"/>
              </w:rPr>
              <w:t>1.8</w:t>
            </w:r>
            <w:r w:rsidR="004E6CA8">
              <w:rPr>
                <w:sz w:val="17"/>
                <w:szCs w:val="20"/>
                <w:lang w:val="en-GB" w:eastAsia="en-GB"/>
              </w:rPr>
              <w:t>3</w:t>
            </w:r>
            <w:r>
              <w:rPr>
                <w:sz w:val="17"/>
                <w:szCs w:val="20"/>
                <w:lang w:val="en-GB" w:eastAsia="en-GB"/>
              </w:rPr>
              <w:t>%</w:t>
            </w:r>
          </w:p>
        </w:tc>
        <w:tc>
          <w:tcPr>
            <w:tcW w:w="709" w:type="dxa"/>
            <w:vAlign w:val="center"/>
          </w:tcPr>
          <w:p w14:paraId="714E8194" w14:textId="374ACB5A"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16%</w:t>
            </w:r>
          </w:p>
        </w:tc>
        <w:tc>
          <w:tcPr>
            <w:tcW w:w="842" w:type="dxa"/>
            <w:vAlign w:val="center"/>
          </w:tcPr>
          <w:p w14:paraId="2D3841D5" w14:textId="266F08D4"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166</w:t>
            </w:r>
          </w:p>
        </w:tc>
        <w:tc>
          <w:tcPr>
            <w:tcW w:w="859" w:type="dxa"/>
            <w:vAlign w:val="center"/>
          </w:tcPr>
          <w:p w14:paraId="267CDE81" w14:textId="4D644458"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14</w:t>
            </w:r>
          </w:p>
        </w:tc>
        <w:tc>
          <w:tcPr>
            <w:tcW w:w="850" w:type="dxa"/>
            <w:vAlign w:val="center"/>
          </w:tcPr>
          <w:p w14:paraId="40F9CFFC"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0.011</w:t>
            </w:r>
          </w:p>
        </w:tc>
        <w:tc>
          <w:tcPr>
            <w:tcW w:w="709" w:type="dxa"/>
            <w:vAlign w:val="center"/>
          </w:tcPr>
          <w:p w14:paraId="4AACCD17"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0.013</w:t>
            </w:r>
          </w:p>
        </w:tc>
        <w:tc>
          <w:tcPr>
            <w:tcW w:w="709" w:type="dxa"/>
            <w:vAlign w:val="center"/>
          </w:tcPr>
          <w:p w14:paraId="6244BD53"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1667621.038</w:t>
            </w:r>
          </w:p>
        </w:tc>
        <w:tc>
          <w:tcPr>
            <w:tcW w:w="850" w:type="dxa"/>
            <w:vAlign w:val="center"/>
          </w:tcPr>
          <w:p w14:paraId="02200E6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1667384.532</w:t>
            </w:r>
          </w:p>
        </w:tc>
      </w:tr>
      <w:tr w:rsidR="00490C3E" w14:paraId="306BC6E3" w14:textId="77777777" w:rsidTr="009162E4">
        <w:trPr>
          <w:jc w:val="center"/>
        </w:trPr>
        <w:tc>
          <w:tcPr>
            <w:tcW w:w="709" w:type="dxa"/>
            <w:vAlign w:val="center"/>
          </w:tcPr>
          <w:p w14:paraId="017D404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12</w:t>
            </w:r>
          </w:p>
        </w:tc>
        <w:tc>
          <w:tcPr>
            <w:tcW w:w="1134" w:type="dxa"/>
            <w:vAlign w:val="center"/>
          </w:tcPr>
          <w:p w14:paraId="3D182BC7" w14:textId="77777777" w:rsidR="00490C3E" w:rsidRDefault="00490C3E" w:rsidP="00490C3E">
            <w:pPr>
              <w:pStyle w:val="Compact"/>
              <w:spacing w:after="0" w:line="240" w:lineRule="auto"/>
              <w:rPr>
                <w:sz w:val="17"/>
                <w:szCs w:val="20"/>
                <w:lang w:val="en-GB" w:eastAsia="en-GB"/>
              </w:rPr>
            </w:pPr>
            <w:r>
              <w:rPr>
                <w:sz w:val="17"/>
                <w:szCs w:val="20"/>
                <w:lang w:val="en-GB" w:eastAsia="en-GB"/>
              </w:rPr>
              <w:t>Min VIVI 4</w:t>
            </w:r>
          </w:p>
        </w:tc>
        <w:tc>
          <w:tcPr>
            <w:tcW w:w="709" w:type="dxa"/>
            <w:vAlign w:val="center"/>
          </w:tcPr>
          <w:p w14:paraId="6354436A" w14:textId="77777777" w:rsidR="00490C3E" w:rsidRDefault="00490C3E" w:rsidP="00490C3E">
            <w:pPr>
              <w:pStyle w:val="Compact"/>
              <w:spacing w:after="0" w:line="240" w:lineRule="auto"/>
              <w:rPr>
                <w:sz w:val="17"/>
                <w:szCs w:val="20"/>
                <w:lang w:val="en-GB" w:eastAsia="en-GB"/>
              </w:rPr>
            </w:pPr>
            <w:r>
              <w:rPr>
                <w:sz w:val="17"/>
                <w:szCs w:val="20"/>
                <w:lang w:val="en-GB" w:eastAsia="en-GB"/>
              </w:rPr>
              <w:t>Low-VIVI</w:t>
            </w:r>
          </w:p>
        </w:tc>
        <w:tc>
          <w:tcPr>
            <w:tcW w:w="709" w:type="dxa"/>
            <w:vAlign w:val="center"/>
          </w:tcPr>
          <w:p w14:paraId="32AB21CF" w14:textId="2DC17C26" w:rsidR="00490C3E" w:rsidRDefault="00490C3E" w:rsidP="00490C3E">
            <w:pPr>
              <w:pStyle w:val="Compact"/>
              <w:spacing w:after="0" w:line="240" w:lineRule="auto"/>
              <w:jc w:val="right"/>
              <w:rPr>
                <w:sz w:val="17"/>
                <w:szCs w:val="20"/>
                <w:lang w:val="en-GB" w:eastAsia="en-GB"/>
              </w:rPr>
            </w:pPr>
            <w:r>
              <w:rPr>
                <w:sz w:val="17"/>
                <w:szCs w:val="20"/>
                <w:lang w:val="en-GB" w:eastAsia="en-GB"/>
              </w:rPr>
              <w:t>1.8</w:t>
            </w:r>
            <w:r w:rsidR="004E6CA8">
              <w:rPr>
                <w:sz w:val="17"/>
                <w:szCs w:val="20"/>
                <w:lang w:val="en-GB" w:eastAsia="en-GB"/>
              </w:rPr>
              <w:t>0</w:t>
            </w:r>
            <w:r>
              <w:rPr>
                <w:sz w:val="17"/>
                <w:szCs w:val="20"/>
                <w:lang w:val="en-GB" w:eastAsia="en-GB"/>
              </w:rPr>
              <w:t>%</w:t>
            </w:r>
          </w:p>
        </w:tc>
        <w:tc>
          <w:tcPr>
            <w:tcW w:w="709" w:type="dxa"/>
            <w:vAlign w:val="center"/>
          </w:tcPr>
          <w:p w14:paraId="5A879DD7" w14:textId="7B212342"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35%</w:t>
            </w:r>
          </w:p>
        </w:tc>
        <w:tc>
          <w:tcPr>
            <w:tcW w:w="842" w:type="dxa"/>
            <w:vAlign w:val="center"/>
          </w:tcPr>
          <w:p w14:paraId="6A3CD60B" w14:textId="2808CA0B"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167</w:t>
            </w:r>
          </w:p>
        </w:tc>
        <w:tc>
          <w:tcPr>
            <w:tcW w:w="859" w:type="dxa"/>
            <w:vAlign w:val="center"/>
          </w:tcPr>
          <w:p w14:paraId="15859B7A" w14:textId="10D29E20"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32</w:t>
            </w:r>
          </w:p>
        </w:tc>
        <w:tc>
          <w:tcPr>
            <w:tcW w:w="850" w:type="dxa"/>
            <w:vAlign w:val="center"/>
          </w:tcPr>
          <w:p w14:paraId="3C88AB5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0.011</w:t>
            </w:r>
          </w:p>
        </w:tc>
        <w:tc>
          <w:tcPr>
            <w:tcW w:w="709" w:type="dxa"/>
            <w:vAlign w:val="center"/>
          </w:tcPr>
          <w:p w14:paraId="622219B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0.014</w:t>
            </w:r>
          </w:p>
        </w:tc>
        <w:tc>
          <w:tcPr>
            <w:tcW w:w="709" w:type="dxa"/>
            <w:vAlign w:val="center"/>
          </w:tcPr>
          <w:p w14:paraId="514298DD"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1665376.285</w:t>
            </w:r>
          </w:p>
        </w:tc>
        <w:tc>
          <w:tcPr>
            <w:tcW w:w="850" w:type="dxa"/>
            <w:vAlign w:val="center"/>
          </w:tcPr>
          <w:p w14:paraId="02EF4662"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1664812.944</w:t>
            </w:r>
          </w:p>
        </w:tc>
      </w:tr>
      <w:tr w:rsidR="00490C3E" w14:paraId="09123210" w14:textId="77777777" w:rsidTr="009162E4">
        <w:trPr>
          <w:jc w:val="center"/>
        </w:trPr>
        <w:tc>
          <w:tcPr>
            <w:tcW w:w="709" w:type="dxa"/>
            <w:vAlign w:val="center"/>
          </w:tcPr>
          <w:p w14:paraId="31B9CF8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13</w:t>
            </w:r>
          </w:p>
        </w:tc>
        <w:tc>
          <w:tcPr>
            <w:tcW w:w="1134" w:type="dxa"/>
            <w:vAlign w:val="center"/>
          </w:tcPr>
          <w:p w14:paraId="405B4F73" w14:textId="77777777" w:rsidR="00490C3E" w:rsidRDefault="00490C3E" w:rsidP="00490C3E">
            <w:pPr>
              <w:pStyle w:val="Compact"/>
              <w:spacing w:after="0" w:line="240" w:lineRule="auto"/>
              <w:rPr>
                <w:sz w:val="17"/>
                <w:szCs w:val="20"/>
                <w:lang w:val="en-GB" w:eastAsia="en-GB"/>
              </w:rPr>
            </w:pPr>
            <w:r>
              <w:rPr>
                <w:sz w:val="17"/>
                <w:szCs w:val="20"/>
                <w:lang w:val="en-GB" w:eastAsia="en-GB"/>
              </w:rPr>
              <w:t>Min VIVI 2</w:t>
            </w:r>
          </w:p>
        </w:tc>
        <w:tc>
          <w:tcPr>
            <w:tcW w:w="709" w:type="dxa"/>
            <w:vAlign w:val="center"/>
          </w:tcPr>
          <w:p w14:paraId="0A03CDB7" w14:textId="77777777" w:rsidR="00490C3E" w:rsidRDefault="00490C3E" w:rsidP="00490C3E">
            <w:pPr>
              <w:pStyle w:val="Compact"/>
              <w:spacing w:after="0" w:line="240" w:lineRule="auto"/>
              <w:rPr>
                <w:sz w:val="17"/>
                <w:szCs w:val="20"/>
                <w:lang w:val="en-GB" w:eastAsia="en-GB"/>
              </w:rPr>
            </w:pPr>
            <w:r>
              <w:rPr>
                <w:sz w:val="17"/>
                <w:szCs w:val="20"/>
                <w:lang w:val="en-GB" w:eastAsia="en-GB"/>
              </w:rPr>
              <w:t>Low-VIVI</w:t>
            </w:r>
          </w:p>
        </w:tc>
        <w:tc>
          <w:tcPr>
            <w:tcW w:w="709" w:type="dxa"/>
            <w:vAlign w:val="center"/>
          </w:tcPr>
          <w:p w14:paraId="4EF79E47" w14:textId="54167EC3" w:rsidR="00490C3E" w:rsidRDefault="00490C3E" w:rsidP="00490C3E">
            <w:pPr>
              <w:pStyle w:val="Compact"/>
              <w:spacing w:after="0" w:line="240" w:lineRule="auto"/>
              <w:jc w:val="right"/>
              <w:rPr>
                <w:sz w:val="17"/>
                <w:szCs w:val="20"/>
                <w:lang w:val="en-GB" w:eastAsia="en-GB"/>
              </w:rPr>
            </w:pPr>
            <w:r>
              <w:rPr>
                <w:sz w:val="17"/>
                <w:szCs w:val="20"/>
                <w:lang w:val="en-GB" w:eastAsia="en-GB"/>
              </w:rPr>
              <w:t>1.</w:t>
            </w:r>
            <w:r w:rsidR="004E6CA8">
              <w:rPr>
                <w:sz w:val="17"/>
                <w:szCs w:val="20"/>
                <w:lang w:val="en-GB" w:eastAsia="en-GB"/>
              </w:rPr>
              <w:t>68</w:t>
            </w:r>
            <w:r>
              <w:rPr>
                <w:sz w:val="17"/>
                <w:szCs w:val="20"/>
                <w:lang w:val="en-GB" w:eastAsia="en-GB"/>
              </w:rPr>
              <w:t>%</w:t>
            </w:r>
          </w:p>
        </w:tc>
        <w:tc>
          <w:tcPr>
            <w:tcW w:w="709" w:type="dxa"/>
            <w:vAlign w:val="center"/>
          </w:tcPr>
          <w:p w14:paraId="02767C36" w14:textId="4185A71F"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48%</w:t>
            </w:r>
          </w:p>
        </w:tc>
        <w:tc>
          <w:tcPr>
            <w:tcW w:w="842" w:type="dxa"/>
            <w:vAlign w:val="center"/>
          </w:tcPr>
          <w:p w14:paraId="0C7FD77F" w14:textId="53CC3121"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153</w:t>
            </w:r>
          </w:p>
        </w:tc>
        <w:tc>
          <w:tcPr>
            <w:tcW w:w="859" w:type="dxa"/>
            <w:vAlign w:val="center"/>
          </w:tcPr>
          <w:p w14:paraId="489BDEC8" w14:textId="47072D68"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43</w:t>
            </w:r>
          </w:p>
        </w:tc>
        <w:tc>
          <w:tcPr>
            <w:tcW w:w="850" w:type="dxa"/>
            <w:vAlign w:val="center"/>
          </w:tcPr>
          <w:p w14:paraId="0CCB0A2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0.012</w:t>
            </w:r>
          </w:p>
        </w:tc>
        <w:tc>
          <w:tcPr>
            <w:tcW w:w="709" w:type="dxa"/>
            <w:vAlign w:val="center"/>
          </w:tcPr>
          <w:p w14:paraId="64525323"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0.017</w:t>
            </w:r>
          </w:p>
        </w:tc>
        <w:tc>
          <w:tcPr>
            <w:tcW w:w="709" w:type="dxa"/>
            <w:vAlign w:val="center"/>
          </w:tcPr>
          <w:p w14:paraId="454C4A0B"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1665575.234</w:t>
            </w:r>
          </w:p>
        </w:tc>
        <w:tc>
          <w:tcPr>
            <w:tcW w:w="850" w:type="dxa"/>
            <w:vAlign w:val="center"/>
          </w:tcPr>
          <w:p w14:paraId="1AC16A2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1665401.038</w:t>
            </w:r>
          </w:p>
        </w:tc>
      </w:tr>
      <w:tr w:rsidR="00490C3E" w14:paraId="01D661AC" w14:textId="77777777" w:rsidTr="009162E4">
        <w:trPr>
          <w:jc w:val="center"/>
        </w:trPr>
        <w:tc>
          <w:tcPr>
            <w:tcW w:w="709" w:type="dxa"/>
            <w:vAlign w:val="center"/>
          </w:tcPr>
          <w:p w14:paraId="1A1745C3"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14</w:t>
            </w:r>
          </w:p>
        </w:tc>
        <w:tc>
          <w:tcPr>
            <w:tcW w:w="1134" w:type="dxa"/>
            <w:vAlign w:val="center"/>
          </w:tcPr>
          <w:p w14:paraId="09DC1B4A" w14:textId="77777777" w:rsidR="00490C3E" w:rsidRDefault="00490C3E" w:rsidP="00490C3E">
            <w:pPr>
              <w:pStyle w:val="Compact"/>
              <w:spacing w:after="0" w:line="240" w:lineRule="auto"/>
              <w:rPr>
                <w:sz w:val="17"/>
                <w:szCs w:val="20"/>
                <w:lang w:val="en-GB" w:eastAsia="en-GB"/>
              </w:rPr>
            </w:pPr>
            <w:r>
              <w:rPr>
                <w:sz w:val="17"/>
                <w:szCs w:val="20"/>
                <w:lang w:val="en-GB" w:eastAsia="en-GB"/>
              </w:rPr>
              <w:t>Min VIVI 1</w:t>
            </w:r>
          </w:p>
        </w:tc>
        <w:tc>
          <w:tcPr>
            <w:tcW w:w="709" w:type="dxa"/>
            <w:vAlign w:val="center"/>
          </w:tcPr>
          <w:p w14:paraId="5C0FAA5E" w14:textId="77777777" w:rsidR="00490C3E" w:rsidRDefault="00490C3E" w:rsidP="00490C3E">
            <w:pPr>
              <w:pStyle w:val="Compact"/>
              <w:spacing w:after="0" w:line="240" w:lineRule="auto"/>
              <w:rPr>
                <w:sz w:val="17"/>
                <w:szCs w:val="20"/>
                <w:lang w:val="en-GB" w:eastAsia="en-GB"/>
              </w:rPr>
            </w:pPr>
            <w:r>
              <w:rPr>
                <w:sz w:val="17"/>
                <w:szCs w:val="20"/>
                <w:lang w:val="en-GB" w:eastAsia="en-GB"/>
              </w:rPr>
              <w:t>Low-VIVI</w:t>
            </w:r>
          </w:p>
        </w:tc>
        <w:tc>
          <w:tcPr>
            <w:tcW w:w="709" w:type="dxa"/>
            <w:vAlign w:val="center"/>
          </w:tcPr>
          <w:p w14:paraId="6007B2BC" w14:textId="7E09D42E" w:rsidR="00490C3E" w:rsidRDefault="00490C3E" w:rsidP="00490C3E">
            <w:pPr>
              <w:pStyle w:val="Compact"/>
              <w:spacing w:after="0" w:line="240" w:lineRule="auto"/>
              <w:jc w:val="right"/>
              <w:rPr>
                <w:sz w:val="17"/>
                <w:szCs w:val="20"/>
                <w:lang w:val="en-GB" w:eastAsia="en-GB"/>
              </w:rPr>
            </w:pPr>
            <w:r>
              <w:rPr>
                <w:sz w:val="17"/>
                <w:szCs w:val="20"/>
                <w:lang w:val="en-GB" w:eastAsia="en-GB"/>
              </w:rPr>
              <w:t>1.</w:t>
            </w:r>
            <w:r w:rsidR="004E6CA8">
              <w:rPr>
                <w:sz w:val="17"/>
                <w:szCs w:val="20"/>
                <w:lang w:val="en-GB" w:eastAsia="en-GB"/>
              </w:rPr>
              <w:t>6</w:t>
            </w:r>
            <w:r>
              <w:rPr>
                <w:sz w:val="17"/>
                <w:szCs w:val="20"/>
                <w:lang w:val="en-GB" w:eastAsia="en-GB"/>
              </w:rPr>
              <w:t>7%</w:t>
            </w:r>
          </w:p>
        </w:tc>
        <w:tc>
          <w:tcPr>
            <w:tcW w:w="709" w:type="dxa"/>
            <w:vAlign w:val="center"/>
          </w:tcPr>
          <w:p w14:paraId="71A7642B" w14:textId="39EB96D9"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56%</w:t>
            </w:r>
          </w:p>
        </w:tc>
        <w:tc>
          <w:tcPr>
            <w:tcW w:w="842" w:type="dxa"/>
            <w:vAlign w:val="center"/>
          </w:tcPr>
          <w:p w14:paraId="2260C74A" w14:textId="47709558"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153</w:t>
            </w:r>
          </w:p>
        </w:tc>
        <w:tc>
          <w:tcPr>
            <w:tcW w:w="859" w:type="dxa"/>
            <w:vAlign w:val="center"/>
          </w:tcPr>
          <w:p w14:paraId="69E37F91" w14:textId="069CEF39"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9D00F8">
              <w:rPr>
                <w:sz w:val="17"/>
                <w:szCs w:val="20"/>
                <w:lang w:val="en-GB" w:eastAsia="en-GB"/>
              </w:rPr>
              <w:t>05</w:t>
            </w:r>
            <w:r>
              <w:rPr>
                <w:sz w:val="17"/>
                <w:szCs w:val="20"/>
                <w:lang w:val="en-GB" w:eastAsia="en-GB"/>
              </w:rPr>
              <w:t>1</w:t>
            </w:r>
          </w:p>
        </w:tc>
        <w:tc>
          <w:tcPr>
            <w:tcW w:w="850" w:type="dxa"/>
            <w:vAlign w:val="center"/>
          </w:tcPr>
          <w:p w14:paraId="762BE50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0.011</w:t>
            </w:r>
          </w:p>
        </w:tc>
        <w:tc>
          <w:tcPr>
            <w:tcW w:w="709" w:type="dxa"/>
            <w:vAlign w:val="center"/>
          </w:tcPr>
          <w:p w14:paraId="0CFE4F48"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0.017</w:t>
            </w:r>
          </w:p>
        </w:tc>
        <w:tc>
          <w:tcPr>
            <w:tcW w:w="709" w:type="dxa"/>
            <w:vAlign w:val="center"/>
          </w:tcPr>
          <w:p w14:paraId="13343BE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1666376.034</w:t>
            </w:r>
          </w:p>
        </w:tc>
        <w:tc>
          <w:tcPr>
            <w:tcW w:w="850" w:type="dxa"/>
            <w:vAlign w:val="center"/>
          </w:tcPr>
          <w:p w14:paraId="55E9B520"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1666274.354</w:t>
            </w:r>
          </w:p>
        </w:tc>
      </w:tr>
      <w:tr w:rsidR="00490C3E" w14:paraId="0DB31F55" w14:textId="77777777" w:rsidTr="009162E4">
        <w:trPr>
          <w:jc w:val="center"/>
        </w:trPr>
        <w:tc>
          <w:tcPr>
            <w:tcW w:w="709" w:type="dxa"/>
            <w:vAlign w:val="center"/>
          </w:tcPr>
          <w:p w14:paraId="186DBD2F"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15</w:t>
            </w:r>
          </w:p>
        </w:tc>
        <w:tc>
          <w:tcPr>
            <w:tcW w:w="1134" w:type="dxa"/>
            <w:vAlign w:val="center"/>
          </w:tcPr>
          <w:p w14:paraId="44FF624F" w14:textId="77777777" w:rsidR="00490C3E" w:rsidRDefault="00490C3E" w:rsidP="00490C3E">
            <w:pPr>
              <w:pStyle w:val="Compact"/>
              <w:spacing w:after="0" w:line="240" w:lineRule="auto"/>
              <w:rPr>
                <w:sz w:val="17"/>
                <w:szCs w:val="20"/>
                <w:lang w:val="en-GB" w:eastAsia="en-GB"/>
              </w:rPr>
            </w:pPr>
            <w:r>
              <w:rPr>
                <w:sz w:val="17"/>
                <w:szCs w:val="20"/>
                <w:lang w:val="en-GB" w:eastAsia="en-GB"/>
              </w:rPr>
              <w:t>Min VIVI 3</w:t>
            </w:r>
          </w:p>
        </w:tc>
        <w:tc>
          <w:tcPr>
            <w:tcW w:w="709" w:type="dxa"/>
            <w:vAlign w:val="center"/>
          </w:tcPr>
          <w:p w14:paraId="146B3DF4" w14:textId="77777777" w:rsidR="00490C3E" w:rsidRDefault="00490C3E" w:rsidP="00490C3E">
            <w:pPr>
              <w:pStyle w:val="Compact"/>
              <w:spacing w:after="0" w:line="240" w:lineRule="auto"/>
              <w:rPr>
                <w:sz w:val="17"/>
                <w:szCs w:val="20"/>
                <w:lang w:val="en-GB" w:eastAsia="en-GB"/>
              </w:rPr>
            </w:pPr>
            <w:r>
              <w:rPr>
                <w:sz w:val="17"/>
                <w:szCs w:val="20"/>
                <w:lang w:val="en-GB" w:eastAsia="en-GB"/>
              </w:rPr>
              <w:t>Low-VIVI</w:t>
            </w:r>
          </w:p>
        </w:tc>
        <w:tc>
          <w:tcPr>
            <w:tcW w:w="709" w:type="dxa"/>
            <w:vAlign w:val="center"/>
          </w:tcPr>
          <w:p w14:paraId="71347787" w14:textId="5A1DE4A4" w:rsidR="00490C3E" w:rsidRDefault="00490C3E" w:rsidP="00490C3E">
            <w:pPr>
              <w:pStyle w:val="Compact"/>
              <w:spacing w:after="0" w:line="240" w:lineRule="auto"/>
              <w:jc w:val="right"/>
              <w:rPr>
                <w:sz w:val="17"/>
                <w:szCs w:val="20"/>
                <w:lang w:val="en-GB" w:eastAsia="en-GB"/>
              </w:rPr>
            </w:pPr>
            <w:r>
              <w:rPr>
                <w:sz w:val="17"/>
                <w:szCs w:val="20"/>
                <w:lang w:val="en-GB" w:eastAsia="en-GB"/>
              </w:rPr>
              <w:t>1.3</w:t>
            </w:r>
            <w:r w:rsidR="004E6CA8">
              <w:rPr>
                <w:sz w:val="17"/>
                <w:szCs w:val="20"/>
                <w:lang w:val="en-GB" w:eastAsia="en-GB"/>
              </w:rPr>
              <w:t>0</w:t>
            </w:r>
            <w:r>
              <w:rPr>
                <w:sz w:val="17"/>
                <w:szCs w:val="20"/>
                <w:lang w:val="en-GB" w:eastAsia="en-GB"/>
              </w:rPr>
              <w:t>%</w:t>
            </w:r>
          </w:p>
        </w:tc>
        <w:tc>
          <w:tcPr>
            <w:tcW w:w="709" w:type="dxa"/>
            <w:vAlign w:val="center"/>
          </w:tcPr>
          <w:p w14:paraId="42271742" w14:textId="7E071027" w:rsidR="00490C3E" w:rsidRDefault="00490C3E" w:rsidP="00490C3E">
            <w:pPr>
              <w:pStyle w:val="Compact"/>
              <w:spacing w:after="0" w:line="240" w:lineRule="auto"/>
              <w:jc w:val="right"/>
              <w:rPr>
                <w:sz w:val="17"/>
                <w:szCs w:val="20"/>
                <w:lang w:val="en-GB" w:eastAsia="en-GB"/>
              </w:rPr>
            </w:pPr>
            <w:r>
              <w:rPr>
                <w:sz w:val="17"/>
                <w:szCs w:val="20"/>
                <w:lang w:val="en-GB" w:eastAsia="en-GB"/>
              </w:rPr>
              <w:t>0.</w:t>
            </w:r>
            <w:r w:rsidR="004E6CA8">
              <w:rPr>
                <w:sz w:val="17"/>
                <w:szCs w:val="20"/>
                <w:lang w:val="en-GB" w:eastAsia="en-GB"/>
              </w:rPr>
              <w:t>18%</w:t>
            </w:r>
          </w:p>
        </w:tc>
        <w:tc>
          <w:tcPr>
            <w:tcW w:w="842" w:type="dxa"/>
            <w:vAlign w:val="center"/>
          </w:tcPr>
          <w:p w14:paraId="04DA7799" w14:textId="42FFC192" w:rsidR="00490C3E" w:rsidRDefault="00490C3E" w:rsidP="00490C3E">
            <w:pPr>
              <w:pStyle w:val="Compact"/>
              <w:spacing w:after="0" w:line="240" w:lineRule="auto"/>
              <w:jc w:val="right"/>
              <w:rPr>
                <w:sz w:val="17"/>
                <w:szCs w:val="20"/>
                <w:lang w:val="en-GB" w:eastAsia="en-GB"/>
              </w:rPr>
            </w:pPr>
            <w:r>
              <w:rPr>
                <w:sz w:val="17"/>
                <w:szCs w:val="20"/>
                <w:lang w:val="en-GB" w:eastAsia="en-GB"/>
              </w:rPr>
              <w:t>0.0</w:t>
            </w:r>
            <w:r w:rsidR="004E6CA8">
              <w:rPr>
                <w:sz w:val="17"/>
                <w:szCs w:val="20"/>
                <w:lang w:val="en-GB" w:eastAsia="en-GB"/>
              </w:rPr>
              <w:t>118</w:t>
            </w:r>
          </w:p>
        </w:tc>
        <w:tc>
          <w:tcPr>
            <w:tcW w:w="859" w:type="dxa"/>
            <w:vAlign w:val="center"/>
          </w:tcPr>
          <w:p w14:paraId="239F393E" w14:textId="78BB1D75" w:rsidR="00490C3E" w:rsidRDefault="00490C3E" w:rsidP="00490C3E">
            <w:pPr>
              <w:pStyle w:val="Compact"/>
              <w:spacing w:after="0" w:line="240" w:lineRule="auto"/>
              <w:jc w:val="right"/>
              <w:rPr>
                <w:sz w:val="17"/>
                <w:szCs w:val="20"/>
                <w:lang w:val="en-GB" w:eastAsia="en-GB"/>
              </w:rPr>
            </w:pPr>
            <w:r>
              <w:rPr>
                <w:sz w:val="17"/>
                <w:szCs w:val="20"/>
                <w:lang w:val="en-GB" w:eastAsia="en-GB"/>
              </w:rPr>
              <w:t>0.00</w:t>
            </w:r>
            <w:r w:rsidR="009D00F8">
              <w:rPr>
                <w:sz w:val="17"/>
                <w:szCs w:val="20"/>
                <w:lang w:val="en-GB" w:eastAsia="en-GB"/>
              </w:rPr>
              <w:t>16</w:t>
            </w:r>
          </w:p>
        </w:tc>
        <w:tc>
          <w:tcPr>
            <w:tcW w:w="850" w:type="dxa"/>
            <w:vAlign w:val="center"/>
          </w:tcPr>
          <w:p w14:paraId="463DA5FA"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0.011</w:t>
            </w:r>
          </w:p>
        </w:tc>
        <w:tc>
          <w:tcPr>
            <w:tcW w:w="709" w:type="dxa"/>
            <w:vAlign w:val="center"/>
          </w:tcPr>
          <w:p w14:paraId="46153D04"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0.013</w:t>
            </w:r>
          </w:p>
        </w:tc>
        <w:tc>
          <w:tcPr>
            <w:tcW w:w="709" w:type="dxa"/>
            <w:vAlign w:val="center"/>
          </w:tcPr>
          <w:p w14:paraId="37D28A16"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1666612.554</w:t>
            </w:r>
          </w:p>
        </w:tc>
        <w:tc>
          <w:tcPr>
            <w:tcW w:w="850" w:type="dxa"/>
            <w:vAlign w:val="center"/>
          </w:tcPr>
          <w:p w14:paraId="23083A59" w14:textId="77777777" w:rsidR="00490C3E" w:rsidRDefault="00490C3E" w:rsidP="00490C3E">
            <w:pPr>
              <w:pStyle w:val="Compact"/>
              <w:spacing w:after="0" w:line="240" w:lineRule="auto"/>
              <w:jc w:val="right"/>
              <w:rPr>
                <w:sz w:val="17"/>
                <w:szCs w:val="20"/>
                <w:lang w:val="en-GB" w:eastAsia="en-GB"/>
              </w:rPr>
            </w:pPr>
            <w:r>
              <w:rPr>
                <w:sz w:val="17"/>
                <w:szCs w:val="20"/>
                <w:lang w:val="en-GB" w:eastAsia="en-GB"/>
              </w:rPr>
              <w:t>1666319.896</w:t>
            </w:r>
          </w:p>
        </w:tc>
      </w:tr>
    </w:tbl>
    <w:p w14:paraId="2BC5BFCB" w14:textId="4308E38B" w:rsidR="00062A8D" w:rsidRDefault="00000000">
      <w:pPr>
        <w:pStyle w:val="BodyText"/>
      </w:pPr>
      <w:r>
        <w:rPr>
          <w:i/>
          <w:iCs/>
        </w:rPr>
        <w:t xml:space="preserve">Null DA is the null </w:t>
      </w:r>
      <w:r w:rsidR="005617C5">
        <w:rPr>
          <w:i/>
          <w:iCs/>
        </w:rPr>
        <w:t>ICC</w:t>
      </w:r>
      <w:r>
        <w:rPr>
          <w:i/>
          <w:iCs/>
        </w:rPr>
        <w:t xml:space="preserve"> expressed as a percentage. Full </w:t>
      </w:r>
      <w:r w:rsidR="005617C5">
        <w:rPr>
          <w:i/>
          <w:iCs/>
        </w:rPr>
        <w:t>model</w:t>
      </w:r>
      <w:r>
        <w:rPr>
          <w:i/>
          <w:iCs/>
        </w:rPr>
        <w:t xml:space="preserve"> ICC is the random-intercept ICC after all five constituent </w:t>
      </w:r>
      <w:r w:rsidR="005617C5">
        <w:rPr>
          <w:i/>
          <w:iCs/>
        </w:rPr>
        <w:t>factor</w:t>
      </w:r>
      <w:r>
        <w:rPr>
          <w:i/>
          <w:iCs/>
        </w:rPr>
        <w:t>s were entered as fixed main effects. AIC values are comparable only among models fitted to the same outcome and observations, but differences also reflect distinct fixed-effect parameter counts and stratum structures.</w:t>
      </w:r>
    </w:p>
    <w:p w14:paraId="5C5BA643" w14:textId="4927D186" w:rsidR="00062A8D" w:rsidRDefault="00000000">
      <w:pPr>
        <w:pStyle w:val="BodyText"/>
      </w:pPr>
      <w:bookmarkStart w:id="17" w:name="Xc67d408c580268a2176287d2fce56dcc88bbc25"/>
      <w:bookmarkStart w:id="18" w:name="Xd123e43fa5a9a31d1f9dc38f515d71e0178c61c"/>
      <w:r>
        <w:t xml:space="preserve">The diagnostics show two distinct findings. First, null-model differentiation varied considerably across configurations, from 12.4% in Model 1 to 1.3% in Model </w:t>
      </w:r>
      <w:r w:rsidRPr="00C13BF1">
        <w:t xml:space="preserve">15. Second, the </w:t>
      </w:r>
      <w:proofErr w:type="gramStart"/>
      <w:r w:rsidRPr="00C13BF1">
        <w:t>ICC</w:t>
      </w:r>
      <w:proofErr w:type="gramEnd"/>
      <w:r w:rsidRPr="00C13BF1">
        <w:t xml:space="preserve"> after all five main effects were </w:t>
      </w:r>
      <w:proofErr w:type="gramStart"/>
      <w:r w:rsidRPr="00C13BF1">
        <w:t>included</w:t>
      </w:r>
      <w:proofErr w:type="gramEnd"/>
      <w:r w:rsidRPr="00C13BF1">
        <w:t xml:space="preserve"> was </w:t>
      </w:r>
      <w:r w:rsidR="00F64BA9" w:rsidRPr="00C13BF1">
        <w:t>less than</w:t>
      </w:r>
      <w:r w:rsidRPr="00C13BF1">
        <w:t xml:space="preserve"> </w:t>
      </w:r>
      <w:r w:rsidR="00F64BA9" w:rsidRPr="00C13BF1">
        <w:t>0.5% in 13</w:t>
      </w:r>
      <w:r w:rsidRPr="00C13BF1">
        <w:t xml:space="preserve"> configurations, 1</w:t>
      </w:r>
      <w:r w:rsidR="00F64BA9" w:rsidRPr="00C13BF1">
        <w:t>.31%</w:t>
      </w:r>
      <w:r w:rsidRPr="00C13BF1">
        <w:t xml:space="preserve"> in Model 1 and 0.</w:t>
      </w:r>
      <w:r w:rsidR="00F64BA9" w:rsidRPr="00C13BF1">
        <w:t>56%</w:t>
      </w:r>
      <w:r w:rsidRPr="00C13BF1">
        <w:t xml:space="preserve"> in Model 14.</w:t>
      </w:r>
      <w:bookmarkEnd w:id="17"/>
      <w:bookmarkEnd w:id="18"/>
    </w:p>
    <w:p w14:paraId="3EE2FC6A" w14:textId="095BD004" w:rsidR="00062A8D" w:rsidRDefault="00000000">
      <w:pPr>
        <w:pStyle w:val="Heading2"/>
      </w:pPr>
      <w:r>
        <w:lastRenderedPageBreak/>
        <w:t>S</w:t>
      </w:r>
      <w:r w:rsidR="00CA56D1">
        <w:t>6</w:t>
      </w:r>
      <w:r>
        <w:t>. Additional stratum-level results for Models 3–5</w:t>
      </w:r>
    </w:p>
    <w:p w14:paraId="24FA3CA9" w14:textId="100EEC8F" w:rsidR="00062A8D" w:rsidRDefault="00000000">
      <w:pPr>
        <w:pStyle w:val="Heading3"/>
      </w:pPr>
      <w:r>
        <w:t>Figure S1. Upper and lower 5% of predicted LTC counts in Model 3</w:t>
      </w:r>
      <w:r w:rsidR="007405ED">
        <w:t xml:space="preserve"> (</w:t>
      </w:r>
      <w:r w:rsidR="007405ED" w:rsidRPr="007405ED">
        <w:t>Max VIVI 2)</w:t>
      </w:r>
    </w:p>
    <w:p w14:paraId="2EF5E42E" w14:textId="77777777" w:rsidR="00062A8D" w:rsidRDefault="00000000">
      <w:pPr>
        <w:pStyle w:val="FirstParagraph"/>
      </w:pPr>
      <w:r>
        <w:rPr>
          <w:noProof/>
        </w:rPr>
        <w:drawing>
          <wp:inline distT="0" distB="0" distL="0" distR="0" wp14:anchorId="3D293FBB" wp14:editId="727EC8C4">
            <wp:extent cx="5753100" cy="5511165"/>
            <wp:effectExtent l="0" t="0" r="0" b="0"/>
            <wp:docPr id="1" name="Picture" descr="Forest plot of predicted LTC counts and 95% confidence intervals for the upper and lower 5% of Model 3 strata, defined by qualification, tenure, vehicle access, household employment and accommodation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Forest plot of predicted LTC counts and 95% confidence intervals for the upper and lower 5% of Model 3 strata, defined by qualification, tenure, vehicle access, household employment and accommodation type."/>
                    <pic:cNvPicPr>
                      <a:picLocks noChangeAspect="1" noChangeArrowheads="1"/>
                    </pic:cNvPicPr>
                  </pic:nvPicPr>
                  <pic:blipFill>
                    <a:blip r:embed="rId15"/>
                    <a:stretch>
                      <a:fillRect/>
                    </a:stretch>
                  </pic:blipFill>
                  <pic:spPr bwMode="auto">
                    <a:xfrm>
                      <a:off x="0" y="0"/>
                      <a:ext cx="5753100" cy="5511165"/>
                    </a:xfrm>
                    <a:prstGeom prst="rect">
                      <a:avLst/>
                    </a:prstGeom>
                    <a:noFill/>
                  </pic:spPr>
                </pic:pic>
              </a:graphicData>
            </a:graphic>
          </wp:inline>
        </w:drawing>
      </w:r>
    </w:p>
    <w:p w14:paraId="2A3F88D0" w14:textId="77777777" w:rsidR="00062A8D" w:rsidRDefault="00000000">
      <w:pPr>
        <w:pStyle w:val="BodyText"/>
      </w:pPr>
      <w:bookmarkStart w:id="19" w:name="X7b9f46720a98120d7649ae9fbc90cbcc584a51e"/>
      <w:r>
        <w:t xml:space="preserve">Model 3 predictions ranged from 0.89 to 5.09 across the complete set of modelled strata. Among strata containing at least 0.5% of the cohort, a prominent high-burden group comprised people with no qualifications who lived in socially rented flats, had no car or van and lived in a household with one employed adult; their predicted count was 4.66 LTCs (95% CI 4.61–4.72; n=9,324; 2.49%). The configuration's PCVs were 51.1% for </w:t>
      </w:r>
      <w:proofErr w:type="gramStart"/>
      <w:r>
        <w:t>qualification</w:t>
      </w:r>
      <w:proofErr w:type="gramEnd"/>
      <w:r>
        <w:t>, 46.0% for household employment, 26.0% for vehicle access, 23.1% for tenure and 3.0% for accommodation type.</w:t>
      </w:r>
      <w:bookmarkEnd w:id="19"/>
    </w:p>
    <w:p w14:paraId="62704DB5" w14:textId="64CEF235" w:rsidR="00062A8D" w:rsidRDefault="00000000">
      <w:pPr>
        <w:pStyle w:val="Heading3"/>
      </w:pPr>
      <w:r>
        <w:lastRenderedPageBreak/>
        <w:t>Figure S2. Upper and lower 5% of predicted LTC counts in Model 4</w:t>
      </w:r>
      <w:r w:rsidR="007405ED">
        <w:t xml:space="preserve"> (</w:t>
      </w:r>
      <w:proofErr w:type="spellStart"/>
      <w:r w:rsidR="007405ED" w:rsidRPr="007405ED">
        <w:t>mnl</w:t>
      </w:r>
      <w:proofErr w:type="spellEnd"/>
      <w:r w:rsidR="007405ED" w:rsidRPr="007405ED">
        <w:t xml:space="preserve"> </w:t>
      </w:r>
      <w:proofErr w:type="spellStart"/>
      <w:r w:rsidR="007405ED" w:rsidRPr="007405ED">
        <w:t>strta</w:t>
      </w:r>
      <w:proofErr w:type="spellEnd"/>
      <w:r w:rsidR="007405ED" w:rsidRPr="007405ED">
        <w:t xml:space="preserve"> 2</w:t>
      </w:r>
      <w:r w:rsidR="007405ED">
        <w:t>)</w:t>
      </w:r>
    </w:p>
    <w:p w14:paraId="0961F0CC" w14:textId="77777777" w:rsidR="00062A8D" w:rsidRDefault="00000000">
      <w:pPr>
        <w:pStyle w:val="FirstParagraph"/>
      </w:pPr>
      <w:r>
        <w:rPr>
          <w:noProof/>
        </w:rPr>
        <w:drawing>
          <wp:inline distT="0" distB="0" distL="0" distR="0" wp14:anchorId="04E8ED42" wp14:editId="76E2BFBC">
            <wp:extent cx="5753100" cy="6776085"/>
            <wp:effectExtent l="0" t="0" r="0" b="0"/>
            <wp:docPr id="2" name="Image2" descr="Forest plot of predicted LTC counts and 95% confidence intervals for the upper and lower 5% of Model 4 strata, defined by qualification, accommodation, tenure, sex and WIMD quin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Forest plot of predicted LTC counts and 95% confidence intervals for the upper and lower 5% of Model 4 strata, defined by qualification, accommodation, tenure, sex and WIMD quintile."/>
                    <pic:cNvPicPr>
                      <a:picLocks noChangeAspect="1" noChangeArrowheads="1"/>
                    </pic:cNvPicPr>
                  </pic:nvPicPr>
                  <pic:blipFill>
                    <a:blip r:embed="rId16"/>
                    <a:stretch>
                      <a:fillRect/>
                    </a:stretch>
                  </pic:blipFill>
                  <pic:spPr bwMode="auto">
                    <a:xfrm>
                      <a:off x="0" y="0"/>
                      <a:ext cx="5753100" cy="6776085"/>
                    </a:xfrm>
                    <a:prstGeom prst="rect">
                      <a:avLst/>
                    </a:prstGeom>
                    <a:noFill/>
                  </pic:spPr>
                </pic:pic>
              </a:graphicData>
            </a:graphic>
          </wp:inline>
        </w:drawing>
      </w:r>
    </w:p>
    <w:p w14:paraId="0D5F85FF" w14:textId="77777777" w:rsidR="00062A8D" w:rsidRDefault="00000000">
      <w:pPr>
        <w:pStyle w:val="BodyText"/>
      </w:pPr>
      <w:bookmarkStart w:id="20" w:name="X07899fbe9cacd8d2d9717820db9a99e1f75ce81"/>
      <w:r>
        <w:t>Model 4 predictions ranged from 1.57 to 5.09, a difference of 3.52 LTCs. Among strata containing at least 0.5% of the cohort, the highest predicted count was 4.75 for women with no qualifications who lived in socially rented flats in the most deprived WIMD quintile (n=3,352; 0.89%). The lowest was 2.50 for women with Level 2 qualifications who lived in owned detached accommodation in WIMD quintile 4 (n=2,321; 0.62%). Qualification and tenure had PCVs of 60.3% and 50.8%, whereas WIMD and sex had PCVs of 2.2% and 0.0%, respectively.</w:t>
      </w:r>
      <w:bookmarkEnd w:id="20"/>
    </w:p>
    <w:p w14:paraId="24A450D8" w14:textId="75CB1164" w:rsidR="00062A8D" w:rsidRDefault="00000000">
      <w:pPr>
        <w:pStyle w:val="Heading3"/>
      </w:pPr>
      <w:r>
        <w:lastRenderedPageBreak/>
        <w:t>Figure S3. Upper and lower 5% of predicted LTC counts in Model 5</w:t>
      </w:r>
      <w:r w:rsidR="007405ED">
        <w:t xml:space="preserve"> (</w:t>
      </w:r>
      <w:proofErr w:type="spellStart"/>
      <w:r w:rsidR="007405ED" w:rsidRPr="007405ED">
        <w:t>mnl</w:t>
      </w:r>
      <w:proofErr w:type="spellEnd"/>
      <w:r w:rsidR="007405ED" w:rsidRPr="007405ED">
        <w:t xml:space="preserve"> </w:t>
      </w:r>
      <w:proofErr w:type="spellStart"/>
      <w:r w:rsidR="007405ED" w:rsidRPr="007405ED">
        <w:t>strta</w:t>
      </w:r>
      <w:proofErr w:type="spellEnd"/>
      <w:r w:rsidR="007405ED" w:rsidRPr="007405ED">
        <w:t xml:space="preserve"> 1</w:t>
      </w:r>
      <w:r w:rsidR="007405ED">
        <w:t>)</w:t>
      </w:r>
    </w:p>
    <w:p w14:paraId="4EBE33B4" w14:textId="77777777" w:rsidR="00062A8D" w:rsidRDefault="00000000">
      <w:pPr>
        <w:pStyle w:val="FirstParagraph"/>
      </w:pPr>
      <w:r>
        <w:rPr>
          <w:noProof/>
        </w:rPr>
        <w:drawing>
          <wp:inline distT="0" distB="0" distL="0" distR="0" wp14:anchorId="73E2896D" wp14:editId="54BF1DCC">
            <wp:extent cx="5753100" cy="2465705"/>
            <wp:effectExtent l="0" t="0" r="0" b="0"/>
            <wp:docPr id="3" name="Image3" descr="Forest plot of predicted LTC counts and 95% confidence intervals for the upper and lower 5% of Model 5 strata, defined by employed adults, accommodation, cars or vans, tenure and rural–urban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Forest plot of predicted LTC counts and 95% confidence intervals for the upper and lower 5% of Model 5 strata, defined by employed adults, accommodation, cars or vans, tenure and rural–urban classification."/>
                    <pic:cNvPicPr>
                      <a:picLocks noChangeAspect="1" noChangeArrowheads="1"/>
                    </pic:cNvPicPr>
                  </pic:nvPicPr>
                  <pic:blipFill>
                    <a:blip r:embed="rId17"/>
                    <a:stretch>
                      <a:fillRect/>
                    </a:stretch>
                  </pic:blipFill>
                  <pic:spPr bwMode="auto">
                    <a:xfrm>
                      <a:off x="0" y="0"/>
                      <a:ext cx="5753100" cy="2465705"/>
                    </a:xfrm>
                    <a:prstGeom prst="rect">
                      <a:avLst/>
                    </a:prstGeom>
                    <a:noFill/>
                  </pic:spPr>
                </pic:pic>
              </a:graphicData>
            </a:graphic>
          </wp:inline>
        </w:drawing>
      </w:r>
    </w:p>
    <w:p w14:paraId="71D253EF" w14:textId="77777777" w:rsidR="00062A8D" w:rsidRDefault="00000000">
      <w:pPr>
        <w:pStyle w:val="BodyText"/>
      </w:pPr>
      <w:bookmarkStart w:id="21" w:name="Xad229ca73fe0356726bcb7a5aa026c1f63d21b7"/>
      <w:bookmarkStart w:id="22" w:name="X4475998c96be63b6579314bd0050c0d0d6bba6b"/>
      <w:r>
        <w:t>Model 5 predictions ranged from 2.08 to 5.00, a difference of 2.92 LTCs. Among strata containing at least 0.5% of the cohort, the highest predicted count was 4.59 for people in households with one employed adult who lived in socially rented flats, had no vehicle and resided in an urban city or town (n=9,860; 2.63%). The lowest was 2.41 for people in households with at least three employed adults who lived in owned detached accommodation, had at least two vehicles and resided in a rural village or dispersed setting (n=4,424; 1.18%). Household employment, vehicle access and tenure had PCVs of 52.4%, 30.3% and 28.6%, compared with 3.0% for accommodation and 1.4% for rural–urban classification.</w:t>
      </w:r>
      <w:bookmarkEnd w:id="21"/>
      <w:bookmarkEnd w:id="22"/>
    </w:p>
    <w:p w14:paraId="2CEAE5F8" w14:textId="38C595B6" w:rsidR="00062A8D" w:rsidRDefault="00000000">
      <w:pPr>
        <w:pStyle w:val="Heading2"/>
      </w:pPr>
      <w:bookmarkStart w:id="23" w:name="X1f88a539d87d16c15798115f1bf60c4cd8bd27c"/>
      <w:r>
        <w:t>S</w:t>
      </w:r>
      <w:r w:rsidR="00CA56D1">
        <w:t>7</w:t>
      </w:r>
      <w:r>
        <w:t>. Repository-hosted analytical resources</w:t>
      </w:r>
    </w:p>
    <w:p w14:paraId="4A853588" w14:textId="77777777" w:rsidR="00062A8D" w:rsidRDefault="00000000">
      <w:pPr>
        <w:pStyle w:val="FirstParagraph"/>
      </w:pPr>
      <w:r>
        <w:t xml:space="preserve">The </w:t>
      </w:r>
      <w:hyperlink r:id="rId18">
        <w:r w:rsidR="00062A8D">
          <w:rPr>
            <w:rStyle w:val="Hyperlink"/>
          </w:rPr>
          <w:t>companion GitHub repository</w:t>
        </w:r>
      </w:hyperlink>
      <w:r>
        <w:t xml:space="preserve"> contains the following disclosure-controlled resources. These files complement, but are not required to understand, the methods and principal results reported in the manuscript and this supplementary document.</w:t>
      </w:r>
    </w:p>
    <w:p w14:paraId="73638575" w14:textId="56417026" w:rsidR="00062A8D" w:rsidRDefault="0009099B">
      <w:pPr>
        <w:pStyle w:val="Heading3"/>
      </w:pPr>
      <w:r>
        <w:t>Supplementary Material 2. R Markdown analytical workflow</w:t>
      </w:r>
    </w:p>
    <w:p w14:paraId="4C03DEA7" w14:textId="10F557B9" w:rsidR="00062A8D" w:rsidRDefault="0009099B">
      <w:pPr>
        <w:pStyle w:val="FirstParagraph"/>
      </w:pPr>
      <w:r>
        <w:t>Supplementary Material 2 comprises two scripts representing the deliberately separated secure and downstream stages of the workflow:</w:t>
      </w:r>
    </w:p>
    <w:p w14:paraId="4B817DF7" w14:textId="77777777" w:rsidR="00062A8D" w:rsidRDefault="00062A8D">
      <w:pPr>
        <w:pStyle w:val="Compact"/>
        <w:numPr>
          <w:ilvl w:val="0"/>
          <w:numId w:val="7"/>
        </w:numPr>
      </w:pPr>
      <w:hyperlink r:id="rId19">
        <w:proofErr w:type="spellStart"/>
        <w:r>
          <w:t>maida_of_mm_analysis_</w:t>
        </w:r>
        <w:proofErr w:type="gramStart"/>
        <w:r>
          <w:t>script.Rmd</w:t>
        </w:r>
        <w:proofErr w:type="spellEnd"/>
        <w:proofErr w:type="gramEnd"/>
      </w:hyperlink>
      <w:r>
        <w:t xml:space="preserve"> is the authoritative secure-stage script used within the SAIL Trusted Research Environment to prepare the analytical cohort, undertake VIVI screening and fit the MAIHDA models.</w:t>
      </w:r>
    </w:p>
    <w:p w14:paraId="41CA49A4" w14:textId="77777777" w:rsidR="00062A8D" w:rsidRDefault="00062A8D">
      <w:pPr>
        <w:pStyle w:val="Compact"/>
        <w:numPr>
          <w:ilvl w:val="0"/>
          <w:numId w:val="8"/>
        </w:numPr>
      </w:pPr>
      <w:hyperlink r:id="rId20">
        <w:r>
          <w:t>maihda_of_mm_2025.Rmd</w:t>
        </w:r>
      </w:hyperlink>
      <w:r>
        <w:t xml:space="preserve"> reads approved, disclosure-controlled outputs and prepares downstream publication figures and tabulations using repository-relative paths.</w:t>
      </w:r>
    </w:p>
    <w:p w14:paraId="0877FB6A" w14:textId="77777777" w:rsidR="00062A8D" w:rsidRDefault="00000000">
      <w:pPr>
        <w:pStyle w:val="FirstParagraph"/>
      </w:pPr>
      <w:bookmarkStart w:id="24" w:name="Xbf922c1cb5a30906cadfa325fdbfc423f283ab8"/>
      <w:r>
        <w:t>The confidential individual-level records required by the secure-stage script are not included in the repository.</w:t>
      </w:r>
      <w:bookmarkEnd w:id="24"/>
    </w:p>
    <w:p w14:paraId="7DF4B505" w14:textId="6334FB99" w:rsidR="00062A8D" w:rsidRDefault="0009099B">
      <w:pPr>
        <w:pStyle w:val="Heading3"/>
      </w:pPr>
      <w:bookmarkStart w:id="25" w:name="X654221dfce2d269b0b9166f7c02987f07d5ccf7"/>
      <w:r>
        <w:t>Supplementary Material 3. Null-model stratum predictions</w:t>
      </w:r>
    </w:p>
    <w:p w14:paraId="2FD184C4" w14:textId="77777777" w:rsidR="00062A8D" w:rsidRDefault="00062A8D">
      <w:pPr>
        <w:pStyle w:val="FirstParagraph"/>
      </w:pPr>
      <w:hyperlink r:id="rId21">
        <w:r>
          <w:t>MAIDA_nll_mhda_all_ranef_rspns.xlsx</w:t>
        </w:r>
      </w:hyperlink>
      <w:r>
        <w:t xml:space="preserve"> contains one worksheet for each of the 15 null MAIHDA configurations. Columns identify the composite stratum and constituent categories, population count and percentage, precision-weighted predicted LTC count, lower and upper 95% confidence limits, and random-effect information. Worksheets are ordered by predicted count. These are the complete values underlying Figures 4 and 5 in the manuscript and Figures S1–S3 in this document.</w:t>
      </w:r>
      <w:bookmarkEnd w:id="25"/>
    </w:p>
    <w:p w14:paraId="13DF281A" w14:textId="688BF6F8" w:rsidR="00062A8D" w:rsidRDefault="0009099B">
      <w:pPr>
        <w:pStyle w:val="Heading3"/>
      </w:pPr>
      <w:bookmarkStart w:id="26" w:name="Xc12d7197c831aaee61fb98019b6137ce4c58fac"/>
      <w:r>
        <w:t>Supplementary Material 4. Fully adjusted stratum predictions</w:t>
      </w:r>
    </w:p>
    <w:p w14:paraId="73121933" w14:textId="77777777" w:rsidR="00062A8D" w:rsidRDefault="00062A8D">
      <w:pPr>
        <w:pStyle w:val="FirstParagraph"/>
      </w:pPr>
      <w:hyperlink r:id="rId22">
        <w:r>
          <w:t>MAIDA_fll_mhda_all_ranef_rspns.xlsx</w:t>
        </w:r>
      </w:hyperlink>
      <w:r>
        <w:t xml:space="preserve"> contains the corresponding response-scale predictions from the fully adjusted models. Because all five constituent dimensions are included as fixed main effects, the stratum random effect describes residual departure from the fitted additive structure. These estimates support examination of </w:t>
      </w:r>
      <w:r>
        <w:lastRenderedPageBreak/>
        <w:t>unusually positive or negative residual intersections, although residual variance was very small in the leading configurations.</w:t>
      </w:r>
      <w:bookmarkEnd w:id="26"/>
    </w:p>
    <w:p w14:paraId="185DBCBB" w14:textId="255F0769" w:rsidR="00062A8D" w:rsidRDefault="0009099B">
      <w:pPr>
        <w:pStyle w:val="Heading3"/>
      </w:pPr>
      <w:bookmarkStart w:id="27" w:name="Xcc950adae93c5326c504c6732e3e2b0e22eb275"/>
      <w:r>
        <w:t>Supplementary Material 5. Complete MAIHDA parameter tables</w:t>
      </w:r>
    </w:p>
    <w:p w14:paraId="5F1E0781" w14:textId="77777777" w:rsidR="00062A8D" w:rsidRDefault="00062A8D">
      <w:pPr>
        <w:pStyle w:val="FirstParagraph"/>
      </w:pPr>
      <w:hyperlink r:id="rId23">
        <w:r>
          <w:t>supplementary_materials/complete_maihda_parameter_tables.md</w:t>
        </w:r>
      </w:hyperlink>
      <w:r>
        <w:t xml:space="preserve"> contains Tables S6–S20: the seven-column parameter tabulations for the null model, five partially adjusted models and fully adjusted model for each of the 15 five-way configurations. The raw variable codes and reference categories are defined in Table S2 of this document, and Tables S4–S5 provide the concise variance and PCV summaries needed for substantive interpretation.</w:t>
      </w:r>
    </w:p>
    <w:p w14:paraId="1E12DB33" w14:textId="77777777" w:rsidR="00062A8D" w:rsidRDefault="00000000">
      <w:pPr>
        <w:pStyle w:val="BodyText"/>
      </w:pPr>
      <w:r>
        <w:t xml:space="preserve">Although the retained workbook filenames use </w:t>
      </w:r>
      <w:r>
        <w:rPr>
          <w:rStyle w:val="VerbatimChar"/>
        </w:rPr>
        <w:t>MAIDA</w:t>
      </w:r>
      <w:r>
        <w:t>, the analytical method is MAIHDA. The filenames are kept unchanged to preserve continuity with the completed workflow. All public files must continue to comply with SAIL disclosure-control requirements.</w:t>
      </w:r>
      <w:bookmarkEnd w:id="23"/>
      <w:bookmarkEnd w:id="27"/>
    </w:p>
    <w:p w14:paraId="546FE641" w14:textId="0C0B96F6" w:rsidR="00062A8D" w:rsidRDefault="00000000">
      <w:pPr>
        <w:pStyle w:val="Heading2"/>
      </w:pPr>
      <w:bookmarkStart w:id="28" w:name="s9-reproducibility-record"/>
      <w:r>
        <w:t>S</w:t>
      </w:r>
      <w:r w:rsidR="00CA56D1">
        <w:t>8</w:t>
      </w:r>
      <w:r>
        <w:t>. Reproducibility record</w:t>
      </w:r>
    </w:p>
    <w:p w14:paraId="63E12454" w14:textId="77777777" w:rsidR="00062A8D" w:rsidRDefault="00000000">
      <w:pPr>
        <w:pStyle w:val="FirstParagraph"/>
      </w:pPr>
      <w:r>
        <w:t>The analysis was specified as follows:</w:t>
      </w:r>
    </w:p>
    <w:p w14:paraId="4F3B86C0" w14:textId="77777777" w:rsidR="00062A8D" w:rsidRDefault="00000000">
      <w:pPr>
        <w:pStyle w:val="Compact"/>
        <w:numPr>
          <w:ilvl w:val="0"/>
          <w:numId w:val="9"/>
        </w:numPr>
      </w:pPr>
      <w:r>
        <w:rPr>
          <w:b/>
          <w:bCs/>
        </w:rPr>
        <w:t>R and package versions assumed for this record:</w:t>
      </w:r>
      <w:r>
        <w:t xml:space="preserve"> R 4.6.1; </w:t>
      </w:r>
      <w:proofErr w:type="spellStart"/>
      <w:r>
        <w:rPr>
          <w:rStyle w:val="VerbatimChar"/>
        </w:rPr>
        <w:t>gbm</w:t>
      </w:r>
      <w:proofErr w:type="spellEnd"/>
      <w:r>
        <w:t xml:space="preserve"> 2.3.1; </w:t>
      </w:r>
      <w:r>
        <w:rPr>
          <w:rStyle w:val="VerbatimChar"/>
        </w:rPr>
        <w:t>vivid</w:t>
      </w:r>
      <w:r>
        <w:t xml:space="preserve"> 0.3.0; </w:t>
      </w:r>
      <w:proofErr w:type="spellStart"/>
      <w:r>
        <w:rPr>
          <w:rStyle w:val="VerbatimChar"/>
        </w:rPr>
        <w:t>glmmTMB</w:t>
      </w:r>
      <w:proofErr w:type="spellEnd"/>
      <w:r>
        <w:t xml:space="preserve"> 1.1.14; </w:t>
      </w:r>
      <w:r>
        <w:rPr>
          <w:rStyle w:val="VerbatimChar"/>
        </w:rPr>
        <w:t>performance</w:t>
      </w:r>
      <w:r>
        <w:t xml:space="preserve"> 0.17.1; </w:t>
      </w:r>
      <w:r>
        <w:rPr>
          <w:rStyle w:val="VerbatimChar"/>
        </w:rPr>
        <w:t>insight</w:t>
      </w:r>
      <w:r>
        <w:t xml:space="preserve"> 1.5.2; </w:t>
      </w:r>
      <w:proofErr w:type="spellStart"/>
      <w:r>
        <w:rPr>
          <w:rStyle w:val="VerbatimChar"/>
        </w:rPr>
        <w:t>modelbased</w:t>
      </w:r>
      <w:proofErr w:type="spellEnd"/>
      <w:r>
        <w:t xml:space="preserve"> 0.16.0; </w:t>
      </w:r>
      <w:proofErr w:type="spellStart"/>
      <w:r>
        <w:rPr>
          <w:rStyle w:val="VerbatimChar"/>
        </w:rPr>
        <w:t>sjPlot</w:t>
      </w:r>
      <w:proofErr w:type="spellEnd"/>
      <w:r>
        <w:t xml:space="preserve"> 2.9.0; </w:t>
      </w:r>
      <w:proofErr w:type="spellStart"/>
      <w:r>
        <w:rPr>
          <w:rStyle w:val="VerbatimChar"/>
        </w:rPr>
        <w:t>gtsummary</w:t>
      </w:r>
      <w:proofErr w:type="spellEnd"/>
      <w:r>
        <w:t xml:space="preserve"> 2.5.1; and </w:t>
      </w:r>
      <w:r>
        <w:rPr>
          <w:rStyle w:val="VerbatimChar"/>
        </w:rPr>
        <w:t>ggplot2</w:t>
      </w:r>
      <w:r>
        <w:t xml:space="preserve"> 4.0.3.</w:t>
      </w:r>
    </w:p>
    <w:p w14:paraId="39AD6498" w14:textId="77777777" w:rsidR="00062A8D" w:rsidRDefault="00000000">
      <w:pPr>
        <w:pStyle w:val="Compact"/>
        <w:numPr>
          <w:ilvl w:val="0"/>
          <w:numId w:val="10"/>
        </w:numPr>
      </w:pPr>
      <w:r>
        <w:rPr>
          <w:b/>
          <w:bCs/>
        </w:rPr>
        <w:t>GBM screen:</w:t>
      </w:r>
      <w:r>
        <w:t xml:space="preserve"> Poisson loss; 80% training fraction; fivefold cross-validation; 100 trees; interaction depth 5; minimum terminal-node size 10; shrinkage 0.1; bag fraction 0.5; retained data; parallel processing on all but one detected core. The depth setting permits interaction structures involving up to five predictors.</w:t>
      </w:r>
    </w:p>
    <w:p w14:paraId="4BF8E3D3" w14:textId="77777777" w:rsidR="00062A8D" w:rsidRDefault="00000000">
      <w:pPr>
        <w:pStyle w:val="Compact"/>
        <w:numPr>
          <w:ilvl w:val="0"/>
          <w:numId w:val="11"/>
        </w:numPr>
      </w:pPr>
      <w:r>
        <w:rPr>
          <w:b/>
          <w:bCs/>
        </w:rPr>
        <w:t>VIVI:</w:t>
      </w:r>
      <w:r>
        <w:t xml:space="preserve"> model-agnostic permutation importance; four permutations; </w:t>
      </w:r>
      <w:proofErr w:type="spellStart"/>
      <w:r>
        <w:t>unnormalised</w:t>
      </w:r>
      <w:proofErr w:type="spellEnd"/>
      <w:r>
        <w:t xml:space="preserve"> H-statistic; maximum partial-dependence sample 500; grid size 50; reordering enabled; seed 2211 immediately before VIVI computation; network threshold 0.001.</w:t>
      </w:r>
    </w:p>
    <w:p w14:paraId="2648EFDE" w14:textId="77777777" w:rsidR="00062A8D" w:rsidRDefault="00000000">
      <w:pPr>
        <w:pStyle w:val="Compact"/>
        <w:numPr>
          <w:ilvl w:val="0"/>
          <w:numId w:val="12"/>
        </w:numPr>
      </w:pPr>
      <w:r>
        <w:rPr>
          <w:b/>
          <w:bCs/>
        </w:rPr>
        <w:t>Configuration design:</w:t>
      </w:r>
      <w:r>
        <w:t xml:space="preserve"> five high-VIVI, five low-VIVI and five substantively specified mixed intersections, each containing five dimensions; WIMD and rural–urban category deliberately retained in selected mixed models.</w:t>
      </w:r>
    </w:p>
    <w:p w14:paraId="5726E5CC" w14:textId="77777777" w:rsidR="00062A8D" w:rsidRDefault="00000000">
      <w:pPr>
        <w:pStyle w:val="Compact"/>
        <w:numPr>
          <w:ilvl w:val="0"/>
          <w:numId w:val="13"/>
        </w:numPr>
      </w:pPr>
      <w:r>
        <w:rPr>
          <w:b/>
          <w:bCs/>
        </w:rPr>
        <w:t>MAIHDA:</w:t>
      </w:r>
      <w:r>
        <w:t xml:space="preserve"> </w:t>
      </w:r>
      <w:proofErr w:type="spellStart"/>
      <w:r>
        <w:rPr>
          <w:rStyle w:val="VerbatimChar"/>
        </w:rPr>
        <w:t>glmmTMB</w:t>
      </w:r>
      <w:proofErr w:type="spellEnd"/>
      <w:r>
        <w:t xml:space="preserve"> negative-binomial type 1 models with log link, constant dispersion, no zero inflation, maximum-likelihood estimation, Laplace integration and default </w:t>
      </w:r>
      <w:proofErr w:type="spellStart"/>
      <w:r>
        <w:rPr>
          <w:rStyle w:val="VerbatimChar"/>
        </w:rPr>
        <w:t>nlminb</w:t>
      </w:r>
      <w:proofErr w:type="spellEnd"/>
      <w:r>
        <w:t xml:space="preserve"> </w:t>
      </w:r>
      <w:proofErr w:type="spellStart"/>
      <w:r>
        <w:t>optimisation</w:t>
      </w:r>
      <w:proofErr w:type="spellEnd"/>
      <w:r>
        <w:t xml:space="preserve">. Reproducible convergence checks comprise </w:t>
      </w:r>
      <w:proofErr w:type="spellStart"/>
      <w:r>
        <w:t>optimiser</w:t>
      </w:r>
      <w:proofErr w:type="spellEnd"/>
      <w:r>
        <w:t xml:space="preserve"> code/message, finite estimates and </w:t>
      </w:r>
      <w:proofErr w:type="gramStart"/>
      <w:r>
        <w:t>a positive</w:t>
      </w:r>
      <w:proofErr w:type="gramEnd"/>
      <w:r>
        <w:t>-definite Hessian.</w:t>
      </w:r>
    </w:p>
    <w:p w14:paraId="0A4AAE43" w14:textId="77777777" w:rsidR="00062A8D" w:rsidRDefault="00000000">
      <w:pPr>
        <w:pStyle w:val="Compact"/>
        <w:numPr>
          <w:ilvl w:val="0"/>
          <w:numId w:val="14"/>
        </w:numPr>
      </w:pPr>
      <w:r>
        <w:rPr>
          <w:b/>
          <w:bCs/>
        </w:rPr>
        <w:t>Variance measures:</w:t>
      </w:r>
      <w:r>
        <w:t xml:space="preserve"> adjusted ICC from </w:t>
      </w:r>
      <w:proofErr w:type="gramStart"/>
      <w:r>
        <w:rPr>
          <w:rStyle w:val="VerbatimChar"/>
        </w:rPr>
        <w:t>performance::</w:t>
      </w:r>
      <w:proofErr w:type="spellStart"/>
      <w:r>
        <w:rPr>
          <w:rStyle w:val="VerbatimChar"/>
        </w:rPr>
        <w:t>icc</w:t>
      </w:r>
      <w:proofErr w:type="spellEnd"/>
      <w:r>
        <w:rPr>
          <w:rStyle w:val="VerbatimChar"/>
        </w:rPr>
        <w:t>(</w:t>
      </w:r>
      <w:proofErr w:type="gramEnd"/>
      <w:r>
        <w:rPr>
          <w:rStyle w:val="VerbatimChar"/>
        </w:rPr>
        <w:t>)</w:t>
      </w:r>
      <w:r>
        <w:t xml:space="preserve"> using the default lognormal residual approximation; random-intercept variance from </w:t>
      </w:r>
      <w:proofErr w:type="gramStart"/>
      <w:r>
        <w:rPr>
          <w:rStyle w:val="VerbatimChar"/>
        </w:rPr>
        <w:t>insight::</w:t>
      </w:r>
      <w:proofErr w:type="spellStart"/>
      <w:proofErr w:type="gramEnd"/>
      <w:r>
        <w:rPr>
          <w:rStyle w:val="VerbatimChar"/>
        </w:rPr>
        <w:t>get_</w:t>
      </w:r>
      <w:proofErr w:type="gramStart"/>
      <w:r>
        <w:rPr>
          <w:rStyle w:val="VerbatimChar"/>
        </w:rPr>
        <w:t>variance</w:t>
      </w:r>
      <w:proofErr w:type="spellEnd"/>
      <w:r>
        <w:rPr>
          <w:rStyle w:val="VerbatimChar"/>
        </w:rPr>
        <w:t>(</w:t>
      </w:r>
      <w:proofErr w:type="gramEnd"/>
      <w:r>
        <w:rPr>
          <w:rStyle w:val="VerbatimChar"/>
        </w:rPr>
        <w:t>)</w:t>
      </w:r>
      <w:r>
        <w:t>; PCV calculated from the change in random-intercept variance.</w:t>
      </w:r>
    </w:p>
    <w:p w14:paraId="6E0BEA13" w14:textId="77777777" w:rsidR="00062A8D" w:rsidRDefault="00000000">
      <w:pPr>
        <w:pStyle w:val="Compact"/>
        <w:numPr>
          <w:ilvl w:val="0"/>
          <w:numId w:val="15"/>
        </w:numPr>
      </w:pPr>
      <w:r>
        <w:rPr>
          <w:b/>
          <w:bCs/>
        </w:rPr>
        <w:t>Predictions:</w:t>
      </w:r>
      <w:r>
        <w:t xml:space="preserve"> group-level coefficients from </w:t>
      </w:r>
      <w:proofErr w:type="spellStart"/>
      <w:r>
        <w:rPr>
          <w:rStyle w:val="VerbatimChar"/>
        </w:rPr>
        <w:t>estimate_</w:t>
      </w:r>
      <w:proofErr w:type="gramStart"/>
      <w:r>
        <w:rPr>
          <w:rStyle w:val="VerbatimChar"/>
        </w:rPr>
        <w:t>grouplevel</w:t>
      </w:r>
      <w:proofErr w:type="spellEnd"/>
      <w:r>
        <w:rPr>
          <w:rStyle w:val="VerbatimChar"/>
        </w:rPr>
        <w:t>(</w:t>
      </w:r>
      <w:proofErr w:type="gramEnd"/>
      <w:r>
        <w:rPr>
          <w:rStyle w:val="VerbatimChar"/>
        </w:rPr>
        <w:t>)</w:t>
      </w:r>
      <w:r>
        <w:t xml:space="preserve">; response-scale counts and intervals from </w:t>
      </w:r>
      <w:proofErr w:type="spellStart"/>
      <w:r>
        <w:rPr>
          <w:rStyle w:val="VerbatimChar"/>
        </w:rPr>
        <w:t>estimate_</w:t>
      </w:r>
      <w:proofErr w:type="gramStart"/>
      <w:r>
        <w:rPr>
          <w:rStyle w:val="VerbatimChar"/>
        </w:rPr>
        <w:t>relation</w:t>
      </w:r>
      <w:proofErr w:type="spellEnd"/>
      <w:r>
        <w:rPr>
          <w:rStyle w:val="VerbatimChar"/>
        </w:rPr>
        <w:t>(</w:t>
      </w:r>
      <w:proofErr w:type="gramEnd"/>
      <w:r>
        <w:rPr>
          <w:rStyle w:val="VerbatimChar"/>
        </w:rPr>
        <w:t>)</w:t>
      </w:r>
      <w:r>
        <w:t>; link-</w:t>
      </w:r>
      <w:proofErr w:type="gramStart"/>
      <w:r>
        <w:t>scale estimates from</w:t>
      </w:r>
      <w:proofErr w:type="gramEnd"/>
      <w:r>
        <w:t xml:space="preserve"> </w:t>
      </w:r>
      <w:proofErr w:type="spellStart"/>
      <w:r>
        <w:rPr>
          <w:rStyle w:val="VerbatimChar"/>
        </w:rPr>
        <w:t>estimate_</w:t>
      </w:r>
      <w:proofErr w:type="gramStart"/>
      <w:r>
        <w:rPr>
          <w:rStyle w:val="VerbatimChar"/>
        </w:rPr>
        <w:t>link</w:t>
      </w:r>
      <w:proofErr w:type="spellEnd"/>
      <w:r>
        <w:rPr>
          <w:rStyle w:val="VerbatimChar"/>
        </w:rPr>
        <w:t>(</w:t>
      </w:r>
      <w:proofErr w:type="gramEnd"/>
      <w:r>
        <w:rPr>
          <w:rStyle w:val="VerbatimChar"/>
        </w:rPr>
        <w:t>)</w:t>
      </w:r>
      <w:r>
        <w:t>; population counts below 10 masked.</w:t>
      </w:r>
    </w:p>
    <w:p w14:paraId="5A1FBB69" w14:textId="77777777" w:rsidR="00062A8D" w:rsidRDefault="00000000">
      <w:pPr>
        <w:pStyle w:val="Compact"/>
        <w:numPr>
          <w:ilvl w:val="0"/>
          <w:numId w:val="16"/>
        </w:numPr>
      </w:pPr>
      <w:r>
        <w:rPr>
          <w:b/>
          <w:bCs/>
        </w:rPr>
        <w:t>Governance:</w:t>
      </w:r>
      <w:r>
        <w:t xml:space="preserve"> SAIL Information Governance Review Panel approval under Project 1350.</w:t>
      </w:r>
    </w:p>
    <w:p w14:paraId="0E658330" w14:textId="191BA3CC" w:rsidR="00062A8D" w:rsidRDefault="00000000">
      <w:pPr>
        <w:pStyle w:val="Compact"/>
        <w:numPr>
          <w:ilvl w:val="0"/>
          <w:numId w:val="17"/>
        </w:numPr>
      </w:pPr>
      <w:r>
        <w:rPr>
          <w:b/>
          <w:bCs/>
        </w:rPr>
        <w:t>Reproducible code:</w:t>
      </w:r>
      <w:r>
        <w:t xml:space="preserve"> the two R Markdown scripts are provided as </w:t>
      </w:r>
      <w:r w:rsidR="0009099B">
        <w:t>Supplementary Material</w:t>
      </w:r>
      <w:r>
        <w:t xml:space="preserve"> 2 in the companion GitHub repository. Seed 2211 is used for the VIVI procedure; for exact refitting of the stochastic GBM, a seed should also be set immediately before </w:t>
      </w:r>
      <w:proofErr w:type="spellStart"/>
      <w:proofErr w:type="gramStart"/>
      <w:r>
        <w:rPr>
          <w:rStyle w:val="VerbatimChar"/>
        </w:rPr>
        <w:t>gbm</w:t>
      </w:r>
      <w:proofErr w:type="spellEnd"/>
      <w:r>
        <w:rPr>
          <w:rStyle w:val="VerbatimChar"/>
        </w:rPr>
        <w:t>(</w:t>
      </w:r>
      <w:proofErr w:type="gramEnd"/>
      <w:r>
        <w:rPr>
          <w:rStyle w:val="VerbatimChar"/>
        </w:rPr>
        <w:t>)</w:t>
      </w:r>
      <w:r>
        <w:t xml:space="preserve">. The secure-stage script records </w:t>
      </w:r>
      <w:proofErr w:type="spellStart"/>
      <w:proofErr w:type="gramStart"/>
      <w:r>
        <w:rPr>
          <w:rStyle w:val="VerbatimChar"/>
        </w:rPr>
        <w:t>interaction.depth</w:t>
      </w:r>
      <w:proofErr w:type="spellEnd"/>
      <w:proofErr w:type="gramEnd"/>
      <w:r>
        <w:rPr>
          <w:rStyle w:val="VerbatimChar"/>
        </w:rPr>
        <w:t xml:space="preserve"> = 5</w:t>
      </w:r>
      <w:r>
        <w:t xml:space="preserve"> explicitly and includes a convergence-audit helper.</w:t>
      </w:r>
    </w:p>
    <w:p w14:paraId="67668C52" w14:textId="057A72CA" w:rsidR="00062A8D" w:rsidRDefault="00000000">
      <w:pPr>
        <w:pStyle w:val="FirstParagraph"/>
      </w:pPr>
      <w:r>
        <w:t xml:space="preserve">The repository also contains a </w:t>
      </w:r>
      <w:r>
        <w:rPr>
          <w:rStyle w:val="VerbatimChar"/>
        </w:rPr>
        <w:t>README.md</w:t>
      </w:r>
      <w:r>
        <w:t xml:space="preserve"> study overview and a </w:t>
      </w:r>
      <w:r>
        <w:rPr>
          <w:rStyle w:val="VerbatimChar"/>
        </w:rPr>
        <w:t>REPRODUCIBILITY.md</w:t>
      </w:r>
      <w:r>
        <w:t xml:space="preserve"> guide documenting the secure-data boundary, required approved inputs and the separation between Trusted Research Environment analysis and downstream publication processing. </w:t>
      </w:r>
      <w:r w:rsidR="0009099B">
        <w:t>Supplementary Material</w:t>
      </w:r>
      <w:r>
        <w:t>s 3–5 provide the disclosure-controlled numerical outputs needed to audit the manuscript's reported estimates without releasing individual-level records.</w:t>
      </w:r>
      <w:bookmarkEnd w:id="28"/>
    </w:p>
    <w:p w14:paraId="6422155B" w14:textId="797885B6" w:rsidR="00062A8D" w:rsidRDefault="00000000">
      <w:pPr>
        <w:pStyle w:val="Heading2"/>
      </w:pPr>
      <w:bookmarkStart w:id="29" w:name="references-cited-in-online-resource-1"/>
      <w:r>
        <w:lastRenderedPageBreak/>
        <w:t xml:space="preserve">References cited in </w:t>
      </w:r>
      <w:r w:rsidR="0009099B">
        <w:t>Supplementary Material</w:t>
      </w:r>
      <w:r>
        <w:t xml:space="preserve"> 1</w:t>
      </w:r>
    </w:p>
    <w:p w14:paraId="0A9A2FA9" w14:textId="77777777" w:rsidR="00062A8D" w:rsidRDefault="00000000">
      <w:pPr>
        <w:pStyle w:val="FirstParagraph"/>
      </w:pPr>
      <w:r>
        <w:t xml:space="preserve">Brooks, M. E., Kristensen, K., van Benthem, K. J., Magnusson, A., Berg, C. W., Nielsen, A., Skaug, H. J., </w:t>
      </w:r>
      <w:proofErr w:type="spellStart"/>
      <w:r>
        <w:t>Mächler</w:t>
      </w:r>
      <w:proofErr w:type="spellEnd"/>
      <w:r>
        <w:t xml:space="preserve">, M., &amp; Bolker, B. M. (2017). </w:t>
      </w:r>
      <w:proofErr w:type="spellStart"/>
      <w:r>
        <w:t>glmmTMB</w:t>
      </w:r>
      <w:proofErr w:type="spellEnd"/>
      <w:r>
        <w:t xml:space="preserve"> balances speed and flexibility among packages for zero-inflated generalized linear mixed modeling. </w:t>
      </w:r>
      <w:r>
        <w:rPr>
          <w:i/>
          <w:iCs/>
        </w:rPr>
        <w:t>The R Journal, 9</w:t>
      </w:r>
      <w:r>
        <w:t xml:space="preserve">(2), 378–400. </w:t>
      </w:r>
      <w:hyperlink r:id="rId24">
        <w:r w:rsidR="00062A8D">
          <w:rPr>
            <w:rStyle w:val="Hyperlink"/>
          </w:rPr>
          <w:t>https://doi.org/10.32614/RJ-2017-066</w:t>
        </w:r>
      </w:hyperlink>
    </w:p>
    <w:p w14:paraId="58231393" w14:textId="77777777" w:rsidR="00062A8D" w:rsidRDefault="00000000">
      <w:pPr>
        <w:pStyle w:val="BodyText"/>
      </w:pPr>
      <w:r>
        <w:t xml:space="preserve">Evans, C. R. (2024). Overcoming combination fatigue: Addressing high-dimensional effect measure modification and interaction in clinical, biomedical, and epidemiologic research using multilevel analysis of individual heterogeneity and discriminatory accuracy (MAIHDA). </w:t>
      </w:r>
      <w:r>
        <w:rPr>
          <w:i/>
          <w:iCs/>
        </w:rPr>
        <w:t>Social Science &amp; Medicine, 340</w:t>
      </w:r>
      <w:r>
        <w:t xml:space="preserve">, 116493. </w:t>
      </w:r>
      <w:hyperlink r:id="rId25">
        <w:r w:rsidR="00062A8D">
          <w:rPr>
            <w:rStyle w:val="Hyperlink"/>
          </w:rPr>
          <w:t>https://doi.org/10.1016/j.socscimed.2023.116493</w:t>
        </w:r>
      </w:hyperlink>
    </w:p>
    <w:p w14:paraId="54B2DC8C" w14:textId="77777777" w:rsidR="00062A8D" w:rsidRDefault="00000000">
      <w:pPr>
        <w:pStyle w:val="BodyText"/>
      </w:pPr>
      <w:r>
        <w:t xml:space="preserve">Evans, C. R., Leckie, G., Subramanian, S. V., Bell, A., &amp; Merlo, J. (2024). A tutorial for conducting intersectional multilevel analysis of individual heterogeneity and discriminatory accuracy (MAIHDA). </w:t>
      </w:r>
      <w:r>
        <w:rPr>
          <w:i/>
          <w:iCs/>
        </w:rPr>
        <w:t>SSM - Population Health, 26</w:t>
      </w:r>
      <w:r>
        <w:t xml:space="preserve">, 101664. </w:t>
      </w:r>
      <w:hyperlink r:id="rId26">
        <w:r w:rsidR="00062A8D">
          <w:rPr>
            <w:rStyle w:val="Hyperlink"/>
          </w:rPr>
          <w:t>https://doi.org/10.1016/j.ssmph.2024.101664</w:t>
        </w:r>
      </w:hyperlink>
    </w:p>
    <w:p w14:paraId="6CC3C125" w14:textId="77777777" w:rsidR="00062A8D" w:rsidRDefault="00000000">
      <w:pPr>
        <w:pStyle w:val="BodyText"/>
      </w:pPr>
      <w:r>
        <w:t xml:space="preserve">Humbert, A. L. (2024). Methodological insights into multilevel analysis of individual heterogeneity and discriminatory accuracy: An empirical examination of the effects of strata configurations on between-stratum variance and of fixed effects across hierarchical levels. </w:t>
      </w:r>
      <w:r>
        <w:rPr>
          <w:i/>
          <w:iCs/>
        </w:rPr>
        <w:t>PLOS ONE, 19</w:t>
      </w:r>
      <w:r>
        <w:t xml:space="preserve">(3), e0297561. </w:t>
      </w:r>
      <w:hyperlink r:id="rId27">
        <w:r w:rsidR="00062A8D">
          <w:rPr>
            <w:rStyle w:val="Hyperlink"/>
          </w:rPr>
          <w:t>https://doi.org/10.1371/journal.pone.0297561</w:t>
        </w:r>
      </w:hyperlink>
    </w:p>
    <w:p w14:paraId="2CD5A3ED" w14:textId="77777777" w:rsidR="00062A8D" w:rsidRDefault="00000000">
      <w:pPr>
        <w:pStyle w:val="BodyText"/>
      </w:pPr>
      <w:r>
        <w:t xml:space="preserve">Inglis, A., Parnell, A., &amp; Hurley, C. B. (2022). Visualizing variable importance and variable interaction effects in machine learning models. </w:t>
      </w:r>
      <w:r>
        <w:rPr>
          <w:i/>
          <w:iCs/>
        </w:rPr>
        <w:t>Journal of Computational and Graphical Statistics, 31</w:t>
      </w:r>
      <w:r>
        <w:t xml:space="preserve">(3), 766–778. </w:t>
      </w:r>
      <w:hyperlink r:id="rId28">
        <w:r w:rsidR="00062A8D">
          <w:rPr>
            <w:rStyle w:val="Hyperlink"/>
          </w:rPr>
          <w:t>https://doi.org/10.1080/10618600.2021.2007935</w:t>
        </w:r>
      </w:hyperlink>
    </w:p>
    <w:p w14:paraId="1AFE7BC3" w14:textId="77777777" w:rsidR="00062A8D" w:rsidRDefault="00000000">
      <w:pPr>
        <w:pStyle w:val="BodyText"/>
      </w:pPr>
      <w:r>
        <w:t xml:space="preserve">Kristensen, K., Nielsen, A., Berg, C. W., Skaug, H., &amp; Bell, B. M. (2016). TMB: Automatic differentiation and Laplace approximation. </w:t>
      </w:r>
      <w:r>
        <w:rPr>
          <w:i/>
          <w:iCs/>
        </w:rPr>
        <w:t>Journal of Statistical Software, 70</w:t>
      </w:r>
      <w:r>
        <w:t xml:space="preserve">(5), 1–21. </w:t>
      </w:r>
      <w:hyperlink r:id="rId29">
        <w:r w:rsidR="00062A8D">
          <w:rPr>
            <w:rStyle w:val="Hyperlink"/>
          </w:rPr>
          <w:t>https://doi.org/10.18637/jss.v070.i05</w:t>
        </w:r>
      </w:hyperlink>
    </w:p>
    <w:p w14:paraId="2FDEB850" w14:textId="77777777" w:rsidR="00062A8D" w:rsidRDefault="00000000">
      <w:pPr>
        <w:pStyle w:val="BodyText"/>
      </w:pPr>
      <w:r>
        <w:t xml:space="preserve">Lüdecke, D., Ben-Shachar, M. S., Patil, I., Waggoner, P., &amp; Makowski, D. (2021). performance: An R package for assessment, comparison and testing of statistical models. </w:t>
      </w:r>
      <w:r>
        <w:rPr>
          <w:i/>
          <w:iCs/>
        </w:rPr>
        <w:t xml:space="preserve">Journal of </w:t>
      </w:r>
      <w:proofErr w:type="gramStart"/>
      <w:r>
        <w:rPr>
          <w:i/>
          <w:iCs/>
        </w:rPr>
        <w:t>Open Source</w:t>
      </w:r>
      <w:proofErr w:type="gramEnd"/>
      <w:r>
        <w:rPr>
          <w:i/>
          <w:iCs/>
        </w:rPr>
        <w:t xml:space="preserve"> Software, 6</w:t>
      </w:r>
      <w:r>
        <w:t xml:space="preserve">(60), 3139. </w:t>
      </w:r>
      <w:hyperlink r:id="rId30">
        <w:r w:rsidR="00062A8D">
          <w:rPr>
            <w:rStyle w:val="Hyperlink"/>
          </w:rPr>
          <w:t>https://doi.org/10.21105/joss.03139</w:t>
        </w:r>
      </w:hyperlink>
    </w:p>
    <w:p w14:paraId="0E51B20D" w14:textId="77777777" w:rsidR="00062A8D" w:rsidRDefault="00000000">
      <w:pPr>
        <w:pStyle w:val="BodyText"/>
      </w:pPr>
      <w:r>
        <w:t xml:space="preserve">Lyons, R. A., Jones, K. H., John, G., Brooks, C. J., </w:t>
      </w:r>
      <w:proofErr w:type="spellStart"/>
      <w:r>
        <w:t>Verplancke</w:t>
      </w:r>
      <w:proofErr w:type="spellEnd"/>
      <w:r>
        <w:t xml:space="preserve">, J.-P., Ford, D. V., Brown, G., &amp; Leake, K. (2009). The SAIL databank: Linking multiple health and social care datasets. </w:t>
      </w:r>
      <w:r>
        <w:rPr>
          <w:i/>
          <w:iCs/>
        </w:rPr>
        <w:t>BMC Medical Informatics and Decision Making, 9</w:t>
      </w:r>
      <w:r>
        <w:t xml:space="preserve">, 3. </w:t>
      </w:r>
      <w:hyperlink r:id="rId31">
        <w:r w:rsidR="00062A8D">
          <w:rPr>
            <w:rStyle w:val="Hyperlink"/>
          </w:rPr>
          <w:t>https://doi.org/10.1186/1472-6947-9-3</w:t>
        </w:r>
      </w:hyperlink>
    </w:p>
    <w:p w14:paraId="6F286028" w14:textId="77777777" w:rsidR="00062A8D" w:rsidRDefault="00000000">
      <w:pPr>
        <w:pStyle w:val="BodyText"/>
      </w:pPr>
      <w:r>
        <w:t xml:space="preserve">MacRae, C., Morales, D., Mercer, S. W., Lone, N., Lawson, A., Jefferson, E., McAllister, D., van den Akker, M., Marshall, A., Seth, S., Rawlings, A., Lyons, J., Lyons, R. A., Mizen, A., Abubakar, E., Dibben, C., &amp; Guthrie, B. (2023). Impact of data source choice on multimorbidity measurement: A comparison study of 2.3 million individuals in the Welsh National Health Service. </w:t>
      </w:r>
      <w:r>
        <w:rPr>
          <w:i/>
          <w:iCs/>
        </w:rPr>
        <w:t>BMC Medicine, 21</w:t>
      </w:r>
      <w:r>
        <w:t xml:space="preserve">, 309. </w:t>
      </w:r>
      <w:hyperlink r:id="rId32">
        <w:r w:rsidR="00062A8D">
          <w:rPr>
            <w:rStyle w:val="Hyperlink"/>
          </w:rPr>
          <w:t>https://doi.org/10.1186/s12916-023-02970-z</w:t>
        </w:r>
      </w:hyperlink>
    </w:p>
    <w:p w14:paraId="7AFDCAA6" w14:textId="77777777" w:rsidR="00062A8D" w:rsidRDefault="00000000">
      <w:pPr>
        <w:pStyle w:val="BodyText"/>
      </w:pPr>
      <w:r>
        <w:t xml:space="preserve">Nakagawa, S., Johnson, P. C. D., &amp; </w:t>
      </w:r>
      <w:proofErr w:type="spellStart"/>
      <w:r>
        <w:t>Schielzeth</w:t>
      </w:r>
      <w:proofErr w:type="spellEnd"/>
      <w:r>
        <w:t xml:space="preserve">, H. (2017). The coefficient of determination </w:t>
      </w:r>
      <m:oMath>
        <m:sSup>
          <m:sSupPr>
            <m:ctrlPr>
              <w:rPr>
                <w:rFonts w:ascii="Cambria Math" w:hAnsi="Cambria Math"/>
              </w:rPr>
            </m:ctrlPr>
          </m:sSupPr>
          <m:e>
            <m:r>
              <w:rPr>
                <w:rFonts w:ascii="Cambria Math" w:hAnsi="Cambria Math"/>
              </w:rPr>
              <m:t>R</m:t>
            </m:r>
          </m:e>
          <m:sup>
            <m:r>
              <w:rPr>
                <w:rFonts w:ascii="Cambria Math" w:hAnsi="Cambria Math"/>
              </w:rPr>
              <m:t>2</m:t>
            </m:r>
          </m:sup>
        </m:sSup>
      </m:oMath>
      <w:r>
        <w:t xml:space="preserve"> and intra-class correlation coefficient from generalized linear mixed-effects models revisited and expanded. </w:t>
      </w:r>
      <w:r>
        <w:rPr>
          <w:i/>
          <w:iCs/>
        </w:rPr>
        <w:t>Journal of the Royal Society Interface, 14</w:t>
      </w:r>
      <w:r>
        <w:t xml:space="preserve">(134), 20170213. </w:t>
      </w:r>
      <w:hyperlink r:id="rId33">
        <w:r w:rsidR="00062A8D">
          <w:rPr>
            <w:rStyle w:val="Hyperlink"/>
          </w:rPr>
          <w:t>https://doi.org/10.1098/rsif.2017.0213</w:t>
        </w:r>
      </w:hyperlink>
    </w:p>
    <w:p w14:paraId="755446B3" w14:textId="77777777" w:rsidR="00062A8D" w:rsidRDefault="00000000">
      <w:pPr>
        <w:pStyle w:val="BodyText"/>
      </w:pPr>
      <w:r>
        <w:t xml:space="preserve">R Core Team. (2026). </w:t>
      </w:r>
      <w:r>
        <w:rPr>
          <w:i/>
          <w:iCs/>
        </w:rPr>
        <w:t>R: A language and environment for statistical computing</w:t>
      </w:r>
      <w:r>
        <w:t xml:space="preserve"> (Version 4.6.1). R Foundation for Statistical Computing.</w:t>
      </w:r>
      <w:bookmarkEnd w:id="0"/>
      <w:bookmarkEnd w:id="29"/>
    </w:p>
    <w:sectPr w:rsidR="00062A8D">
      <w:footerReference w:type="default" r:id="rId34"/>
      <w:pgSz w:w="11906" w:h="16838"/>
      <w:pgMar w:top="1417" w:right="1417" w:bottom="1417" w:left="1417" w:header="0"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F8900" w14:textId="77777777" w:rsidR="001B1824" w:rsidRDefault="001B1824">
      <w:pPr>
        <w:spacing w:after="0" w:line="240" w:lineRule="auto"/>
      </w:pPr>
      <w:r>
        <w:separator/>
      </w:r>
    </w:p>
  </w:endnote>
  <w:endnote w:type="continuationSeparator" w:id="0">
    <w:p w14:paraId="46ED6780" w14:textId="77777777" w:rsidR="001B1824" w:rsidRDefault="001B1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200ACF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94A4" w14:textId="77777777" w:rsidR="00062A8D" w:rsidRDefault="00000000">
    <w:pPr>
      <w:jc w:val="center"/>
      <w:rPr>
        <w:sz w:val="18"/>
      </w:rPr>
    </w:pPr>
    <w:r>
      <w:rPr>
        <w:sz w:val="18"/>
      </w:rPr>
      <w:fldChar w:fldCharType="begin"/>
    </w:r>
    <w:r>
      <w:rPr>
        <w:sz w:val="18"/>
      </w:rPr>
      <w:instrText xml:space="preserve"> PAGE </w:instrText>
    </w:r>
    <w:r>
      <w:rPr>
        <w:sz w:val="18"/>
      </w:rPr>
      <w:fldChar w:fldCharType="separate"/>
    </w:r>
    <w:r>
      <w:rPr>
        <w:sz w:val="18"/>
      </w:rPr>
      <w:t>15</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197DF" w14:textId="77777777" w:rsidR="001B1824" w:rsidRDefault="001B1824">
      <w:pPr>
        <w:spacing w:after="0" w:line="240" w:lineRule="auto"/>
      </w:pPr>
      <w:r>
        <w:separator/>
      </w:r>
    </w:p>
  </w:footnote>
  <w:footnote w:type="continuationSeparator" w:id="0">
    <w:p w14:paraId="38C19459" w14:textId="77777777" w:rsidR="001B1824" w:rsidRDefault="001B1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6229B"/>
    <w:multiLevelType w:val="multilevel"/>
    <w:tmpl w:val="92FEB7F4"/>
    <w:lvl w:ilvl="0">
      <w:start w:val="1"/>
      <w:numFmt w:val="bullet"/>
      <w:lvlText w:val=""/>
      <w:lvlJc w:val="left"/>
      <w:pPr>
        <w:tabs>
          <w:tab w:val="num" w:pos="0"/>
        </w:tabs>
        <w:ind w:left="720" w:hanging="480"/>
      </w:pPr>
      <w:rPr>
        <w:rFonts w:ascii="Symbol" w:hAnsi="Symbol" w:cs="Symbol" w:hint="default"/>
      </w:rPr>
    </w:lvl>
    <w:lvl w:ilvl="1">
      <w:start w:val="1"/>
      <w:numFmt w:val="bullet"/>
      <w:lvlText w:val=""/>
      <w:lvlJc w:val="left"/>
      <w:pPr>
        <w:tabs>
          <w:tab w:val="num" w:pos="0"/>
        </w:tabs>
        <w:ind w:left="1440" w:hanging="480"/>
      </w:pPr>
      <w:rPr>
        <w:rFonts w:ascii="Symbol" w:hAnsi="Symbol" w:cs="Symbol" w:hint="default"/>
      </w:rPr>
    </w:lvl>
    <w:lvl w:ilvl="2">
      <w:start w:val="1"/>
      <w:numFmt w:val="bullet"/>
      <w:lvlText w:val=""/>
      <w:lvlJc w:val="left"/>
      <w:pPr>
        <w:tabs>
          <w:tab w:val="num" w:pos="0"/>
        </w:tabs>
        <w:ind w:left="2160" w:hanging="480"/>
      </w:pPr>
      <w:rPr>
        <w:rFonts w:ascii="Symbol" w:hAnsi="Symbol" w:cs="Symbol" w:hint="default"/>
      </w:rPr>
    </w:lvl>
    <w:lvl w:ilvl="3">
      <w:start w:val="1"/>
      <w:numFmt w:val="bullet"/>
      <w:lvlText w:val=""/>
      <w:lvlJc w:val="left"/>
      <w:pPr>
        <w:tabs>
          <w:tab w:val="num" w:pos="0"/>
        </w:tabs>
        <w:ind w:left="2880" w:hanging="480"/>
      </w:pPr>
      <w:rPr>
        <w:rFonts w:ascii="Symbol" w:hAnsi="Symbol" w:cs="Symbol" w:hint="default"/>
      </w:rPr>
    </w:lvl>
    <w:lvl w:ilvl="4">
      <w:start w:val="1"/>
      <w:numFmt w:val="bullet"/>
      <w:lvlText w:val=""/>
      <w:lvlJc w:val="left"/>
      <w:pPr>
        <w:tabs>
          <w:tab w:val="num" w:pos="0"/>
        </w:tabs>
        <w:ind w:left="3600" w:hanging="480"/>
      </w:pPr>
      <w:rPr>
        <w:rFonts w:ascii="Symbol" w:hAnsi="Symbol" w:cs="Symbol" w:hint="default"/>
      </w:rPr>
    </w:lvl>
    <w:lvl w:ilvl="5">
      <w:start w:val="1"/>
      <w:numFmt w:val="bullet"/>
      <w:lvlText w:val=""/>
      <w:lvlJc w:val="left"/>
      <w:pPr>
        <w:tabs>
          <w:tab w:val="num" w:pos="0"/>
        </w:tabs>
        <w:ind w:left="4320" w:hanging="480"/>
      </w:pPr>
      <w:rPr>
        <w:rFonts w:ascii="Symbol" w:hAnsi="Symbol" w:cs="Symbol" w:hint="default"/>
      </w:rPr>
    </w:lvl>
    <w:lvl w:ilvl="6">
      <w:start w:val="1"/>
      <w:numFmt w:val="bullet"/>
      <w:lvlText w:val=""/>
      <w:lvlJc w:val="left"/>
      <w:pPr>
        <w:tabs>
          <w:tab w:val="num" w:pos="0"/>
        </w:tabs>
        <w:ind w:left="5040" w:hanging="480"/>
      </w:pPr>
      <w:rPr>
        <w:rFonts w:ascii="Symbol" w:hAnsi="Symbol" w:cs="Symbol" w:hint="default"/>
      </w:rPr>
    </w:lvl>
    <w:lvl w:ilvl="7">
      <w:start w:val="1"/>
      <w:numFmt w:val="bullet"/>
      <w:lvlText w:val=""/>
      <w:lvlJc w:val="left"/>
      <w:pPr>
        <w:tabs>
          <w:tab w:val="num" w:pos="0"/>
        </w:tabs>
        <w:ind w:left="5760" w:hanging="480"/>
      </w:pPr>
      <w:rPr>
        <w:rFonts w:ascii="Symbol" w:hAnsi="Symbol" w:cs="Symbol" w:hint="default"/>
      </w:rPr>
    </w:lvl>
    <w:lvl w:ilvl="8">
      <w:start w:val="1"/>
      <w:numFmt w:val="bullet"/>
      <w:lvlText w:val=""/>
      <w:lvlJc w:val="left"/>
      <w:pPr>
        <w:tabs>
          <w:tab w:val="num" w:pos="0"/>
        </w:tabs>
        <w:ind w:left="6480" w:hanging="480"/>
      </w:pPr>
      <w:rPr>
        <w:rFonts w:ascii="Symbol" w:hAnsi="Symbol" w:cs="Symbol" w:hint="default"/>
      </w:rPr>
    </w:lvl>
  </w:abstractNum>
  <w:abstractNum w:abstractNumId="1" w15:restartNumberingAfterBreak="0">
    <w:nsid w:val="2ABB06C0"/>
    <w:multiLevelType w:val="multilevel"/>
    <w:tmpl w:val="6010D47C"/>
    <w:lvl w:ilvl="0">
      <w:start w:val="1"/>
      <w:numFmt w:val="bullet"/>
      <w:lvlText w:val=""/>
      <w:lvlJc w:val="left"/>
      <w:pPr>
        <w:tabs>
          <w:tab w:val="num" w:pos="0"/>
        </w:tabs>
        <w:ind w:left="720" w:hanging="480"/>
      </w:pPr>
      <w:rPr>
        <w:rFonts w:ascii="Symbol" w:hAnsi="Symbol" w:cs="Symbol" w:hint="default"/>
      </w:rPr>
    </w:lvl>
    <w:lvl w:ilvl="1">
      <w:start w:val="1"/>
      <w:numFmt w:val="bullet"/>
      <w:lvlText w:val=""/>
      <w:lvlJc w:val="left"/>
      <w:pPr>
        <w:tabs>
          <w:tab w:val="num" w:pos="0"/>
        </w:tabs>
        <w:ind w:left="1440" w:hanging="480"/>
      </w:pPr>
      <w:rPr>
        <w:rFonts w:ascii="Symbol" w:hAnsi="Symbol" w:cs="Symbol" w:hint="default"/>
      </w:rPr>
    </w:lvl>
    <w:lvl w:ilvl="2">
      <w:start w:val="1"/>
      <w:numFmt w:val="bullet"/>
      <w:lvlText w:val=""/>
      <w:lvlJc w:val="left"/>
      <w:pPr>
        <w:tabs>
          <w:tab w:val="num" w:pos="0"/>
        </w:tabs>
        <w:ind w:left="2160" w:hanging="480"/>
      </w:pPr>
      <w:rPr>
        <w:rFonts w:ascii="Symbol" w:hAnsi="Symbol" w:cs="Symbol" w:hint="default"/>
      </w:rPr>
    </w:lvl>
    <w:lvl w:ilvl="3">
      <w:start w:val="1"/>
      <w:numFmt w:val="bullet"/>
      <w:lvlText w:val=""/>
      <w:lvlJc w:val="left"/>
      <w:pPr>
        <w:tabs>
          <w:tab w:val="num" w:pos="0"/>
        </w:tabs>
        <w:ind w:left="2880" w:hanging="480"/>
      </w:pPr>
      <w:rPr>
        <w:rFonts w:ascii="Symbol" w:hAnsi="Symbol" w:cs="Symbol" w:hint="default"/>
      </w:rPr>
    </w:lvl>
    <w:lvl w:ilvl="4">
      <w:start w:val="1"/>
      <w:numFmt w:val="bullet"/>
      <w:lvlText w:val=""/>
      <w:lvlJc w:val="left"/>
      <w:pPr>
        <w:tabs>
          <w:tab w:val="num" w:pos="0"/>
        </w:tabs>
        <w:ind w:left="3600" w:hanging="480"/>
      </w:pPr>
      <w:rPr>
        <w:rFonts w:ascii="Symbol" w:hAnsi="Symbol" w:cs="Symbol" w:hint="default"/>
      </w:rPr>
    </w:lvl>
    <w:lvl w:ilvl="5">
      <w:start w:val="1"/>
      <w:numFmt w:val="bullet"/>
      <w:lvlText w:val=""/>
      <w:lvlJc w:val="left"/>
      <w:pPr>
        <w:tabs>
          <w:tab w:val="num" w:pos="0"/>
        </w:tabs>
        <w:ind w:left="4320" w:hanging="480"/>
      </w:pPr>
      <w:rPr>
        <w:rFonts w:ascii="Symbol" w:hAnsi="Symbol" w:cs="Symbol" w:hint="default"/>
      </w:rPr>
    </w:lvl>
    <w:lvl w:ilvl="6">
      <w:start w:val="1"/>
      <w:numFmt w:val="bullet"/>
      <w:lvlText w:val=""/>
      <w:lvlJc w:val="left"/>
      <w:pPr>
        <w:tabs>
          <w:tab w:val="num" w:pos="0"/>
        </w:tabs>
        <w:ind w:left="5040" w:hanging="480"/>
      </w:pPr>
      <w:rPr>
        <w:rFonts w:ascii="Symbol" w:hAnsi="Symbol" w:cs="Symbol" w:hint="default"/>
      </w:rPr>
    </w:lvl>
    <w:lvl w:ilvl="7">
      <w:start w:val="1"/>
      <w:numFmt w:val="bullet"/>
      <w:lvlText w:val=""/>
      <w:lvlJc w:val="left"/>
      <w:pPr>
        <w:tabs>
          <w:tab w:val="num" w:pos="0"/>
        </w:tabs>
        <w:ind w:left="5760" w:hanging="480"/>
      </w:pPr>
      <w:rPr>
        <w:rFonts w:ascii="Symbol" w:hAnsi="Symbol" w:cs="Symbol" w:hint="default"/>
      </w:rPr>
    </w:lvl>
    <w:lvl w:ilvl="8">
      <w:start w:val="1"/>
      <w:numFmt w:val="bullet"/>
      <w:lvlText w:val=""/>
      <w:lvlJc w:val="left"/>
      <w:pPr>
        <w:tabs>
          <w:tab w:val="num" w:pos="0"/>
        </w:tabs>
        <w:ind w:left="6480" w:hanging="480"/>
      </w:pPr>
      <w:rPr>
        <w:rFonts w:ascii="Symbol" w:hAnsi="Symbol" w:cs="Symbol" w:hint="default"/>
      </w:rPr>
    </w:lvl>
  </w:abstractNum>
  <w:abstractNum w:abstractNumId="2" w15:restartNumberingAfterBreak="0">
    <w:nsid w:val="33E50CE8"/>
    <w:multiLevelType w:val="multilevel"/>
    <w:tmpl w:val="AE161DE2"/>
    <w:lvl w:ilvl="0">
      <w:start w:val="1"/>
      <w:numFmt w:val="decimal"/>
      <w:lvlText w:val="%1."/>
      <w:lvlJc w:val="left"/>
      <w:pPr>
        <w:tabs>
          <w:tab w:val="num" w:pos="0"/>
        </w:tabs>
        <w:ind w:left="720" w:hanging="480"/>
      </w:pPr>
    </w:lvl>
    <w:lvl w:ilvl="1">
      <w:start w:val="1"/>
      <w:numFmt w:val="decimal"/>
      <w:lvlText w:val="%2."/>
      <w:lvlJc w:val="left"/>
      <w:pPr>
        <w:tabs>
          <w:tab w:val="num" w:pos="0"/>
        </w:tabs>
        <w:ind w:left="1440" w:hanging="480"/>
      </w:pPr>
    </w:lvl>
    <w:lvl w:ilvl="2">
      <w:start w:val="1"/>
      <w:numFmt w:val="decimal"/>
      <w:lvlText w:val="%3."/>
      <w:lvlJc w:val="left"/>
      <w:pPr>
        <w:tabs>
          <w:tab w:val="num" w:pos="0"/>
        </w:tabs>
        <w:ind w:left="2160" w:hanging="480"/>
      </w:pPr>
    </w:lvl>
    <w:lvl w:ilvl="3">
      <w:start w:val="1"/>
      <w:numFmt w:val="decimal"/>
      <w:lvlText w:val="%4."/>
      <w:lvlJc w:val="left"/>
      <w:pPr>
        <w:tabs>
          <w:tab w:val="num" w:pos="0"/>
        </w:tabs>
        <w:ind w:left="2880" w:hanging="480"/>
      </w:pPr>
    </w:lvl>
    <w:lvl w:ilvl="4">
      <w:start w:val="1"/>
      <w:numFmt w:val="decimal"/>
      <w:lvlText w:val="%5."/>
      <w:lvlJc w:val="left"/>
      <w:pPr>
        <w:tabs>
          <w:tab w:val="num" w:pos="0"/>
        </w:tabs>
        <w:ind w:left="3600" w:hanging="480"/>
      </w:pPr>
    </w:lvl>
    <w:lvl w:ilvl="5">
      <w:start w:val="1"/>
      <w:numFmt w:val="decimal"/>
      <w:lvlText w:val="%6."/>
      <w:lvlJc w:val="left"/>
      <w:pPr>
        <w:tabs>
          <w:tab w:val="num" w:pos="0"/>
        </w:tabs>
        <w:ind w:left="4320" w:hanging="480"/>
      </w:pPr>
    </w:lvl>
    <w:lvl w:ilvl="6">
      <w:start w:val="1"/>
      <w:numFmt w:val="decimal"/>
      <w:lvlText w:val="%7."/>
      <w:lvlJc w:val="left"/>
      <w:pPr>
        <w:tabs>
          <w:tab w:val="num" w:pos="0"/>
        </w:tabs>
        <w:ind w:left="5040" w:hanging="480"/>
      </w:pPr>
    </w:lvl>
    <w:lvl w:ilvl="7">
      <w:start w:val="1"/>
      <w:numFmt w:val="decimal"/>
      <w:lvlText w:val="%8."/>
      <w:lvlJc w:val="left"/>
      <w:pPr>
        <w:tabs>
          <w:tab w:val="num" w:pos="0"/>
        </w:tabs>
        <w:ind w:left="5760" w:hanging="480"/>
      </w:pPr>
    </w:lvl>
    <w:lvl w:ilvl="8">
      <w:start w:val="1"/>
      <w:numFmt w:val="decimal"/>
      <w:lvlText w:val="%9."/>
      <w:lvlJc w:val="left"/>
      <w:pPr>
        <w:tabs>
          <w:tab w:val="num" w:pos="0"/>
        </w:tabs>
        <w:ind w:left="6480" w:hanging="480"/>
      </w:pPr>
    </w:lvl>
  </w:abstractNum>
  <w:abstractNum w:abstractNumId="3" w15:restartNumberingAfterBreak="0">
    <w:nsid w:val="445A7D9C"/>
    <w:multiLevelType w:val="multilevel"/>
    <w:tmpl w:val="502ACB0C"/>
    <w:lvl w:ilvl="0">
      <w:start w:val="1"/>
      <w:numFmt w:val="bullet"/>
      <w:lvlText w:val=""/>
      <w:lvlJc w:val="left"/>
      <w:pPr>
        <w:tabs>
          <w:tab w:val="num" w:pos="0"/>
        </w:tabs>
        <w:ind w:left="720" w:hanging="480"/>
      </w:pPr>
      <w:rPr>
        <w:rFonts w:ascii="Symbol" w:hAnsi="Symbol" w:cs="Symbol" w:hint="default"/>
      </w:rPr>
    </w:lvl>
    <w:lvl w:ilvl="1">
      <w:start w:val="1"/>
      <w:numFmt w:val="bullet"/>
      <w:lvlText w:val=""/>
      <w:lvlJc w:val="left"/>
      <w:pPr>
        <w:tabs>
          <w:tab w:val="num" w:pos="0"/>
        </w:tabs>
        <w:ind w:left="1440" w:hanging="480"/>
      </w:pPr>
      <w:rPr>
        <w:rFonts w:ascii="Symbol" w:hAnsi="Symbol" w:cs="Symbol" w:hint="default"/>
      </w:rPr>
    </w:lvl>
    <w:lvl w:ilvl="2">
      <w:start w:val="1"/>
      <w:numFmt w:val="bullet"/>
      <w:lvlText w:val=""/>
      <w:lvlJc w:val="left"/>
      <w:pPr>
        <w:tabs>
          <w:tab w:val="num" w:pos="0"/>
        </w:tabs>
        <w:ind w:left="2160" w:hanging="480"/>
      </w:pPr>
      <w:rPr>
        <w:rFonts w:ascii="Symbol" w:hAnsi="Symbol" w:cs="Symbol" w:hint="default"/>
      </w:rPr>
    </w:lvl>
    <w:lvl w:ilvl="3">
      <w:start w:val="1"/>
      <w:numFmt w:val="bullet"/>
      <w:lvlText w:val=""/>
      <w:lvlJc w:val="left"/>
      <w:pPr>
        <w:tabs>
          <w:tab w:val="num" w:pos="0"/>
        </w:tabs>
        <w:ind w:left="2880" w:hanging="480"/>
      </w:pPr>
      <w:rPr>
        <w:rFonts w:ascii="Symbol" w:hAnsi="Symbol" w:cs="Symbol" w:hint="default"/>
      </w:rPr>
    </w:lvl>
    <w:lvl w:ilvl="4">
      <w:start w:val="1"/>
      <w:numFmt w:val="bullet"/>
      <w:lvlText w:val=""/>
      <w:lvlJc w:val="left"/>
      <w:pPr>
        <w:tabs>
          <w:tab w:val="num" w:pos="0"/>
        </w:tabs>
        <w:ind w:left="3600" w:hanging="480"/>
      </w:pPr>
      <w:rPr>
        <w:rFonts w:ascii="Symbol" w:hAnsi="Symbol" w:cs="Symbol" w:hint="default"/>
      </w:rPr>
    </w:lvl>
    <w:lvl w:ilvl="5">
      <w:start w:val="1"/>
      <w:numFmt w:val="bullet"/>
      <w:lvlText w:val=""/>
      <w:lvlJc w:val="left"/>
      <w:pPr>
        <w:tabs>
          <w:tab w:val="num" w:pos="0"/>
        </w:tabs>
        <w:ind w:left="4320" w:hanging="480"/>
      </w:pPr>
      <w:rPr>
        <w:rFonts w:ascii="Symbol" w:hAnsi="Symbol" w:cs="Symbol" w:hint="default"/>
      </w:rPr>
    </w:lvl>
    <w:lvl w:ilvl="6">
      <w:start w:val="1"/>
      <w:numFmt w:val="bullet"/>
      <w:lvlText w:val=""/>
      <w:lvlJc w:val="left"/>
      <w:pPr>
        <w:tabs>
          <w:tab w:val="num" w:pos="0"/>
        </w:tabs>
        <w:ind w:left="5040" w:hanging="480"/>
      </w:pPr>
      <w:rPr>
        <w:rFonts w:ascii="Symbol" w:hAnsi="Symbol" w:cs="Symbol" w:hint="default"/>
      </w:rPr>
    </w:lvl>
    <w:lvl w:ilvl="7">
      <w:start w:val="1"/>
      <w:numFmt w:val="bullet"/>
      <w:lvlText w:val=""/>
      <w:lvlJc w:val="left"/>
      <w:pPr>
        <w:tabs>
          <w:tab w:val="num" w:pos="0"/>
        </w:tabs>
        <w:ind w:left="5760" w:hanging="480"/>
      </w:pPr>
      <w:rPr>
        <w:rFonts w:ascii="Symbol" w:hAnsi="Symbol" w:cs="Symbol" w:hint="default"/>
      </w:rPr>
    </w:lvl>
    <w:lvl w:ilvl="8">
      <w:start w:val="1"/>
      <w:numFmt w:val="bullet"/>
      <w:lvlText w:val=""/>
      <w:lvlJc w:val="left"/>
      <w:pPr>
        <w:tabs>
          <w:tab w:val="num" w:pos="0"/>
        </w:tabs>
        <w:ind w:left="6480" w:hanging="480"/>
      </w:pPr>
      <w:rPr>
        <w:rFonts w:ascii="Symbol" w:hAnsi="Symbol" w:cs="Symbol" w:hint="default"/>
      </w:rPr>
    </w:lvl>
  </w:abstractNum>
  <w:abstractNum w:abstractNumId="4" w15:restartNumberingAfterBreak="0">
    <w:nsid w:val="69E071D3"/>
    <w:multiLevelType w:val="multilevel"/>
    <w:tmpl w:val="A95CDE8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2143500549">
    <w:abstractNumId w:val="4"/>
  </w:num>
  <w:num w:numId="2" w16cid:durableId="453252291">
    <w:abstractNumId w:val="2"/>
  </w:num>
  <w:num w:numId="3" w16cid:durableId="1407072600">
    <w:abstractNumId w:val="0"/>
  </w:num>
  <w:num w:numId="4" w16cid:durableId="1815952387">
    <w:abstractNumId w:val="1"/>
  </w:num>
  <w:num w:numId="5" w16cid:durableId="1738356357">
    <w:abstractNumId w:val="3"/>
  </w:num>
  <w:num w:numId="6" w16cid:durableId="838230882">
    <w:abstractNumId w:val="2"/>
    <w:lvlOverride w:ilvl="0">
      <w:startOverride w:val="1"/>
    </w:lvlOverride>
  </w:num>
  <w:num w:numId="7" w16cid:durableId="1099715443">
    <w:abstractNumId w:val="0"/>
  </w:num>
  <w:num w:numId="8" w16cid:durableId="893538851">
    <w:abstractNumId w:val="0"/>
  </w:num>
  <w:num w:numId="9" w16cid:durableId="1383409002">
    <w:abstractNumId w:val="0"/>
  </w:num>
  <w:num w:numId="10" w16cid:durableId="1764493219">
    <w:abstractNumId w:val="0"/>
  </w:num>
  <w:num w:numId="11" w16cid:durableId="1235898496">
    <w:abstractNumId w:val="0"/>
  </w:num>
  <w:num w:numId="12" w16cid:durableId="753823154">
    <w:abstractNumId w:val="0"/>
  </w:num>
  <w:num w:numId="13" w16cid:durableId="484053472">
    <w:abstractNumId w:val="0"/>
  </w:num>
  <w:num w:numId="14" w16cid:durableId="1691028933">
    <w:abstractNumId w:val="0"/>
  </w:num>
  <w:num w:numId="15" w16cid:durableId="743843269">
    <w:abstractNumId w:val="0"/>
  </w:num>
  <w:num w:numId="16" w16cid:durableId="1444690046">
    <w:abstractNumId w:val="0"/>
  </w:num>
  <w:num w:numId="17" w16cid:durableId="1133251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62A8D"/>
    <w:rsid w:val="00024D5B"/>
    <w:rsid w:val="00062A8D"/>
    <w:rsid w:val="00083DDC"/>
    <w:rsid w:val="0009099B"/>
    <w:rsid w:val="001012D1"/>
    <w:rsid w:val="00115176"/>
    <w:rsid w:val="00177770"/>
    <w:rsid w:val="001B1824"/>
    <w:rsid w:val="00241CC8"/>
    <w:rsid w:val="002D1617"/>
    <w:rsid w:val="003345D1"/>
    <w:rsid w:val="0046158D"/>
    <w:rsid w:val="00490C3E"/>
    <w:rsid w:val="004E6CA8"/>
    <w:rsid w:val="00525B30"/>
    <w:rsid w:val="005523E8"/>
    <w:rsid w:val="005617C5"/>
    <w:rsid w:val="00664076"/>
    <w:rsid w:val="007119FB"/>
    <w:rsid w:val="007405ED"/>
    <w:rsid w:val="00814BE0"/>
    <w:rsid w:val="00815AEE"/>
    <w:rsid w:val="008509AE"/>
    <w:rsid w:val="00872972"/>
    <w:rsid w:val="00884A5A"/>
    <w:rsid w:val="0089611C"/>
    <w:rsid w:val="008F0B50"/>
    <w:rsid w:val="008F2E25"/>
    <w:rsid w:val="009162E4"/>
    <w:rsid w:val="009D00F8"/>
    <w:rsid w:val="00A55EA1"/>
    <w:rsid w:val="00BE0DEA"/>
    <w:rsid w:val="00C13BF1"/>
    <w:rsid w:val="00CA56D1"/>
    <w:rsid w:val="00CD2243"/>
    <w:rsid w:val="00DC27A9"/>
    <w:rsid w:val="00F64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181055"/>
  <w15:docId w15:val="{E7886313-8246-4BA0-8C70-A17E96819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DejaVu Sans"/>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pPr>
    <w:rPr>
      <w:rFonts w:ascii="Times New Roman" w:eastAsia="Times New Roman" w:hAnsi="Times New Roman" w:cs="Times New Roman"/>
      <w:color w:val="000000"/>
      <w:sz w:val="20"/>
    </w:rPr>
  </w:style>
  <w:style w:type="paragraph" w:styleId="Heading1">
    <w:name w:val="heading 1"/>
    <w:basedOn w:val="Normal"/>
    <w:next w:val="BodyText"/>
    <w:uiPriority w:val="9"/>
    <w:qFormat/>
    <w:pPr>
      <w:keepNext/>
      <w:keepLines/>
      <w:spacing w:before="160" w:after="80"/>
      <w:outlineLvl w:val="0"/>
    </w:pPr>
    <w:rPr>
      <w:b/>
      <w:bCs/>
      <w:sz w:val="24"/>
      <w:szCs w:val="32"/>
    </w:rPr>
  </w:style>
  <w:style w:type="paragraph" w:styleId="Heading2">
    <w:name w:val="heading 2"/>
    <w:basedOn w:val="Normal"/>
    <w:next w:val="BodyText"/>
    <w:uiPriority w:val="9"/>
    <w:unhideWhenUsed/>
    <w:qFormat/>
    <w:pPr>
      <w:keepNext/>
      <w:keepLines/>
      <w:spacing w:before="160" w:after="80"/>
      <w:outlineLvl w:val="1"/>
    </w:pPr>
    <w:rPr>
      <w:b/>
      <w:bCs/>
      <w:sz w:val="22"/>
      <w:szCs w:val="28"/>
    </w:rPr>
  </w:style>
  <w:style w:type="paragraph" w:styleId="Heading3">
    <w:name w:val="heading 3"/>
    <w:basedOn w:val="Normal"/>
    <w:next w:val="BodyText"/>
    <w:uiPriority w:val="9"/>
    <w:unhideWhenUsed/>
    <w:qFormat/>
    <w:pPr>
      <w:keepNext/>
      <w:keepLines/>
      <w:spacing w:before="160" w:after="80"/>
      <w:outlineLvl w:val="2"/>
    </w:pPr>
    <w:rPr>
      <w:b/>
      <w:bCs/>
      <w:i/>
    </w:rPr>
  </w:style>
  <w:style w:type="paragraph" w:styleId="Heading4">
    <w:name w:val="heading 4"/>
    <w:basedOn w:val="Normal"/>
    <w:next w:val="BodyText"/>
    <w:uiPriority w:val="9"/>
    <w:unhideWhenUsed/>
    <w:qFormat/>
    <w:pPr>
      <w:keepNext/>
      <w:keepLines/>
      <w:spacing w:before="200"/>
      <w:outlineLvl w:val="3"/>
    </w:pPr>
    <w:rPr>
      <w:rFonts w:ascii="Calibri" w:eastAsia="Cambria" w:hAnsi="Calibri" w:cs="DejaVu Sans"/>
      <w:bCs/>
      <w:i/>
      <w:color w:val="4F81BD" w:themeColor="accent1"/>
      <w:sz w:val="24"/>
    </w:rPr>
  </w:style>
  <w:style w:type="paragraph" w:styleId="Heading5">
    <w:name w:val="heading 5"/>
    <w:basedOn w:val="Normal"/>
    <w:next w:val="BodyText"/>
    <w:uiPriority w:val="9"/>
    <w:semiHidden/>
    <w:unhideWhenUsed/>
    <w:qFormat/>
    <w:pPr>
      <w:keepNext/>
      <w:keepLines/>
      <w:spacing w:before="200"/>
      <w:outlineLvl w:val="4"/>
    </w:pPr>
    <w:rPr>
      <w:rFonts w:ascii="Calibri" w:eastAsia="Cambria" w:hAnsi="Calibri" w:cs="DejaVu Sans"/>
      <w:iCs/>
      <w:color w:val="4F81BD" w:themeColor="accent1"/>
      <w:sz w:val="24"/>
    </w:rPr>
  </w:style>
  <w:style w:type="paragraph" w:styleId="Heading6">
    <w:name w:val="heading 6"/>
    <w:basedOn w:val="Normal"/>
    <w:next w:val="BodyText"/>
    <w:uiPriority w:val="9"/>
    <w:semiHidden/>
    <w:unhideWhenUsed/>
    <w:qFormat/>
    <w:pPr>
      <w:keepNext/>
      <w:keepLines/>
      <w:spacing w:before="200"/>
      <w:outlineLvl w:val="5"/>
    </w:pPr>
    <w:rPr>
      <w:rFonts w:ascii="Calibri" w:eastAsia="Cambria" w:hAnsi="Calibri" w:cs="DejaVu Sans"/>
      <w:color w:val="4F81BD" w:themeColor="accent1"/>
      <w:sz w:val="24"/>
    </w:rPr>
  </w:style>
  <w:style w:type="paragraph" w:styleId="Heading7">
    <w:name w:val="heading 7"/>
    <w:basedOn w:val="Normal"/>
    <w:next w:val="BodyText"/>
    <w:qFormat/>
    <w:pPr>
      <w:keepNext/>
      <w:keepLines/>
      <w:spacing w:before="200"/>
      <w:outlineLvl w:val="6"/>
    </w:pPr>
    <w:rPr>
      <w:rFonts w:ascii="Calibri" w:eastAsia="Cambria" w:hAnsi="Calibri" w:cs="DejaVu Sans"/>
      <w:color w:val="4F81BD" w:themeColor="accent1"/>
      <w:sz w:val="24"/>
    </w:rPr>
  </w:style>
  <w:style w:type="paragraph" w:styleId="Heading8">
    <w:name w:val="heading 8"/>
    <w:basedOn w:val="Normal"/>
    <w:next w:val="BodyText"/>
    <w:qFormat/>
    <w:pPr>
      <w:keepNext/>
      <w:keepLines/>
      <w:spacing w:before="200"/>
      <w:outlineLvl w:val="7"/>
    </w:pPr>
    <w:rPr>
      <w:rFonts w:ascii="Calibri" w:eastAsia="Cambria" w:hAnsi="Calibri" w:cs="DejaVu Sans"/>
      <w:color w:val="4F81BD" w:themeColor="accent1"/>
      <w:sz w:val="24"/>
    </w:rPr>
  </w:style>
  <w:style w:type="paragraph" w:styleId="Heading9">
    <w:name w:val="heading 9"/>
    <w:basedOn w:val="Normal"/>
    <w:next w:val="BodyText"/>
    <w:qFormat/>
    <w:pPr>
      <w:keepNext/>
      <w:keepLines/>
      <w:spacing w:before="200"/>
      <w:outlineLvl w:val="8"/>
    </w:pPr>
    <w:rPr>
      <w:rFonts w:ascii="Calibri" w:eastAsia="Cambria" w:hAnsi="Calibri" w:cs="DejaVu Sans"/>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Times New Roman" w:eastAsia="Times New Roman" w:hAnsi="Times New Roman" w:cs="Times New Roman"/>
      <w:b w:val="0"/>
      <w:i w:val="0"/>
      <w:color w:val="000000"/>
      <w:sz w:val="20"/>
    </w:rPr>
  </w:style>
  <w:style w:type="character" w:customStyle="1" w:styleId="SectionNumber">
    <w:name w:val="Section Number"/>
    <w:basedOn w:val="CaptionChar"/>
    <w:qFormat/>
  </w:style>
  <w:style w:type="character" w:customStyle="1"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rFonts w:ascii="Times New Roman" w:hAnsi="Times New Roman"/>
      <w:color w:val="4F81BD" w:themeColor="accent1"/>
      <w:sz w:val="20"/>
    </w:rPr>
  </w:style>
  <w:style w:type="character" w:customStyle="1" w:styleId="KeywordTok">
    <w:name w:val="KeywordTok"/>
    <w:basedOn w:val="VerbatimChar"/>
    <w:qFormat/>
    <w:rPr>
      <w:rFonts w:ascii="Times New Roman" w:eastAsia="Times New Roman" w:hAnsi="Times New Roman" w:cs="Times New Roman"/>
      <w:b/>
      <w:i w:val="0"/>
      <w:color w:val="007020"/>
      <w:sz w:val="20"/>
    </w:rPr>
  </w:style>
  <w:style w:type="character" w:customStyle="1" w:styleId="DataTypeTok">
    <w:name w:val="DataTypeTok"/>
    <w:basedOn w:val="VerbatimChar"/>
    <w:qFormat/>
    <w:rPr>
      <w:rFonts w:ascii="Times New Roman" w:eastAsia="Times New Roman" w:hAnsi="Times New Roman" w:cs="Times New Roman"/>
      <w:b w:val="0"/>
      <w:i w:val="0"/>
      <w:color w:val="902000"/>
      <w:sz w:val="20"/>
    </w:rPr>
  </w:style>
  <w:style w:type="character" w:customStyle="1" w:styleId="DecValTok">
    <w:name w:val="DecValTok"/>
    <w:basedOn w:val="VerbatimChar"/>
    <w:qFormat/>
    <w:rPr>
      <w:rFonts w:ascii="Times New Roman" w:eastAsia="Times New Roman" w:hAnsi="Times New Roman" w:cs="Times New Roman"/>
      <w:b w:val="0"/>
      <w:i w:val="0"/>
      <w:color w:val="40A070"/>
      <w:sz w:val="20"/>
    </w:rPr>
  </w:style>
  <w:style w:type="character" w:customStyle="1" w:styleId="BaseNTok">
    <w:name w:val="BaseNTok"/>
    <w:basedOn w:val="VerbatimChar"/>
    <w:qFormat/>
    <w:rPr>
      <w:rFonts w:ascii="Times New Roman" w:eastAsia="Times New Roman" w:hAnsi="Times New Roman" w:cs="Times New Roman"/>
      <w:b w:val="0"/>
      <w:i w:val="0"/>
      <w:color w:val="40A070"/>
      <w:sz w:val="20"/>
    </w:rPr>
  </w:style>
  <w:style w:type="character" w:customStyle="1" w:styleId="FloatTok">
    <w:name w:val="FloatTok"/>
    <w:basedOn w:val="VerbatimChar"/>
    <w:qFormat/>
    <w:rPr>
      <w:rFonts w:ascii="Times New Roman" w:eastAsia="Times New Roman" w:hAnsi="Times New Roman" w:cs="Times New Roman"/>
      <w:b w:val="0"/>
      <w:i w:val="0"/>
      <w:color w:val="40A070"/>
      <w:sz w:val="20"/>
    </w:rPr>
  </w:style>
  <w:style w:type="character" w:customStyle="1" w:styleId="ConstantTok">
    <w:name w:val="ConstantTok"/>
    <w:basedOn w:val="VerbatimChar"/>
    <w:qFormat/>
    <w:rPr>
      <w:rFonts w:ascii="Times New Roman" w:eastAsia="Times New Roman" w:hAnsi="Times New Roman" w:cs="Times New Roman"/>
      <w:b w:val="0"/>
      <w:i w:val="0"/>
      <w:color w:val="880000"/>
      <w:sz w:val="20"/>
    </w:rPr>
  </w:style>
  <w:style w:type="character" w:customStyle="1" w:styleId="CharTok">
    <w:name w:val="CharTok"/>
    <w:basedOn w:val="VerbatimChar"/>
    <w:qFormat/>
    <w:rPr>
      <w:rFonts w:ascii="Times New Roman" w:eastAsia="Times New Roman" w:hAnsi="Times New Roman" w:cs="Times New Roman"/>
      <w:b w:val="0"/>
      <w:i w:val="0"/>
      <w:color w:val="4070A0"/>
      <w:sz w:val="20"/>
    </w:rPr>
  </w:style>
  <w:style w:type="character" w:customStyle="1" w:styleId="SpecialCharTok">
    <w:name w:val="SpecialCharTok"/>
    <w:basedOn w:val="VerbatimChar"/>
    <w:qFormat/>
    <w:rPr>
      <w:rFonts w:ascii="Times New Roman" w:eastAsia="Times New Roman" w:hAnsi="Times New Roman" w:cs="Times New Roman"/>
      <w:b w:val="0"/>
      <w:i w:val="0"/>
      <w:color w:val="4070A0"/>
      <w:sz w:val="20"/>
    </w:rPr>
  </w:style>
  <w:style w:type="character" w:customStyle="1" w:styleId="StringTok">
    <w:name w:val="StringTok"/>
    <w:basedOn w:val="VerbatimChar"/>
    <w:qFormat/>
    <w:rPr>
      <w:rFonts w:ascii="Times New Roman" w:eastAsia="Times New Roman" w:hAnsi="Times New Roman" w:cs="Times New Roman"/>
      <w:b w:val="0"/>
      <w:i w:val="0"/>
      <w:color w:val="4070A0"/>
      <w:sz w:val="20"/>
    </w:rPr>
  </w:style>
  <w:style w:type="character" w:customStyle="1" w:styleId="VerbatimStringTok">
    <w:name w:val="VerbatimStringTok"/>
    <w:basedOn w:val="VerbatimChar"/>
    <w:qFormat/>
    <w:rPr>
      <w:rFonts w:ascii="Times New Roman" w:eastAsia="Times New Roman" w:hAnsi="Times New Roman" w:cs="Times New Roman"/>
      <w:b w:val="0"/>
      <w:i w:val="0"/>
      <w:color w:val="4070A0"/>
      <w:sz w:val="20"/>
    </w:rPr>
  </w:style>
  <w:style w:type="character" w:customStyle="1" w:styleId="SpecialStringTok">
    <w:name w:val="SpecialStringTok"/>
    <w:basedOn w:val="VerbatimChar"/>
    <w:qFormat/>
    <w:rPr>
      <w:rFonts w:ascii="Times New Roman" w:eastAsia="Times New Roman" w:hAnsi="Times New Roman" w:cs="Times New Roman"/>
      <w:b w:val="0"/>
      <w:i w:val="0"/>
      <w:color w:val="BB6688"/>
      <w:sz w:val="20"/>
    </w:rPr>
  </w:style>
  <w:style w:type="character" w:customStyle="1" w:styleId="ImportTok">
    <w:name w:val="ImportTok"/>
    <w:basedOn w:val="VerbatimChar"/>
    <w:qFormat/>
    <w:rPr>
      <w:rFonts w:ascii="Times New Roman" w:eastAsia="Times New Roman" w:hAnsi="Times New Roman" w:cs="Times New Roman"/>
      <w:b/>
      <w:i w:val="0"/>
      <w:color w:val="008000"/>
      <w:sz w:val="20"/>
    </w:rPr>
  </w:style>
  <w:style w:type="character" w:customStyle="1" w:styleId="CommentTok">
    <w:name w:val="CommentTok"/>
    <w:basedOn w:val="VerbatimChar"/>
    <w:qFormat/>
    <w:rPr>
      <w:rFonts w:ascii="Times New Roman" w:eastAsia="Times New Roman" w:hAnsi="Times New Roman" w:cs="Times New Roman"/>
      <w:b w:val="0"/>
      <w:i/>
      <w:color w:val="60A0B0"/>
      <w:sz w:val="20"/>
    </w:rPr>
  </w:style>
  <w:style w:type="character" w:customStyle="1" w:styleId="DocumentationTok">
    <w:name w:val="DocumentationTok"/>
    <w:basedOn w:val="VerbatimChar"/>
    <w:qFormat/>
    <w:rPr>
      <w:rFonts w:ascii="Times New Roman" w:eastAsia="Times New Roman" w:hAnsi="Times New Roman" w:cs="Times New Roman"/>
      <w:b w:val="0"/>
      <w:i/>
      <w:color w:val="BA2121"/>
      <w:sz w:val="20"/>
    </w:rPr>
  </w:style>
  <w:style w:type="character" w:customStyle="1" w:styleId="AnnotationTok">
    <w:name w:val="AnnotationTok"/>
    <w:basedOn w:val="VerbatimChar"/>
    <w:qFormat/>
    <w:rPr>
      <w:rFonts w:ascii="Times New Roman" w:eastAsia="Times New Roman" w:hAnsi="Times New Roman" w:cs="Times New Roman"/>
      <w:b/>
      <w:i/>
      <w:color w:val="60A0B0"/>
      <w:sz w:val="20"/>
    </w:rPr>
  </w:style>
  <w:style w:type="character" w:customStyle="1" w:styleId="CommentVarTok">
    <w:name w:val="CommentVarTok"/>
    <w:basedOn w:val="VerbatimChar"/>
    <w:qFormat/>
    <w:rPr>
      <w:rFonts w:ascii="Times New Roman" w:eastAsia="Times New Roman" w:hAnsi="Times New Roman" w:cs="Times New Roman"/>
      <w:b/>
      <w:i/>
      <w:color w:val="60A0B0"/>
      <w:sz w:val="20"/>
    </w:rPr>
  </w:style>
  <w:style w:type="character" w:customStyle="1" w:styleId="OtherTok">
    <w:name w:val="OtherTok"/>
    <w:basedOn w:val="VerbatimChar"/>
    <w:qFormat/>
    <w:rPr>
      <w:rFonts w:ascii="Times New Roman" w:eastAsia="Times New Roman" w:hAnsi="Times New Roman" w:cs="Times New Roman"/>
      <w:b w:val="0"/>
      <w:i w:val="0"/>
      <w:color w:val="007020"/>
      <w:sz w:val="20"/>
    </w:rPr>
  </w:style>
  <w:style w:type="character" w:customStyle="1" w:styleId="FunctionTok">
    <w:name w:val="FunctionTok"/>
    <w:basedOn w:val="VerbatimChar"/>
    <w:qFormat/>
    <w:rPr>
      <w:rFonts w:ascii="Times New Roman" w:eastAsia="Times New Roman" w:hAnsi="Times New Roman" w:cs="Times New Roman"/>
      <w:b w:val="0"/>
      <w:i w:val="0"/>
      <w:color w:val="06287E"/>
      <w:sz w:val="20"/>
    </w:rPr>
  </w:style>
  <w:style w:type="character" w:customStyle="1" w:styleId="VariableTok">
    <w:name w:val="VariableTok"/>
    <w:basedOn w:val="VerbatimChar"/>
    <w:qFormat/>
    <w:rPr>
      <w:rFonts w:ascii="Times New Roman" w:eastAsia="Times New Roman" w:hAnsi="Times New Roman" w:cs="Times New Roman"/>
      <w:b w:val="0"/>
      <w:i w:val="0"/>
      <w:color w:val="19177C"/>
      <w:sz w:val="20"/>
    </w:rPr>
  </w:style>
  <w:style w:type="character" w:customStyle="1" w:styleId="ControlFlowTok">
    <w:name w:val="ControlFlowTok"/>
    <w:basedOn w:val="VerbatimChar"/>
    <w:qFormat/>
    <w:rPr>
      <w:rFonts w:ascii="Times New Roman" w:eastAsia="Times New Roman" w:hAnsi="Times New Roman" w:cs="Times New Roman"/>
      <w:b/>
      <w:i w:val="0"/>
      <w:color w:val="007020"/>
      <w:sz w:val="20"/>
    </w:rPr>
  </w:style>
  <w:style w:type="character" w:customStyle="1" w:styleId="OperatorTok">
    <w:name w:val="OperatorTok"/>
    <w:basedOn w:val="VerbatimChar"/>
    <w:qFormat/>
    <w:rPr>
      <w:rFonts w:ascii="Times New Roman" w:eastAsia="Times New Roman" w:hAnsi="Times New Roman" w:cs="Times New Roman"/>
      <w:b w:val="0"/>
      <w:i w:val="0"/>
      <w:color w:val="666666"/>
      <w:sz w:val="20"/>
    </w:rPr>
  </w:style>
  <w:style w:type="character" w:customStyle="1" w:styleId="BuiltInTok">
    <w:name w:val="BuiltInTok"/>
    <w:basedOn w:val="VerbatimChar"/>
    <w:qFormat/>
    <w:rPr>
      <w:rFonts w:ascii="Times New Roman" w:eastAsia="Times New Roman" w:hAnsi="Times New Roman" w:cs="Times New Roman"/>
      <w:b w:val="0"/>
      <w:i w:val="0"/>
      <w:color w:val="008000"/>
      <w:sz w:val="20"/>
    </w:rPr>
  </w:style>
  <w:style w:type="character" w:customStyle="1" w:styleId="ExtensionTok">
    <w:name w:val="ExtensionTok"/>
    <w:basedOn w:val="VerbatimChar"/>
    <w:qFormat/>
    <w:rPr>
      <w:rFonts w:ascii="Times New Roman" w:eastAsia="Times New Roman" w:hAnsi="Times New Roman" w:cs="Times New Roman"/>
      <w:b w:val="0"/>
      <w:i w:val="0"/>
      <w:color w:val="000000"/>
      <w:sz w:val="20"/>
    </w:rPr>
  </w:style>
  <w:style w:type="character" w:customStyle="1" w:styleId="PreprocessorTok">
    <w:name w:val="PreprocessorTok"/>
    <w:basedOn w:val="VerbatimChar"/>
    <w:qFormat/>
    <w:rPr>
      <w:rFonts w:ascii="Times New Roman" w:eastAsia="Times New Roman" w:hAnsi="Times New Roman" w:cs="Times New Roman"/>
      <w:b w:val="0"/>
      <w:i w:val="0"/>
      <w:color w:val="BC7A00"/>
      <w:sz w:val="20"/>
    </w:rPr>
  </w:style>
  <w:style w:type="character" w:customStyle="1" w:styleId="AttributeTok">
    <w:name w:val="AttributeTok"/>
    <w:basedOn w:val="VerbatimChar"/>
    <w:qFormat/>
    <w:rPr>
      <w:rFonts w:ascii="Times New Roman" w:eastAsia="Times New Roman" w:hAnsi="Times New Roman" w:cs="Times New Roman"/>
      <w:b w:val="0"/>
      <w:i w:val="0"/>
      <w:color w:val="7D9029"/>
      <w:sz w:val="20"/>
    </w:rPr>
  </w:style>
  <w:style w:type="character" w:customStyle="1" w:styleId="RegionMarkerTok">
    <w:name w:val="RegionMarkerTok"/>
    <w:basedOn w:val="VerbatimChar"/>
    <w:qFormat/>
    <w:rPr>
      <w:rFonts w:ascii="Times New Roman" w:eastAsia="Times New Roman" w:hAnsi="Times New Roman" w:cs="Times New Roman"/>
      <w:b w:val="0"/>
      <w:i w:val="0"/>
      <w:color w:val="000000"/>
      <w:sz w:val="20"/>
    </w:rPr>
  </w:style>
  <w:style w:type="character" w:customStyle="1" w:styleId="InformationTok">
    <w:name w:val="InformationTok"/>
    <w:basedOn w:val="VerbatimChar"/>
    <w:qFormat/>
    <w:rPr>
      <w:rFonts w:ascii="Times New Roman" w:eastAsia="Times New Roman" w:hAnsi="Times New Roman" w:cs="Times New Roman"/>
      <w:b/>
      <w:i/>
      <w:color w:val="60A0B0"/>
      <w:sz w:val="20"/>
    </w:rPr>
  </w:style>
  <w:style w:type="character" w:customStyle="1" w:styleId="WarningTok">
    <w:name w:val="WarningTok"/>
    <w:basedOn w:val="VerbatimChar"/>
    <w:qFormat/>
    <w:rPr>
      <w:rFonts w:ascii="Times New Roman" w:eastAsia="Times New Roman" w:hAnsi="Times New Roman" w:cs="Times New Roman"/>
      <w:b/>
      <w:i/>
      <w:color w:val="60A0B0"/>
      <w:sz w:val="20"/>
    </w:rPr>
  </w:style>
  <w:style w:type="character" w:customStyle="1" w:styleId="AlertTok">
    <w:name w:val="AlertTok"/>
    <w:basedOn w:val="VerbatimChar"/>
    <w:qFormat/>
    <w:rPr>
      <w:rFonts w:ascii="Times New Roman" w:eastAsia="Times New Roman" w:hAnsi="Times New Roman" w:cs="Times New Roman"/>
      <w:b/>
      <w:i w:val="0"/>
      <w:color w:val="FF0000"/>
      <w:sz w:val="20"/>
    </w:rPr>
  </w:style>
  <w:style w:type="character" w:customStyle="1" w:styleId="ErrorTok">
    <w:name w:val="ErrorTok"/>
    <w:basedOn w:val="VerbatimChar"/>
    <w:qFormat/>
    <w:rPr>
      <w:rFonts w:ascii="Times New Roman" w:eastAsia="Times New Roman" w:hAnsi="Times New Roman" w:cs="Times New Roman"/>
      <w:b/>
      <w:i w:val="0"/>
      <w:color w:val="FF0000"/>
      <w:sz w:val="20"/>
    </w:rPr>
  </w:style>
  <w:style w:type="character" w:customStyle="1" w:styleId="NormalTok">
    <w:name w:val="NormalTok"/>
    <w:basedOn w:val="VerbatimChar"/>
    <w:qFormat/>
    <w:rPr>
      <w:rFonts w:ascii="Times New Roman" w:eastAsia="Times New Roman" w:hAnsi="Times New Roman" w:cs="Times New Roman"/>
      <w:b w:val="0"/>
      <w:i w:val="0"/>
      <w:color w:val="000000"/>
      <w:sz w:val="20"/>
    </w:rPr>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link w:val="CommentText"/>
    <w:qFormat/>
    <w:rPr>
      <w:rFonts w:ascii="Times New Roman" w:eastAsia="Times New Roman" w:hAnsi="Times New Roman" w:cs="Times New Roman"/>
      <w:color w:val="000000"/>
      <w:sz w:val="20"/>
      <w:szCs w:val="20"/>
    </w:rPr>
  </w:style>
  <w:style w:type="character" w:customStyle="1" w:styleId="CommentSubjectChar">
    <w:name w:val="Comment Subject Char"/>
    <w:basedOn w:val="CommentTextChar"/>
    <w:link w:val="CommentSubject"/>
    <w:qFormat/>
    <w:rPr>
      <w:rFonts w:ascii="Times New Roman" w:eastAsia="Times New Roman" w:hAnsi="Times New Roman" w:cs="Times New Roman"/>
      <w:b/>
      <w:bCs/>
      <w:color w:val="000000"/>
      <w:sz w:val="20"/>
      <w:szCs w:val="20"/>
    </w:rPr>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style>
  <w:style w:type="paragraph" w:styleId="List">
    <w:name w:val="List"/>
    <w:basedOn w:val="BodyText"/>
    <w:rPr>
      <w:rFonts w:cs="Lohit Devanagari"/>
    </w:rPr>
  </w:style>
  <w:style w:type="paragraph" w:styleId="Caption">
    <w:name w:val="caption"/>
    <w:basedOn w:val="Normal"/>
    <w:link w:val="CaptionChar"/>
    <w:qFormat/>
    <w:pPr>
      <w:spacing w:before="80" w:after="80"/>
    </w:pPr>
    <w:rPr>
      <w:i/>
    </w:rPr>
  </w:style>
  <w:style w:type="paragraph" w:customStyle="1" w:styleId="Index">
    <w:name w:val="Index"/>
    <w:basedOn w:val="Normal"/>
    <w:qFormat/>
    <w:pPr>
      <w:suppressLineNumbers/>
    </w:pPr>
    <w:rPr>
      <w:rFonts w:cs="Lohit Devanagari"/>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uiPriority w:val="10"/>
    <w:qFormat/>
    <w:pPr>
      <w:keepLines/>
      <w:spacing w:before="80" w:after="80"/>
      <w:jc w:val="center"/>
    </w:pPr>
    <w:rPr>
      <w:b/>
      <w:bCs/>
      <w:sz w:val="28"/>
      <w:szCs w:val="36"/>
    </w:rPr>
  </w:style>
  <w:style w:type="paragraph" w:styleId="Subtitle">
    <w:name w:val="Subtitle"/>
    <w:basedOn w:val="Title"/>
    <w:next w:val="BodyText"/>
    <w:uiPriority w:val="11"/>
    <w:qFormat/>
    <w:pPr>
      <w:spacing w:before="240"/>
    </w:pPr>
    <w:rPr>
      <w:sz w:val="30"/>
      <w:szCs w:val="30"/>
    </w:rPr>
  </w:style>
  <w:style w:type="paragraph" w:customStyle="1" w:styleId="Author">
    <w:name w:val="Author"/>
    <w:next w:val="BodyText"/>
    <w:qFormat/>
    <w:pPr>
      <w:keepNext/>
      <w:keepLines/>
      <w:spacing w:after="200"/>
      <w:jc w:val="center"/>
    </w:pPr>
  </w:style>
  <w:style w:type="paragraph" w:styleId="Date">
    <w:name w:val="Date"/>
    <w:next w:val="BodyText"/>
    <w:qFormat/>
    <w:pPr>
      <w:keepNext/>
      <w:keepLines/>
      <w:spacing w:after="200"/>
      <w:jc w:val="center"/>
    </w:pPr>
  </w:style>
  <w:style w:type="paragraph" w:customStyle="1" w:styleId="AbstractTitle">
    <w:name w:val="Abstract Title"/>
    <w:basedOn w:val="Normal"/>
    <w:next w:val="Abstract"/>
    <w:qFormat/>
    <w:pPr>
      <w:keepNext/>
      <w:keepLines/>
      <w:spacing w:before="300"/>
      <w:jc w:val="center"/>
    </w:pPr>
    <w:rPr>
      <w:b/>
      <w:color w:val="345A8A"/>
      <w:szCs w:val="20"/>
    </w:rPr>
  </w:style>
  <w:style w:type="paragraph" w:customStyle="1" w:styleId="Abstract">
    <w:name w:val="Abstract"/>
    <w:basedOn w:val="Normal"/>
    <w:next w:val="BodyText"/>
    <w:qFormat/>
    <w:pPr>
      <w:keepNext/>
      <w:keepLines/>
      <w:spacing w:before="100" w:after="300"/>
    </w:pPr>
    <w:rPr>
      <w:szCs w:val="20"/>
    </w:rPr>
  </w:style>
  <w:style w:type="paragraph" w:styleId="Bibliography">
    <w:name w:val="Bibliography"/>
    <w:basedOn w:val="Normal"/>
    <w:qFormat/>
    <w:pPr>
      <w:ind w:left="357" w:hanging="357"/>
    </w:pPr>
  </w:style>
  <w:style w:type="paragraph" w:styleId="BlockText">
    <w:name w:val="Block Text"/>
    <w:basedOn w:val="BodyText"/>
    <w:next w:val="BodyText"/>
    <w:qFormat/>
    <w:pPr>
      <w:spacing w:before="100" w:after="100"/>
      <w:ind w:left="480" w:right="480"/>
    </w:pPr>
  </w:style>
  <w:style w:type="paragraph" w:styleId="FootnoteText">
    <w:name w:val="footnote text"/>
    <w:basedOn w:val="Normal"/>
  </w:style>
  <w:style w:type="paragraph" w:customStyle="1" w:styleId="FootnoteBlockText">
    <w:name w:val="Footnote Block Text"/>
    <w:qFormat/>
    <w:pPr>
      <w:spacing w:before="100" w:after="100"/>
      <w:ind w:left="480" w:right="480"/>
    </w:pPr>
  </w:style>
  <w:style w:type="paragraph" w:customStyle="1" w:styleId="DefinitionTerm">
    <w:name w:val="Definition Term"/>
    <w:basedOn w:val="Normal"/>
    <w:next w:val="Definition"/>
    <w:qFormat/>
    <w:pPr>
      <w:keepNext/>
      <w:keepLines/>
    </w:pPr>
    <w:rPr>
      <w:b/>
    </w:rPr>
  </w:style>
  <w:style w:type="paragraph" w:customStyle="1" w:styleId="Definition">
    <w:name w:val="Definition"/>
    <w:basedOn w:val="Normal"/>
    <w:qFormat/>
  </w:style>
  <w:style w:type="paragraph" w:customStyle="1" w:styleId="TableCaption">
    <w:name w:val="Table Caption"/>
    <w:basedOn w:val="Caption"/>
    <w:qFormat/>
    <w:pPr>
      <w:keepNext/>
      <w:spacing w:after="0" w:line="240" w:lineRule="auto"/>
    </w:pPr>
    <w:rPr>
      <w:i w:val="0"/>
      <w:sz w:val="17"/>
    </w:r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paragraph" w:styleId="IndexHeading">
    <w:name w:val="index heading"/>
    <w:basedOn w:val="Heading"/>
  </w:style>
  <w:style w:type="paragraph" w:styleId="TOCHeading">
    <w:name w:val="TOC Heading"/>
    <w:basedOn w:val="Heading1"/>
    <w:next w:val="BodyText"/>
    <w:qFormat/>
    <w:pPr>
      <w:spacing w:line="259" w:lineRule="auto"/>
      <w:outlineLvl w:val="9"/>
    </w:pPr>
    <w:rPr>
      <w:rFonts w:ascii="Calibri" w:eastAsia="Cambria" w:hAnsi="Calibri" w:cs="DejaVu Sans"/>
      <w:b w:val="0"/>
      <w:bCs w:val="0"/>
      <w:color w:val="365F91" w:themeColor="accent1" w:themeShade="BF"/>
    </w:rPr>
  </w:style>
  <w:style w:type="paragraph" w:customStyle="1" w:styleId="SourceCode">
    <w:name w:val="Source Code"/>
    <w:basedOn w:val="Normal"/>
    <w:link w:val="VerbatimChar"/>
    <w:qFormat/>
  </w:style>
  <w:style w:type="paragraph" w:styleId="Revision">
    <w:name w:val="Revision"/>
    <w:qFormat/>
    <w:rPr>
      <w:rFonts w:ascii="Times New Roman" w:eastAsia="Times New Roman" w:hAnsi="Times New Roman" w:cs="Times New Roman"/>
      <w:color w:val="000000"/>
      <w:sz w:val="20"/>
    </w:rPr>
  </w:style>
  <w:style w:type="paragraph" w:styleId="CommentText">
    <w:name w:val="annotation text"/>
    <w:basedOn w:val="Normal"/>
    <w:link w:val="CommentTextChar"/>
    <w:pPr>
      <w:spacing w:line="240" w:lineRule="auto"/>
    </w:pPr>
    <w:rPr>
      <w:szCs w:val="20"/>
    </w:rPr>
  </w:style>
  <w:style w:type="paragraph" w:styleId="CommentSubject">
    <w:name w:val="annotation subject"/>
    <w:basedOn w:val="CommentText"/>
    <w:next w:val="CommentText"/>
    <w:link w:val="CommentSubjectChar"/>
    <w:qFormat/>
    <w:rPr>
      <w:b/>
      <w:bCs/>
    </w:rPr>
  </w:style>
  <w:style w:type="paragraph" w:customStyle="1" w:styleId="HeaderandFooter">
    <w:name w:val="Header and Footer"/>
    <w:basedOn w:val="Normal"/>
    <w:qFormat/>
  </w:style>
  <w:style w:type="paragraph" w:styleId="Footer">
    <w:name w:val="footer"/>
    <w:basedOn w:val="HeaderandFooter"/>
  </w:style>
  <w:style w:type="paragraph" w:customStyle="1" w:styleId="TableContents">
    <w:name w:val="Table Contents"/>
    <w:basedOn w:val="Normal"/>
    <w:qFormat/>
    <w:pPr>
      <w:widowControl w:val="0"/>
      <w:suppressLineNumbers/>
    </w:pPr>
  </w:style>
  <w:style w:type="table" w:customStyle="1" w:styleId="Table">
    <w:name w:val="Table"/>
    <w:semiHidden/>
    <w:unhideWhenUsed/>
    <w:qFormat/>
    <w:rsid w:val="0046158D"/>
    <w:pPr>
      <w:suppressAutoHyphens w:val="0"/>
    </w:pPr>
    <w:rPr>
      <w:rFonts w:ascii="Times New Roman" w:eastAsia="Times New Roman" w:hAnsi="Times New Roman" w:cstheme="minorBidi"/>
      <w:color w:val="000000"/>
      <w:sz w:val="17"/>
      <w:szCs w:val="20"/>
      <w:lang w:val="en-GB"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ons.gov.uk/peoplepopulationandcommunity/birthsdeathsandmarriages/families/articles/2011censusanalysis/2014-02-06" TargetMode="External"/><Relationship Id="rId18" Type="http://schemas.openxmlformats.org/officeDocument/2006/relationships/hyperlink" Target="https://github.com/Dr-Ele-A/MAIHDA-of-MM-burden" TargetMode="External"/><Relationship Id="rId26" Type="http://schemas.openxmlformats.org/officeDocument/2006/relationships/hyperlink" Target="https://doi.org/10.1016/j.ssmph.2024.101664" TargetMode="External"/><Relationship Id="rId3" Type="http://schemas.openxmlformats.org/officeDocument/2006/relationships/settings" Target="settings.xml"/><Relationship Id="rId21" Type="http://schemas.openxmlformats.org/officeDocument/2006/relationships/hyperlink" Target="https://github.com/Dr-Ele-A/MAIHDA-of-MM-burden/blob/master/secure_outputs/MAIDA_nll_mhda_all_ranef_rspns.xlsx" TargetMode="External"/><Relationship Id="rId34" Type="http://schemas.openxmlformats.org/officeDocument/2006/relationships/footer" Target="footer1.xml"/><Relationship Id="rId7" Type="http://schemas.openxmlformats.org/officeDocument/2006/relationships/hyperlink" Target="https://github.com/Dr-Ele-A/MAIHDA-of-MM-burden" TargetMode="External"/><Relationship Id="rId12" Type="http://schemas.openxmlformats.org/officeDocument/2006/relationships/hyperlink" Target="https://www.nomisweb.co.uk/census/2011/qs609ew" TargetMode="External"/><Relationship Id="rId17" Type="http://schemas.openxmlformats.org/officeDocument/2006/relationships/image" Target="media/image3.png"/><Relationship Id="rId25" Type="http://schemas.openxmlformats.org/officeDocument/2006/relationships/hyperlink" Target="https://doi.org/10.1016/j.socscimed.2023.116493" TargetMode="External"/><Relationship Id="rId33" Type="http://schemas.openxmlformats.org/officeDocument/2006/relationships/hyperlink" Target="https://doi.org/10.1098/rsif.2017.0213"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github.com/Dr-Ele-A/MAIHDA-of-MM-burden/blob/master/maihda_of_mm_2025.Rmd" TargetMode="External"/><Relationship Id="rId29" Type="http://schemas.openxmlformats.org/officeDocument/2006/relationships/hyperlink" Target="https://doi.org/10.18637/jss.v070.i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s.gov.uk/peoplepopulationandcommunity/populationandmigration/populationestimates/bulletins/2011censuskeystatisticsforenglandandwales/2012-12-11" TargetMode="External"/><Relationship Id="rId24" Type="http://schemas.openxmlformats.org/officeDocument/2006/relationships/hyperlink" Target="https://doi.org/10.32614/RJ-2017-066" TargetMode="External"/><Relationship Id="rId32" Type="http://schemas.openxmlformats.org/officeDocument/2006/relationships/hyperlink" Target="https://doi.org/10.1186/s12916-023-02970-z" TargetMode="Externa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github.com/Dr-Ele-A/MAIHDA-of-MM-burden/blob/master/supplementary_materials/complete_maihda_parameter_tables.md" TargetMode="External"/><Relationship Id="rId28" Type="http://schemas.openxmlformats.org/officeDocument/2006/relationships/hyperlink" Target="https://doi.org/10.1080/10618600.2021.2007935" TargetMode="External"/><Relationship Id="rId36" Type="http://schemas.openxmlformats.org/officeDocument/2006/relationships/theme" Target="theme/theme1.xml"/><Relationship Id="rId10" Type="http://schemas.openxmlformats.org/officeDocument/2006/relationships/hyperlink" Target="https://www.nomisweb.co.uk/census/2011/qs501ew" TargetMode="External"/><Relationship Id="rId19" Type="http://schemas.openxmlformats.org/officeDocument/2006/relationships/hyperlink" Target="https://github.com/Dr-Ele-A/MAIHDA-of-MM-burden/blob/master/maida_of_mm_analysis_script.Rmd" TargetMode="External"/><Relationship Id="rId31" Type="http://schemas.openxmlformats.org/officeDocument/2006/relationships/hyperlink" Target="https://doi.org/10.1186/1472-6947-9-3" TargetMode="External"/><Relationship Id="rId4" Type="http://schemas.openxmlformats.org/officeDocument/2006/relationships/webSettings" Target="webSettings.xml"/><Relationship Id="rId9" Type="http://schemas.openxmlformats.org/officeDocument/2006/relationships/hyperlink" Target="https://www.scotlandscensus.gov.uk/metadata/highest-level-of-qualification/" TargetMode="External"/><Relationship Id="rId14" Type="http://schemas.openxmlformats.org/officeDocument/2006/relationships/hyperlink" Target="https://www.ons.gov.uk/methodology/geography/geographicalproducts/ruralurbanclassifications/2011ruralurbanclassification" TargetMode="External"/><Relationship Id="rId22" Type="http://schemas.openxmlformats.org/officeDocument/2006/relationships/hyperlink" Target="https://github.com/Dr-Ele-A/MAIHDA-of-MM-burden/blob/master/secure_outputs/MAIDA_fll_mhda_all_ranef_rspns.xlsx" TargetMode="External"/><Relationship Id="rId27" Type="http://schemas.openxmlformats.org/officeDocument/2006/relationships/hyperlink" Target="https://doi.org/10.1371/journal.pone.0297561" TargetMode="External"/><Relationship Id="rId30" Type="http://schemas.openxmlformats.org/officeDocument/2006/relationships/hyperlink" Target="https://doi.org/10.21105/joss.03139" TargetMode="External"/><Relationship Id="rId35" Type="http://schemas.openxmlformats.org/officeDocument/2006/relationships/fontTable" Target="fontTable.xml"/><Relationship Id="rId8" Type="http://schemas.openxmlformats.org/officeDocument/2006/relationships/hyperlink" Target="https://www.ons.gov.uk/employmentandlabourmarket/peopleinwork/employmentandemployeetypes/articles/qualificationsandlabourmarketparticipationinenglandandwales/2014-06-18"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6082</Words>
  <Characters>34674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Eleojo Abubakar</cp:lastModifiedBy>
  <cp:revision>18</cp:revision>
  <dcterms:created xsi:type="dcterms:W3CDTF">2026-08-16T20:59:00Z</dcterms:created>
  <dcterms:modified xsi:type="dcterms:W3CDTF">2026-09-08T11:16:00Z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cp:category>Academic manuscript submission</cp:category>
  <dcterms:created xsi:type="dcterms:W3CDTF">2026-08-13T14:07:53Z</dcterms:created>
  <dc:creator>Anonymous</dc:creator>
  <dc:description/>
  <cp:keywords>intersectionality multimorbidity older adults MAIHDA resource multiplication resource substitution</cp:keywords>
  <dc:language>en-US</dc:language>
  <cp:lastModifiedBy>Anonymous</cp:lastModifiedBy>
  <dcterms:modified xsi:type="dcterms:W3CDTF">2026-08-13T14:07:53Z</dcterms:modified>
  <cp:revision>0</cp:revision>
  <dc:subject>Online Resource 1</dc:subject>
  <dc:title>Supplementary Methods and Results</dc:title>
</cp:coreProperties>
</file>