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2225" w:rsidRDefault="009A3BF3">
      <w:pPr>
        <w:jc w:val="center"/>
      </w:pPr>
      <w:r>
        <w:rPr>
          <w:b/>
          <w:sz w:val="30"/>
        </w:rPr>
        <w:t>CONSORT 2010 Checklist – Updated Version</w:t>
      </w:r>
    </w:p>
    <w:p w:rsidR="007E2225" w:rsidRDefault="009A3BF3">
      <w:pPr>
        <w:jc w:val="center"/>
      </w:pPr>
      <w:r>
        <w:rPr>
          <w:i/>
        </w:rPr>
        <w:t>PRF and neurosensory recovery after BSSO</w:t>
      </w:r>
    </w:p>
    <w:p w:rsidR="007E2225" w:rsidRDefault="009A3BF3">
      <w:r>
        <w:t xml:space="preserve">Prepared from the current manuscript. “Revise/confirm” means the wording must be checked against the actual study procedures; “N/A” means the item is not applicable or is </w:t>
      </w:r>
      <w:r>
        <w:t>addressed by an explanatory statement.</w:t>
      </w:r>
    </w:p>
    <w:tbl>
      <w:tblPr>
        <w:tblStyle w:val="TableGrid"/>
        <w:tblW w:w="0" w:type="auto"/>
        <w:jc w:val="center"/>
        <w:tblLook w:val="04A0" w:firstRow="1" w:lastRow="0" w:firstColumn="1" w:lastColumn="0" w:noHBand="0" w:noVBand="1"/>
      </w:tblPr>
      <w:tblGrid>
        <w:gridCol w:w="2149"/>
        <w:gridCol w:w="2174"/>
        <w:gridCol w:w="2149"/>
        <w:gridCol w:w="2158"/>
      </w:tblGrid>
      <w:tr w:rsidR="007E2225">
        <w:trPr>
          <w:jc w:val="center"/>
        </w:trPr>
        <w:tc>
          <w:tcPr>
            <w:tcW w:w="2160" w:type="dxa"/>
          </w:tcPr>
          <w:p w:rsidR="007E2225" w:rsidRDefault="009A3BF3">
            <w:r>
              <w:rPr>
                <w:b/>
                <w:sz w:val="16"/>
              </w:rPr>
              <w:t>Item</w:t>
            </w:r>
          </w:p>
        </w:tc>
        <w:tc>
          <w:tcPr>
            <w:tcW w:w="2160" w:type="dxa"/>
          </w:tcPr>
          <w:p w:rsidR="007E2225" w:rsidRDefault="009A3BF3">
            <w:r>
              <w:rPr>
                <w:b/>
                <w:sz w:val="16"/>
              </w:rPr>
              <w:t>Requirement</w:t>
            </w:r>
          </w:p>
        </w:tc>
        <w:tc>
          <w:tcPr>
            <w:tcW w:w="2160" w:type="dxa"/>
          </w:tcPr>
          <w:p w:rsidR="007E2225" w:rsidRDefault="009A3BF3">
            <w:r>
              <w:rPr>
                <w:b/>
                <w:sz w:val="16"/>
              </w:rPr>
              <w:t>Status</w:t>
            </w:r>
          </w:p>
        </w:tc>
        <w:tc>
          <w:tcPr>
            <w:tcW w:w="2160" w:type="dxa"/>
          </w:tcPr>
          <w:p w:rsidR="007E2225" w:rsidRDefault="009A3BF3">
            <w:r>
              <w:rPr>
                <w:b/>
                <w:sz w:val="16"/>
              </w:rPr>
              <w:t>Manuscript wording/action</w:t>
            </w:r>
          </w:p>
        </w:tc>
      </w:tr>
      <w:tr w:rsidR="007E2225">
        <w:trPr>
          <w:jc w:val="center"/>
        </w:trPr>
        <w:tc>
          <w:tcPr>
            <w:tcW w:w="2160" w:type="dxa"/>
          </w:tcPr>
          <w:p w:rsidR="007E2225" w:rsidRDefault="009A3BF3">
            <w:r>
              <w:rPr>
                <w:sz w:val="15"/>
              </w:rPr>
              <w:t>1a</w:t>
            </w:r>
          </w:p>
        </w:tc>
        <w:tc>
          <w:tcPr>
            <w:tcW w:w="2160" w:type="dxa"/>
          </w:tcPr>
          <w:p w:rsidR="007E2225" w:rsidRDefault="009A3BF3">
            <w:r>
              <w:rPr>
                <w:sz w:val="15"/>
              </w:rPr>
              <w:t>Trial identified as randomized in title</w:t>
            </w:r>
          </w:p>
        </w:tc>
        <w:tc>
          <w:tcPr>
            <w:tcW w:w="2160" w:type="dxa"/>
          </w:tcPr>
          <w:p w:rsidR="007E2225" w:rsidRDefault="009A3BF3">
            <w:r>
              <w:rPr>
                <w:sz w:val="15"/>
              </w:rPr>
              <w:t>Yes</w:t>
            </w:r>
          </w:p>
        </w:tc>
        <w:tc>
          <w:tcPr>
            <w:tcW w:w="2160" w:type="dxa"/>
          </w:tcPr>
          <w:p w:rsidR="007E2225" w:rsidRDefault="009A3BF3">
            <w:r>
              <w:rPr>
                <w:sz w:val="15"/>
              </w:rPr>
              <w:t>Already addressed in the title.</w:t>
            </w:r>
          </w:p>
        </w:tc>
      </w:tr>
      <w:tr w:rsidR="007E2225">
        <w:trPr>
          <w:jc w:val="center"/>
        </w:trPr>
        <w:tc>
          <w:tcPr>
            <w:tcW w:w="2160" w:type="dxa"/>
          </w:tcPr>
          <w:p w:rsidR="007E2225" w:rsidRDefault="009A3BF3">
            <w:r>
              <w:rPr>
                <w:sz w:val="15"/>
              </w:rPr>
              <w:t>1b</w:t>
            </w:r>
          </w:p>
        </w:tc>
        <w:tc>
          <w:tcPr>
            <w:tcW w:w="2160" w:type="dxa"/>
          </w:tcPr>
          <w:p w:rsidR="007E2225" w:rsidRDefault="009A3BF3">
            <w:r>
              <w:rPr>
                <w:sz w:val="15"/>
              </w:rPr>
              <w:t>Structured abstract</w:t>
            </w:r>
          </w:p>
        </w:tc>
        <w:tc>
          <w:tcPr>
            <w:tcW w:w="2160" w:type="dxa"/>
          </w:tcPr>
          <w:p w:rsidR="007E2225" w:rsidRDefault="009A3BF3">
            <w:r>
              <w:rPr>
                <w:sz w:val="15"/>
              </w:rPr>
              <w:t>Yes</w:t>
            </w:r>
          </w:p>
        </w:tc>
        <w:tc>
          <w:tcPr>
            <w:tcW w:w="2160" w:type="dxa"/>
          </w:tcPr>
          <w:p w:rsidR="007E2225" w:rsidRDefault="009A3BF3">
            <w:r>
              <w:rPr>
                <w:sz w:val="15"/>
              </w:rPr>
              <w:t>Abstract includes Background, Methods, Results, Conclusions</w:t>
            </w:r>
            <w:r>
              <w:rPr>
                <w:sz w:val="15"/>
              </w:rPr>
              <w:t xml:space="preserve"> and Trial registration.</w:t>
            </w:r>
          </w:p>
        </w:tc>
      </w:tr>
      <w:tr w:rsidR="007E2225">
        <w:trPr>
          <w:jc w:val="center"/>
        </w:trPr>
        <w:tc>
          <w:tcPr>
            <w:tcW w:w="2160" w:type="dxa"/>
          </w:tcPr>
          <w:p w:rsidR="007E2225" w:rsidRDefault="009A3BF3">
            <w:r>
              <w:rPr>
                <w:sz w:val="15"/>
              </w:rPr>
              <w:t>2a</w:t>
            </w:r>
          </w:p>
        </w:tc>
        <w:tc>
          <w:tcPr>
            <w:tcW w:w="2160" w:type="dxa"/>
          </w:tcPr>
          <w:p w:rsidR="007E2225" w:rsidRDefault="009A3BF3">
            <w:r>
              <w:rPr>
                <w:sz w:val="15"/>
              </w:rPr>
              <w:t>Scientific background and rationale</w:t>
            </w:r>
          </w:p>
        </w:tc>
        <w:tc>
          <w:tcPr>
            <w:tcW w:w="2160" w:type="dxa"/>
          </w:tcPr>
          <w:p w:rsidR="007E2225" w:rsidRDefault="009A3BF3">
            <w:r>
              <w:rPr>
                <w:sz w:val="15"/>
              </w:rPr>
              <w:t>Yes</w:t>
            </w:r>
          </w:p>
        </w:tc>
        <w:tc>
          <w:tcPr>
            <w:tcW w:w="2160" w:type="dxa"/>
          </w:tcPr>
          <w:p w:rsidR="007E2225" w:rsidRDefault="009A3BF3">
            <w:r>
              <w:rPr>
                <w:sz w:val="15"/>
              </w:rPr>
              <w:t>Addressed in Background.</w:t>
            </w:r>
          </w:p>
        </w:tc>
      </w:tr>
      <w:tr w:rsidR="007E2225">
        <w:trPr>
          <w:jc w:val="center"/>
        </w:trPr>
        <w:tc>
          <w:tcPr>
            <w:tcW w:w="2160" w:type="dxa"/>
          </w:tcPr>
          <w:p w:rsidR="007E2225" w:rsidRDefault="009A3BF3">
            <w:r>
              <w:rPr>
                <w:sz w:val="15"/>
              </w:rPr>
              <w:t>2b</w:t>
            </w:r>
          </w:p>
        </w:tc>
        <w:tc>
          <w:tcPr>
            <w:tcW w:w="2160" w:type="dxa"/>
          </w:tcPr>
          <w:p w:rsidR="007E2225" w:rsidRDefault="009A3BF3">
            <w:r>
              <w:rPr>
                <w:sz w:val="15"/>
              </w:rPr>
              <w:t>Specific objectives/hypothesis</w:t>
            </w:r>
          </w:p>
        </w:tc>
        <w:tc>
          <w:tcPr>
            <w:tcW w:w="2160" w:type="dxa"/>
          </w:tcPr>
          <w:p w:rsidR="007E2225" w:rsidRDefault="009A3BF3">
            <w:r>
              <w:rPr>
                <w:sz w:val="15"/>
              </w:rPr>
              <w:t>Yes</w:t>
            </w:r>
          </w:p>
        </w:tc>
        <w:tc>
          <w:tcPr>
            <w:tcW w:w="2160" w:type="dxa"/>
          </w:tcPr>
          <w:p w:rsidR="007E2225" w:rsidRDefault="009A3BF3">
            <w:r>
              <w:rPr>
                <w:sz w:val="15"/>
              </w:rPr>
              <w:t>Objective and hypothesis are stated.</w:t>
            </w:r>
          </w:p>
        </w:tc>
      </w:tr>
      <w:tr w:rsidR="007E2225">
        <w:trPr>
          <w:jc w:val="center"/>
        </w:trPr>
        <w:tc>
          <w:tcPr>
            <w:tcW w:w="2160" w:type="dxa"/>
          </w:tcPr>
          <w:p w:rsidR="007E2225" w:rsidRDefault="009A3BF3">
            <w:r>
              <w:rPr>
                <w:sz w:val="15"/>
              </w:rPr>
              <w:t>3a</w:t>
            </w:r>
          </w:p>
        </w:tc>
        <w:tc>
          <w:tcPr>
            <w:tcW w:w="2160" w:type="dxa"/>
          </w:tcPr>
          <w:p w:rsidR="007E2225" w:rsidRDefault="009A3BF3">
            <w:r>
              <w:rPr>
                <w:sz w:val="15"/>
              </w:rPr>
              <w:t>Trial design and allocation ratio</w:t>
            </w:r>
          </w:p>
        </w:tc>
        <w:tc>
          <w:tcPr>
            <w:tcW w:w="2160" w:type="dxa"/>
          </w:tcPr>
          <w:p w:rsidR="007E2225" w:rsidRDefault="009A3BF3">
            <w:r>
              <w:rPr>
                <w:sz w:val="15"/>
              </w:rPr>
              <w:t>Yes</w:t>
            </w:r>
          </w:p>
        </w:tc>
        <w:tc>
          <w:tcPr>
            <w:tcW w:w="2160" w:type="dxa"/>
          </w:tcPr>
          <w:p w:rsidR="007E2225" w:rsidRDefault="009A3BF3">
            <w:r>
              <w:rPr>
                <w:sz w:val="15"/>
              </w:rPr>
              <w:t xml:space="preserve">Randomized split-mouth design; 1:1 </w:t>
            </w:r>
            <w:r>
              <w:rPr>
                <w:sz w:val="15"/>
              </w:rPr>
              <w:t>allocation of osteotomy sites.</w:t>
            </w:r>
          </w:p>
        </w:tc>
      </w:tr>
      <w:tr w:rsidR="007E2225">
        <w:trPr>
          <w:jc w:val="center"/>
        </w:trPr>
        <w:tc>
          <w:tcPr>
            <w:tcW w:w="2160" w:type="dxa"/>
          </w:tcPr>
          <w:p w:rsidR="007E2225" w:rsidRDefault="009A3BF3">
            <w:r>
              <w:rPr>
                <w:sz w:val="15"/>
              </w:rPr>
              <w:t>3b</w:t>
            </w:r>
          </w:p>
        </w:tc>
        <w:tc>
          <w:tcPr>
            <w:tcW w:w="2160" w:type="dxa"/>
          </w:tcPr>
          <w:p w:rsidR="007E2225" w:rsidRDefault="009A3BF3">
            <w:r>
              <w:rPr>
                <w:sz w:val="15"/>
              </w:rPr>
              <w:t>Changes after trial commencement</w:t>
            </w:r>
          </w:p>
        </w:tc>
        <w:tc>
          <w:tcPr>
            <w:tcW w:w="2160" w:type="dxa"/>
          </w:tcPr>
          <w:p w:rsidR="007E2225" w:rsidRDefault="009A3BF3">
            <w:r>
              <w:rPr>
                <w:sz w:val="15"/>
              </w:rPr>
              <w:t>Yes</w:t>
            </w:r>
          </w:p>
        </w:tc>
        <w:tc>
          <w:tcPr>
            <w:tcW w:w="2160" w:type="dxa"/>
          </w:tcPr>
          <w:p w:rsidR="007E2225" w:rsidRDefault="009A3BF3">
            <w:r>
              <w:rPr>
                <w:sz w:val="15"/>
              </w:rPr>
              <w:t>Current statement says no important changes. Confirm accuracy.</w:t>
            </w:r>
          </w:p>
        </w:tc>
      </w:tr>
      <w:tr w:rsidR="007E2225">
        <w:trPr>
          <w:jc w:val="center"/>
        </w:trPr>
        <w:tc>
          <w:tcPr>
            <w:tcW w:w="2160" w:type="dxa"/>
          </w:tcPr>
          <w:p w:rsidR="007E2225" w:rsidRDefault="009A3BF3">
            <w:r>
              <w:rPr>
                <w:sz w:val="15"/>
              </w:rPr>
              <w:t>4a</w:t>
            </w:r>
          </w:p>
        </w:tc>
        <w:tc>
          <w:tcPr>
            <w:tcW w:w="2160" w:type="dxa"/>
          </w:tcPr>
          <w:p w:rsidR="007E2225" w:rsidRDefault="009A3BF3">
            <w:r>
              <w:rPr>
                <w:sz w:val="15"/>
              </w:rPr>
              <w:t>Eligibility criteria</w:t>
            </w:r>
          </w:p>
        </w:tc>
        <w:tc>
          <w:tcPr>
            <w:tcW w:w="2160" w:type="dxa"/>
          </w:tcPr>
          <w:p w:rsidR="007E2225" w:rsidRDefault="009A3BF3">
            <w:r>
              <w:rPr>
                <w:sz w:val="15"/>
              </w:rPr>
              <w:t>Yes</w:t>
            </w:r>
          </w:p>
        </w:tc>
        <w:tc>
          <w:tcPr>
            <w:tcW w:w="2160" w:type="dxa"/>
          </w:tcPr>
          <w:p w:rsidR="007E2225" w:rsidRDefault="009A3BF3">
            <w:r>
              <w:rPr>
                <w:sz w:val="15"/>
              </w:rPr>
              <w:t>Inclusion and exclusion criteria are reported.</w:t>
            </w:r>
          </w:p>
        </w:tc>
      </w:tr>
      <w:tr w:rsidR="007E2225">
        <w:trPr>
          <w:jc w:val="center"/>
        </w:trPr>
        <w:tc>
          <w:tcPr>
            <w:tcW w:w="2160" w:type="dxa"/>
          </w:tcPr>
          <w:p w:rsidR="007E2225" w:rsidRDefault="009A3BF3">
            <w:r>
              <w:rPr>
                <w:sz w:val="15"/>
              </w:rPr>
              <w:t>4b</w:t>
            </w:r>
          </w:p>
        </w:tc>
        <w:tc>
          <w:tcPr>
            <w:tcW w:w="2160" w:type="dxa"/>
          </w:tcPr>
          <w:p w:rsidR="007E2225" w:rsidRDefault="009A3BF3">
            <w:r>
              <w:rPr>
                <w:sz w:val="15"/>
              </w:rPr>
              <w:t>Settings and locations</w:t>
            </w:r>
          </w:p>
        </w:tc>
        <w:tc>
          <w:tcPr>
            <w:tcW w:w="2160" w:type="dxa"/>
          </w:tcPr>
          <w:p w:rsidR="007E2225" w:rsidRDefault="009A3BF3">
            <w:r>
              <w:rPr>
                <w:sz w:val="15"/>
              </w:rPr>
              <w:t>Yes</w:t>
            </w:r>
          </w:p>
        </w:tc>
        <w:tc>
          <w:tcPr>
            <w:tcW w:w="2160" w:type="dxa"/>
          </w:tcPr>
          <w:p w:rsidR="007E2225" w:rsidRDefault="009A3BF3">
            <w:r>
              <w:rPr>
                <w:sz w:val="15"/>
              </w:rPr>
              <w:t>TUMS Departmen</w:t>
            </w:r>
            <w:r>
              <w:rPr>
                <w:sz w:val="15"/>
              </w:rPr>
              <w:t>t of OMFS; Shariati and Sina Hospitals.</w:t>
            </w:r>
          </w:p>
        </w:tc>
      </w:tr>
      <w:tr w:rsidR="007E2225">
        <w:trPr>
          <w:jc w:val="center"/>
        </w:trPr>
        <w:tc>
          <w:tcPr>
            <w:tcW w:w="2160" w:type="dxa"/>
          </w:tcPr>
          <w:p w:rsidR="007E2225" w:rsidRDefault="009A3BF3">
            <w:r>
              <w:rPr>
                <w:sz w:val="15"/>
              </w:rPr>
              <w:t>5</w:t>
            </w:r>
          </w:p>
        </w:tc>
        <w:tc>
          <w:tcPr>
            <w:tcW w:w="2160" w:type="dxa"/>
          </w:tcPr>
          <w:p w:rsidR="007E2225" w:rsidRDefault="009A3BF3">
            <w:r>
              <w:rPr>
                <w:sz w:val="15"/>
              </w:rPr>
              <w:t>Interventions described</w:t>
            </w:r>
          </w:p>
        </w:tc>
        <w:tc>
          <w:tcPr>
            <w:tcW w:w="2160" w:type="dxa"/>
          </w:tcPr>
          <w:p w:rsidR="007E2225" w:rsidRDefault="009A3BF3">
            <w:r>
              <w:rPr>
                <w:sz w:val="15"/>
              </w:rPr>
              <w:t>Yes</w:t>
            </w:r>
          </w:p>
        </w:tc>
        <w:tc>
          <w:tcPr>
            <w:tcW w:w="2160" w:type="dxa"/>
          </w:tcPr>
          <w:p w:rsidR="007E2225" w:rsidRDefault="009A3BF3">
            <w:r>
              <w:rPr>
                <w:sz w:val="15"/>
              </w:rPr>
              <w:t>PRF preparation/application, control side, surgery and fixation described.</w:t>
            </w:r>
          </w:p>
        </w:tc>
      </w:tr>
      <w:tr w:rsidR="007E2225">
        <w:trPr>
          <w:jc w:val="center"/>
        </w:trPr>
        <w:tc>
          <w:tcPr>
            <w:tcW w:w="2160" w:type="dxa"/>
          </w:tcPr>
          <w:p w:rsidR="007E2225" w:rsidRDefault="009A3BF3">
            <w:r>
              <w:rPr>
                <w:sz w:val="15"/>
              </w:rPr>
              <w:t>6a</w:t>
            </w:r>
          </w:p>
        </w:tc>
        <w:tc>
          <w:tcPr>
            <w:tcW w:w="2160" w:type="dxa"/>
          </w:tcPr>
          <w:p w:rsidR="007E2225" w:rsidRDefault="009A3BF3">
            <w:r>
              <w:rPr>
                <w:sz w:val="15"/>
              </w:rPr>
              <w:t>Prespecified primary/secondary outcomes</w:t>
            </w:r>
          </w:p>
        </w:tc>
        <w:tc>
          <w:tcPr>
            <w:tcW w:w="2160" w:type="dxa"/>
          </w:tcPr>
          <w:p w:rsidR="007E2225" w:rsidRDefault="009A3BF3">
            <w:r>
              <w:rPr>
                <w:sz w:val="15"/>
              </w:rPr>
              <w:t>Yes</w:t>
            </w:r>
          </w:p>
        </w:tc>
        <w:tc>
          <w:tcPr>
            <w:tcW w:w="2160" w:type="dxa"/>
          </w:tcPr>
          <w:p w:rsidR="007E2225" w:rsidRDefault="009A3BF3">
            <w:r>
              <w:rPr>
                <w:sz w:val="15"/>
              </w:rPr>
              <w:t>Primary: TPD at 3 months; secondary: brush-stroke, temperature</w:t>
            </w:r>
            <w:r>
              <w:rPr>
                <w:sz w:val="15"/>
              </w:rPr>
              <w:t xml:space="preserve"> and VAS at 3 and 6 months.</w:t>
            </w:r>
          </w:p>
        </w:tc>
      </w:tr>
      <w:tr w:rsidR="007E2225">
        <w:trPr>
          <w:jc w:val="center"/>
        </w:trPr>
        <w:tc>
          <w:tcPr>
            <w:tcW w:w="2160" w:type="dxa"/>
          </w:tcPr>
          <w:p w:rsidR="007E2225" w:rsidRDefault="009A3BF3">
            <w:r>
              <w:rPr>
                <w:sz w:val="15"/>
              </w:rPr>
              <w:t>6b</w:t>
            </w:r>
          </w:p>
        </w:tc>
        <w:tc>
          <w:tcPr>
            <w:tcW w:w="2160" w:type="dxa"/>
          </w:tcPr>
          <w:p w:rsidR="007E2225" w:rsidRDefault="009A3BF3">
            <w:r>
              <w:rPr>
                <w:sz w:val="15"/>
              </w:rPr>
              <w:t>Changes to outcomes</w:t>
            </w:r>
          </w:p>
        </w:tc>
        <w:tc>
          <w:tcPr>
            <w:tcW w:w="2160" w:type="dxa"/>
          </w:tcPr>
          <w:p w:rsidR="007E2225" w:rsidRDefault="009A3BF3">
            <w:r>
              <w:rPr>
                <w:sz w:val="15"/>
              </w:rPr>
              <w:t>Yes</w:t>
            </w:r>
          </w:p>
        </w:tc>
        <w:tc>
          <w:tcPr>
            <w:tcW w:w="2160" w:type="dxa"/>
          </w:tcPr>
          <w:p w:rsidR="007E2225" w:rsidRDefault="009A3BF3">
            <w:r>
              <w:rPr>
                <w:sz w:val="15"/>
              </w:rPr>
              <w:t>Current statement says no outcome changes. Confirm accuracy.</w:t>
            </w:r>
          </w:p>
        </w:tc>
      </w:tr>
      <w:tr w:rsidR="007E2225">
        <w:trPr>
          <w:jc w:val="center"/>
        </w:trPr>
        <w:tc>
          <w:tcPr>
            <w:tcW w:w="2160" w:type="dxa"/>
          </w:tcPr>
          <w:p w:rsidR="007E2225" w:rsidRDefault="009A3BF3">
            <w:r>
              <w:rPr>
                <w:sz w:val="15"/>
              </w:rPr>
              <w:t>7a</w:t>
            </w:r>
          </w:p>
        </w:tc>
        <w:tc>
          <w:tcPr>
            <w:tcW w:w="2160" w:type="dxa"/>
          </w:tcPr>
          <w:p w:rsidR="007E2225" w:rsidRDefault="009A3BF3">
            <w:r>
              <w:rPr>
                <w:sz w:val="15"/>
              </w:rPr>
              <w:t>Sample-size determination</w:t>
            </w:r>
          </w:p>
        </w:tc>
        <w:tc>
          <w:tcPr>
            <w:tcW w:w="2160" w:type="dxa"/>
          </w:tcPr>
          <w:p w:rsidR="007E2225" w:rsidRDefault="009A3BF3">
            <w:r>
              <w:rPr>
                <w:sz w:val="15"/>
              </w:rPr>
              <w:t>Yes</w:t>
            </w:r>
          </w:p>
        </w:tc>
        <w:tc>
          <w:tcPr>
            <w:tcW w:w="2160" w:type="dxa"/>
          </w:tcPr>
          <w:p w:rsidR="007E2225" w:rsidRDefault="009A3BF3">
            <w:r>
              <w:rPr>
                <w:sz w:val="15"/>
              </w:rPr>
              <w:t>PASS 11; alpha .05; beta .20; SD .95 mm; difference 1 mm; 16 paired observations.</w:t>
            </w:r>
          </w:p>
        </w:tc>
      </w:tr>
      <w:tr w:rsidR="007E2225">
        <w:trPr>
          <w:jc w:val="center"/>
        </w:trPr>
        <w:tc>
          <w:tcPr>
            <w:tcW w:w="2160" w:type="dxa"/>
          </w:tcPr>
          <w:p w:rsidR="007E2225" w:rsidRDefault="009A3BF3">
            <w:r>
              <w:rPr>
                <w:sz w:val="15"/>
              </w:rPr>
              <w:t>7b</w:t>
            </w:r>
          </w:p>
        </w:tc>
        <w:tc>
          <w:tcPr>
            <w:tcW w:w="2160" w:type="dxa"/>
          </w:tcPr>
          <w:p w:rsidR="007E2225" w:rsidRDefault="009A3BF3">
            <w:r>
              <w:rPr>
                <w:sz w:val="15"/>
              </w:rPr>
              <w:t xml:space="preserve">Interim </w:t>
            </w:r>
            <w:r>
              <w:rPr>
                <w:sz w:val="15"/>
              </w:rPr>
              <w:t>analyses/stopping rules</w:t>
            </w:r>
          </w:p>
        </w:tc>
        <w:tc>
          <w:tcPr>
            <w:tcW w:w="2160" w:type="dxa"/>
          </w:tcPr>
          <w:p w:rsidR="007E2225" w:rsidRDefault="009A3BF3">
            <w:r>
              <w:rPr>
                <w:sz w:val="15"/>
              </w:rPr>
              <w:t>N/A</w:t>
            </w:r>
          </w:p>
        </w:tc>
        <w:tc>
          <w:tcPr>
            <w:tcW w:w="2160" w:type="dxa"/>
          </w:tcPr>
          <w:p w:rsidR="007E2225" w:rsidRDefault="009A3BF3">
            <w:r>
              <w:rPr>
                <w:sz w:val="15"/>
              </w:rPr>
              <w:t>No interim analysis planned or performed; trial completed as planned.</w:t>
            </w:r>
          </w:p>
        </w:tc>
      </w:tr>
      <w:tr w:rsidR="007E2225">
        <w:trPr>
          <w:jc w:val="center"/>
        </w:trPr>
        <w:tc>
          <w:tcPr>
            <w:tcW w:w="2160" w:type="dxa"/>
          </w:tcPr>
          <w:p w:rsidR="007E2225" w:rsidRDefault="009A3BF3">
            <w:r>
              <w:rPr>
                <w:sz w:val="15"/>
              </w:rPr>
              <w:t>8a</w:t>
            </w:r>
          </w:p>
        </w:tc>
        <w:tc>
          <w:tcPr>
            <w:tcW w:w="2160" w:type="dxa"/>
          </w:tcPr>
          <w:p w:rsidR="007E2225" w:rsidRDefault="009A3BF3">
            <w:r>
              <w:rPr>
                <w:sz w:val="15"/>
              </w:rPr>
              <w:t>Sequence generation</w:t>
            </w:r>
          </w:p>
        </w:tc>
        <w:tc>
          <w:tcPr>
            <w:tcW w:w="2160" w:type="dxa"/>
          </w:tcPr>
          <w:p w:rsidR="007E2225" w:rsidRDefault="009A3BF3">
            <w:r>
              <w:rPr>
                <w:sz w:val="15"/>
              </w:rPr>
              <w:t>Yes</w:t>
            </w:r>
          </w:p>
        </w:tc>
        <w:tc>
          <w:tcPr>
            <w:tcW w:w="2160" w:type="dxa"/>
          </w:tcPr>
          <w:p w:rsidR="007E2225" w:rsidRDefault="009A3BF3">
            <w:r>
              <w:rPr>
                <w:sz w:val="15"/>
              </w:rPr>
              <w:t>Randomization generated with Randomizer App v11.0.0 by the surgeon.</w:t>
            </w:r>
          </w:p>
        </w:tc>
      </w:tr>
      <w:tr w:rsidR="007E2225">
        <w:trPr>
          <w:jc w:val="center"/>
        </w:trPr>
        <w:tc>
          <w:tcPr>
            <w:tcW w:w="2160" w:type="dxa"/>
          </w:tcPr>
          <w:p w:rsidR="007E2225" w:rsidRDefault="009A3BF3">
            <w:r>
              <w:rPr>
                <w:sz w:val="15"/>
              </w:rPr>
              <w:t>8b</w:t>
            </w:r>
          </w:p>
        </w:tc>
        <w:tc>
          <w:tcPr>
            <w:tcW w:w="2160" w:type="dxa"/>
          </w:tcPr>
          <w:p w:rsidR="007E2225" w:rsidRDefault="009A3BF3">
            <w:r>
              <w:rPr>
                <w:sz w:val="15"/>
              </w:rPr>
              <w:t>Type/restrictions</w:t>
            </w:r>
          </w:p>
        </w:tc>
        <w:tc>
          <w:tcPr>
            <w:tcW w:w="2160" w:type="dxa"/>
          </w:tcPr>
          <w:p w:rsidR="007E2225" w:rsidRDefault="00EB5C3E">
            <w:r>
              <w:rPr>
                <w:sz w:val="15"/>
              </w:rPr>
              <w:t>Yes</w:t>
            </w:r>
          </w:p>
        </w:tc>
        <w:tc>
          <w:tcPr>
            <w:tcW w:w="2160" w:type="dxa"/>
          </w:tcPr>
          <w:p w:rsidR="00EB5C3E" w:rsidRDefault="009A3BF3">
            <w:pPr>
              <w:rPr>
                <w:sz w:val="15"/>
              </w:rPr>
            </w:pPr>
            <w:r>
              <w:rPr>
                <w:sz w:val="15"/>
              </w:rPr>
              <w:t xml:space="preserve">simple </w:t>
            </w:r>
            <w:r w:rsidR="00EB5C3E">
              <w:rPr>
                <w:sz w:val="15"/>
              </w:rPr>
              <w:t>randomization</w:t>
            </w:r>
          </w:p>
          <w:p w:rsidR="007E2225" w:rsidRDefault="009A3BF3">
            <w:r>
              <w:rPr>
                <w:sz w:val="15"/>
              </w:rPr>
              <w:t>no restric</w:t>
            </w:r>
            <w:r w:rsidR="00EB5C3E">
              <w:rPr>
                <w:sz w:val="15"/>
              </w:rPr>
              <w:t>tion</w:t>
            </w:r>
          </w:p>
        </w:tc>
      </w:tr>
      <w:tr w:rsidR="007E2225">
        <w:trPr>
          <w:jc w:val="center"/>
        </w:trPr>
        <w:tc>
          <w:tcPr>
            <w:tcW w:w="2160" w:type="dxa"/>
          </w:tcPr>
          <w:p w:rsidR="007E2225" w:rsidRDefault="009A3BF3">
            <w:r>
              <w:rPr>
                <w:sz w:val="15"/>
              </w:rPr>
              <w:t>9</w:t>
            </w:r>
          </w:p>
        </w:tc>
        <w:tc>
          <w:tcPr>
            <w:tcW w:w="2160" w:type="dxa"/>
          </w:tcPr>
          <w:p w:rsidR="007E2225" w:rsidRDefault="009A3BF3">
            <w:r>
              <w:rPr>
                <w:sz w:val="15"/>
              </w:rPr>
              <w:t>Allocation concealment</w:t>
            </w:r>
          </w:p>
        </w:tc>
        <w:tc>
          <w:tcPr>
            <w:tcW w:w="2160" w:type="dxa"/>
          </w:tcPr>
          <w:p w:rsidR="007E2225" w:rsidRDefault="0051078C">
            <w:r>
              <w:rPr>
                <w:sz w:val="15"/>
              </w:rPr>
              <w:t>Yes</w:t>
            </w:r>
          </w:p>
        </w:tc>
        <w:tc>
          <w:tcPr>
            <w:tcW w:w="2160" w:type="dxa"/>
          </w:tcPr>
          <w:p w:rsidR="007E2225" w:rsidRDefault="0051078C">
            <w:r w:rsidRPr="0051078C">
              <w:rPr>
                <w:sz w:val="15"/>
              </w:rPr>
              <w:t>Simple randomization was used to allocate the PRF treatment to either the right or left osteotomy site.</w:t>
            </w:r>
          </w:p>
        </w:tc>
      </w:tr>
      <w:tr w:rsidR="007E2225">
        <w:trPr>
          <w:jc w:val="center"/>
        </w:trPr>
        <w:tc>
          <w:tcPr>
            <w:tcW w:w="2160" w:type="dxa"/>
          </w:tcPr>
          <w:p w:rsidR="007E2225" w:rsidRDefault="009A3BF3">
            <w:r>
              <w:rPr>
                <w:sz w:val="15"/>
              </w:rPr>
              <w:t>10</w:t>
            </w:r>
          </w:p>
        </w:tc>
        <w:tc>
          <w:tcPr>
            <w:tcW w:w="2160" w:type="dxa"/>
          </w:tcPr>
          <w:p w:rsidR="007E2225" w:rsidRDefault="009A3BF3">
            <w:r>
              <w:rPr>
                <w:sz w:val="15"/>
              </w:rPr>
              <w:t>Who generated/enrolled/assigned</w:t>
            </w:r>
          </w:p>
        </w:tc>
        <w:tc>
          <w:tcPr>
            <w:tcW w:w="2160" w:type="dxa"/>
          </w:tcPr>
          <w:p w:rsidR="007E2225" w:rsidRDefault="009A3BF3">
            <w:r>
              <w:rPr>
                <w:sz w:val="15"/>
              </w:rPr>
              <w:t>Yes</w:t>
            </w:r>
          </w:p>
        </w:tc>
        <w:tc>
          <w:tcPr>
            <w:tcW w:w="2160" w:type="dxa"/>
          </w:tcPr>
          <w:p w:rsidR="007E2225" w:rsidRDefault="009A3BF3">
            <w:r>
              <w:rPr>
                <w:sz w:val="15"/>
              </w:rPr>
              <w:t>Identify surgeon as sequence generator and study investigators as enrollers; specify who assigned the side if different.</w:t>
            </w:r>
          </w:p>
        </w:tc>
      </w:tr>
      <w:tr w:rsidR="007E2225">
        <w:trPr>
          <w:jc w:val="center"/>
        </w:trPr>
        <w:tc>
          <w:tcPr>
            <w:tcW w:w="2160" w:type="dxa"/>
          </w:tcPr>
          <w:p w:rsidR="007E2225" w:rsidRDefault="009A3BF3">
            <w:r>
              <w:rPr>
                <w:sz w:val="15"/>
              </w:rPr>
              <w:t>11a</w:t>
            </w:r>
          </w:p>
        </w:tc>
        <w:tc>
          <w:tcPr>
            <w:tcW w:w="2160" w:type="dxa"/>
          </w:tcPr>
          <w:p w:rsidR="007E2225" w:rsidRDefault="009A3BF3">
            <w:r>
              <w:rPr>
                <w:sz w:val="15"/>
              </w:rPr>
              <w:t>Blinding</w:t>
            </w:r>
          </w:p>
        </w:tc>
        <w:tc>
          <w:tcPr>
            <w:tcW w:w="2160" w:type="dxa"/>
          </w:tcPr>
          <w:p w:rsidR="007E2225" w:rsidRDefault="009A3BF3">
            <w:r>
              <w:rPr>
                <w:sz w:val="15"/>
              </w:rPr>
              <w:t>Yes</w:t>
            </w:r>
          </w:p>
        </w:tc>
        <w:tc>
          <w:tcPr>
            <w:tcW w:w="2160" w:type="dxa"/>
          </w:tcPr>
          <w:p w:rsidR="007E2225" w:rsidRDefault="009A3BF3">
            <w:r>
              <w:rPr>
                <w:sz w:val="15"/>
              </w:rPr>
              <w:t>Participants and postoperative assessor blinded; surgeon not blinded.</w:t>
            </w:r>
          </w:p>
        </w:tc>
      </w:tr>
      <w:tr w:rsidR="007E2225">
        <w:trPr>
          <w:jc w:val="center"/>
        </w:trPr>
        <w:tc>
          <w:tcPr>
            <w:tcW w:w="2160" w:type="dxa"/>
          </w:tcPr>
          <w:p w:rsidR="007E2225" w:rsidRDefault="009A3BF3">
            <w:r>
              <w:rPr>
                <w:sz w:val="15"/>
              </w:rPr>
              <w:t>11b</w:t>
            </w:r>
          </w:p>
        </w:tc>
        <w:tc>
          <w:tcPr>
            <w:tcW w:w="2160" w:type="dxa"/>
          </w:tcPr>
          <w:p w:rsidR="007E2225" w:rsidRDefault="009A3BF3">
            <w:r>
              <w:rPr>
                <w:sz w:val="15"/>
              </w:rPr>
              <w:t>Similarity of interventions</w:t>
            </w:r>
          </w:p>
        </w:tc>
        <w:tc>
          <w:tcPr>
            <w:tcW w:w="2160" w:type="dxa"/>
          </w:tcPr>
          <w:p w:rsidR="007E2225" w:rsidRDefault="009A3BF3">
            <w:r>
              <w:rPr>
                <w:sz w:val="15"/>
              </w:rPr>
              <w:t>N/A</w:t>
            </w:r>
          </w:p>
        </w:tc>
        <w:tc>
          <w:tcPr>
            <w:tcW w:w="2160" w:type="dxa"/>
          </w:tcPr>
          <w:p w:rsidR="007E2225" w:rsidRDefault="009A3BF3">
            <w:r>
              <w:rPr>
                <w:sz w:val="15"/>
              </w:rPr>
              <w:t>Interventions intentionally differed; surgery and fixation were standardized.</w:t>
            </w:r>
          </w:p>
        </w:tc>
      </w:tr>
      <w:tr w:rsidR="007E2225">
        <w:trPr>
          <w:jc w:val="center"/>
        </w:trPr>
        <w:tc>
          <w:tcPr>
            <w:tcW w:w="2160" w:type="dxa"/>
          </w:tcPr>
          <w:p w:rsidR="007E2225" w:rsidRDefault="009A3BF3">
            <w:r>
              <w:rPr>
                <w:sz w:val="15"/>
              </w:rPr>
              <w:lastRenderedPageBreak/>
              <w:t>12a</w:t>
            </w:r>
          </w:p>
        </w:tc>
        <w:tc>
          <w:tcPr>
            <w:tcW w:w="2160" w:type="dxa"/>
          </w:tcPr>
          <w:p w:rsidR="007E2225" w:rsidRDefault="009A3BF3">
            <w:r>
              <w:rPr>
                <w:sz w:val="15"/>
              </w:rPr>
              <w:t>Statistical methods</w:t>
            </w:r>
          </w:p>
        </w:tc>
        <w:tc>
          <w:tcPr>
            <w:tcW w:w="2160" w:type="dxa"/>
          </w:tcPr>
          <w:p w:rsidR="007E2225" w:rsidRDefault="009A3BF3">
            <w:r>
              <w:rPr>
                <w:sz w:val="15"/>
              </w:rPr>
              <w:t>Yes</w:t>
            </w:r>
          </w:p>
        </w:tc>
        <w:tc>
          <w:tcPr>
            <w:tcW w:w="2160" w:type="dxa"/>
          </w:tcPr>
          <w:p w:rsidR="007E2225" w:rsidRDefault="009A3BF3">
            <w:r>
              <w:rPr>
                <w:sz w:val="15"/>
              </w:rPr>
              <w:t>Paired t-tests and McNemar’s test are repo</w:t>
            </w:r>
            <w:r>
              <w:rPr>
                <w:sz w:val="15"/>
              </w:rPr>
              <w:t>rted.</w:t>
            </w:r>
          </w:p>
        </w:tc>
      </w:tr>
      <w:tr w:rsidR="007E2225">
        <w:trPr>
          <w:jc w:val="center"/>
        </w:trPr>
        <w:tc>
          <w:tcPr>
            <w:tcW w:w="2160" w:type="dxa"/>
          </w:tcPr>
          <w:p w:rsidR="007E2225" w:rsidRDefault="009A3BF3">
            <w:r>
              <w:rPr>
                <w:sz w:val="15"/>
              </w:rPr>
              <w:t>12b</w:t>
            </w:r>
          </w:p>
        </w:tc>
        <w:tc>
          <w:tcPr>
            <w:tcW w:w="2160" w:type="dxa"/>
          </w:tcPr>
          <w:p w:rsidR="007E2225" w:rsidRDefault="009A3BF3">
            <w:r>
              <w:rPr>
                <w:sz w:val="15"/>
              </w:rPr>
              <w:t>Additional analyses</w:t>
            </w:r>
          </w:p>
        </w:tc>
        <w:tc>
          <w:tcPr>
            <w:tcW w:w="2160" w:type="dxa"/>
          </w:tcPr>
          <w:p w:rsidR="007E2225" w:rsidRDefault="009A3BF3">
            <w:r>
              <w:rPr>
                <w:sz w:val="15"/>
              </w:rPr>
              <w:t>Yes</w:t>
            </w:r>
          </w:p>
        </w:tc>
        <w:tc>
          <w:tcPr>
            <w:tcW w:w="2160" w:type="dxa"/>
          </w:tcPr>
          <w:p w:rsidR="007E2225" w:rsidRDefault="009A3BF3">
            <w:r>
              <w:rPr>
                <w:sz w:val="15"/>
              </w:rPr>
              <w:t>No prespecified subgroup or exploratory analyses were performed.</w:t>
            </w:r>
          </w:p>
        </w:tc>
      </w:tr>
      <w:tr w:rsidR="007E2225">
        <w:trPr>
          <w:jc w:val="center"/>
        </w:trPr>
        <w:tc>
          <w:tcPr>
            <w:tcW w:w="2160" w:type="dxa"/>
          </w:tcPr>
          <w:p w:rsidR="007E2225" w:rsidRDefault="009A3BF3">
            <w:r>
              <w:rPr>
                <w:sz w:val="15"/>
              </w:rPr>
              <w:t>13a</w:t>
            </w:r>
          </w:p>
        </w:tc>
        <w:tc>
          <w:tcPr>
            <w:tcW w:w="2160" w:type="dxa"/>
          </w:tcPr>
          <w:p w:rsidR="007E2225" w:rsidRDefault="009A3BF3">
            <w:r>
              <w:rPr>
                <w:sz w:val="15"/>
              </w:rPr>
              <w:t>Numbers randomized/treated/analyzed</w:t>
            </w:r>
          </w:p>
        </w:tc>
        <w:tc>
          <w:tcPr>
            <w:tcW w:w="2160" w:type="dxa"/>
          </w:tcPr>
          <w:p w:rsidR="007E2225" w:rsidRDefault="009A3BF3">
            <w:r>
              <w:rPr>
                <w:sz w:val="15"/>
              </w:rPr>
              <w:t>Yes</w:t>
            </w:r>
          </w:p>
        </w:tc>
        <w:tc>
          <w:tcPr>
            <w:tcW w:w="2160" w:type="dxa"/>
          </w:tcPr>
          <w:p w:rsidR="007E2225" w:rsidRDefault="009A3BF3">
            <w:r>
              <w:rPr>
                <w:sz w:val="15"/>
              </w:rPr>
              <w:t>16 randomized; 16 PRF sides; 16 control sides; all analyzed.</w:t>
            </w:r>
          </w:p>
        </w:tc>
      </w:tr>
      <w:tr w:rsidR="007E2225">
        <w:trPr>
          <w:jc w:val="center"/>
        </w:trPr>
        <w:tc>
          <w:tcPr>
            <w:tcW w:w="2160" w:type="dxa"/>
          </w:tcPr>
          <w:p w:rsidR="007E2225" w:rsidRDefault="009A3BF3">
            <w:r>
              <w:rPr>
                <w:sz w:val="15"/>
              </w:rPr>
              <w:t>13b</w:t>
            </w:r>
          </w:p>
        </w:tc>
        <w:tc>
          <w:tcPr>
            <w:tcW w:w="2160" w:type="dxa"/>
          </w:tcPr>
          <w:p w:rsidR="007E2225" w:rsidRDefault="009A3BF3">
            <w:r>
              <w:rPr>
                <w:sz w:val="15"/>
              </w:rPr>
              <w:t>Losses/exclusions after randomization</w:t>
            </w:r>
          </w:p>
        </w:tc>
        <w:tc>
          <w:tcPr>
            <w:tcW w:w="2160" w:type="dxa"/>
          </w:tcPr>
          <w:p w:rsidR="007E2225" w:rsidRDefault="009A3BF3">
            <w:r>
              <w:rPr>
                <w:sz w:val="15"/>
              </w:rPr>
              <w:t>Yes</w:t>
            </w:r>
          </w:p>
        </w:tc>
        <w:tc>
          <w:tcPr>
            <w:tcW w:w="2160" w:type="dxa"/>
          </w:tcPr>
          <w:p w:rsidR="007E2225" w:rsidRDefault="009A3BF3">
            <w:r>
              <w:rPr>
                <w:sz w:val="15"/>
              </w:rPr>
              <w:t>None; all 16 completed follow-up.</w:t>
            </w:r>
          </w:p>
        </w:tc>
      </w:tr>
      <w:tr w:rsidR="007E2225">
        <w:trPr>
          <w:jc w:val="center"/>
        </w:trPr>
        <w:tc>
          <w:tcPr>
            <w:tcW w:w="2160" w:type="dxa"/>
          </w:tcPr>
          <w:p w:rsidR="007E2225" w:rsidRDefault="009A3BF3">
            <w:r>
              <w:rPr>
                <w:sz w:val="15"/>
              </w:rPr>
              <w:t>14a</w:t>
            </w:r>
          </w:p>
        </w:tc>
        <w:tc>
          <w:tcPr>
            <w:tcW w:w="2160" w:type="dxa"/>
          </w:tcPr>
          <w:p w:rsidR="007E2225" w:rsidRDefault="009A3BF3">
            <w:r>
              <w:rPr>
                <w:sz w:val="15"/>
              </w:rPr>
              <w:t>Recruitment/follow-up dates</w:t>
            </w:r>
          </w:p>
        </w:tc>
        <w:tc>
          <w:tcPr>
            <w:tcW w:w="2160" w:type="dxa"/>
          </w:tcPr>
          <w:p w:rsidR="007E2225" w:rsidRDefault="009A3BF3">
            <w:r>
              <w:rPr>
                <w:sz w:val="15"/>
              </w:rPr>
              <w:t>Yes</w:t>
            </w:r>
          </w:p>
        </w:tc>
        <w:tc>
          <w:tcPr>
            <w:tcW w:w="2160" w:type="dxa"/>
          </w:tcPr>
          <w:p w:rsidR="007E2225" w:rsidRDefault="009A3BF3">
            <w:r>
              <w:rPr>
                <w:sz w:val="15"/>
              </w:rPr>
              <w:t>May 31, 2025–August 21, 2025; follow-up at 3 and 6 months.</w:t>
            </w:r>
          </w:p>
        </w:tc>
      </w:tr>
      <w:tr w:rsidR="007E2225">
        <w:trPr>
          <w:jc w:val="center"/>
        </w:trPr>
        <w:tc>
          <w:tcPr>
            <w:tcW w:w="2160" w:type="dxa"/>
          </w:tcPr>
          <w:p w:rsidR="007E2225" w:rsidRDefault="009A3BF3">
            <w:r>
              <w:rPr>
                <w:sz w:val="15"/>
              </w:rPr>
              <w:t>14b</w:t>
            </w:r>
          </w:p>
        </w:tc>
        <w:tc>
          <w:tcPr>
            <w:tcW w:w="2160" w:type="dxa"/>
          </w:tcPr>
          <w:p w:rsidR="007E2225" w:rsidRDefault="009A3BF3">
            <w:r>
              <w:rPr>
                <w:sz w:val="15"/>
              </w:rPr>
              <w:t>Why trial ended/stopped</w:t>
            </w:r>
          </w:p>
        </w:tc>
        <w:tc>
          <w:tcPr>
            <w:tcW w:w="2160" w:type="dxa"/>
          </w:tcPr>
          <w:p w:rsidR="007E2225" w:rsidRDefault="009A3BF3">
            <w:r>
              <w:rPr>
                <w:sz w:val="15"/>
              </w:rPr>
              <w:t>Yes</w:t>
            </w:r>
          </w:p>
        </w:tc>
        <w:tc>
          <w:tcPr>
            <w:tcW w:w="2160" w:type="dxa"/>
          </w:tcPr>
          <w:p w:rsidR="007E2225" w:rsidRDefault="009A3BF3">
            <w:r>
              <w:rPr>
                <w:sz w:val="15"/>
              </w:rPr>
              <w:t>Completed as planned; not stopped early.</w:t>
            </w:r>
          </w:p>
        </w:tc>
      </w:tr>
      <w:tr w:rsidR="007E2225">
        <w:trPr>
          <w:jc w:val="center"/>
        </w:trPr>
        <w:tc>
          <w:tcPr>
            <w:tcW w:w="2160" w:type="dxa"/>
          </w:tcPr>
          <w:p w:rsidR="007E2225" w:rsidRDefault="009A3BF3">
            <w:r>
              <w:rPr>
                <w:sz w:val="15"/>
              </w:rPr>
              <w:t>15</w:t>
            </w:r>
          </w:p>
        </w:tc>
        <w:tc>
          <w:tcPr>
            <w:tcW w:w="2160" w:type="dxa"/>
          </w:tcPr>
          <w:p w:rsidR="007E2225" w:rsidRDefault="009A3BF3">
            <w:r>
              <w:rPr>
                <w:sz w:val="15"/>
              </w:rPr>
              <w:t>Baseline characteristics</w:t>
            </w:r>
          </w:p>
        </w:tc>
        <w:tc>
          <w:tcPr>
            <w:tcW w:w="2160" w:type="dxa"/>
          </w:tcPr>
          <w:p w:rsidR="007E2225" w:rsidRDefault="00E576D2">
            <w:r>
              <w:rPr>
                <w:sz w:val="15"/>
              </w:rPr>
              <w:t>Yes</w:t>
            </w:r>
          </w:p>
        </w:tc>
        <w:tc>
          <w:tcPr>
            <w:tcW w:w="2160" w:type="dxa"/>
          </w:tcPr>
          <w:p w:rsidR="007E2225" w:rsidRDefault="00E576D2">
            <w:r w:rsidRPr="00E576D2">
              <w:rPr>
                <w:sz w:val="15"/>
              </w:rPr>
              <w:t>Sixteen patients (50% male and 50% female) with skeletal Class II (18.8%) or Class III mandibular deformities who were scheduled to undergo bilateral sagittal split osteotomy (BSSO) were assessed for eligibility and enrolled in the study. All participants were aged 16 to 36 years or old at the time of enrollment.</w:t>
            </w:r>
          </w:p>
        </w:tc>
      </w:tr>
      <w:tr w:rsidR="007E2225">
        <w:trPr>
          <w:jc w:val="center"/>
        </w:trPr>
        <w:tc>
          <w:tcPr>
            <w:tcW w:w="2160" w:type="dxa"/>
          </w:tcPr>
          <w:p w:rsidR="007E2225" w:rsidRDefault="009A3BF3">
            <w:r>
              <w:rPr>
                <w:sz w:val="15"/>
              </w:rPr>
              <w:t>16</w:t>
            </w:r>
          </w:p>
        </w:tc>
        <w:tc>
          <w:tcPr>
            <w:tcW w:w="2160" w:type="dxa"/>
          </w:tcPr>
          <w:p w:rsidR="007E2225" w:rsidRDefault="009A3BF3">
            <w:r>
              <w:rPr>
                <w:sz w:val="15"/>
              </w:rPr>
              <w:t>Numbers analyzed</w:t>
            </w:r>
          </w:p>
        </w:tc>
        <w:tc>
          <w:tcPr>
            <w:tcW w:w="2160" w:type="dxa"/>
          </w:tcPr>
          <w:p w:rsidR="007E2225" w:rsidRDefault="009A3BF3">
            <w:r>
              <w:rPr>
                <w:sz w:val="15"/>
              </w:rPr>
              <w:t>Yes</w:t>
            </w:r>
          </w:p>
        </w:tc>
        <w:tc>
          <w:tcPr>
            <w:tcW w:w="2160" w:type="dxa"/>
          </w:tcPr>
          <w:p w:rsidR="007E2225" w:rsidRDefault="009A3BF3">
            <w:r>
              <w:rPr>
                <w:sz w:val="15"/>
              </w:rPr>
              <w:t>All 16 randomized participants analyzed according to allocation.</w:t>
            </w:r>
          </w:p>
        </w:tc>
      </w:tr>
      <w:tr w:rsidR="007E2225">
        <w:trPr>
          <w:jc w:val="center"/>
        </w:trPr>
        <w:tc>
          <w:tcPr>
            <w:tcW w:w="2160" w:type="dxa"/>
          </w:tcPr>
          <w:p w:rsidR="007E2225" w:rsidRDefault="009A3BF3">
            <w:r>
              <w:rPr>
                <w:sz w:val="15"/>
              </w:rPr>
              <w:t>17a</w:t>
            </w:r>
          </w:p>
        </w:tc>
        <w:tc>
          <w:tcPr>
            <w:tcW w:w="2160" w:type="dxa"/>
          </w:tcPr>
          <w:p w:rsidR="007E2225" w:rsidRDefault="009A3BF3">
            <w:r>
              <w:rPr>
                <w:sz w:val="15"/>
              </w:rPr>
              <w:t>Effect size and precision</w:t>
            </w:r>
          </w:p>
        </w:tc>
        <w:tc>
          <w:tcPr>
            <w:tcW w:w="2160" w:type="dxa"/>
          </w:tcPr>
          <w:p w:rsidR="007E2225" w:rsidRDefault="009A3BF3">
            <w:r>
              <w:rPr>
                <w:sz w:val="15"/>
              </w:rPr>
              <w:t>Yes</w:t>
            </w:r>
          </w:p>
        </w:tc>
        <w:tc>
          <w:tcPr>
            <w:tcW w:w="2160" w:type="dxa"/>
          </w:tcPr>
          <w:p w:rsidR="007E2225" w:rsidRDefault="009A3BF3">
            <w:r>
              <w:rPr>
                <w:sz w:val="15"/>
              </w:rPr>
              <w:t xml:space="preserve">Means ± SD and P values </w:t>
            </w:r>
            <w:r>
              <w:rPr>
                <w:sz w:val="15"/>
              </w:rPr>
              <w:t>reported; add paired differences and 95% CIs if available.</w:t>
            </w:r>
          </w:p>
        </w:tc>
      </w:tr>
      <w:tr w:rsidR="007E2225">
        <w:trPr>
          <w:jc w:val="center"/>
        </w:trPr>
        <w:tc>
          <w:tcPr>
            <w:tcW w:w="2160" w:type="dxa"/>
          </w:tcPr>
          <w:p w:rsidR="007E2225" w:rsidRDefault="009A3BF3">
            <w:r>
              <w:rPr>
                <w:sz w:val="15"/>
              </w:rPr>
              <w:t>17b</w:t>
            </w:r>
          </w:p>
        </w:tc>
        <w:tc>
          <w:tcPr>
            <w:tcW w:w="2160" w:type="dxa"/>
          </w:tcPr>
          <w:p w:rsidR="007E2225" w:rsidRDefault="009A3BF3">
            <w:r>
              <w:rPr>
                <w:sz w:val="15"/>
              </w:rPr>
              <w:t>Binary outcomes absolute/relative effects</w:t>
            </w:r>
          </w:p>
        </w:tc>
        <w:tc>
          <w:tcPr>
            <w:tcW w:w="2160" w:type="dxa"/>
          </w:tcPr>
          <w:p w:rsidR="007E2225" w:rsidRDefault="009A3BF3">
            <w:r>
              <w:rPr>
                <w:sz w:val="15"/>
              </w:rPr>
              <w:t>N/A</w:t>
            </w:r>
          </w:p>
        </w:tc>
        <w:tc>
          <w:tcPr>
            <w:tcW w:w="2160" w:type="dxa"/>
          </w:tcPr>
          <w:p w:rsidR="007E2225" w:rsidRDefault="009A3BF3" w:rsidP="00E576D2">
            <w:r>
              <w:rPr>
                <w:sz w:val="15"/>
              </w:rPr>
              <w:t xml:space="preserve">Temperature is paired categorical data analyzed by McNemar’s test; </w:t>
            </w:r>
          </w:p>
        </w:tc>
      </w:tr>
      <w:tr w:rsidR="007E2225">
        <w:trPr>
          <w:jc w:val="center"/>
        </w:trPr>
        <w:tc>
          <w:tcPr>
            <w:tcW w:w="2160" w:type="dxa"/>
          </w:tcPr>
          <w:p w:rsidR="007E2225" w:rsidRDefault="009A3BF3">
            <w:r>
              <w:rPr>
                <w:sz w:val="15"/>
              </w:rPr>
              <w:t>18</w:t>
            </w:r>
          </w:p>
        </w:tc>
        <w:tc>
          <w:tcPr>
            <w:tcW w:w="2160" w:type="dxa"/>
          </w:tcPr>
          <w:p w:rsidR="007E2225" w:rsidRDefault="009A3BF3">
            <w:r>
              <w:rPr>
                <w:sz w:val="15"/>
              </w:rPr>
              <w:t>Other analyses</w:t>
            </w:r>
          </w:p>
        </w:tc>
        <w:tc>
          <w:tcPr>
            <w:tcW w:w="2160" w:type="dxa"/>
          </w:tcPr>
          <w:p w:rsidR="007E2225" w:rsidRDefault="009A3BF3">
            <w:r>
              <w:rPr>
                <w:sz w:val="15"/>
              </w:rPr>
              <w:t>N/A</w:t>
            </w:r>
          </w:p>
        </w:tc>
        <w:tc>
          <w:tcPr>
            <w:tcW w:w="2160" w:type="dxa"/>
          </w:tcPr>
          <w:p w:rsidR="007E2225" w:rsidRDefault="009A3BF3">
            <w:r>
              <w:rPr>
                <w:sz w:val="15"/>
              </w:rPr>
              <w:t>No additional anal</w:t>
            </w:r>
            <w:r>
              <w:rPr>
                <w:sz w:val="15"/>
              </w:rPr>
              <w:t>yses performed.</w:t>
            </w:r>
          </w:p>
        </w:tc>
      </w:tr>
      <w:tr w:rsidR="007E2225">
        <w:trPr>
          <w:jc w:val="center"/>
        </w:trPr>
        <w:tc>
          <w:tcPr>
            <w:tcW w:w="2160" w:type="dxa"/>
          </w:tcPr>
          <w:p w:rsidR="007E2225" w:rsidRDefault="009A3BF3">
            <w:r>
              <w:rPr>
                <w:sz w:val="15"/>
              </w:rPr>
              <w:t>19</w:t>
            </w:r>
          </w:p>
        </w:tc>
        <w:tc>
          <w:tcPr>
            <w:tcW w:w="2160" w:type="dxa"/>
          </w:tcPr>
          <w:p w:rsidR="007E2225" w:rsidRDefault="009A3BF3">
            <w:r>
              <w:rPr>
                <w:sz w:val="15"/>
              </w:rPr>
              <w:t>Harms/adverse events</w:t>
            </w:r>
          </w:p>
        </w:tc>
        <w:tc>
          <w:tcPr>
            <w:tcW w:w="2160" w:type="dxa"/>
          </w:tcPr>
          <w:p w:rsidR="007E2225" w:rsidRDefault="009A3BF3">
            <w:r>
              <w:rPr>
                <w:sz w:val="15"/>
              </w:rPr>
              <w:t>Yes</w:t>
            </w:r>
          </w:p>
        </w:tc>
        <w:tc>
          <w:tcPr>
            <w:tcW w:w="2160" w:type="dxa"/>
          </w:tcPr>
          <w:p w:rsidR="007E2225" w:rsidRDefault="009A3BF3">
            <w:r>
              <w:rPr>
                <w:sz w:val="15"/>
              </w:rPr>
              <w:t>No PRF-attributable adverse events reported.</w:t>
            </w:r>
          </w:p>
        </w:tc>
      </w:tr>
      <w:tr w:rsidR="007E2225">
        <w:trPr>
          <w:jc w:val="center"/>
        </w:trPr>
        <w:tc>
          <w:tcPr>
            <w:tcW w:w="2160" w:type="dxa"/>
          </w:tcPr>
          <w:p w:rsidR="007E2225" w:rsidRDefault="009A3BF3">
            <w:r>
              <w:rPr>
                <w:sz w:val="15"/>
              </w:rPr>
              <w:t>20</w:t>
            </w:r>
          </w:p>
        </w:tc>
        <w:tc>
          <w:tcPr>
            <w:tcW w:w="2160" w:type="dxa"/>
          </w:tcPr>
          <w:p w:rsidR="007E2225" w:rsidRDefault="009A3BF3">
            <w:r>
              <w:rPr>
                <w:sz w:val="15"/>
              </w:rPr>
              <w:t>Limitations/bias/imprecision</w:t>
            </w:r>
          </w:p>
        </w:tc>
        <w:tc>
          <w:tcPr>
            <w:tcW w:w="2160" w:type="dxa"/>
          </w:tcPr>
          <w:p w:rsidR="007E2225" w:rsidRDefault="009A3BF3">
            <w:r>
              <w:rPr>
                <w:sz w:val="15"/>
              </w:rPr>
              <w:t>Yes</w:t>
            </w:r>
          </w:p>
        </w:tc>
        <w:tc>
          <w:tcPr>
            <w:tcW w:w="2160" w:type="dxa"/>
          </w:tcPr>
          <w:p w:rsidR="007E2225" w:rsidRDefault="009A3BF3">
            <w:r>
              <w:rPr>
                <w:sz w:val="15"/>
              </w:rPr>
              <w:t>Limitations and lack of surgical blinding discussed.</w:t>
            </w:r>
          </w:p>
        </w:tc>
      </w:tr>
      <w:tr w:rsidR="007E2225">
        <w:trPr>
          <w:jc w:val="center"/>
        </w:trPr>
        <w:tc>
          <w:tcPr>
            <w:tcW w:w="2160" w:type="dxa"/>
          </w:tcPr>
          <w:p w:rsidR="007E2225" w:rsidRDefault="009A3BF3">
            <w:r>
              <w:rPr>
                <w:sz w:val="15"/>
              </w:rPr>
              <w:t>21</w:t>
            </w:r>
          </w:p>
        </w:tc>
        <w:tc>
          <w:tcPr>
            <w:tcW w:w="2160" w:type="dxa"/>
          </w:tcPr>
          <w:p w:rsidR="007E2225" w:rsidRDefault="009A3BF3">
            <w:r>
              <w:rPr>
                <w:sz w:val="15"/>
              </w:rPr>
              <w:t>Generalizability</w:t>
            </w:r>
          </w:p>
        </w:tc>
        <w:tc>
          <w:tcPr>
            <w:tcW w:w="2160" w:type="dxa"/>
          </w:tcPr>
          <w:p w:rsidR="007E2225" w:rsidRDefault="009A3BF3">
            <w:r>
              <w:rPr>
                <w:sz w:val="15"/>
              </w:rPr>
              <w:t>Yes</w:t>
            </w:r>
            <w:bookmarkStart w:id="0" w:name="_GoBack"/>
            <w:bookmarkEnd w:id="0"/>
          </w:p>
        </w:tc>
        <w:tc>
          <w:tcPr>
            <w:tcW w:w="2160" w:type="dxa"/>
          </w:tcPr>
          <w:p w:rsidR="007E2225" w:rsidRDefault="009A3BF3">
            <w:r w:rsidRPr="009A3BF3">
              <w:rPr>
                <w:sz w:val="15"/>
              </w:rPr>
              <w:t>Sixteen patients (50% male and 50% female) with skeletal Class II (18.8%) or Class III mandibular deformities who were scheduled to undergo bilateral sagittal split osteotomy (BSSO) were assessed for eligibility and enrolled in the study. All participants were aged 16 to 36 years or old at the time of enrollment.</w:t>
            </w:r>
          </w:p>
        </w:tc>
      </w:tr>
      <w:tr w:rsidR="007E2225">
        <w:trPr>
          <w:jc w:val="center"/>
        </w:trPr>
        <w:tc>
          <w:tcPr>
            <w:tcW w:w="2160" w:type="dxa"/>
          </w:tcPr>
          <w:p w:rsidR="007E2225" w:rsidRDefault="009A3BF3">
            <w:r>
              <w:rPr>
                <w:sz w:val="15"/>
              </w:rPr>
              <w:t>22</w:t>
            </w:r>
          </w:p>
        </w:tc>
        <w:tc>
          <w:tcPr>
            <w:tcW w:w="2160" w:type="dxa"/>
          </w:tcPr>
          <w:p w:rsidR="007E2225" w:rsidRDefault="009A3BF3">
            <w:r>
              <w:rPr>
                <w:sz w:val="15"/>
              </w:rPr>
              <w:t>Interpretation</w:t>
            </w:r>
          </w:p>
        </w:tc>
        <w:tc>
          <w:tcPr>
            <w:tcW w:w="2160" w:type="dxa"/>
          </w:tcPr>
          <w:p w:rsidR="007E2225" w:rsidRDefault="009A3BF3">
            <w:r>
              <w:rPr>
                <w:sz w:val="15"/>
              </w:rPr>
              <w:t>Yes</w:t>
            </w:r>
          </w:p>
        </w:tc>
        <w:tc>
          <w:tcPr>
            <w:tcW w:w="2160" w:type="dxa"/>
          </w:tcPr>
          <w:p w:rsidR="007E2225" w:rsidRDefault="009A3BF3">
            <w:r>
              <w:rPr>
                <w:sz w:val="15"/>
              </w:rPr>
              <w:t>Benefits and uncertainty about long-term recovery are balanced.</w:t>
            </w:r>
          </w:p>
        </w:tc>
      </w:tr>
      <w:tr w:rsidR="007E2225">
        <w:trPr>
          <w:jc w:val="center"/>
        </w:trPr>
        <w:tc>
          <w:tcPr>
            <w:tcW w:w="2160" w:type="dxa"/>
          </w:tcPr>
          <w:p w:rsidR="007E2225" w:rsidRDefault="009A3BF3">
            <w:r>
              <w:rPr>
                <w:sz w:val="15"/>
              </w:rPr>
              <w:t>23</w:t>
            </w:r>
          </w:p>
        </w:tc>
        <w:tc>
          <w:tcPr>
            <w:tcW w:w="2160" w:type="dxa"/>
          </w:tcPr>
          <w:p w:rsidR="007E2225" w:rsidRDefault="009A3BF3">
            <w:r>
              <w:rPr>
                <w:sz w:val="15"/>
              </w:rPr>
              <w:t>Registration</w:t>
            </w:r>
          </w:p>
        </w:tc>
        <w:tc>
          <w:tcPr>
            <w:tcW w:w="2160" w:type="dxa"/>
          </w:tcPr>
          <w:p w:rsidR="007E2225" w:rsidRDefault="009A3BF3">
            <w:r>
              <w:rPr>
                <w:sz w:val="15"/>
              </w:rPr>
              <w:t>Yes</w:t>
            </w:r>
          </w:p>
        </w:tc>
        <w:tc>
          <w:tcPr>
            <w:tcW w:w="2160" w:type="dxa"/>
          </w:tcPr>
          <w:p w:rsidR="007E2225" w:rsidRDefault="009A3BF3">
            <w:r>
              <w:rPr>
                <w:sz w:val="15"/>
              </w:rPr>
              <w:t>IRCT20250815066858N1; registered August 30, 2025.</w:t>
            </w:r>
          </w:p>
        </w:tc>
      </w:tr>
      <w:tr w:rsidR="007E2225">
        <w:trPr>
          <w:jc w:val="center"/>
        </w:trPr>
        <w:tc>
          <w:tcPr>
            <w:tcW w:w="2160" w:type="dxa"/>
          </w:tcPr>
          <w:p w:rsidR="007E2225" w:rsidRDefault="009A3BF3">
            <w:r>
              <w:rPr>
                <w:sz w:val="15"/>
              </w:rPr>
              <w:t>24</w:t>
            </w:r>
          </w:p>
        </w:tc>
        <w:tc>
          <w:tcPr>
            <w:tcW w:w="2160" w:type="dxa"/>
          </w:tcPr>
          <w:p w:rsidR="007E2225" w:rsidRDefault="009A3BF3">
            <w:r>
              <w:rPr>
                <w:sz w:val="15"/>
              </w:rPr>
              <w:t>Protocol access</w:t>
            </w:r>
          </w:p>
        </w:tc>
        <w:tc>
          <w:tcPr>
            <w:tcW w:w="2160" w:type="dxa"/>
          </w:tcPr>
          <w:p w:rsidR="007E2225" w:rsidRDefault="009A3BF3">
            <w:r>
              <w:rPr>
                <w:sz w:val="15"/>
              </w:rPr>
              <w:t>Yes</w:t>
            </w:r>
          </w:p>
        </w:tc>
        <w:tc>
          <w:tcPr>
            <w:tcW w:w="2160" w:type="dxa"/>
          </w:tcPr>
          <w:p w:rsidR="007E2225" w:rsidRDefault="009A3BF3">
            <w:r>
              <w:rPr>
                <w:sz w:val="15"/>
              </w:rPr>
              <w:t>Protocol available from corresponding authors upon reasonable request.</w:t>
            </w:r>
          </w:p>
        </w:tc>
      </w:tr>
      <w:tr w:rsidR="007E2225">
        <w:trPr>
          <w:jc w:val="center"/>
        </w:trPr>
        <w:tc>
          <w:tcPr>
            <w:tcW w:w="2160" w:type="dxa"/>
          </w:tcPr>
          <w:p w:rsidR="007E2225" w:rsidRDefault="009A3BF3">
            <w:r>
              <w:rPr>
                <w:sz w:val="15"/>
              </w:rPr>
              <w:t>25</w:t>
            </w:r>
          </w:p>
        </w:tc>
        <w:tc>
          <w:tcPr>
            <w:tcW w:w="2160" w:type="dxa"/>
          </w:tcPr>
          <w:p w:rsidR="007E2225" w:rsidRDefault="009A3BF3">
            <w:r>
              <w:rPr>
                <w:sz w:val="15"/>
              </w:rPr>
              <w:t>Funding</w:t>
            </w:r>
          </w:p>
        </w:tc>
        <w:tc>
          <w:tcPr>
            <w:tcW w:w="2160" w:type="dxa"/>
          </w:tcPr>
          <w:p w:rsidR="007E2225" w:rsidRDefault="009A3BF3">
            <w:r>
              <w:rPr>
                <w:sz w:val="15"/>
              </w:rPr>
              <w:t>Yes</w:t>
            </w:r>
          </w:p>
        </w:tc>
        <w:tc>
          <w:tcPr>
            <w:tcW w:w="2160" w:type="dxa"/>
          </w:tcPr>
          <w:p w:rsidR="007E2225" w:rsidRDefault="009A3BF3">
            <w:r>
              <w:rPr>
                <w:sz w:val="15"/>
              </w:rPr>
              <w:t>Authors’ personal financial resources; funders had no role.</w:t>
            </w:r>
          </w:p>
        </w:tc>
      </w:tr>
    </w:tbl>
    <w:p w:rsidR="007E2225" w:rsidRDefault="007E2225"/>
    <w:p w:rsidR="007E2225" w:rsidRDefault="007E2225" w:rsidP="00AC0C5D">
      <w:pPr>
        <w:pStyle w:val="ListBullet"/>
        <w:numPr>
          <w:ilvl w:val="0"/>
          <w:numId w:val="0"/>
        </w:numPr>
        <w:ind w:left="360" w:hanging="360"/>
      </w:pPr>
    </w:p>
    <w:sectPr w:rsidR="007E222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51078C"/>
    <w:rsid w:val="007E2225"/>
    <w:rsid w:val="009A3BF3"/>
    <w:rsid w:val="00AA1D8D"/>
    <w:rsid w:val="00AC0C5D"/>
    <w:rsid w:val="00B47730"/>
    <w:rsid w:val="00CB0664"/>
    <w:rsid w:val="00E576D2"/>
    <w:rsid w:val="00EB5C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60F6E4"/>
  <w14:defaultImageDpi w14:val="300"/>
  <w15:docId w15:val="{3AB9606E-FFE7-4FAB-B63C-DA35EB56B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14C0A-26C0-447C-8028-54DD15BF4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asus</cp:lastModifiedBy>
  <cp:revision>6</cp:revision>
  <cp:lastPrinted>2026-09-14T20:11:00Z</cp:lastPrinted>
  <dcterms:created xsi:type="dcterms:W3CDTF">2026-09-14T20:11:00Z</dcterms:created>
  <dcterms:modified xsi:type="dcterms:W3CDTF">2026-09-14T20:28:00Z</dcterms:modified>
  <cp:category/>
</cp:coreProperties>
</file>