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1A85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Methods</w:t>
      </w:r>
    </w:p>
    <w:p w14:paraId="0371A852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fMRI data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preprocessing</w:t>
      </w:r>
    </w:p>
    <w:p w14:paraId="0371A8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Preprocessing of the functional images involved the following steps: (1) discarding the first 10 time points of functional images to account for magnetic stabilization; (2) slice timing correction to compensate for temporal shifts of different slices; (3) within-subject fMRI image realignment to estimate and spatially correct for head motions of different volumes; (4) rigid-body T1 image registration to the functional mean image and functional image normalization to the Montreal Neurological Institute (MNI) standard space using the T1 images; (5) functional image resampling to 3×3×3 mm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voxel size followed by regressing out confounding signals, including linear trends, white matter (WM), cerebrospinal fluid (CSF), and Friston’s 24 head motion parameters; (6) bandpass filtering (</w:t>
      </w:r>
      <w:r>
        <w:rPr>
          <w:rFonts w:hint="eastAsia" w:ascii="Times New Roman" w:hAnsi="Times New Roman" w:cs="Times New Roman"/>
          <w:sz w:val="24"/>
        </w:rPr>
        <w:t>0.01–0.1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Hz</w:t>
      </w:r>
      <w:r>
        <w:rPr>
          <w:rFonts w:ascii="Times New Roman" w:hAnsi="Times New Roman" w:cs="Times New Roman"/>
          <w:sz w:val="24"/>
        </w:rPr>
        <w:t>) to suppress low-frequency drift and physiological noises (breathing and heartbeat); and (7) functional image spatial smoothing using a 6 mm full-width at half-maximum (FWHM) Gaussian kernel. All data preprocessing was performed on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AFNI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,</w:t>
      </w:r>
      <w:r>
        <w:rPr>
          <w:rFonts w:ascii="宋体" w:hAnsi="宋体" w:eastAsia="宋体" w:cs="宋体"/>
          <w:sz w:val="24"/>
          <w:szCs w:val="24"/>
        </w:rPr>
        <w:t>FSL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and </w:t>
      </w:r>
      <w:r>
        <w:rPr>
          <w:rFonts w:ascii="宋体" w:hAnsi="宋体" w:eastAsia="宋体" w:cs="宋体"/>
          <w:sz w:val="24"/>
          <w:szCs w:val="24"/>
        </w:rPr>
        <w:t>ANTs</w:t>
      </w:r>
      <w:r>
        <w:rPr>
          <w:rFonts w:ascii="Times New Roman" w:hAnsi="Times New Roman" w:cs="Times New Roman"/>
          <w:sz w:val="24"/>
        </w:rPr>
        <w:t>, MATLAB toolbox for batch fMRI data preprocessing.</w:t>
      </w:r>
    </w:p>
    <w:p w14:paraId="0371A854">
      <w:pPr>
        <w:rPr>
          <w:rFonts w:ascii="Times New Roman" w:hAnsi="Times New Roman" w:cs="Times New Roman"/>
          <w:sz w:val="24"/>
        </w:rPr>
      </w:pPr>
    </w:p>
    <w:p w14:paraId="0371A855">
      <w:pPr>
        <w:pageBreakBefore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Figures</w:t>
      </w:r>
    </w:p>
    <w:p w14:paraId="0371A856">
      <w:pPr>
        <w:rPr>
          <w:rFonts w:ascii="Times New Roman" w:hAnsi="Times New Roman" w:cs="Times New Roman"/>
          <w:sz w:val="24"/>
        </w:rPr>
      </w:pPr>
    </w:p>
    <w:p w14:paraId="0371A8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5241925" cy="2000885"/>
            <wp:effectExtent l="0" t="0" r="635" b="10795"/>
            <wp:docPr id="4" name="图片 4" descr="布局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布局1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A858">
      <w:pPr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 xml:space="preserve">Supplementary Figure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hint="eastAsia"/>
        </w:rPr>
        <w:t xml:space="preserve"> 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Correlations of the group-averaged gradient maps between the </w:t>
      </w:r>
      <w:r>
        <w:rPr>
          <w:rFonts w:hint="eastAsia"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 and HC.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These correlations were corrected for spatial autocorrelations by using a permutation test (N = 10,000).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TN, </w:t>
      </w:r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</w:rPr>
        <w:t>Trigeminal Neuralgia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; HC, healthy control.</w:t>
      </w:r>
    </w:p>
    <w:p w14:paraId="0371A859">
      <w:pPr>
        <w:pageBreakBefore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5253355" cy="1468120"/>
            <wp:effectExtent l="0" t="0" r="0" b="0"/>
            <wp:docPr id="5" name="图片 5" descr="补充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补充_04"/>
                    <pic:cNvPicPr>
                      <a:picLocks noChangeAspect="1"/>
                    </pic:cNvPicPr>
                  </pic:nvPicPr>
                  <pic:blipFill>
                    <a:blip r:embed="rId7"/>
                    <a:srcRect t="15203" b="26117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371A85A">
      <w:pPr>
        <w:keepLines/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 xml:space="preserve">Supplementary Figure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>Second</w:t>
      </w:r>
      <w:r>
        <w:rPr>
          <w:rFonts w:hint="eastAsia"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>ary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 connectome gradient.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The group-level connectome gradient mapping of both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(n =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5) and HC (n =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64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) were calculated from group mean functional connectivity matrix. Secondary gradient mapping in patients with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HC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(left). The global (middle) and network-stratified histogram(right) show that the extreme values in the patients with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were contracted relative to those in the HC in the secondary gradient. The system-based differences of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econdary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gradient distribution between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HC were evaluated using two-sample t test with age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sex as covariates. A two-tailed </w:t>
      </w:r>
      <w:r>
        <w:rPr>
          <w:rFonts w:ascii="Times New Roman" w:hAnsi="Times New Roman" w:eastAsia="TimesNewRomanPS-ItalicMT" w:cs="Times New Roman"/>
          <w:i/>
          <w:iCs/>
          <w:color w:val="000000"/>
          <w:kern w:val="0"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&lt; 0.05 after FDR correction for multiple comparisons was considered significant. VIS, visual network; SMN, sensorimotor network; DAN, dorsal attention network; VAN, ventral attention network; SUB,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subcortical regions; LIB, limbic network; FPN, frontoparietal network; DMN, default mode network.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TN, </w:t>
      </w:r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</w:rPr>
        <w:t>Trigeminal Neuralgia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; HC, healthy control.</w:t>
      </w:r>
    </w:p>
    <w:p w14:paraId="0371A85B">
      <w:pPr>
        <w:keepLines/>
        <w:pageBreakBefore/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5269865" cy="3162300"/>
            <wp:effectExtent l="0" t="0" r="3175" b="7620"/>
            <wp:docPr id="6" name="图片 6" descr="补充相关性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补充相关性_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A85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sz w:val="24"/>
        </w:rPr>
        <w:t xml:space="preserve">Supplementary Figure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hint="eastAsia"/>
        </w:rPr>
        <w:t xml:space="preserve"> 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Spatial correlations between secondary gradient and </w:t>
      </w:r>
      <w:r>
        <w:rPr>
          <w:rFonts w:hint="eastAsia"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>gray matter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 volume.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(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A)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Spatial correlation between global secondary gradient and </w:t>
      </w:r>
      <w:r>
        <w:rPr>
          <w:rFonts w:hint="eastAsia" w:ascii="Times New Roman" w:hAnsi="Times New Roman" w:eastAsia="TimesNewRomanPS-BoldMT" w:cs="Times New Roman"/>
          <w:color w:val="000000"/>
          <w:kern w:val="0"/>
          <w:sz w:val="24"/>
          <w:lang w:bidi="ar"/>
        </w:rPr>
        <w:t>gray matter</w:t>
      </w:r>
      <w:r>
        <w:rPr>
          <w:rFonts w:ascii="Times New Roman" w:hAnsi="Times New Roman" w:eastAsia="TimesNewRomanPS-BoldMT" w:cs="Times New Roman"/>
          <w:color w:val="000000"/>
          <w:kern w:val="0"/>
          <w:sz w:val="24"/>
          <w:lang w:bidi="ar"/>
        </w:rPr>
        <w:t xml:space="preserve"> volume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. 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(B)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Network-stratified spatial correlations between secondary gradient and </w:t>
      </w:r>
      <w:r>
        <w:rPr>
          <w:rFonts w:hint="eastAsia" w:ascii="Times New Roman" w:hAnsi="Times New Roman" w:eastAsia="TimesNewRomanPS-BoldMT" w:cs="Times New Roman"/>
          <w:color w:val="000000"/>
          <w:kern w:val="0"/>
          <w:sz w:val="24"/>
          <w:lang w:bidi="ar"/>
        </w:rPr>
        <w:t>gray matter</w:t>
      </w:r>
      <w:r>
        <w:rPr>
          <w:rFonts w:ascii="Times New Roman" w:hAnsi="Times New Roman" w:eastAsia="TimesNewRomanPS-BoldMT" w:cs="Times New Roman"/>
          <w:color w:val="000000"/>
          <w:kern w:val="0"/>
          <w:sz w:val="24"/>
          <w:lang w:bidi="ar"/>
        </w:rPr>
        <w:t xml:space="preserve"> volume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. </w:t>
      </w:r>
      <w:r>
        <w:rPr>
          <w:rFonts w:ascii="Times New Roman" w:hAnsi="Times New Roman" w:eastAsia="TimesNewRomanPS-BoldMT" w:cs="Times New Roman"/>
          <w:b/>
          <w:bCs/>
          <w:color w:val="000000"/>
          <w:kern w:val="0"/>
          <w:sz w:val="24"/>
          <w:lang w:bidi="ar"/>
        </w:rPr>
        <w:t xml:space="preserve">(C)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Global and network-stratified associations between gradient and </w:t>
      </w:r>
      <w:r>
        <w:rPr>
          <w:rFonts w:hint="eastAsia" w:ascii="Times New Roman" w:hAnsi="Times New Roman" w:eastAsia="TimesNewRomanPS-BoldMT" w:cs="Times New Roman"/>
          <w:color w:val="000000"/>
          <w:kern w:val="0"/>
          <w:sz w:val="24"/>
          <w:lang w:bidi="ar"/>
        </w:rPr>
        <w:t>gray matter</w:t>
      </w:r>
      <w:r>
        <w:rPr>
          <w:rFonts w:ascii="Times New Roman" w:hAnsi="Times New Roman" w:eastAsia="TimesNewRomanPS-BoldMT" w:cs="Times New Roman"/>
          <w:color w:val="000000"/>
          <w:kern w:val="0"/>
          <w:sz w:val="24"/>
          <w:lang w:bidi="ar"/>
        </w:rPr>
        <w:t xml:space="preserve"> volum</w:t>
      </w:r>
      <w:r>
        <w:rPr>
          <w:rFonts w:hint="eastAsia" w:ascii="Times New Roman" w:hAnsi="Times New Roman" w:eastAsia="TimesNewRomanPS-BoldMT" w:cs="Times New Roman"/>
          <w:color w:val="000000"/>
          <w:kern w:val="0"/>
          <w:sz w:val="24"/>
          <w:lang w:bidi="ar"/>
        </w:rPr>
        <w:t>e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at the individual level and their group differences between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TN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HC were measured by 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two-sample t test and corrected by FDR. *, </w:t>
      </w:r>
      <w:r>
        <w:rPr>
          <w:rFonts w:ascii="Times New Roman" w:hAnsi="Times New Roman" w:eastAsia="TimesNewRomanPS-ItalicMT" w:cs="Times New Roman"/>
          <w:i/>
          <w:iCs/>
          <w:color w:val="000000"/>
          <w:kern w:val="0"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&lt; 0.05. </w:t>
      </w:r>
    </w:p>
    <w:p w14:paraId="0371A85D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</w:p>
    <w:p w14:paraId="0371A85E">
      <w:pPr>
        <w:keepLines/>
        <w:pageBreakBefore/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drawing>
          <wp:inline distT="0" distB="0" distL="114300" distR="114300">
            <wp:extent cx="4789805" cy="2098040"/>
            <wp:effectExtent l="0" t="0" r="0" b="0"/>
            <wp:docPr id="1" name="图片 1" descr="Results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esults_03"/>
                    <pic:cNvPicPr>
                      <a:picLocks noChangeAspect="1"/>
                    </pic:cNvPicPr>
                  </pic:nvPicPr>
                  <pic:blipFill>
                    <a:blip r:embed="rId9"/>
                    <a:srcRect l="3573" t="8958" r="5063" b="19897"/>
                    <a:stretch>
                      <a:fillRect/>
                    </a:stretch>
                  </pic:blipFill>
                  <pic:spPr>
                    <a:xfrm>
                      <a:off x="0" y="0"/>
                      <a:ext cx="478980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A85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Figure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SEQ Supplementary_Figure \* ARABIC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The percentage of variance in the response variables explained by the components in the partial least square regression analysis.</w:t>
      </w:r>
      <w:r>
        <w:rPr>
          <w:rFonts w:ascii="Times New Roman" w:hAnsi="Times New Roman" w:cs="Times New Roman"/>
          <w:sz w:val="24"/>
        </w:rPr>
        <w:t xml:space="preserve"> The significance level was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determined by a permutation test (N = 10,000) with spatial autocorrelation corrected. PLS, partial least squares.</w:t>
      </w:r>
    </w:p>
    <w:p w14:paraId="0371A860">
      <w:pPr>
        <w:widowControl/>
        <w:jc w:val="left"/>
        <w:rPr>
          <w:rFonts w:ascii="Times New Roman" w:hAnsi="Times New Roman" w:cs="Times New Roman"/>
          <w:sz w:val="24"/>
        </w:rPr>
      </w:pPr>
    </w:p>
    <w:p w14:paraId="0371A861">
      <w:pPr>
        <w:widowControl/>
        <w:jc w:val="left"/>
        <w:rPr>
          <w:rFonts w:ascii="Times New Roman" w:hAnsi="Times New Roman" w:cs="Times New Roman"/>
          <w:sz w:val="24"/>
        </w:rPr>
      </w:pPr>
    </w:p>
    <w:p w14:paraId="3F388D62">
      <w:pPr>
        <w:pStyle w:val="3"/>
        <w:pageBreakBefore/>
        <w:spacing w:before="63" w:line="226" w:lineRule="auto"/>
        <w:ind w:left="0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Table</w:t>
      </w:r>
    </w:p>
    <w:p w14:paraId="68178CB4">
      <w:pPr>
        <w:pStyle w:val="3"/>
        <w:spacing w:before="63" w:line="226" w:lineRule="auto"/>
        <w:ind w:left="26"/>
      </w:pPr>
      <w:r>
        <w:rPr>
          <w:b/>
          <w:bCs/>
          <w:spacing w:val="-1"/>
        </w:rPr>
        <w:t>Supplementary</w:t>
      </w:r>
      <w:r>
        <w:rPr>
          <w:rFonts w:hint="eastAsia" w:eastAsia="宋体"/>
          <w:b/>
          <w:bCs/>
          <w:spacing w:val="-1"/>
          <w:lang w:val="en-US" w:eastAsia="zh-CN"/>
        </w:rPr>
        <w:t xml:space="preserve"> </w:t>
      </w:r>
      <w:r>
        <w:rPr>
          <w:b/>
          <w:bCs/>
          <w:spacing w:val="-1"/>
        </w:rPr>
        <w:t>Table</w:t>
      </w:r>
      <w:r>
        <w:rPr>
          <w:rFonts w:hint="eastAsia" w:eastAsia="宋体"/>
          <w:b/>
          <w:bCs/>
          <w:spacing w:val="-1"/>
          <w:lang w:val="en-US" w:eastAsia="zh-CN"/>
        </w:rPr>
        <w:t xml:space="preserve"> 1 </w:t>
      </w:r>
      <w:r>
        <w:rPr>
          <w:spacing w:val="-1"/>
        </w:rPr>
        <w:t>Between-group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differences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in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the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principal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gradient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scores</w:t>
      </w:r>
      <w:r>
        <w:rPr>
          <w:spacing w:val="23"/>
        </w:rPr>
        <w:t xml:space="preserve">  </w:t>
      </w:r>
      <w:r>
        <w:rPr>
          <w:spacing w:val="-1"/>
        </w:rPr>
        <w:t>of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rFonts w:hint="eastAsia" w:eastAsia="宋体"/>
          <w:lang w:val="en-US" w:eastAsia="zh-CN"/>
        </w:rPr>
        <w:t>n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>etwork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noBreakHyphen/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stratified</w:t>
      </w:r>
      <w:r>
        <w:rPr>
          <w:spacing w:val="-1"/>
        </w:rPr>
        <w:t xml:space="preserve"> in the mean maps</w:t>
      </w:r>
    </w:p>
    <w:p w14:paraId="518B1369">
      <w:pPr>
        <w:spacing w:before="47"/>
      </w:pPr>
    </w:p>
    <w:tbl>
      <w:tblPr>
        <w:tblStyle w:val="12"/>
        <w:tblW w:w="9758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74"/>
        <w:gridCol w:w="1507"/>
        <w:gridCol w:w="1518"/>
        <w:gridCol w:w="1724"/>
        <w:gridCol w:w="1935"/>
      </w:tblGrid>
      <w:tr w14:paraId="5506C1A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30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39AC40">
            <w:pPr>
              <w:pStyle w:val="11"/>
              <w:spacing w:before="58" w:line="190" w:lineRule="auto"/>
              <w:ind w:left="135"/>
            </w:pPr>
            <w:r>
              <w:rPr>
                <w:rFonts w:hint="eastAsia" w:eastAsia="宋体"/>
                <w:lang w:val="en-US" w:eastAsia="zh-CN"/>
              </w:rPr>
              <w:t>n</w:t>
            </w:r>
            <w:r>
              <w:rPr>
                <w:rFonts w:ascii="Times New Roman" w:hAnsi="Times New Roman" w:eastAsia="Segoe UI" w:cs="Times New Roman"/>
                <w:color w:val="0F1115"/>
                <w:sz w:val="24"/>
                <w:szCs w:val="24"/>
                <w:shd w:val="clear" w:color="auto" w:fill="FFFFFF"/>
              </w:rPr>
              <w:t>etwork</w:t>
            </w:r>
            <w:r>
              <w:rPr>
                <w:rFonts w:ascii="Times New Roman" w:hAnsi="Times New Roman" w:eastAsia="Segoe UI" w:cs="Times New Roman"/>
                <w:color w:val="0F1115"/>
                <w:sz w:val="24"/>
                <w:szCs w:val="24"/>
                <w:shd w:val="clear" w:color="auto" w:fill="FFFFFF"/>
              </w:rPr>
              <w:noBreakHyphen/>
            </w:r>
            <w:r>
              <w:rPr>
                <w:rFonts w:hint="eastAsia" w:ascii="Times New Roman" w:hAnsi="Times New Roman" w:eastAsia="宋体" w:cs="Times New Roman"/>
                <w:color w:val="0F1115"/>
                <w:sz w:val="24"/>
                <w:szCs w:val="24"/>
                <w:shd w:val="clear" w:color="auto" w:fill="FFFFFF"/>
                <w:lang w:val="en-US" w:eastAsia="zh-CN"/>
              </w:rPr>
              <w:t>stratified</w:t>
            </w:r>
          </w:p>
        </w:tc>
        <w:tc>
          <w:tcPr>
            <w:tcW w:w="150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38688D">
            <w:pPr>
              <w:pStyle w:val="11"/>
              <w:spacing w:before="90" w:line="162" w:lineRule="auto"/>
              <w:ind w:left="521"/>
              <w:jc w:val="center"/>
            </w:pPr>
            <w:r>
              <w:rPr>
                <w:i/>
                <w:iCs/>
              </w:rPr>
              <w:t>t</w:t>
            </w:r>
          </w:p>
        </w:tc>
        <w:tc>
          <w:tcPr>
            <w:tcW w:w="15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13F2CA">
            <w:pPr>
              <w:pStyle w:val="11"/>
              <w:spacing w:before="58" w:line="190" w:lineRule="auto"/>
              <w:ind w:left="266"/>
              <w:jc w:val="center"/>
            </w:pPr>
            <w:r>
              <w:rPr>
                <w:spacing w:val="-2"/>
              </w:rPr>
              <w:t xml:space="preserve">Cohen’s </w:t>
            </w:r>
            <w:r>
              <w:rPr>
                <w:i/>
                <w:iCs/>
                <w:spacing w:val="-2"/>
              </w:rPr>
              <w:t>d</w:t>
            </w:r>
          </w:p>
        </w:tc>
        <w:tc>
          <w:tcPr>
            <w:tcW w:w="17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527FA8">
            <w:pPr>
              <w:pStyle w:val="11"/>
              <w:spacing w:before="66" w:line="183" w:lineRule="auto"/>
              <w:ind w:left="293"/>
              <w:jc w:val="center"/>
            </w:pPr>
            <w:r>
              <w:rPr>
                <w:i/>
                <w:iCs/>
                <w:spacing w:val="7"/>
              </w:rPr>
              <w:t>P</w:t>
            </w:r>
          </w:p>
        </w:tc>
        <w:tc>
          <w:tcPr>
            <w:tcW w:w="193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DC8C63">
            <w:pPr>
              <w:pStyle w:val="11"/>
              <w:spacing w:before="66" w:line="183" w:lineRule="auto"/>
              <w:ind w:left="302"/>
              <w:jc w:val="center"/>
            </w:pPr>
            <w:r>
              <w:rPr>
                <w:i/>
                <w:iCs/>
              </w:rPr>
              <w:t>FDR</w:t>
            </w:r>
            <w:r>
              <w:rPr>
                <w:i/>
                <w:iCs/>
                <w:spacing w:val="10"/>
              </w:rPr>
              <w:t xml:space="preserve"> </w:t>
            </w:r>
            <w:r>
              <w:rPr>
                <w:i/>
                <w:iCs/>
              </w:rPr>
              <w:t>q</w:t>
            </w:r>
          </w:p>
        </w:tc>
      </w:tr>
      <w:tr w14:paraId="321F0C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074" w:type="dxa"/>
            <w:tcBorders>
              <w:top w:val="single" w:color="000000" w:sz="2" w:space="0"/>
            </w:tcBorders>
            <w:vAlign w:val="top"/>
          </w:tcPr>
          <w:p w14:paraId="04509924">
            <w:pPr>
              <w:pStyle w:val="11"/>
              <w:spacing w:before="55" w:line="173" w:lineRule="auto"/>
              <w:ind w:left="122"/>
            </w:pPr>
            <w:r>
              <w:rPr>
                <w:spacing w:val="-2"/>
              </w:rPr>
              <w:t>Visual network</w:t>
            </w:r>
          </w:p>
        </w:tc>
        <w:tc>
          <w:tcPr>
            <w:tcW w:w="1507" w:type="dxa"/>
            <w:tcBorders>
              <w:top w:val="single" w:color="000000" w:sz="2" w:space="0"/>
            </w:tcBorders>
            <w:vAlign w:val="top"/>
          </w:tcPr>
          <w:p w14:paraId="2500C584">
            <w:pPr>
              <w:pStyle w:val="11"/>
              <w:spacing w:before="59" w:line="169" w:lineRule="auto"/>
              <w:ind w:left="5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47.90</w:t>
            </w:r>
          </w:p>
        </w:tc>
        <w:tc>
          <w:tcPr>
            <w:tcW w:w="1518" w:type="dxa"/>
            <w:tcBorders>
              <w:top w:val="single" w:color="000000" w:sz="2" w:space="0"/>
            </w:tcBorders>
            <w:vAlign w:val="top"/>
          </w:tcPr>
          <w:p w14:paraId="2B7CB8A1">
            <w:pPr>
              <w:pStyle w:val="11"/>
              <w:spacing w:before="59" w:line="169" w:lineRule="auto"/>
              <w:ind w:left="26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</w:rPr>
              <w:t>0.</w:t>
            </w:r>
            <w:r>
              <w:rPr>
                <w:rFonts w:hint="eastAsia" w:eastAsia="宋体"/>
                <w:spacing w:val="-2"/>
                <w:lang w:val="en-US" w:eastAsia="zh-CN"/>
              </w:rPr>
              <w:t>82</w:t>
            </w:r>
          </w:p>
        </w:tc>
        <w:tc>
          <w:tcPr>
            <w:tcW w:w="1724" w:type="dxa"/>
            <w:tcBorders>
              <w:top w:val="single" w:color="000000" w:sz="2" w:space="0"/>
            </w:tcBorders>
            <w:vAlign w:val="top"/>
          </w:tcPr>
          <w:p w14:paraId="2C276710">
            <w:pPr>
              <w:pStyle w:val="11"/>
              <w:spacing w:before="33" w:line="192" w:lineRule="auto"/>
              <w:ind w:left="303"/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tcBorders>
              <w:top w:val="single" w:color="000000" w:sz="2" w:space="0"/>
            </w:tcBorders>
            <w:vAlign w:val="top"/>
          </w:tcPr>
          <w:p w14:paraId="18BCF968">
            <w:pPr>
              <w:pStyle w:val="11"/>
              <w:spacing w:before="33" w:line="192" w:lineRule="auto"/>
              <w:ind w:left="312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4FA492E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3074" w:type="dxa"/>
            <w:vAlign w:val="top"/>
          </w:tcPr>
          <w:p w14:paraId="5D8B2EA3">
            <w:pPr>
              <w:pStyle w:val="11"/>
              <w:spacing w:before="64" w:line="185" w:lineRule="auto"/>
              <w:ind w:left="135"/>
            </w:pPr>
            <w:r>
              <w:rPr>
                <w:spacing w:val="-1"/>
              </w:rPr>
              <w:t>Sensorimotor network</w:t>
            </w:r>
          </w:p>
        </w:tc>
        <w:tc>
          <w:tcPr>
            <w:tcW w:w="1507" w:type="dxa"/>
            <w:vAlign w:val="top"/>
          </w:tcPr>
          <w:p w14:paraId="6148A894">
            <w:pPr>
              <w:pStyle w:val="11"/>
              <w:spacing w:before="68" w:line="181" w:lineRule="auto"/>
              <w:ind w:left="51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56.74</w:t>
            </w:r>
          </w:p>
        </w:tc>
        <w:tc>
          <w:tcPr>
            <w:tcW w:w="1518" w:type="dxa"/>
            <w:vAlign w:val="top"/>
          </w:tcPr>
          <w:p w14:paraId="0F48B624">
            <w:pPr>
              <w:pStyle w:val="11"/>
              <w:spacing w:before="68" w:line="181" w:lineRule="auto"/>
              <w:ind w:left="266"/>
              <w:jc w:val="center"/>
            </w:pPr>
            <w:r>
              <w:rPr>
                <w:spacing w:val="-2"/>
              </w:rPr>
              <w:t>0.97</w:t>
            </w:r>
          </w:p>
        </w:tc>
        <w:tc>
          <w:tcPr>
            <w:tcW w:w="1724" w:type="dxa"/>
            <w:vAlign w:val="top"/>
          </w:tcPr>
          <w:p w14:paraId="2F106A81">
            <w:pPr>
              <w:pStyle w:val="11"/>
              <w:spacing w:before="42" w:line="204" w:lineRule="auto"/>
              <w:ind w:left="303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vAlign w:val="top"/>
          </w:tcPr>
          <w:p w14:paraId="27AE97BF">
            <w:pPr>
              <w:pStyle w:val="11"/>
              <w:spacing w:before="42" w:line="204" w:lineRule="auto"/>
              <w:ind w:left="312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4C446BE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074" w:type="dxa"/>
            <w:vAlign w:val="top"/>
          </w:tcPr>
          <w:p w14:paraId="718776C2">
            <w:pPr>
              <w:pStyle w:val="11"/>
              <w:spacing w:before="56" w:line="172" w:lineRule="auto"/>
              <w:ind w:left="124"/>
            </w:pPr>
            <w:r>
              <w:t>Dorsal attention net</w:t>
            </w:r>
            <w:r>
              <w:rPr>
                <w:spacing w:val="-1"/>
              </w:rPr>
              <w:t>work</w:t>
            </w:r>
          </w:p>
        </w:tc>
        <w:tc>
          <w:tcPr>
            <w:tcW w:w="1507" w:type="dxa"/>
            <w:vAlign w:val="top"/>
          </w:tcPr>
          <w:p w14:paraId="4F40A8AA">
            <w:pPr>
              <w:pStyle w:val="11"/>
              <w:spacing w:before="59" w:line="169" w:lineRule="auto"/>
              <w:ind w:left="539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26.57</w:t>
            </w:r>
          </w:p>
        </w:tc>
        <w:tc>
          <w:tcPr>
            <w:tcW w:w="1518" w:type="dxa"/>
            <w:vAlign w:val="top"/>
          </w:tcPr>
          <w:p w14:paraId="1C190175">
            <w:pPr>
              <w:pStyle w:val="11"/>
              <w:spacing w:before="59" w:line="169" w:lineRule="auto"/>
              <w:ind w:left="26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</w:rPr>
              <w:t>0.</w:t>
            </w:r>
            <w:r>
              <w:rPr>
                <w:rFonts w:hint="eastAsia" w:eastAsia="宋体"/>
                <w:spacing w:val="-2"/>
                <w:lang w:val="en-US" w:eastAsia="zh-CN"/>
              </w:rPr>
              <w:t>45</w:t>
            </w:r>
          </w:p>
        </w:tc>
        <w:tc>
          <w:tcPr>
            <w:tcW w:w="1724" w:type="dxa"/>
            <w:vAlign w:val="top"/>
          </w:tcPr>
          <w:p w14:paraId="164BD889">
            <w:pPr>
              <w:pStyle w:val="11"/>
              <w:spacing w:before="59" w:line="169" w:lineRule="auto"/>
              <w:ind w:left="308"/>
              <w:jc w:val="center"/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vAlign w:val="top"/>
          </w:tcPr>
          <w:p w14:paraId="124D821C">
            <w:pPr>
              <w:pStyle w:val="11"/>
              <w:spacing w:before="59" w:line="169" w:lineRule="auto"/>
              <w:ind w:left="316"/>
              <w:jc w:val="center"/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5CE1287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3074" w:type="dxa"/>
            <w:vAlign w:val="top"/>
          </w:tcPr>
          <w:p w14:paraId="4AE1F3E0">
            <w:pPr>
              <w:pStyle w:val="11"/>
              <w:spacing w:before="65" w:line="174" w:lineRule="auto"/>
              <w:ind w:left="122"/>
            </w:pPr>
            <w:r>
              <w:rPr>
                <w:spacing w:val="-1"/>
              </w:rPr>
              <w:t>Ventral attention net</w:t>
            </w:r>
            <w:r>
              <w:rPr>
                <w:spacing w:val="-2"/>
              </w:rPr>
              <w:t>work</w:t>
            </w:r>
          </w:p>
        </w:tc>
        <w:tc>
          <w:tcPr>
            <w:tcW w:w="1507" w:type="dxa"/>
            <w:vAlign w:val="top"/>
          </w:tcPr>
          <w:p w14:paraId="349EB597">
            <w:pPr>
              <w:pStyle w:val="11"/>
              <w:spacing w:before="69" w:line="171" w:lineRule="auto"/>
              <w:ind w:left="5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0.7573</w:t>
            </w:r>
          </w:p>
        </w:tc>
        <w:tc>
          <w:tcPr>
            <w:tcW w:w="1518" w:type="dxa"/>
            <w:vAlign w:val="top"/>
          </w:tcPr>
          <w:p w14:paraId="4C8DC997">
            <w:pPr>
              <w:pStyle w:val="11"/>
              <w:spacing w:before="69" w:line="171" w:lineRule="auto"/>
              <w:ind w:left="26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</w:rPr>
              <w:t>0.</w:t>
            </w:r>
            <w:r>
              <w:rPr>
                <w:rFonts w:hint="eastAsia" w:eastAsia="宋体"/>
                <w:spacing w:val="-2"/>
                <w:lang w:val="en-US" w:eastAsia="zh-CN"/>
              </w:rPr>
              <w:t>13</w:t>
            </w:r>
          </w:p>
        </w:tc>
        <w:tc>
          <w:tcPr>
            <w:tcW w:w="1724" w:type="dxa"/>
            <w:vAlign w:val="top"/>
          </w:tcPr>
          <w:p w14:paraId="47F55739">
            <w:pPr>
              <w:pStyle w:val="11"/>
              <w:spacing w:before="42" w:line="194" w:lineRule="auto"/>
              <w:ind w:left="303"/>
              <w:jc w:val="center"/>
              <w:rPr>
                <w:rFonts w:hint="default"/>
                <w:sz w:val="15"/>
                <w:szCs w:val="15"/>
                <w:lang w:val="en-US"/>
              </w:rPr>
            </w:pPr>
            <w:r>
              <w:rPr>
                <w:rFonts w:hint="eastAsia" w:eastAsia="宋体"/>
                <w:position w:val="-1"/>
                <w:lang w:val="en-US" w:eastAsia="zh-CN"/>
              </w:rPr>
              <w:t>=0.4489</w:t>
            </w:r>
          </w:p>
        </w:tc>
        <w:tc>
          <w:tcPr>
            <w:tcW w:w="1935" w:type="dxa"/>
            <w:vAlign w:val="top"/>
          </w:tcPr>
          <w:p w14:paraId="7B48771C">
            <w:pPr>
              <w:pStyle w:val="11"/>
              <w:spacing w:before="42" w:line="194" w:lineRule="auto"/>
              <w:ind w:left="312"/>
              <w:jc w:val="center"/>
              <w:rPr>
                <w:rFonts w:hint="default"/>
                <w:sz w:val="15"/>
                <w:szCs w:val="15"/>
                <w:lang w:val="en-US"/>
              </w:rPr>
            </w:pPr>
            <w:r>
              <w:rPr>
                <w:rFonts w:hint="eastAsia" w:eastAsia="宋体"/>
                <w:position w:val="-1"/>
                <w:lang w:val="en-US" w:eastAsia="zh-CN"/>
              </w:rPr>
              <w:t>=0.4489</w:t>
            </w:r>
          </w:p>
        </w:tc>
      </w:tr>
      <w:tr w14:paraId="5C4F61E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074" w:type="dxa"/>
            <w:vAlign w:val="top"/>
          </w:tcPr>
          <w:p w14:paraId="7B5ED58A">
            <w:pPr>
              <w:pStyle w:val="11"/>
              <w:spacing w:before="68" w:line="171" w:lineRule="auto"/>
              <w:ind w:left="124"/>
            </w:pPr>
            <w:r>
              <w:rPr>
                <w:spacing w:val="-1"/>
              </w:rPr>
              <w:t>Subcortical network</w:t>
            </w:r>
          </w:p>
        </w:tc>
        <w:tc>
          <w:tcPr>
            <w:tcW w:w="1507" w:type="dxa"/>
            <w:vAlign w:val="top"/>
          </w:tcPr>
          <w:p w14:paraId="599E2EB5">
            <w:pPr>
              <w:pStyle w:val="11"/>
              <w:spacing w:before="71" w:line="168" w:lineRule="auto"/>
              <w:ind w:left="5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59.75</w:t>
            </w:r>
          </w:p>
        </w:tc>
        <w:tc>
          <w:tcPr>
            <w:tcW w:w="1518" w:type="dxa"/>
            <w:vAlign w:val="top"/>
          </w:tcPr>
          <w:p w14:paraId="36F85F28">
            <w:pPr>
              <w:pStyle w:val="11"/>
              <w:spacing w:before="71" w:line="168" w:lineRule="auto"/>
              <w:ind w:left="26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1.02</w:t>
            </w:r>
          </w:p>
        </w:tc>
        <w:tc>
          <w:tcPr>
            <w:tcW w:w="1724" w:type="dxa"/>
            <w:vAlign w:val="top"/>
          </w:tcPr>
          <w:p w14:paraId="7A095624">
            <w:pPr>
              <w:pStyle w:val="11"/>
              <w:spacing w:before="45" w:line="191" w:lineRule="auto"/>
              <w:ind w:left="303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vAlign w:val="top"/>
          </w:tcPr>
          <w:p w14:paraId="79C75347">
            <w:pPr>
              <w:pStyle w:val="11"/>
              <w:spacing w:before="45" w:line="191" w:lineRule="auto"/>
              <w:ind w:left="312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18951C4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074" w:type="dxa"/>
            <w:vAlign w:val="top"/>
          </w:tcPr>
          <w:p w14:paraId="360F92A6">
            <w:pPr>
              <w:pStyle w:val="11"/>
              <w:spacing w:before="66" w:line="190" w:lineRule="auto"/>
              <w:ind w:left="123"/>
            </w:pPr>
            <w:r>
              <w:rPr>
                <w:spacing w:val="-1"/>
              </w:rPr>
              <w:t>Limbic network</w:t>
            </w:r>
          </w:p>
        </w:tc>
        <w:tc>
          <w:tcPr>
            <w:tcW w:w="1507" w:type="dxa"/>
            <w:vAlign w:val="top"/>
          </w:tcPr>
          <w:p w14:paraId="790D0E27">
            <w:pPr>
              <w:pStyle w:val="11"/>
              <w:spacing w:before="70" w:line="186" w:lineRule="auto"/>
              <w:ind w:left="5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47.22</w:t>
            </w:r>
          </w:p>
        </w:tc>
        <w:tc>
          <w:tcPr>
            <w:tcW w:w="1518" w:type="dxa"/>
            <w:vAlign w:val="top"/>
          </w:tcPr>
          <w:p w14:paraId="794E35B5">
            <w:pPr>
              <w:pStyle w:val="11"/>
              <w:spacing w:before="70" w:line="186" w:lineRule="auto"/>
              <w:ind w:left="26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0.81</w:t>
            </w:r>
          </w:p>
        </w:tc>
        <w:tc>
          <w:tcPr>
            <w:tcW w:w="1724" w:type="dxa"/>
            <w:vAlign w:val="top"/>
          </w:tcPr>
          <w:p w14:paraId="5D06EB97">
            <w:pPr>
              <w:pStyle w:val="11"/>
              <w:spacing w:before="44" w:line="209" w:lineRule="auto"/>
              <w:ind w:left="309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vAlign w:val="top"/>
          </w:tcPr>
          <w:p w14:paraId="64020CC4">
            <w:pPr>
              <w:pStyle w:val="11"/>
              <w:spacing w:before="44" w:line="209" w:lineRule="auto"/>
              <w:ind w:left="312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4EDD09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3074" w:type="dxa"/>
            <w:vAlign w:val="top"/>
          </w:tcPr>
          <w:p w14:paraId="3CDD3CF8">
            <w:pPr>
              <w:pStyle w:val="11"/>
              <w:spacing w:before="45" w:line="171" w:lineRule="auto"/>
              <w:ind w:left="124"/>
            </w:pPr>
            <w:r>
              <w:rPr>
                <w:spacing w:val="-1"/>
              </w:rPr>
              <w:t>Frontoparietal network</w:t>
            </w:r>
          </w:p>
        </w:tc>
        <w:tc>
          <w:tcPr>
            <w:tcW w:w="1507" w:type="dxa"/>
            <w:vAlign w:val="top"/>
          </w:tcPr>
          <w:p w14:paraId="655931C7">
            <w:pPr>
              <w:pStyle w:val="11"/>
              <w:spacing w:before="49" w:line="167" w:lineRule="auto"/>
              <w:ind w:left="52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4.062</w:t>
            </w:r>
          </w:p>
        </w:tc>
        <w:tc>
          <w:tcPr>
            <w:tcW w:w="1518" w:type="dxa"/>
            <w:vAlign w:val="top"/>
          </w:tcPr>
          <w:p w14:paraId="7FE8F501">
            <w:pPr>
              <w:pStyle w:val="11"/>
              <w:spacing w:before="49" w:line="167" w:lineRule="auto"/>
              <w:ind w:left="26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0.69</w:t>
            </w:r>
          </w:p>
        </w:tc>
        <w:tc>
          <w:tcPr>
            <w:tcW w:w="1724" w:type="dxa"/>
            <w:vAlign w:val="top"/>
          </w:tcPr>
          <w:p w14:paraId="7EC3DB53">
            <w:pPr>
              <w:pStyle w:val="11"/>
              <w:spacing w:before="23" w:line="190" w:lineRule="auto"/>
              <w:ind w:left="303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vAlign w:val="top"/>
          </w:tcPr>
          <w:p w14:paraId="04E143CD">
            <w:pPr>
              <w:pStyle w:val="11"/>
              <w:spacing w:before="23" w:line="190" w:lineRule="auto"/>
              <w:ind w:left="312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  <w:tr w14:paraId="2BD51A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3074" w:type="dxa"/>
            <w:tcBorders>
              <w:bottom w:val="single" w:color="000000" w:sz="2" w:space="0"/>
            </w:tcBorders>
            <w:vAlign w:val="top"/>
          </w:tcPr>
          <w:p w14:paraId="2541A049">
            <w:pPr>
              <w:pStyle w:val="11"/>
              <w:spacing w:before="67" w:line="190" w:lineRule="auto"/>
              <w:ind w:left="135"/>
            </w:pPr>
            <w:r>
              <w:rPr>
                <w:spacing w:val="-1"/>
              </w:rPr>
              <w:t>Default mode network</w:t>
            </w:r>
          </w:p>
        </w:tc>
        <w:tc>
          <w:tcPr>
            <w:tcW w:w="1507" w:type="dxa"/>
            <w:tcBorders>
              <w:bottom w:val="single" w:color="000000" w:sz="2" w:space="0"/>
            </w:tcBorders>
            <w:vAlign w:val="top"/>
          </w:tcPr>
          <w:p w14:paraId="5AB9D707">
            <w:pPr>
              <w:pStyle w:val="11"/>
              <w:spacing w:before="71" w:line="186" w:lineRule="auto"/>
              <w:ind w:left="52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56.47</w:t>
            </w:r>
          </w:p>
        </w:tc>
        <w:tc>
          <w:tcPr>
            <w:tcW w:w="1518" w:type="dxa"/>
            <w:tcBorders>
              <w:bottom w:val="single" w:color="000000" w:sz="2" w:space="0"/>
            </w:tcBorders>
            <w:vAlign w:val="top"/>
          </w:tcPr>
          <w:p w14:paraId="4156FC9E">
            <w:pPr>
              <w:pStyle w:val="11"/>
              <w:spacing w:before="71" w:line="186" w:lineRule="auto"/>
              <w:ind w:left="26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0.96</w:t>
            </w:r>
          </w:p>
        </w:tc>
        <w:tc>
          <w:tcPr>
            <w:tcW w:w="1724" w:type="dxa"/>
            <w:tcBorders>
              <w:bottom w:val="single" w:color="000000" w:sz="2" w:space="0"/>
            </w:tcBorders>
            <w:vAlign w:val="top"/>
          </w:tcPr>
          <w:p w14:paraId="636AB73E">
            <w:pPr>
              <w:pStyle w:val="11"/>
              <w:spacing w:before="45" w:line="209" w:lineRule="auto"/>
              <w:ind w:left="304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  <w:tc>
          <w:tcPr>
            <w:tcW w:w="1935" w:type="dxa"/>
            <w:tcBorders>
              <w:bottom w:val="single" w:color="000000" w:sz="2" w:space="0"/>
            </w:tcBorders>
            <w:vAlign w:val="top"/>
          </w:tcPr>
          <w:p w14:paraId="53D2C64F">
            <w:pPr>
              <w:pStyle w:val="11"/>
              <w:spacing w:before="45" w:line="209" w:lineRule="auto"/>
              <w:ind w:left="318"/>
              <w:jc w:val="center"/>
              <w:rPr>
                <w:sz w:val="15"/>
                <w:szCs w:val="15"/>
              </w:rPr>
            </w:pPr>
            <w:r>
              <w:rPr>
                <w:position w:val="-1"/>
              </w:rPr>
              <w:t>&lt;</w:t>
            </w:r>
            <w:r>
              <w:rPr>
                <w:rFonts w:hint="eastAsia" w:eastAsia="宋体"/>
                <w:position w:val="-1"/>
                <w:lang w:val="en-US" w:eastAsia="zh-CN"/>
              </w:rPr>
              <w:t>0.0001</w:t>
            </w:r>
          </w:p>
        </w:tc>
      </w:tr>
    </w:tbl>
    <w:p w14:paraId="3F16BB6C">
      <w:pPr>
        <w:pStyle w:val="3"/>
        <w:spacing w:before="58" w:line="190" w:lineRule="auto"/>
        <w:ind w:left="16"/>
      </w:pPr>
      <w:r>
        <w:t>Abbreviations: FDR, false discovery ra</w:t>
      </w:r>
      <w:r>
        <w:rPr>
          <w:spacing w:val="-1"/>
        </w:rPr>
        <w:t>te.</w:t>
      </w:r>
    </w:p>
    <w:p w14:paraId="06526BFB">
      <w:pPr>
        <w:widowControl/>
        <w:jc w:val="left"/>
        <w:rPr>
          <w:rFonts w:ascii="Times New Roman" w:hAnsi="Times New Roman" w:cs="Times New Roman"/>
          <w:sz w:val="24"/>
        </w:rPr>
      </w:pPr>
    </w:p>
    <w:p w14:paraId="61368088"/>
    <w:p w14:paraId="59EA83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384157"/>
    <w:rsid w:val="000A0756"/>
    <w:rsid w:val="004E1D88"/>
    <w:rsid w:val="00521A18"/>
    <w:rsid w:val="008353B5"/>
    <w:rsid w:val="00D33ECE"/>
    <w:rsid w:val="00FE4C26"/>
    <w:rsid w:val="13FC4407"/>
    <w:rsid w:val="159863B1"/>
    <w:rsid w:val="1735378C"/>
    <w:rsid w:val="1FBD0368"/>
    <w:rsid w:val="20185809"/>
    <w:rsid w:val="206375BB"/>
    <w:rsid w:val="20D11462"/>
    <w:rsid w:val="261A4BC0"/>
    <w:rsid w:val="278C389C"/>
    <w:rsid w:val="2A0A7D59"/>
    <w:rsid w:val="2B7C74A5"/>
    <w:rsid w:val="3773505B"/>
    <w:rsid w:val="39A0609A"/>
    <w:rsid w:val="3EEB27FE"/>
    <w:rsid w:val="483A1C40"/>
    <w:rsid w:val="497942D6"/>
    <w:rsid w:val="49FE1F7F"/>
    <w:rsid w:val="4CE27936"/>
    <w:rsid w:val="4EDB4350"/>
    <w:rsid w:val="4EF46414"/>
    <w:rsid w:val="50D43A3A"/>
    <w:rsid w:val="52801588"/>
    <w:rsid w:val="55A35789"/>
    <w:rsid w:val="68975621"/>
    <w:rsid w:val="6C384157"/>
    <w:rsid w:val="6EA04AC0"/>
    <w:rsid w:val="748C0004"/>
    <w:rsid w:val="75D00657"/>
    <w:rsid w:val="768D208F"/>
    <w:rsid w:val="78320EC2"/>
    <w:rsid w:val="79927E6B"/>
    <w:rsid w:val="7F604567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e3695652-3bf8-4dd9-8ba6-52b1064d394c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371A853</paraID>
      <start>735</start>
      <end>736</end>
      <status>unmodified</status>
      <modifiedWord/>
      <trackRevisions>false</trackRevisions>
    </reviewItem>
    <reviewItem>
      <errorID>ba5c96de-d17d-4546-aa49-1cda22875e54</errorID>
      <errorWord>were</errorWord>
      <group>L1_English</group>
      <groupName>英文问题</groupName>
      <ability>L2_Morphology</ability>
      <abilityName>形态问题</abilityName>
      <candidateList>
        <item>was</item>
      </candidateList>
      <explain>此处疑似主谓不一致，建议将were修改为was</explain>
      <paraID> 371A85A</paraID>
      <start>173</start>
      <end>177</end>
      <status>unmodified</status>
      <modifiedWord/>
      <trackRevisions>false</trackRevisions>
    </reviewItem>
    <reviewItem>
      <errorID>eb8bfd7e-bd62-4c87-b2d3-f51678b05fed</errorID>
      <errorWord>group</errorWord>
      <group>L1_English</group>
      <groupName>英文问题</groupName>
      <ability>L2_Word</ability>
      <abilityName>字词问题</abilityName>
      <candidateList>
        <item>the group</item>
      </candidateList>
      <explain>此处疑似有限定词缺失，建议将单词group修改为the group</explain>
      <paraID> 371A85A</paraID>
      <start>194</start>
      <end>199</end>
      <status>unmodified</status>
      <modifiedWord/>
      <trackRevisions>false</trackRevisions>
    </reviewItem>
    <reviewItem>
      <errorID>a41f5bc9-cf9a-40e3-9276-6be50258cd81</errorID>
      <errorWord>histogram(right</errorWord>
      <group>L1_English</group>
      <groupName>英文问题</groupName>
      <ability>L2_Space</ability>
      <abilityName>空格不规范问题</abilityName>
      <candidateList>
        <item>histogram (right</item>
      </candidateList>
      <explain>疑似单词空格书写不规范，建议将histogram(right修改为histogram (right</explain>
      <paraID> 371A85A</paraID>
      <start>342</start>
      <end>357</end>
      <status>unmodified</status>
      <modifiedWord/>
      <trackRevisions>false</trackRevisions>
    </reviewItem>
    <reviewItem>
      <errorID>a2956115-3611-4f92-973c-97e781cdc1e9</errorID>
      <errorWord>of</errorWord>
      <group>L1_English</group>
      <groupName>英文问题</groupName>
      <ability>L2_Word</ability>
      <abilityName>字词问题</abilityName>
      <candidateList>
        <item>in</item>
      </candidateList>
      <explain>疑似介词使用不当, 建议将of修改为in</explain>
      <paraID> 371A85A</paraID>
      <start>512</start>
      <end>514</end>
      <status>unmodified</status>
      <modifiedWord/>
      <trackRevisions>false</trackRevisions>
    </reviewItem>
    <reviewItem>
      <errorID>27d51c35-6640-4f2b-9852-5822c62cef4a</errorID>
      <errorWord>test</errorWord>
      <group>L1_English</group>
      <groupName>英文问题</groupName>
      <ability>L2_Noun_Number</ability>
      <abilityName>名词单复数问题</abilityName>
      <candidateList>
        <item>tests</item>
      </candidateList>
      <explain>疑似名词单复数使用错误，建议将test修改为tests</explain>
      <paraID> 371A85A</paraID>
      <start>599</start>
      <end>603</end>
      <status>unmodified</status>
      <modifiedWord/>
      <trackRevisions>false</trackRevisions>
    </reviewItem>
    <reviewItem>
      <errorID>f6bbc836-9a66-45d2-91b3-8881037cdcc4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 371A85A</paraID>
      <start>846</start>
      <end>847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2928c2-fbca-4c64-af31-d6084af281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533</Words>
  <Characters>3243</Characters>
  <Lines>24</Lines>
  <Paragraphs>6</Paragraphs>
  <TotalTime>4</TotalTime>
  <ScaleCrop>false</ScaleCrop>
  <LinksUpToDate>false</LinksUpToDate>
  <CharactersWithSpaces>3720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2026-08-20T02:32:00Z</dcterms:created>
  <dc:creator>梦屿千寻</dc:creator>
  <cp:lastModifiedBy>梦屿千寻</cp:lastModifiedBy>
  <dcterms:modified xsi:type="dcterms:W3CDTF">2026-09-05T14:29:42Z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E2C288E384764260A7F5E6087C7A90C4_13</vt:lpwstr>
  </property>
  <property fmtid="{D5CDD505-2E9C-101B-9397-08002B2CF9AE}" pid="4" name="KSOTemplateDocerSaveRecord">
    <vt:lpwstr>eyJoZGlkIjoiZjEyMjE3NzE1MzQ2YzY3NmMwZWQzNWE2ZDMzNzgxYmMiLCJ1c2VySWQiOiI3MTY1OTkwMzEifQ==</vt:lpwstr>
  </property>
</Properties>
</file>