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CE4C1">
      <w:pPr>
        <w:pStyle w:val="2"/>
        <w:spacing w:before="58" w:line="219" w:lineRule="auto"/>
        <w:ind w:left="269"/>
      </w:pPr>
      <w:r>
        <w:rPr>
          <w:spacing w:val="-2"/>
        </w:rPr>
        <w:t>表</w:t>
      </w:r>
      <w:r>
        <w:rPr>
          <w:spacing w:val="-30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4 </w:t>
      </w:r>
      <w:r>
        <w:rPr>
          <w:spacing w:val="-2"/>
        </w:rPr>
        <w:t>使用美罗培南有效组和万古霉素有效组与急性白血病感染患儿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IL-6 </w:t>
      </w:r>
      <w:r>
        <w:rPr>
          <w:spacing w:val="-3"/>
        </w:rPr>
        <w:t>和</w:t>
      </w:r>
    </w:p>
    <w:p w14:paraId="09FB8679">
      <w:pPr>
        <w:pStyle w:val="2"/>
        <w:spacing w:before="183" w:line="221" w:lineRule="auto"/>
        <w:ind w:left="3519"/>
      </w:pPr>
      <w:r>
        <w:rPr>
          <w:rFonts w:ascii="Times New Roman" w:hAnsi="Times New Roman" w:eastAsia="Times New Roman" w:cs="Times New Roman"/>
          <w:spacing w:val="-12"/>
        </w:rPr>
        <w:t>IL- 10</w:t>
      </w:r>
      <w:r>
        <w:rPr>
          <w:rFonts w:ascii="Times New Roman" w:hAnsi="Times New Roman" w:eastAsia="Times New Roman" w:cs="Times New Roman"/>
          <w:spacing w:val="44"/>
        </w:rPr>
        <w:t xml:space="preserve"> </w:t>
      </w:r>
      <w:r>
        <w:rPr>
          <w:spacing w:val="-12"/>
        </w:rPr>
        <w:t>的比较</w:t>
      </w:r>
    </w:p>
    <w:p w14:paraId="0B0F7999">
      <w:pPr>
        <w:spacing w:before="188" w:line="192" w:lineRule="auto"/>
        <w:ind w:left="275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Table</w:t>
      </w:r>
      <w:r>
        <w:rPr>
          <w:rFonts w:ascii="Times New Roman" w:hAnsi="Times New Roman" w:eastAsia="Times New Roman" w:cs="Times New Roman"/>
          <w:spacing w:val="27"/>
          <w:w w:val="10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4 Comparison of</w:t>
      </w:r>
      <w:r>
        <w:rPr>
          <w:rFonts w:ascii="Times New Roman" w:hAnsi="Times New Roman" w:eastAsia="Times New Roman" w:cs="Times New Roman"/>
          <w:spacing w:val="-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IL-6 and IL-  10 Levels in Children with Acute Leukemia</w:t>
      </w:r>
    </w:p>
    <w:p w14:paraId="690A51DA">
      <w:pPr>
        <w:spacing w:before="192" w:line="192" w:lineRule="auto"/>
        <w:ind w:left="27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Infections in the Meropenem-Responsive Group and the Vancomycin-R</w:t>
      </w:r>
      <w:r>
        <w:rPr>
          <w:rFonts w:ascii="Times New Roman" w:hAnsi="Times New Roman" w:eastAsia="Times New Roman" w:cs="Times New Roman"/>
          <w:spacing w:val="-2"/>
          <w:sz w:val="24"/>
          <w:szCs w:val="24"/>
        </w:rPr>
        <w:t>esponsive</w:t>
      </w:r>
    </w:p>
    <w:p w14:paraId="0F5D7BCD">
      <w:pPr>
        <w:spacing w:before="201" w:line="188" w:lineRule="auto"/>
        <w:ind w:left="3879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3"/>
          <w:sz w:val="24"/>
          <w:szCs w:val="24"/>
        </w:rPr>
        <w:t>Group</w:t>
      </w:r>
    </w:p>
    <w:p w14:paraId="06D2C400">
      <w:pPr>
        <w:spacing w:line="126" w:lineRule="exact"/>
      </w:pPr>
    </w:p>
    <w:tbl>
      <w:tblPr>
        <w:tblStyle w:val="5"/>
        <w:tblW w:w="8520" w:type="dxa"/>
        <w:tblInd w:w="13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6"/>
        <w:gridCol w:w="1654"/>
        <w:gridCol w:w="1912"/>
        <w:gridCol w:w="1575"/>
        <w:gridCol w:w="1763"/>
      </w:tblGrid>
      <w:tr w14:paraId="5715D20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7" w:hRule="atLeast"/>
        </w:trPr>
        <w:tc>
          <w:tcPr>
            <w:tcW w:w="1616" w:type="dxa"/>
            <w:tcBorders>
              <w:top w:val="single" w:color="000000" w:sz="8" w:space="0"/>
              <w:bottom w:val="single" w:color="000000" w:sz="2" w:space="0"/>
            </w:tcBorders>
            <w:vAlign w:val="top"/>
          </w:tcPr>
          <w:p w14:paraId="18E2D21B">
            <w:pPr>
              <w:rPr>
                <w:rFonts w:ascii="Arial"/>
                <w:sz w:val="21"/>
              </w:rPr>
            </w:pPr>
          </w:p>
        </w:tc>
        <w:tc>
          <w:tcPr>
            <w:tcW w:w="1654" w:type="dxa"/>
            <w:tcBorders>
              <w:top w:val="single" w:color="000000" w:sz="8" w:space="0"/>
              <w:bottom w:val="single" w:color="000000" w:sz="2" w:space="0"/>
            </w:tcBorders>
            <w:vAlign w:val="top"/>
          </w:tcPr>
          <w:p w14:paraId="399E8F74">
            <w:pPr>
              <w:pStyle w:val="6"/>
              <w:spacing w:before="200" w:line="417" w:lineRule="auto"/>
              <w:ind w:left="404" w:right="288" w:hanging="99"/>
              <w:jc w:val="right"/>
              <w:rPr>
                <w:rFonts w:ascii="宋体" w:hAnsi="宋体" w:eastAsia="宋体" w:cs="宋体"/>
              </w:rPr>
            </w:pPr>
            <w:r>
              <w:rPr>
                <w:spacing w:val="-4"/>
              </w:rPr>
              <w:t>IL-</w:t>
            </w:r>
            <w:r>
              <w:rPr>
                <w:spacing w:val="-25"/>
              </w:rPr>
              <w:t xml:space="preserve"> </w:t>
            </w:r>
            <w:r>
              <w:rPr>
                <w:spacing w:val="-4"/>
              </w:rPr>
              <w:t>10</w:t>
            </w:r>
            <w:r>
              <w:rPr>
                <w:spacing w:val="16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</w:rPr>
              <w:t>明显升</w:t>
            </w:r>
            <w:r>
              <w:rPr>
                <w:rFonts w:ascii="宋体" w:hAnsi="宋体" w:eastAsia="宋体" w:cs="宋体"/>
                <w:spacing w:val="8"/>
              </w:rPr>
              <w:t>高同时</w:t>
            </w:r>
            <w:r>
              <w:t>IL</w:t>
            </w:r>
            <w:r>
              <w:rPr>
                <w:spacing w:val="8"/>
              </w:rPr>
              <w:t>-6</w:t>
            </w:r>
            <w:r>
              <w:rPr>
                <w:rFonts w:ascii="宋体" w:hAnsi="宋体" w:eastAsia="宋体" w:cs="宋体"/>
                <w:spacing w:val="-3"/>
              </w:rPr>
              <w:t>明显升高</w:t>
            </w:r>
          </w:p>
        </w:tc>
        <w:tc>
          <w:tcPr>
            <w:tcW w:w="1912" w:type="dxa"/>
            <w:tcBorders>
              <w:top w:val="single" w:color="000000" w:sz="8" w:space="0"/>
              <w:bottom w:val="single" w:color="000000" w:sz="2" w:space="0"/>
            </w:tcBorders>
            <w:vAlign w:val="top"/>
          </w:tcPr>
          <w:p w14:paraId="46A65784">
            <w:pPr>
              <w:pStyle w:val="6"/>
              <w:spacing w:before="197" w:line="228" w:lineRule="auto"/>
              <w:ind w:left="407"/>
              <w:rPr>
                <w:rFonts w:ascii="宋体" w:hAnsi="宋体" w:eastAsia="宋体" w:cs="宋体"/>
              </w:rPr>
            </w:pPr>
            <w:r>
              <w:rPr>
                <w:spacing w:val="-2"/>
              </w:rPr>
              <w:t>IL-6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</w:rPr>
              <w:t>明显升</w:t>
            </w:r>
          </w:p>
          <w:p w14:paraId="3CD7C867">
            <w:pPr>
              <w:pStyle w:val="6"/>
              <w:spacing w:before="192" w:line="412" w:lineRule="auto"/>
              <w:ind w:left="296" w:right="395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2"/>
              </w:rPr>
              <w:t>高</w:t>
            </w:r>
            <w:r>
              <w:rPr>
                <w:spacing w:val="2"/>
              </w:rPr>
              <w:t>,</w:t>
            </w:r>
            <w:r>
              <w:t>IL</w:t>
            </w:r>
            <w:r>
              <w:rPr>
                <w:spacing w:val="2"/>
              </w:rPr>
              <w:t>-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10</w:t>
            </w:r>
            <w:r>
              <w:rPr>
                <w:rFonts w:ascii="宋体" w:hAnsi="宋体" w:eastAsia="宋体" w:cs="宋体"/>
                <w:spacing w:val="2"/>
              </w:rPr>
              <w:t>不升</w:t>
            </w:r>
            <w:r>
              <w:rPr>
                <w:rFonts w:ascii="宋体" w:hAnsi="宋体" w:eastAsia="宋体" w:cs="宋体"/>
                <w:spacing w:val="13"/>
              </w:rPr>
              <w:t>高或升高不明</w:t>
            </w:r>
          </w:p>
          <w:p w14:paraId="1790DAF3">
            <w:pPr>
              <w:spacing w:before="6" w:line="212" w:lineRule="auto"/>
              <w:ind w:left="91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显</w:t>
            </w:r>
          </w:p>
        </w:tc>
        <w:tc>
          <w:tcPr>
            <w:tcW w:w="1575" w:type="dxa"/>
            <w:tcBorders>
              <w:top w:val="single" w:color="000000" w:sz="8" w:space="0"/>
              <w:bottom w:val="single" w:color="000000" w:sz="2" w:space="0"/>
            </w:tcBorders>
            <w:vAlign w:val="top"/>
          </w:tcPr>
          <w:p w14:paraId="1E50F3A5">
            <w:pPr>
              <w:pStyle w:val="6"/>
              <w:spacing w:before="216" w:line="228" w:lineRule="auto"/>
              <w:ind w:left="568"/>
              <w:rPr>
                <w:rFonts w:ascii="宋体" w:hAnsi="宋体" w:eastAsia="宋体" w:cs="宋体"/>
              </w:rPr>
            </w:pPr>
            <w:r>
              <w:rPr>
                <w:spacing w:val="4"/>
              </w:rPr>
              <w:t>X2</w:t>
            </w:r>
            <w:r>
              <w:rPr>
                <w:spacing w:val="7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</w:rPr>
              <w:t>值</w:t>
            </w:r>
          </w:p>
        </w:tc>
        <w:tc>
          <w:tcPr>
            <w:tcW w:w="1763" w:type="dxa"/>
            <w:tcBorders>
              <w:top w:val="single" w:color="000000" w:sz="8" w:space="0"/>
              <w:bottom w:val="single" w:color="000000" w:sz="2" w:space="0"/>
            </w:tcBorders>
            <w:vAlign w:val="top"/>
          </w:tcPr>
          <w:p w14:paraId="3B63669F">
            <w:pPr>
              <w:pStyle w:val="6"/>
              <w:spacing w:before="165" w:line="218" w:lineRule="auto"/>
              <w:ind w:left="72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i/>
                <w:iCs/>
                <w:spacing w:val="6"/>
              </w:rPr>
              <w:t>P</w:t>
            </w:r>
            <w:r>
              <w:rPr>
                <w:i/>
                <w:iCs/>
                <w:spacing w:val="7"/>
              </w:rPr>
              <w:t xml:space="preserve">  </w:t>
            </w:r>
            <w:r>
              <w:rPr>
                <w:rFonts w:ascii="宋体" w:hAnsi="宋体" w:eastAsia="宋体" w:cs="宋体"/>
                <w:i/>
                <w:iCs/>
                <w:spacing w:val="6"/>
                <w:sz w:val="21"/>
                <w:szCs w:val="21"/>
              </w:rPr>
              <w:t>值</w:t>
            </w:r>
          </w:p>
        </w:tc>
      </w:tr>
      <w:tr w14:paraId="71B9307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616" w:type="dxa"/>
            <w:tcBorders>
              <w:top w:val="single" w:color="000000" w:sz="2" w:space="0"/>
            </w:tcBorders>
            <w:vAlign w:val="top"/>
          </w:tcPr>
          <w:p w14:paraId="6E82EB4B">
            <w:pPr>
              <w:spacing w:before="249" w:line="229" w:lineRule="auto"/>
              <w:ind w:left="16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美罗培南有效</w:t>
            </w:r>
          </w:p>
        </w:tc>
        <w:tc>
          <w:tcPr>
            <w:tcW w:w="1654" w:type="dxa"/>
            <w:tcBorders>
              <w:top w:val="single" w:color="000000" w:sz="2" w:space="0"/>
            </w:tcBorders>
            <w:vAlign w:val="top"/>
          </w:tcPr>
          <w:p w14:paraId="0BE2B741">
            <w:pPr>
              <w:pStyle w:val="6"/>
              <w:spacing w:before="267" w:line="195" w:lineRule="auto"/>
              <w:ind w:left="844"/>
            </w:pPr>
            <w:r>
              <w:rPr>
                <w:spacing w:val="3"/>
              </w:rPr>
              <w:t>27</w:t>
            </w:r>
          </w:p>
        </w:tc>
        <w:tc>
          <w:tcPr>
            <w:tcW w:w="1912" w:type="dxa"/>
            <w:tcBorders>
              <w:top w:val="single" w:color="000000" w:sz="2" w:space="0"/>
            </w:tcBorders>
            <w:vAlign w:val="top"/>
          </w:tcPr>
          <w:p w14:paraId="7C0A7165">
            <w:pPr>
              <w:pStyle w:val="6"/>
              <w:spacing w:before="269" w:line="192" w:lineRule="auto"/>
              <w:ind w:left="969"/>
            </w:pPr>
            <w:r>
              <w:t>5</w:t>
            </w:r>
          </w:p>
        </w:tc>
        <w:tc>
          <w:tcPr>
            <w:tcW w:w="1575" w:type="dxa"/>
            <w:vMerge w:val="restart"/>
            <w:tcBorders>
              <w:top w:val="single" w:color="000000" w:sz="2" w:space="0"/>
            </w:tcBorders>
            <w:vAlign w:val="top"/>
          </w:tcPr>
          <w:p w14:paraId="76ACC6A5">
            <w:pPr>
              <w:pStyle w:val="6"/>
              <w:spacing w:before="89" w:line="195" w:lineRule="auto"/>
              <w:ind w:left="462"/>
              <w:rPr>
                <w:spacing w:val="3"/>
              </w:rPr>
            </w:pPr>
          </w:p>
          <w:p w14:paraId="469C1BA9">
            <w:pPr>
              <w:pStyle w:val="6"/>
              <w:spacing w:before="89" w:line="195" w:lineRule="auto"/>
              <w:ind w:left="462"/>
              <w:rPr>
                <w:spacing w:val="3"/>
              </w:rPr>
            </w:pPr>
          </w:p>
          <w:p w14:paraId="385EEF87">
            <w:pPr>
              <w:pStyle w:val="6"/>
              <w:spacing w:before="89" w:line="195" w:lineRule="auto"/>
              <w:ind w:left="462"/>
              <w:rPr>
                <w:spacing w:val="3"/>
              </w:rPr>
            </w:pPr>
          </w:p>
          <w:p w14:paraId="685D3355">
            <w:pPr>
              <w:pStyle w:val="6"/>
              <w:spacing w:before="89" w:line="195" w:lineRule="auto"/>
              <w:ind w:left="462"/>
            </w:pPr>
            <w:r>
              <w:rPr>
                <w:spacing w:val="3"/>
              </w:rPr>
              <w:t>35.223</w:t>
            </w:r>
          </w:p>
        </w:tc>
        <w:tc>
          <w:tcPr>
            <w:tcW w:w="1763" w:type="dxa"/>
            <w:vMerge w:val="restart"/>
            <w:tcBorders>
              <w:top w:val="single" w:color="000000" w:sz="2" w:space="0"/>
            </w:tcBorders>
            <w:vAlign w:val="top"/>
          </w:tcPr>
          <w:p w14:paraId="0081698E">
            <w:pPr>
              <w:pStyle w:val="6"/>
              <w:spacing w:before="89" w:line="195" w:lineRule="auto"/>
              <w:ind w:left="538"/>
              <w:rPr>
                <w:spacing w:val="4"/>
              </w:rPr>
            </w:pPr>
          </w:p>
          <w:p w14:paraId="6DA98988">
            <w:pPr>
              <w:pStyle w:val="6"/>
              <w:spacing w:before="89" w:line="195" w:lineRule="auto"/>
              <w:ind w:left="538"/>
              <w:rPr>
                <w:spacing w:val="4"/>
              </w:rPr>
            </w:pPr>
          </w:p>
          <w:p w14:paraId="2078479D">
            <w:pPr>
              <w:pStyle w:val="6"/>
              <w:spacing w:before="89" w:line="195" w:lineRule="auto"/>
              <w:ind w:left="538"/>
              <w:rPr>
                <w:spacing w:val="4"/>
              </w:rPr>
            </w:pPr>
          </w:p>
          <w:p w14:paraId="3EC30497">
            <w:pPr>
              <w:pStyle w:val="6"/>
              <w:spacing w:before="89" w:line="195" w:lineRule="auto"/>
              <w:ind w:left="538"/>
            </w:pPr>
            <w:bookmarkStart w:id="0" w:name="_GoBack"/>
            <w:bookmarkEnd w:id="0"/>
            <w:r>
              <w:rPr>
                <w:spacing w:val="4"/>
              </w:rPr>
              <w:t>&lt;0 .001</w:t>
            </w:r>
          </w:p>
        </w:tc>
      </w:tr>
      <w:tr w14:paraId="77EAE9F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616" w:type="dxa"/>
            <w:vAlign w:val="top"/>
          </w:tcPr>
          <w:p w14:paraId="6645B223">
            <w:pPr>
              <w:pStyle w:val="6"/>
              <w:spacing w:before="74" w:line="268" w:lineRule="exact"/>
              <w:ind w:left="289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4"/>
                <w:position w:val="1"/>
              </w:rPr>
              <w:t>组（</w:t>
            </w:r>
            <w:r>
              <w:rPr>
                <w:spacing w:val="4"/>
                <w:position w:val="1"/>
              </w:rPr>
              <w:t>n=32</w:t>
            </w:r>
            <w:r>
              <w:rPr>
                <w:rFonts w:ascii="宋体" w:hAnsi="宋体" w:eastAsia="宋体" w:cs="宋体"/>
                <w:spacing w:val="4"/>
                <w:position w:val="1"/>
              </w:rPr>
              <w:t>）</w:t>
            </w:r>
          </w:p>
        </w:tc>
        <w:tc>
          <w:tcPr>
            <w:tcW w:w="1654" w:type="dxa"/>
            <w:vAlign w:val="top"/>
          </w:tcPr>
          <w:p w14:paraId="7EA15FCE">
            <w:pPr>
              <w:pStyle w:val="6"/>
              <w:spacing w:before="91" w:line="221" w:lineRule="auto"/>
              <w:ind w:left="469"/>
            </w:pPr>
            <w:r>
              <w:rPr>
                <w:rFonts w:ascii="宋体" w:hAnsi="宋体" w:eastAsia="宋体" w:cs="宋体"/>
                <w:spacing w:val="2"/>
              </w:rPr>
              <w:t>（</w:t>
            </w:r>
            <w:r>
              <w:rPr>
                <w:spacing w:val="2"/>
              </w:rPr>
              <w:t>84.38%)</w:t>
            </w:r>
          </w:p>
        </w:tc>
        <w:tc>
          <w:tcPr>
            <w:tcW w:w="1912" w:type="dxa"/>
            <w:vAlign w:val="top"/>
          </w:tcPr>
          <w:p w14:paraId="674DC524">
            <w:pPr>
              <w:pStyle w:val="6"/>
              <w:spacing w:before="91" w:line="221" w:lineRule="auto"/>
              <w:ind w:left="521"/>
            </w:pPr>
            <w:r>
              <w:rPr>
                <w:rFonts w:ascii="宋体" w:hAnsi="宋体" w:eastAsia="宋体" w:cs="宋体"/>
                <w:spacing w:val="2"/>
              </w:rPr>
              <w:t>（</w:t>
            </w:r>
            <w:r>
              <w:rPr>
                <w:spacing w:val="2"/>
              </w:rPr>
              <w:t>15.62%)</w:t>
            </w:r>
          </w:p>
        </w:tc>
        <w:tc>
          <w:tcPr>
            <w:tcW w:w="1575" w:type="dxa"/>
            <w:vMerge w:val="continue"/>
            <w:tcBorders/>
            <w:vAlign w:val="top"/>
          </w:tcPr>
          <w:p w14:paraId="1BE4D69F"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vMerge w:val="continue"/>
            <w:tcBorders/>
            <w:vAlign w:val="top"/>
          </w:tcPr>
          <w:p w14:paraId="79D69C40">
            <w:pPr>
              <w:rPr>
                <w:rFonts w:ascii="Arial"/>
                <w:sz w:val="21"/>
              </w:rPr>
            </w:pPr>
          </w:p>
        </w:tc>
      </w:tr>
      <w:tr w14:paraId="619DC52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616" w:type="dxa"/>
            <w:vAlign w:val="top"/>
          </w:tcPr>
          <w:p w14:paraId="2A3BD8C5">
            <w:pPr>
              <w:spacing w:before="186" w:line="228" w:lineRule="auto"/>
              <w:ind w:left="18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万古霉素有效</w:t>
            </w:r>
          </w:p>
        </w:tc>
        <w:tc>
          <w:tcPr>
            <w:tcW w:w="1654" w:type="dxa"/>
            <w:vAlign w:val="top"/>
          </w:tcPr>
          <w:p w14:paraId="735950CD">
            <w:pPr>
              <w:pStyle w:val="6"/>
              <w:spacing w:before="216" w:line="195" w:lineRule="auto"/>
              <w:ind w:left="915"/>
            </w:pPr>
            <w:r>
              <w:t>3</w:t>
            </w:r>
          </w:p>
        </w:tc>
        <w:tc>
          <w:tcPr>
            <w:tcW w:w="1912" w:type="dxa"/>
            <w:vAlign w:val="top"/>
          </w:tcPr>
          <w:p w14:paraId="461B89C7">
            <w:pPr>
              <w:pStyle w:val="6"/>
              <w:spacing w:before="216" w:line="195" w:lineRule="auto"/>
              <w:ind w:left="894"/>
            </w:pPr>
            <w:r>
              <w:rPr>
                <w:spacing w:val="3"/>
              </w:rPr>
              <w:t>28</w:t>
            </w:r>
          </w:p>
        </w:tc>
        <w:tc>
          <w:tcPr>
            <w:tcW w:w="1575" w:type="dxa"/>
            <w:vMerge w:val="continue"/>
            <w:tcBorders/>
            <w:vAlign w:val="top"/>
          </w:tcPr>
          <w:p w14:paraId="4E5C4EA7">
            <w:pPr>
              <w:pStyle w:val="6"/>
              <w:spacing w:before="89" w:line="195" w:lineRule="auto"/>
              <w:ind w:left="462"/>
            </w:pPr>
          </w:p>
        </w:tc>
        <w:tc>
          <w:tcPr>
            <w:tcW w:w="1763" w:type="dxa"/>
            <w:vMerge w:val="continue"/>
            <w:tcBorders/>
            <w:vAlign w:val="top"/>
          </w:tcPr>
          <w:p w14:paraId="03D02B32">
            <w:pPr>
              <w:pStyle w:val="6"/>
              <w:spacing w:before="89" w:line="195" w:lineRule="auto"/>
              <w:ind w:left="538"/>
            </w:pPr>
          </w:p>
        </w:tc>
      </w:tr>
      <w:tr w14:paraId="268A5B4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1616" w:type="dxa"/>
            <w:tcBorders>
              <w:bottom w:val="single" w:color="000000" w:sz="8" w:space="0"/>
            </w:tcBorders>
            <w:vAlign w:val="top"/>
          </w:tcPr>
          <w:p w14:paraId="740A3522">
            <w:pPr>
              <w:pStyle w:val="6"/>
              <w:spacing w:before="49" w:line="268" w:lineRule="exact"/>
              <w:ind w:left="289"/>
              <w:rPr>
                <w:rFonts w:ascii="宋体" w:hAnsi="宋体" w:eastAsia="宋体" w:cs="宋体"/>
              </w:rPr>
            </w:pPr>
            <w:r>
              <w:rPr>
                <w:rFonts w:ascii="宋体" w:hAnsi="宋体" w:eastAsia="宋体" w:cs="宋体"/>
                <w:spacing w:val="5"/>
                <w:position w:val="1"/>
              </w:rPr>
              <w:t>组（</w:t>
            </w:r>
            <w:r>
              <w:rPr>
                <w:spacing w:val="5"/>
                <w:position w:val="1"/>
              </w:rPr>
              <w:t>n=31</w:t>
            </w:r>
            <w:r>
              <w:rPr>
                <w:rFonts w:ascii="宋体" w:hAnsi="宋体" w:eastAsia="宋体" w:cs="宋体"/>
                <w:spacing w:val="5"/>
                <w:position w:val="1"/>
              </w:rPr>
              <w:t>）</w:t>
            </w:r>
          </w:p>
        </w:tc>
        <w:tc>
          <w:tcPr>
            <w:tcW w:w="1654" w:type="dxa"/>
            <w:tcBorders>
              <w:bottom w:val="single" w:color="000000" w:sz="8" w:space="0"/>
            </w:tcBorders>
            <w:vAlign w:val="top"/>
          </w:tcPr>
          <w:p w14:paraId="68519D1E">
            <w:pPr>
              <w:pStyle w:val="6"/>
              <w:spacing w:before="131" w:line="221" w:lineRule="auto"/>
              <w:ind w:left="529"/>
            </w:pPr>
            <w:r>
              <w:rPr>
                <w:rFonts w:ascii="宋体" w:hAnsi="宋体" w:eastAsia="宋体" w:cs="宋体"/>
                <w:spacing w:val="2"/>
              </w:rPr>
              <w:t>（</w:t>
            </w:r>
            <w:r>
              <w:rPr>
                <w:spacing w:val="2"/>
              </w:rPr>
              <w:t>9.68%)</w:t>
            </w:r>
          </w:p>
        </w:tc>
        <w:tc>
          <w:tcPr>
            <w:tcW w:w="1912" w:type="dxa"/>
            <w:tcBorders>
              <w:bottom w:val="single" w:color="000000" w:sz="8" w:space="0"/>
            </w:tcBorders>
            <w:vAlign w:val="top"/>
          </w:tcPr>
          <w:p w14:paraId="5C3F29DA">
            <w:pPr>
              <w:pStyle w:val="6"/>
              <w:spacing w:before="131" w:line="221" w:lineRule="auto"/>
              <w:ind w:left="521"/>
            </w:pPr>
            <w:r>
              <w:rPr>
                <w:rFonts w:ascii="宋体" w:hAnsi="宋体" w:eastAsia="宋体" w:cs="宋体"/>
                <w:spacing w:val="2"/>
              </w:rPr>
              <w:t>（</w:t>
            </w:r>
            <w:r>
              <w:rPr>
                <w:spacing w:val="2"/>
              </w:rPr>
              <w:t>90.32%)</w:t>
            </w:r>
          </w:p>
        </w:tc>
        <w:tc>
          <w:tcPr>
            <w:tcW w:w="1575" w:type="dxa"/>
            <w:vMerge w:val="continue"/>
            <w:tcBorders>
              <w:bottom w:val="single" w:color="000000" w:sz="8" w:space="0"/>
            </w:tcBorders>
            <w:vAlign w:val="top"/>
          </w:tcPr>
          <w:p w14:paraId="55750F71">
            <w:pPr>
              <w:rPr>
                <w:rFonts w:ascii="Arial"/>
                <w:sz w:val="21"/>
              </w:rPr>
            </w:pPr>
          </w:p>
        </w:tc>
        <w:tc>
          <w:tcPr>
            <w:tcW w:w="1763" w:type="dxa"/>
            <w:vMerge w:val="continue"/>
            <w:tcBorders>
              <w:bottom w:val="single" w:color="000000" w:sz="8" w:space="0"/>
            </w:tcBorders>
            <w:vAlign w:val="top"/>
          </w:tcPr>
          <w:p w14:paraId="4EB6144B">
            <w:pPr>
              <w:rPr>
                <w:rFonts w:ascii="Arial"/>
                <w:sz w:val="21"/>
              </w:rPr>
            </w:pPr>
          </w:p>
        </w:tc>
      </w:tr>
    </w:tbl>
    <w:p w14:paraId="1C0099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165786"/>
    <w:rsid w:val="5516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2026-09-09T12:48:00Z</dcterms:created>
  <dc:creator>倾刻</dc:creator>
  <cp:lastModifiedBy>倾刻</cp:lastModifiedBy>
  <dcterms:modified xsi:type="dcterms:W3CDTF">2026-09-09T12:48:56Z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B5C59920DFE24108ACFD26C5B2C4EE1B_11</vt:lpwstr>
  </property>
  <property fmtid="{D5CDD505-2E9C-101B-9397-08002B2CF9AE}" pid="4" name="KSOTemplateDocerSaveRecord">
    <vt:lpwstr>eyJoZGlkIjoiNGNlOTY2MmFkNjJjNDYyY2VkMzk3N2U4NWRiMGIzZjAiLCJ1c2VySWQiOiI0MzU4NDY4ODEifQ==</vt:lpwstr>
  </property>
</Properties>
</file>