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578F1">
      <w:pPr>
        <w:pStyle w:val="2"/>
        <w:spacing w:line="219" w:lineRule="auto"/>
        <w:ind w:left="58"/>
      </w:pPr>
      <w:r>
        <w:rPr>
          <w:spacing w:val="-6"/>
        </w:rPr>
        <w:t>表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6"/>
        </w:rPr>
        <w:t>急性白血病感染患儿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IL-6 </w:t>
      </w:r>
      <w:r>
        <w:rPr>
          <w:spacing w:val="-6"/>
        </w:rPr>
        <w:t>和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IL- 10</w:t>
      </w:r>
      <w:r>
        <w:rPr>
          <w:rFonts w:ascii="Times New Roman" w:hAnsi="Times New Roman" w:eastAsia="Times New Roman" w:cs="Times New Roman"/>
          <w:spacing w:val="48"/>
        </w:rPr>
        <w:t xml:space="preserve"> </w:t>
      </w:r>
      <w:r>
        <w:rPr>
          <w:spacing w:val="-6"/>
        </w:rPr>
        <w:t>的关系与病原学检测阳性一致率的比较</w:t>
      </w:r>
    </w:p>
    <w:p w14:paraId="265FDFCA">
      <w:pPr>
        <w:spacing w:before="193" w:line="192" w:lineRule="auto"/>
        <w:ind w:left="27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Table</w:t>
      </w:r>
      <w:r>
        <w:rPr>
          <w:rFonts w:ascii="Times New Roman" w:hAnsi="Times New Roman" w:eastAsia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3 Comparison of</w:t>
      </w:r>
      <w:r>
        <w:rPr>
          <w:rFonts w:ascii="Times New Roman" w:hAnsi="Times New Roman" w:eastAsia="Times New Roman" w:cs="Times New Roman"/>
          <w:spacing w:val="-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he Relationship Between IL-6 and IL-  10 Levels and the</w:t>
      </w:r>
    </w:p>
    <w:p w14:paraId="30033C41">
      <w:pPr>
        <w:spacing w:before="192" w:line="192" w:lineRule="auto"/>
        <w:ind w:left="82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Rate of</w:t>
      </w:r>
      <w:r>
        <w:rPr>
          <w:rFonts w:ascii="Times New Roman" w:hAnsi="Times New Roman" w:eastAsia="Times New Roman" w:cs="Times New Roman"/>
          <w:spacing w:val="-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Positive Pathogen Detection in C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hildren with Acute Leukemia</w:t>
      </w:r>
    </w:p>
    <w:p w14:paraId="6A73AC4A">
      <w:pPr>
        <w:spacing w:line="130" w:lineRule="exact"/>
      </w:pPr>
    </w:p>
    <w:tbl>
      <w:tblPr>
        <w:tblStyle w:val="5"/>
        <w:tblW w:w="8340" w:type="dxa"/>
        <w:tblInd w:w="1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1"/>
        <w:gridCol w:w="2024"/>
        <w:gridCol w:w="2232"/>
        <w:gridCol w:w="2103"/>
      </w:tblGrid>
      <w:tr w14:paraId="3E7D99B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</w:trPr>
        <w:tc>
          <w:tcPr>
            <w:tcW w:w="1981" w:type="dxa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6B001381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2915B002">
            <w:pPr>
              <w:pStyle w:val="6"/>
              <w:spacing w:before="195" w:line="228" w:lineRule="auto"/>
              <w:ind w:left="521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IL-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10</w:t>
            </w:r>
            <w:r>
              <w:rPr>
                <w:spacing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明显升高</w:t>
            </w:r>
          </w:p>
          <w:p w14:paraId="7F7922FA">
            <w:pPr>
              <w:pStyle w:val="6"/>
              <w:spacing w:before="158" w:line="372" w:lineRule="auto"/>
              <w:ind w:left="966" w:right="199" w:hanging="429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同时</w:t>
            </w:r>
            <w:r>
              <w:t>IL-6</w:t>
            </w:r>
            <w:r>
              <w:rPr>
                <w:rFonts w:ascii="宋体" w:hAnsi="宋体" w:eastAsia="宋体" w:cs="宋体"/>
              </w:rPr>
              <w:t>明显升高</w:t>
            </w:r>
          </w:p>
        </w:tc>
        <w:tc>
          <w:tcPr>
            <w:tcW w:w="2232" w:type="dxa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2A36203C">
            <w:pPr>
              <w:pStyle w:val="6"/>
              <w:spacing w:before="179" w:line="221" w:lineRule="auto"/>
              <w:ind w:left="518"/>
            </w:pPr>
            <w:r>
              <w:rPr>
                <w:spacing w:val="-1"/>
              </w:rPr>
              <w:t>IL-6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</w:rPr>
              <w:t>明显升高</w:t>
            </w:r>
            <w:r>
              <w:rPr>
                <w:spacing w:val="-1"/>
              </w:rPr>
              <w:t>,</w:t>
            </w:r>
          </w:p>
          <w:p w14:paraId="27A952FF">
            <w:pPr>
              <w:pStyle w:val="6"/>
              <w:spacing w:before="190" w:line="195" w:lineRule="auto"/>
              <w:ind w:left="897"/>
            </w:pPr>
            <w:r>
              <w:rPr>
                <w:spacing w:val="-2"/>
              </w:rPr>
              <w:t>IL-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10</w:t>
            </w:r>
          </w:p>
          <w:p w14:paraId="017885CA">
            <w:pPr>
              <w:spacing w:before="169" w:line="228" w:lineRule="auto"/>
              <w:ind w:left="2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不升高或升高不明显</w:t>
            </w:r>
          </w:p>
        </w:tc>
        <w:tc>
          <w:tcPr>
            <w:tcW w:w="2103" w:type="dxa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5DBCFF53">
            <w:pPr>
              <w:pStyle w:val="6"/>
              <w:spacing w:before="163" w:line="218" w:lineRule="auto"/>
              <w:ind w:left="2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i/>
                <w:iCs/>
                <w:spacing w:val="6"/>
              </w:rPr>
              <w:t>P</w:t>
            </w:r>
            <w:r>
              <w:rPr>
                <w:i/>
                <w:iCs/>
                <w:spacing w:val="5"/>
              </w:rPr>
              <w:t xml:space="preserve">  </w:t>
            </w:r>
            <w:r>
              <w:rPr>
                <w:rFonts w:ascii="宋体" w:hAnsi="宋体" w:eastAsia="宋体" w:cs="宋体"/>
                <w:i/>
                <w:iCs/>
                <w:spacing w:val="6"/>
                <w:sz w:val="21"/>
                <w:szCs w:val="21"/>
              </w:rPr>
              <w:t>值</w:t>
            </w:r>
          </w:p>
        </w:tc>
      </w:tr>
      <w:tr w14:paraId="2D5EF23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3" w:hRule="atLeast"/>
        </w:trPr>
        <w:tc>
          <w:tcPr>
            <w:tcW w:w="1981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 w14:paraId="2B56F53B">
            <w:pPr>
              <w:spacing w:before="196" w:line="228" w:lineRule="auto"/>
              <w:ind w:left="16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血培养及痰培</w:t>
            </w:r>
          </w:p>
          <w:p w14:paraId="0F5A9BAD">
            <w:pPr>
              <w:pStyle w:val="6"/>
              <w:spacing w:before="202" w:line="228" w:lineRule="auto"/>
              <w:ind w:left="19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16"/>
              </w:rPr>
              <w:t>养、</w:t>
            </w:r>
            <w:r>
              <w:t>NGS</w:t>
            </w:r>
            <w:r>
              <w:rPr>
                <w:rFonts w:ascii="宋体" w:hAnsi="宋体" w:eastAsia="宋体" w:cs="宋体"/>
                <w:spacing w:val="16"/>
              </w:rPr>
              <w:t>检测</w:t>
            </w:r>
          </w:p>
          <w:p w14:paraId="6AB9CD6D">
            <w:pPr>
              <w:pStyle w:val="6"/>
              <w:spacing w:before="161" w:line="268" w:lineRule="exact"/>
              <w:ind w:left="218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4"/>
                <w:position w:val="1"/>
              </w:rPr>
              <w:t>出的</w:t>
            </w:r>
            <w:r>
              <w:rPr>
                <w:spacing w:val="-4"/>
                <w:position w:val="1"/>
              </w:rPr>
              <w:t>G-</w:t>
            </w:r>
            <w:r>
              <w:rPr>
                <w:rFonts w:ascii="宋体" w:hAnsi="宋体" w:eastAsia="宋体" w:cs="宋体"/>
                <w:spacing w:val="-4"/>
                <w:position w:val="1"/>
              </w:rPr>
              <w:t>（</w:t>
            </w:r>
            <w:r>
              <w:rPr>
                <w:spacing w:val="-4"/>
                <w:position w:val="1"/>
              </w:rPr>
              <w:t>n=14</w:t>
            </w:r>
            <w:r>
              <w:rPr>
                <w:rFonts w:ascii="宋体" w:hAnsi="宋体" w:eastAsia="宋体" w:cs="宋体"/>
                <w:spacing w:val="-4"/>
                <w:position w:val="1"/>
              </w:rPr>
              <w:t>）</w:t>
            </w:r>
          </w:p>
          <w:p w14:paraId="4C544BD1">
            <w:pPr>
              <w:spacing w:before="188" w:line="228" w:lineRule="auto"/>
              <w:ind w:left="16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血培养及痰培</w:t>
            </w:r>
          </w:p>
          <w:p w14:paraId="78445469">
            <w:pPr>
              <w:pStyle w:val="6"/>
              <w:spacing w:before="206" w:line="312" w:lineRule="auto"/>
              <w:ind w:left="216" w:right="513" w:hanging="21"/>
            </w:pPr>
            <w:r>
              <w:rPr>
                <w:rFonts w:ascii="宋体" w:hAnsi="宋体" w:eastAsia="宋体" w:cs="宋体"/>
                <w:spacing w:val="16"/>
              </w:rPr>
              <w:t>养、</w:t>
            </w:r>
            <w:r>
              <w:t>NGS</w:t>
            </w:r>
            <w:r>
              <w:rPr>
                <w:rFonts w:ascii="宋体" w:hAnsi="宋体" w:eastAsia="宋体" w:cs="宋体"/>
                <w:spacing w:val="16"/>
              </w:rPr>
              <w:t>检测</w:t>
            </w:r>
            <w:r>
              <w:rPr>
                <w:rFonts w:ascii="宋体" w:hAnsi="宋体" w:eastAsia="宋体" w:cs="宋体"/>
                <w:spacing w:val="-2"/>
              </w:rPr>
              <w:t>出的</w:t>
            </w:r>
            <w:r>
              <w:rPr>
                <w:spacing w:val="-2"/>
              </w:rPr>
              <w:t>G+</w:t>
            </w:r>
            <w:r>
              <w:rPr>
                <w:rFonts w:ascii="宋体" w:hAnsi="宋体" w:eastAsia="宋体" w:cs="宋体"/>
                <w:spacing w:val="-2"/>
              </w:rPr>
              <w:t>（</w:t>
            </w:r>
            <w:r>
              <w:rPr>
                <w:spacing w:val="-2"/>
              </w:rPr>
              <w:t>n=10)</w:t>
            </w:r>
          </w:p>
        </w:tc>
        <w:tc>
          <w:tcPr>
            <w:tcW w:w="2024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 w14:paraId="6426BC02">
            <w:pPr>
              <w:pStyle w:val="6"/>
              <w:spacing w:before="249" w:line="195" w:lineRule="auto"/>
              <w:ind w:left="1308"/>
            </w:pPr>
            <w:r>
              <w:rPr>
                <w:spacing w:val="-10"/>
              </w:rPr>
              <w:t>12</w:t>
            </w:r>
          </w:p>
          <w:p w14:paraId="4072BD90">
            <w:pPr>
              <w:pStyle w:val="6"/>
              <w:spacing w:before="167" w:line="221" w:lineRule="auto"/>
              <w:ind w:left="863"/>
            </w:pPr>
            <w:r>
              <w:rPr>
                <w:rFonts w:ascii="宋体" w:hAnsi="宋体" w:eastAsia="宋体" w:cs="宋体"/>
                <w:spacing w:val="2"/>
              </w:rPr>
              <w:t>（</w:t>
            </w:r>
            <w:r>
              <w:rPr>
                <w:spacing w:val="2"/>
              </w:rPr>
              <w:t>85.71%)</w:t>
            </w:r>
          </w:p>
          <w:p w14:paraId="1B66A1A4">
            <w:pPr>
              <w:spacing w:line="333" w:lineRule="auto"/>
              <w:rPr>
                <w:rFonts w:ascii="Arial"/>
                <w:sz w:val="21"/>
              </w:rPr>
            </w:pPr>
          </w:p>
          <w:p w14:paraId="3D0FD2A7">
            <w:pPr>
              <w:spacing w:line="334" w:lineRule="auto"/>
              <w:rPr>
                <w:rFonts w:ascii="Arial"/>
                <w:sz w:val="21"/>
              </w:rPr>
            </w:pPr>
          </w:p>
          <w:p w14:paraId="015AB0D0">
            <w:pPr>
              <w:pStyle w:val="6"/>
              <w:spacing w:before="54" w:line="195" w:lineRule="auto"/>
              <w:ind w:left="1368"/>
            </w:pPr>
            <w:r>
              <w:t>1</w:t>
            </w:r>
          </w:p>
          <w:p w14:paraId="7D09889A">
            <w:pPr>
              <w:pStyle w:val="6"/>
              <w:spacing w:before="167" w:line="221" w:lineRule="auto"/>
              <w:ind w:left="1043"/>
            </w:pPr>
            <w:r>
              <w:rPr>
                <w:rFonts w:ascii="宋体" w:hAnsi="宋体" w:eastAsia="宋体" w:cs="宋体"/>
                <w:spacing w:val="1"/>
              </w:rPr>
              <w:t>（</w:t>
            </w:r>
            <w:r>
              <w:rPr>
                <w:spacing w:val="1"/>
              </w:rPr>
              <w:t>10%)</w:t>
            </w:r>
          </w:p>
        </w:tc>
        <w:tc>
          <w:tcPr>
            <w:tcW w:w="2232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 w14:paraId="1D259C02">
            <w:pPr>
              <w:pStyle w:val="6"/>
              <w:spacing w:before="249" w:line="195" w:lineRule="auto"/>
              <w:ind w:left="978"/>
            </w:pPr>
            <w:r>
              <w:t>2</w:t>
            </w:r>
          </w:p>
          <w:p w14:paraId="3BFD5985">
            <w:pPr>
              <w:pStyle w:val="6"/>
              <w:spacing w:before="167" w:line="221" w:lineRule="auto"/>
              <w:ind w:left="541"/>
            </w:pPr>
            <w:r>
              <w:rPr>
                <w:rFonts w:ascii="宋体" w:hAnsi="宋体" w:eastAsia="宋体" w:cs="宋体"/>
                <w:spacing w:val="2"/>
              </w:rPr>
              <w:t>（</w:t>
            </w:r>
            <w:r>
              <w:rPr>
                <w:spacing w:val="2"/>
              </w:rPr>
              <w:t>14.29%)</w:t>
            </w:r>
          </w:p>
          <w:p w14:paraId="0B64A404">
            <w:pPr>
              <w:spacing w:line="332" w:lineRule="auto"/>
              <w:rPr>
                <w:rFonts w:ascii="Arial"/>
                <w:sz w:val="21"/>
              </w:rPr>
            </w:pPr>
          </w:p>
          <w:p w14:paraId="2F88CD1F">
            <w:pPr>
              <w:spacing w:line="332" w:lineRule="auto"/>
              <w:rPr>
                <w:rFonts w:ascii="Arial"/>
                <w:sz w:val="21"/>
              </w:rPr>
            </w:pPr>
          </w:p>
          <w:p w14:paraId="3CB1975A">
            <w:pPr>
              <w:pStyle w:val="6"/>
              <w:spacing w:before="55" w:line="195" w:lineRule="auto"/>
              <w:ind w:left="982"/>
            </w:pPr>
            <w:r>
              <w:t>9</w:t>
            </w:r>
          </w:p>
          <w:p w14:paraId="4C941CA3">
            <w:pPr>
              <w:pStyle w:val="6"/>
              <w:spacing w:before="170" w:line="221" w:lineRule="auto"/>
              <w:ind w:left="721"/>
            </w:pPr>
            <w:r>
              <w:rPr>
                <w:rFonts w:ascii="宋体" w:hAnsi="宋体" w:eastAsia="宋体" w:cs="宋体"/>
                <w:spacing w:val="1"/>
              </w:rPr>
              <w:t>（</w:t>
            </w:r>
            <w:r>
              <w:rPr>
                <w:spacing w:val="1"/>
              </w:rPr>
              <w:t>90%)</w:t>
            </w:r>
          </w:p>
        </w:tc>
        <w:tc>
          <w:tcPr>
            <w:tcW w:w="2103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 w14:paraId="0F07AE64">
            <w:pPr>
              <w:spacing w:line="271" w:lineRule="auto"/>
              <w:rPr>
                <w:rFonts w:ascii="Arial"/>
                <w:sz w:val="21"/>
              </w:rPr>
            </w:pPr>
          </w:p>
          <w:p w14:paraId="74B41C24">
            <w:pPr>
              <w:spacing w:line="271" w:lineRule="auto"/>
              <w:rPr>
                <w:rFonts w:ascii="Arial"/>
                <w:sz w:val="21"/>
              </w:rPr>
            </w:pPr>
          </w:p>
          <w:p w14:paraId="417B2BAA">
            <w:pPr>
              <w:spacing w:line="272" w:lineRule="auto"/>
              <w:rPr>
                <w:rFonts w:ascii="Arial"/>
                <w:sz w:val="21"/>
              </w:rPr>
            </w:pPr>
          </w:p>
          <w:p w14:paraId="5B5FFD05">
            <w:pPr>
              <w:spacing w:line="272" w:lineRule="auto"/>
              <w:rPr>
                <w:rFonts w:ascii="Arial"/>
                <w:sz w:val="21"/>
              </w:rPr>
            </w:pPr>
          </w:p>
          <w:p w14:paraId="3EF4E813">
            <w:pPr>
              <w:spacing w:line="272" w:lineRule="auto"/>
              <w:rPr>
                <w:rFonts w:ascii="Arial"/>
                <w:sz w:val="21"/>
              </w:rPr>
            </w:pPr>
          </w:p>
          <w:p w14:paraId="6B673680">
            <w:pPr>
              <w:pStyle w:val="6"/>
              <w:spacing w:before="54" w:line="195" w:lineRule="auto"/>
              <w:ind w:left="216"/>
            </w:pPr>
            <w:r>
              <w:rPr>
                <w:spacing w:val="3"/>
              </w:rPr>
              <w:t>0.001</w:t>
            </w:r>
          </w:p>
        </w:tc>
      </w:tr>
    </w:tbl>
    <w:p w14:paraId="1D5FACD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D3C87"/>
    <w:rsid w:val="484D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2026-09-09T12:47:00Z</dcterms:created>
  <dc:creator>倾刻</dc:creator>
  <cp:lastModifiedBy>倾刻</cp:lastModifiedBy>
  <dcterms:modified xsi:type="dcterms:W3CDTF">2026-09-09T12:47:33Z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C35540B816A24524BABCAD6A62360B2D_11</vt:lpwstr>
  </property>
  <property fmtid="{D5CDD505-2E9C-101B-9397-08002B2CF9AE}" pid="4" name="KSOTemplateDocerSaveRecord">
    <vt:lpwstr>eyJoZGlkIjoiNGNlOTY2MmFkNjJjNDYyY2VkMzk3N2U4NWRiMGIzZjAiLCJ1c2VySWQiOiI0MzU4NDY4ODEifQ==</vt:lpwstr>
  </property>
</Properties>
</file>