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F864" w14:textId="77777777" w:rsidR="00305DFF" w:rsidRPr="0068764A" w:rsidRDefault="00000000" w:rsidP="0068764A">
      <w:pPr>
        <w:pStyle w:val="1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Xa63677cdab250880daf82b436b9f48be54c452d"/>
      <w:r w:rsidRPr="0068764A">
        <w:rPr>
          <w:rFonts w:ascii="Times New Roman" w:hAnsi="Times New Roman" w:cs="Times New Roman"/>
          <w:color w:val="auto"/>
          <w:sz w:val="28"/>
          <w:szCs w:val="28"/>
        </w:rPr>
        <w:t>STROBE Statement — Checklist of items that should be included in reports of cohort studies</w:t>
      </w:r>
    </w:p>
    <w:p w14:paraId="2EEBF4B0" w14:textId="77777777" w:rsidR="00305DFF" w:rsidRPr="0068764A" w:rsidRDefault="00000000">
      <w:pPr>
        <w:pStyle w:val="FirstParagraph"/>
        <w:rPr>
          <w:rFonts w:ascii="Times New Roman" w:hAnsi="Times New Roman" w:cs="Times New Roman"/>
          <w:sz w:val="21"/>
          <w:szCs w:val="21"/>
        </w:rPr>
      </w:pPr>
      <w:r w:rsidRPr="0068764A">
        <w:rPr>
          <w:rFonts w:ascii="Times New Roman" w:hAnsi="Times New Roman" w:cs="Times New Roman"/>
          <w:b/>
          <w:bCs/>
          <w:sz w:val="21"/>
          <w:szCs w:val="21"/>
        </w:rPr>
        <w:t>Manuscript:</w:t>
      </w:r>
      <w:r w:rsidRPr="0068764A">
        <w:rPr>
          <w:rFonts w:ascii="Times New Roman" w:hAnsi="Times New Roman" w:cs="Times New Roman"/>
          <w:sz w:val="21"/>
          <w:szCs w:val="21"/>
        </w:rPr>
        <w:t xml:space="preserve"> Apparent Protection, Uncertain Harm: An Estimand Decomposition of Internet Use and Late-Life Depressive Symptoms in a National Cohort</w:t>
      </w:r>
    </w:p>
    <w:p w14:paraId="2D16CE0B" w14:textId="77777777" w:rsidR="00305DFF" w:rsidRPr="0068764A" w:rsidRDefault="00000000">
      <w:pPr>
        <w:pStyle w:val="a0"/>
        <w:rPr>
          <w:rFonts w:ascii="Times New Roman" w:hAnsi="Times New Roman" w:cs="Times New Roman"/>
          <w:sz w:val="21"/>
          <w:szCs w:val="21"/>
        </w:rPr>
      </w:pPr>
      <w:r w:rsidRPr="0068764A">
        <w:rPr>
          <w:rFonts w:ascii="Times New Roman" w:hAnsi="Times New Roman" w:cs="Times New Roman"/>
          <w:b/>
          <w:bCs/>
          <w:sz w:val="21"/>
          <w:szCs w:val="21"/>
        </w:rPr>
        <w:t>Citation:</w:t>
      </w:r>
      <w:r w:rsidRPr="0068764A">
        <w:rPr>
          <w:rFonts w:ascii="Times New Roman" w:hAnsi="Times New Roman" w:cs="Times New Roman"/>
          <w:sz w:val="21"/>
          <w:szCs w:val="21"/>
        </w:rPr>
        <w:t xml:space="preserve"> von Elm E, Altman DG, Egger M, Pocock SJ, Gøtzsche PC, Vandenbroucke JP; STROBE Initiative. The Strengthening the Reporting of Observational Studies in Epidemiology (STROBE) statement: guidelines for reporting observational studies.</w:t>
      </w:r>
    </w:p>
    <w:p w14:paraId="5EEB481F" w14:textId="53B509ED" w:rsidR="00305DFF" w:rsidRPr="0068764A" w:rsidRDefault="00000000">
      <w:pPr>
        <w:pStyle w:val="a0"/>
        <w:rPr>
          <w:rFonts w:ascii="Times New Roman" w:hAnsi="Times New Roman" w:cs="Times New Roman"/>
          <w:sz w:val="21"/>
          <w:szCs w:val="21"/>
        </w:rPr>
      </w:pPr>
      <w:r w:rsidRPr="0068764A">
        <w:rPr>
          <w:rFonts w:ascii="Times New Roman" w:hAnsi="Times New Roman" w:cs="Times New Roman"/>
          <w:i/>
          <w:iCs/>
          <w:sz w:val="21"/>
          <w:szCs w:val="21"/>
        </w:rPr>
        <w:t>Page numbers refer to the submitted manuscript (3</w:t>
      </w:r>
      <w:r w:rsidR="0068764A">
        <w:rPr>
          <w:rFonts w:ascii="Times New Roman" w:hAnsi="Times New Roman" w:cs="Times New Roman" w:hint="eastAsia"/>
          <w:i/>
          <w:iCs/>
          <w:sz w:val="21"/>
          <w:szCs w:val="21"/>
          <w:lang w:eastAsia="zh-CN"/>
        </w:rPr>
        <w:t>0</w:t>
      </w:r>
      <w:r w:rsidRPr="0068764A">
        <w:rPr>
          <w:rFonts w:ascii="Times New Roman" w:hAnsi="Times New Roman" w:cs="Times New Roman"/>
          <w:i/>
          <w:iCs/>
          <w:sz w:val="21"/>
          <w:szCs w:val="21"/>
        </w:rPr>
        <w:t xml:space="preserve"> pages, continuously line-numbered).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673"/>
        <w:gridCol w:w="473"/>
        <w:gridCol w:w="3266"/>
        <w:gridCol w:w="3444"/>
      </w:tblGrid>
      <w:tr w:rsidR="00305DFF" w:rsidRPr="0068764A" w14:paraId="0010389F" w14:textId="77777777" w:rsidTr="00305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33ABC1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Item</w:t>
            </w:r>
          </w:p>
        </w:tc>
        <w:tc>
          <w:tcPr>
            <w:tcW w:w="0" w:type="auto"/>
          </w:tcPr>
          <w:p w14:paraId="7F4E3DE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0" w:type="auto"/>
          </w:tcPr>
          <w:p w14:paraId="77A9C3AC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Recommendation</w:t>
            </w:r>
          </w:p>
        </w:tc>
        <w:tc>
          <w:tcPr>
            <w:tcW w:w="0" w:type="auto"/>
          </w:tcPr>
          <w:p w14:paraId="46C49EE3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Where reported in this manuscript</w:t>
            </w:r>
          </w:p>
        </w:tc>
      </w:tr>
      <w:tr w:rsidR="00305DFF" w:rsidRPr="0068764A" w14:paraId="7CE7DE6A" w14:textId="77777777">
        <w:tc>
          <w:tcPr>
            <w:tcW w:w="0" w:type="auto"/>
          </w:tcPr>
          <w:p w14:paraId="0958CA30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Title and abstract</w:t>
            </w:r>
          </w:p>
        </w:tc>
        <w:tc>
          <w:tcPr>
            <w:tcW w:w="0" w:type="auto"/>
          </w:tcPr>
          <w:p w14:paraId="2E513D2D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7DA4AF2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Indicate the study’s design with a commonly used term in the title or the abstract</w:t>
            </w:r>
          </w:p>
        </w:tc>
        <w:tc>
          <w:tcPr>
            <w:tcW w:w="0" w:type="auto"/>
          </w:tcPr>
          <w:p w14:paraId="31E0173A" w14:textId="7BD06A62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p.1 (Title: “in a National Cohort”); p.1 (Abstract, Methods)</w:t>
            </w:r>
          </w:p>
        </w:tc>
      </w:tr>
      <w:tr w:rsidR="00305DFF" w:rsidRPr="0068764A" w14:paraId="78E76778" w14:textId="77777777">
        <w:tc>
          <w:tcPr>
            <w:tcW w:w="0" w:type="auto"/>
          </w:tcPr>
          <w:p w14:paraId="664C7A3F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EFAB8E7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3942C9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368073CE" w14:textId="058E2BAA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pp.1–2 (structured Abstract: Background, Methods, Results, Conclusions)</w:t>
            </w:r>
          </w:p>
        </w:tc>
      </w:tr>
      <w:tr w:rsidR="00305DFF" w:rsidRPr="0068764A" w14:paraId="2C4C1997" w14:textId="77777777">
        <w:tc>
          <w:tcPr>
            <w:tcW w:w="0" w:type="auto"/>
          </w:tcPr>
          <w:p w14:paraId="60796B4A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Introduction</w:t>
            </w:r>
          </w:p>
        </w:tc>
        <w:tc>
          <w:tcPr>
            <w:tcW w:w="0" w:type="auto"/>
          </w:tcPr>
          <w:p w14:paraId="2D15EA19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CC2905B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F28D3A5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5DFF" w:rsidRPr="0068764A" w14:paraId="2AA04C64" w14:textId="77777777">
        <w:tc>
          <w:tcPr>
            <w:tcW w:w="0" w:type="auto"/>
          </w:tcPr>
          <w:p w14:paraId="7E7E759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Background / rationale</w:t>
            </w:r>
          </w:p>
        </w:tc>
        <w:tc>
          <w:tcPr>
            <w:tcW w:w="0" w:type="auto"/>
          </w:tcPr>
          <w:p w14:paraId="54731E5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5F5FD7D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7AE7D341" w14:textId="3A2DC830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pp.4–6 (Introduction, paragraphs 1–3)</w:t>
            </w:r>
          </w:p>
        </w:tc>
      </w:tr>
      <w:tr w:rsidR="00305DFF" w:rsidRPr="0068764A" w14:paraId="09586A5E" w14:textId="77777777">
        <w:tc>
          <w:tcPr>
            <w:tcW w:w="0" w:type="auto"/>
          </w:tcPr>
          <w:p w14:paraId="629F61D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Objectives</w:t>
            </w:r>
          </w:p>
        </w:tc>
        <w:tc>
          <w:tcPr>
            <w:tcW w:w="0" w:type="auto"/>
          </w:tcPr>
          <w:p w14:paraId="1779097D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196DC37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State specific objectives, including any prespecified hypotheses</w:t>
            </w:r>
          </w:p>
        </w:tc>
        <w:tc>
          <w:tcPr>
            <w:tcW w:w="0" w:type="auto"/>
          </w:tcPr>
          <w:p w14:paraId="22F0C23D" w14:textId="0965B27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p.6 (Introduction, final paragraph: two prespecified questions)</w:t>
            </w:r>
          </w:p>
        </w:tc>
      </w:tr>
      <w:tr w:rsidR="00305DFF" w:rsidRPr="0068764A" w14:paraId="13AF7C09" w14:textId="77777777">
        <w:tc>
          <w:tcPr>
            <w:tcW w:w="0" w:type="auto"/>
          </w:tcPr>
          <w:p w14:paraId="1FF5413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Methods</w:t>
            </w:r>
          </w:p>
        </w:tc>
        <w:tc>
          <w:tcPr>
            <w:tcW w:w="0" w:type="auto"/>
          </w:tcPr>
          <w:p w14:paraId="1ED37CC7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668EB3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7D298B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5DFF" w:rsidRPr="0068764A" w14:paraId="0D533BB9" w14:textId="77777777">
        <w:tc>
          <w:tcPr>
            <w:tcW w:w="0" w:type="auto"/>
          </w:tcPr>
          <w:p w14:paraId="4E362422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Study design</w:t>
            </w:r>
          </w:p>
        </w:tc>
        <w:tc>
          <w:tcPr>
            <w:tcW w:w="0" w:type="auto"/>
          </w:tcPr>
          <w:p w14:paraId="0E15156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59E2DD3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6F4D8E26" w14:textId="33FC2DD3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p.6 (Study Population and Data; Target-Trial Emulation Protocol); pp.8–10 (Statistical Analysis, </w:t>
            </w:r>
            <w:proofErr w:type="spellStart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estimand</w:t>
            </w:r>
            <w:proofErr w:type="spellEnd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 framework)</w:t>
            </w:r>
          </w:p>
        </w:tc>
      </w:tr>
      <w:tr w:rsidR="00305DFF" w:rsidRPr="0068764A" w14:paraId="74D11191" w14:textId="77777777">
        <w:tc>
          <w:tcPr>
            <w:tcW w:w="0" w:type="auto"/>
          </w:tcPr>
          <w:p w14:paraId="4D26DBA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Setting</w:t>
            </w:r>
          </w:p>
        </w:tc>
        <w:tc>
          <w:tcPr>
            <w:tcW w:w="0" w:type="auto"/>
          </w:tcPr>
          <w:p w14:paraId="66C69A3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14:paraId="6C183C4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78CD3E04" w14:textId="6C76C1C1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p.6 (CHARLS, community-dwelling adults aged ≥45 years, 28 provinces, waves 2011–2018, face-to-face interviews; 2020-wave exclusion rationale in Supplementary Methods)</w:t>
            </w:r>
          </w:p>
        </w:tc>
      </w:tr>
      <w:tr w:rsidR="00305DFF" w:rsidRPr="0068764A" w14:paraId="2139A8C6" w14:textId="77777777">
        <w:tc>
          <w:tcPr>
            <w:tcW w:w="0" w:type="auto"/>
          </w:tcPr>
          <w:p w14:paraId="139BDA1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Participants</w:t>
            </w:r>
          </w:p>
        </w:tc>
        <w:tc>
          <w:tcPr>
            <w:tcW w:w="0" w:type="auto"/>
          </w:tcPr>
          <w:p w14:paraId="5D0A8C4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14:paraId="78B47D8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Give the eligibility criteria, and the sources and methods of selection of participants. Describe methods of follow-up</w:t>
            </w:r>
          </w:p>
        </w:tc>
        <w:tc>
          <w:tcPr>
            <w:tcW w:w="0" w:type="auto"/>
          </w:tcPr>
          <w:p w14:paraId="3F404F94" w14:textId="050831C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pp.6–7 (eligibility: age ≥45, no baseline internet use, valid CES-D-10 &lt;10; follow-up every 2–3 years through 2018); p.20 (Figure 2, sample flow)</w:t>
            </w:r>
          </w:p>
        </w:tc>
      </w:tr>
      <w:tr w:rsidR="00305DFF" w:rsidRPr="0068764A" w14:paraId="661F56C4" w14:textId="77777777">
        <w:tc>
          <w:tcPr>
            <w:tcW w:w="0" w:type="auto"/>
          </w:tcPr>
          <w:p w14:paraId="3C0C7CC3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61B0D98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6E5685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For matched studies, give matching criteria and number of exposed and unexposed</w:t>
            </w:r>
          </w:p>
        </w:tc>
        <w:tc>
          <w:tcPr>
            <w:tcW w:w="0" w:type="auto"/>
          </w:tcPr>
          <w:p w14:paraId="79E1CA6B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Not applicable (no matching)</w:t>
            </w:r>
          </w:p>
        </w:tc>
      </w:tr>
      <w:tr w:rsidR="00305DFF" w:rsidRPr="0068764A" w14:paraId="70BD35F2" w14:textId="77777777">
        <w:tc>
          <w:tcPr>
            <w:tcW w:w="0" w:type="auto"/>
          </w:tcPr>
          <w:p w14:paraId="5B508C9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</w:tcPr>
          <w:p w14:paraId="3C2F8D6C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14:paraId="0751440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Clearly define all outcomes, exposures, predictors, potential confounders, and effect modifiers</w:t>
            </w:r>
          </w:p>
        </w:tc>
        <w:tc>
          <w:tcPr>
            <w:tcW w:w="0" w:type="auto"/>
          </w:tcPr>
          <w:p w14:paraId="53AB6136" w14:textId="4A6E5D13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p.7 (Exposure: da056s10; sensitivity exposure i024. Outcome: CES-D-10, primary annualised change, secondary incident score ≥10); pp.8–9 </w:t>
            </w:r>
            <w:r w:rsidRPr="006876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(covariates)</w:t>
            </w:r>
          </w:p>
        </w:tc>
      </w:tr>
      <w:tr w:rsidR="00305DFF" w:rsidRPr="0068764A" w14:paraId="41AEA65F" w14:textId="77777777">
        <w:tc>
          <w:tcPr>
            <w:tcW w:w="0" w:type="auto"/>
          </w:tcPr>
          <w:p w14:paraId="25CB833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Data sources / measurement</w:t>
            </w:r>
          </w:p>
        </w:tc>
        <w:tc>
          <w:tcPr>
            <w:tcW w:w="0" w:type="auto"/>
          </w:tcPr>
          <w:p w14:paraId="0B76C4F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0" w:type="auto"/>
          </w:tcPr>
          <w:p w14:paraId="666E9FE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3CF943E6" w14:textId="15143D1E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p.6 (all variables verified against the CHARLS codebook); p.7 (reverse-coding of dc013/dc016; ≥7 valid items prorated to 0–30); standardised assessment identical across waves</w:t>
            </w:r>
          </w:p>
        </w:tc>
      </w:tr>
      <w:tr w:rsidR="00305DFF" w:rsidRPr="0068764A" w14:paraId="6694F808" w14:textId="77777777">
        <w:tc>
          <w:tcPr>
            <w:tcW w:w="0" w:type="auto"/>
          </w:tcPr>
          <w:p w14:paraId="64315FDA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Bias</w:t>
            </w:r>
          </w:p>
        </w:tc>
        <w:tc>
          <w:tcPr>
            <w:tcW w:w="0" w:type="auto"/>
          </w:tcPr>
          <w:p w14:paraId="55372A20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0" w:type="auto"/>
          </w:tcPr>
          <w:p w14:paraId="4057F81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09D5B532" w14:textId="447964E4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pp.6–10 (within-person fixed effects; clone-censor-weighting with IPCW; lead and placebo-lead tests; negative-control outcomes; respondents-only exposure definition; E-values and robustness values)</w:t>
            </w:r>
          </w:p>
        </w:tc>
      </w:tr>
      <w:tr w:rsidR="00305DFF" w:rsidRPr="0068764A" w14:paraId="11F241FE" w14:textId="77777777">
        <w:tc>
          <w:tcPr>
            <w:tcW w:w="0" w:type="auto"/>
          </w:tcPr>
          <w:p w14:paraId="7BFC45E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Study size</w:t>
            </w:r>
          </w:p>
        </w:tc>
        <w:tc>
          <w:tcPr>
            <w:tcW w:w="0" w:type="auto"/>
          </w:tcPr>
          <w:p w14:paraId="1813EBC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0" w:type="auto"/>
          </w:tcPr>
          <w:p w14:paraId="4F48A77A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Explain how the study size was arrived at</w:t>
            </w:r>
          </w:p>
        </w:tc>
        <w:tc>
          <w:tcPr>
            <w:tcW w:w="0" w:type="auto"/>
          </w:tcPr>
          <w:p w14:paraId="314DD507" w14:textId="7321B35C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pp.10–11 (76,629 person-waves; 17,976 trial-eligibilities from 12,081 unique persons; analytic samples fixed by the eligibility flow, no a priori sample-size calculation); p.20 (Figure 2)</w:t>
            </w:r>
          </w:p>
        </w:tc>
      </w:tr>
      <w:tr w:rsidR="00305DFF" w:rsidRPr="0068764A" w14:paraId="70ED318A" w14:textId="77777777">
        <w:tc>
          <w:tcPr>
            <w:tcW w:w="0" w:type="auto"/>
          </w:tcPr>
          <w:p w14:paraId="15DA559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Quantitative variables</w:t>
            </w:r>
          </w:p>
        </w:tc>
        <w:tc>
          <w:tcPr>
            <w:tcW w:w="0" w:type="auto"/>
          </w:tcPr>
          <w:p w14:paraId="74122AB0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0" w:type="auto"/>
          </w:tcPr>
          <w:p w14:paraId="77FCA1E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31DC7124" w14:textId="48F6051D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p.7 (continuous </w:t>
            </w:r>
            <w:proofErr w:type="spellStart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annualised</w:t>
            </w:r>
            <w:proofErr w:type="spellEnd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 change; validated threshold ≥10); p.9 (≥12 sensitivity threshold); p.14 (baseline &lt;5 subgroup)</w:t>
            </w:r>
          </w:p>
        </w:tc>
      </w:tr>
      <w:tr w:rsidR="00305DFF" w:rsidRPr="0068764A" w14:paraId="6B8272F9" w14:textId="77777777">
        <w:tc>
          <w:tcPr>
            <w:tcW w:w="0" w:type="auto"/>
          </w:tcPr>
          <w:p w14:paraId="56927591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Statistical methods</w:t>
            </w:r>
          </w:p>
        </w:tc>
        <w:tc>
          <w:tcPr>
            <w:tcW w:w="0" w:type="auto"/>
          </w:tcPr>
          <w:p w14:paraId="4BB50E0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0" w:type="auto"/>
          </w:tcPr>
          <w:p w14:paraId="7BE7C78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Describe all statistical methods, including those used to control for confounding</w:t>
            </w:r>
          </w:p>
        </w:tc>
        <w:tc>
          <w:tcPr>
            <w:tcW w:w="0" w:type="auto"/>
          </w:tcPr>
          <w:p w14:paraId="05DF8874" w14:textId="212EFD02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pp.8–10 (weighted linear and Cox models; sequential adjustment M0–M4; stabilised IPW, overlap weighting, doubly robust estimation; LMM-REML; within-person fixed effects; cluster-robust SEs)</w:t>
            </w:r>
          </w:p>
        </w:tc>
      </w:tr>
      <w:tr w:rsidR="00305DFF" w:rsidRPr="0068764A" w14:paraId="10152BA4" w14:textId="77777777">
        <w:tc>
          <w:tcPr>
            <w:tcW w:w="0" w:type="auto"/>
          </w:tcPr>
          <w:p w14:paraId="0681BA70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9DA1774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EC2A2E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Describe any methods used to examine subgroups and interactions</w:t>
            </w:r>
          </w:p>
        </w:tc>
        <w:tc>
          <w:tcPr>
            <w:tcW w:w="0" w:type="auto"/>
          </w:tcPr>
          <w:p w14:paraId="0BEFF84C" w14:textId="6684AB3D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p.9 (baseline &lt;5; stratification by age, sex and urban residence); p.14 (Results); p.21 (Figure 4)</w:t>
            </w:r>
          </w:p>
        </w:tc>
      </w:tr>
      <w:tr w:rsidR="00305DFF" w:rsidRPr="0068764A" w14:paraId="6420AEC0" w14:textId="77777777">
        <w:tc>
          <w:tcPr>
            <w:tcW w:w="0" w:type="auto"/>
          </w:tcPr>
          <w:p w14:paraId="1737F69E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8FCBC2D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2CBEDB3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(c) Explain how missing data were addressed</w:t>
            </w:r>
          </w:p>
        </w:tc>
        <w:tc>
          <w:tcPr>
            <w:tcW w:w="0" w:type="auto"/>
          </w:tcPr>
          <w:p w14:paraId="146AE6B0" w14:textId="3DA85DD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p.7 (respondents-only exposure, missing never recoded as non-use; CES-D-10 proration); p.9 (complete-case sensitivity analysis)</w:t>
            </w:r>
          </w:p>
        </w:tc>
      </w:tr>
      <w:tr w:rsidR="00305DFF" w:rsidRPr="0068764A" w14:paraId="7D41C17B" w14:textId="77777777">
        <w:tc>
          <w:tcPr>
            <w:tcW w:w="0" w:type="auto"/>
          </w:tcPr>
          <w:p w14:paraId="54DCDA29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7AA2BA4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658F6C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(d) If applicable, explain how loss to follow-up was addressed</w:t>
            </w:r>
          </w:p>
        </w:tc>
        <w:tc>
          <w:tcPr>
            <w:tcW w:w="0" w:type="auto"/>
          </w:tcPr>
          <w:p w14:paraId="6DFF7BEA" w14:textId="7F248F7D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pp.6–7 (IPCW for attrition and strategy deviation; modified ITT censored only on loss to follow-up)</w:t>
            </w:r>
          </w:p>
        </w:tc>
      </w:tr>
      <w:tr w:rsidR="00305DFF" w:rsidRPr="0068764A" w14:paraId="492D679D" w14:textId="77777777">
        <w:tc>
          <w:tcPr>
            <w:tcW w:w="0" w:type="auto"/>
          </w:tcPr>
          <w:p w14:paraId="5EA88717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2535D7E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3365FF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(e) Describe any sensitivity analyses</w:t>
            </w:r>
          </w:p>
        </w:tc>
        <w:tc>
          <w:tcPr>
            <w:tcW w:w="0" w:type="auto"/>
          </w:tcPr>
          <w:p w14:paraId="680CABF3" w14:textId="38A1A9D1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pp.9–10 (broadband exposure; ≥12 threshold; competing-risk models; stratified and complete-case analyses; exploratory mediation of sleep duration, Imai framework)</w:t>
            </w:r>
          </w:p>
        </w:tc>
      </w:tr>
      <w:tr w:rsidR="00305DFF" w:rsidRPr="0068764A" w14:paraId="53CCD80E" w14:textId="77777777">
        <w:tc>
          <w:tcPr>
            <w:tcW w:w="0" w:type="auto"/>
          </w:tcPr>
          <w:p w14:paraId="6DECBFC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Results</w:t>
            </w:r>
          </w:p>
        </w:tc>
        <w:tc>
          <w:tcPr>
            <w:tcW w:w="0" w:type="auto"/>
          </w:tcPr>
          <w:p w14:paraId="2E8756DF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91C676E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1B8A633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5DFF" w:rsidRPr="0068764A" w14:paraId="1F6CA096" w14:textId="77777777">
        <w:tc>
          <w:tcPr>
            <w:tcW w:w="0" w:type="auto"/>
          </w:tcPr>
          <w:p w14:paraId="74896FB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Participants</w:t>
            </w:r>
          </w:p>
        </w:tc>
        <w:tc>
          <w:tcPr>
            <w:tcW w:w="0" w:type="auto"/>
          </w:tcPr>
          <w:p w14:paraId="578FCF7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0" w:type="auto"/>
          </w:tcPr>
          <w:p w14:paraId="4317F31C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Report numbers of individuals at each stage of the study</w:t>
            </w:r>
          </w:p>
        </w:tc>
        <w:tc>
          <w:tcPr>
            <w:tcW w:w="0" w:type="auto"/>
          </w:tcPr>
          <w:p w14:paraId="08D646F3" w14:textId="713BF602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pp.10–11 (9,346 + 8,630 trial-eligibilities; 35,952 clones; 17,012 adherent clones; 15,173 persons in </w:t>
            </w:r>
            <w:r w:rsidRPr="006876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modified ITT); p.20 (Figure 2)</w:t>
            </w:r>
          </w:p>
        </w:tc>
      </w:tr>
      <w:tr w:rsidR="00305DFF" w:rsidRPr="0068764A" w14:paraId="48BB7A69" w14:textId="77777777">
        <w:tc>
          <w:tcPr>
            <w:tcW w:w="0" w:type="auto"/>
          </w:tcPr>
          <w:p w14:paraId="255958D6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FB1C203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16CD6B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Give reasons for non-participation at each stage</w:t>
            </w:r>
          </w:p>
        </w:tc>
        <w:tc>
          <w:tcPr>
            <w:tcW w:w="0" w:type="auto"/>
          </w:tcPr>
          <w:p w14:paraId="1776EEFF" w14:textId="1ECB808A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pp.10–11; p.20 (Figure 2, exclusion criteria at each stage)</w:t>
            </w:r>
          </w:p>
        </w:tc>
      </w:tr>
      <w:tr w:rsidR="00305DFF" w:rsidRPr="0068764A" w14:paraId="4254F803" w14:textId="77777777">
        <w:tc>
          <w:tcPr>
            <w:tcW w:w="0" w:type="auto"/>
          </w:tcPr>
          <w:p w14:paraId="5B53FCD0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0169C44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E75BB5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(c) Consider use of a flow diagram</w:t>
            </w:r>
          </w:p>
        </w:tc>
        <w:tc>
          <w:tcPr>
            <w:tcW w:w="0" w:type="auto"/>
          </w:tcPr>
          <w:p w14:paraId="45A0BBE4" w14:textId="000EE59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p.20 (Figure 2)</w:t>
            </w:r>
          </w:p>
        </w:tc>
      </w:tr>
      <w:tr w:rsidR="00305DFF" w:rsidRPr="0068764A" w14:paraId="195846E4" w14:textId="77777777">
        <w:tc>
          <w:tcPr>
            <w:tcW w:w="0" w:type="auto"/>
          </w:tcPr>
          <w:p w14:paraId="50BB714B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Descriptive data</w:t>
            </w:r>
          </w:p>
        </w:tc>
        <w:tc>
          <w:tcPr>
            <w:tcW w:w="0" w:type="auto"/>
          </w:tcPr>
          <w:p w14:paraId="41F61ACB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0" w:type="auto"/>
          </w:tcPr>
          <w:p w14:paraId="196EC1B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Give characteristics of study participants and information on exposures and potential confounders</w:t>
            </w:r>
          </w:p>
        </w:tc>
        <w:tc>
          <w:tcPr>
            <w:tcW w:w="0" w:type="auto"/>
          </w:tcPr>
          <w:p w14:paraId="4909D5B4" w14:textId="120BC891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pp.22–24 (Table 1); p.11 (Baseline Covariate Imbalance and Selection Bias)</w:t>
            </w:r>
          </w:p>
        </w:tc>
      </w:tr>
      <w:tr w:rsidR="00305DFF" w:rsidRPr="0068764A" w14:paraId="00F0B755" w14:textId="77777777">
        <w:tc>
          <w:tcPr>
            <w:tcW w:w="0" w:type="auto"/>
          </w:tcPr>
          <w:p w14:paraId="6AA44CE7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C271CF9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38F5B3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6DAC2ABE" w14:textId="2C180214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p.7 (proration rule; respondents-only exposure); pp.22–24 (Table 1)</w:t>
            </w:r>
          </w:p>
        </w:tc>
      </w:tr>
      <w:tr w:rsidR="00305DFF" w:rsidRPr="0068764A" w14:paraId="72391015" w14:textId="77777777">
        <w:tc>
          <w:tcPr>
            <w:tcW w:w="0" w:type="auto"/>
          </w:tcPr>
          <w:p w14:paraId="2DB5F88B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90CBCF9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8BA5E9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(c) Summarise follow-up time (e.g., average and total amount)</w:t>
            </w:r>
          </w:p>
        </w:tc>
        <w:tc>
          <w:tcPr>
            <w:tcW w:w="0" w:type="auto"/>
          </w:tcPr>
          <w:p w14:paraId="60CB4C40" w14:textId="30148492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pp.10–11 (mean 2.13 waves per adherent clone; 2.26 waves per person; follow-up through 2018)</w:t>
            </w:r>
          </w:p>
        </w:tc>
      </w:tr>
      <w:tr w:rsidR="00305DFF" w:rsidRPr="0068764A" w14:paraId="14FF0BF7" w14:textId="77777777">
        <w:tc>
          <w:tcPr>
            <w:tcW w:w="0" w:type="auto"/>
          </w:tcPr>
          <w:p w14:paraId="122AF7DB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Outcome data</w:t>
            </w:r>
          </w:p>
        </w:tc>
        <w:tc>
          <w:tcPr>
            <w:tcW w:w="0" w:type="auto"/>
          </w:tcPr>
          <w:p w14:paraId="15735AB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0" w:type="auto"/>
          </w:tcPr>
          <w:p w14:paraId="056BBCE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Report numbers of outcome events or summary measures over time</w:t>
            </w:r>
          </w:p>
        </w:tc>
        <w:tc>
          <w:tcPr>
            <w:tcW w:w="0" w:type="auto"/>
          </w:tcPr>
          <w:p w14:paraId="113ABA05" w14:textId="7D5FBD48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p.12 and p.25 (3,461 incident events of elevated depressive symptoms; 869 deaths, n = 9,323)</w:t>
            </w:r>
          </w:p>
        </w:tc>
      </w:tr>
      <w:tr w:rsidR="00305DFF" w:rsidRPr="0068764A" w14:paraId="64DE321C" w14:textId="77777777">
        <w:tc>
          <w:tcPr>
            <w:tcW w:w="0" w:type="auto"/>
          </w:tcPr>
          <w:p w14:paraId="177AB46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Main results</w:t>
            </w:r>
          </w:p>
        </w:tc>
        <w:tc>
          <w:tcPr>
            <w:tcW w:w="0" w:type="auto"/>
          </w:tcPr>
          <w:p w14:paraId="5967E40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0" w:type="auto"/>
          </w:tcPr>
          <w:p w14:paraId="01A3D01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(a) Give unadjusted estimates and, where applicable, confounder-adjusted estimates and their precision (eg, 95% confidence interval)</w:t>
            </w:r>
          </w:p>
        </w:tc>
        <w:tc>
          <w:tcPr>
            <w:tcW w:w="0" w:type="auto"/>
          </w:tcPr>
          <w:p w14:paraId="0473ADC6" w14:textId="765104E4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p.24 (Table 2, crude M0 through adjusted M4 and fixed-effects M5 with 95% CIs); p.25 (Table 3, per-protocol and ITT hazard ratios with 95% CIs); p.20 (Figure 1)</w:t>
            </w:r>
          </w:p>
        </w:tc>
      </w:tr>
      <w:tr w:rsidR="00305DFF" w:rsidRPr="0068764A" w14:paraId="3FB387E4" w14:textId="77777777">
        <w:tc>
          <w:tcPr>
            <w:tcW w:w="0" w:type="auto"/>
          </w:tcPr>
          <w:p w14:paraId="3B3555D0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829EDE6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984228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(b) Report category boundaries when continuous variables were categorized</w:t>
            </w:r>
          </w:p>
        </w:tc>
        <w:tc>
          <w:tcPr>
            <w:tcW w:w="0" w:type="auto"/>
          </w:tcPr>
          <w:p w14:paraId="2B2EDBD0" w14:textId="2A3D290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p.7 (CES-D-10 ≥10); p.14 (baseline &lt;5)</w:t>
            </w:r>
          </w:p>
        </w:tc>
      </w:tr>
      <w:tr w:rsidR="00305DFF" w:rsidRPr="0068764A" w14:paraId="01E456FD" w14:textId="77777777">
        <w:tc>
          <w:tcPr>
            <w:tcW w:w="0" w:type="auto"/>
          </w:tcPr>
          <w:p w14:paraId="6570FAAF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A4E0901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EBC47C0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(c) If relevant, consider translating estimates of relative risk into absolute risk for a meaningful time period</w:t>
            </w:r>
          </w:p>
        </w:tc>
        <w:tc>
          <w:tcPr>
            <w:tcW w:w="0" w:type="auto"/>
          </w:tcPr>
          <w:p w14:paraId="7819692A" w14:textId="5B6D2C5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p.21 (Figure 3, cumulative incidence functions for elevated symptoms and death); p.25 (Table 3, absolute event counts)</w:t>
            </w:r>
          </w:p>
        </w:tc>
      </w:tr>
      <w:tr w:rsidR="00305DFF" w:rsidRPr="0068764A" w14:paraId="63E3B1DC" w14:textId="77777777">
        <w:tc>
          <w:tcPr>
            <w:tcW w:w="0" w:type="auto"/>
          </w:tcPr>
          <w:p w14:paraId="2FE9DC9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Other analyses</w:t>
            </w:r>
          </w:p>
        </w:tc>
        <w:tc>
          <w:tcPr>
            <w:tcW w:w="0" w:type="auto"/>
          </w:tcPr>
          <w:p w14:paraId="39C03492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0" w:type="auto"/>
          </w:tcPr>
          <w:p w14:paraId="1DAD99DC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Report other analyses done — eg, analyses of subgroups and interactions, and sensitivity analyses</w:t>
            </w:r>
          </w:p>
        </w:tc>
        <w:tc>
          <w:tcPr>
            <w:tcW w:w="0" w:type="auto"/>
          </w:tcPr>
          <w:p w14:paraId="27F45814" w14:textId="77CB78EA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pp.12–15 (Results); pp.21–22 (Figures 4–5); Supplementary Materials (Tables S1–S13; Figures S1–S7)</w:t>
            </w:r>
          </w:p>
        </w:tc>
      </w:tr>
      <w:tr w:rsidR="00305DFF" w:rsidRPr="0068764A" w14:paraId="319B6305" w14:textId="77777777">
        <w:tc>
          <w:tcPr>
            <w:tcW w:w="0" w:type="auto"/>
          </w:tcPr>
          <w:p w14:paraId="312B2069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Discussion</w:t>
            </w:r>
          </w:p>
        </w:tc>
        <w:tc>
          <w:tcPr>
            <w:tcW w:w="0" w:type="auto"/>
          </w:tcPr>
          <w:p w14:paraId="5E872DAA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2EFC494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35511DF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5DFF" w:rsidRPr="0068764A" w14:paraId="21D9DA94" w14:textId="77777777">
        <w:tc>
          <w:tcPr>
            <w:tcW w:w="0" w:type="auto"/>
          </w:tcPr>
          <w:p w14:paraId="31327A7A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Key results</w:t>
            </w:r>
          </w:p>
        </w:tc>
        <w:tc>
          <w:tcPr>
            <w:tcW w:w="0" w:type="auto"/>
          </w:tcPr>
          <w:p w14:paraId="789174FB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0" w:type="auto"/>
          </w:tcPr>
          <w:p w14:paraId="7F41B92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176892F1" w14:textId="53EAAB15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p.16 (Discussion, first paragraph)</w:t>
            </w:r>
          </w:p>
        </w:tc>
      </w:tr>
      <w:tr w:rsidR="00305DFF" w:rsidRPr="0068764A" w14:paraId="24414D20" w14:textId="77777777">
        <w:tc>
          <w:tcPr>
            <w:tcW w:w="0" w:type="auto"/>
          </w:tcPr>
          <w:p w14:paraId="3DA32DF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Limitations</w:t>
            </w:r>
          </w:p>
        </w:tc>
        <w:tc>
          <w:tcPr>
            <w:tcW w:w="0" w:type="auto"/>
          </w:tcPr>
          <w:p w14:paraId="3828350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0" w:type="auto"/>
          </w:tcPr>
          <w:p w14:paraId="79871984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4EEAE433" w14:textId="6CB22B0E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p.19 (Strengths and limitations)</w:t>
            </w:r>
          </w:p>
        </w:tc>
      </w:tr>
      <w:tr w:rsidR="00305DFF" w:rsidRPr="0068764A" w14:paraId="62865C9E" w14:textId="77777777" w:rsidTr="0068764A">
        <w:tc>
          <w:tcPr>
            <w:tcW w:w="0" w:type="auto"/>
          </w:tcPr>
          <w:p w14:paraId="78387ADF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Interpretation</w:t>
            </w:r>
          </w:p>
        </w:tc>
        <w:tc>
          <w:tcPr>
            <w:tcW w:w="0" w:type="auto"/>
          </w:tcPr>
          <w:p w14:paraId="29CEAA5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0" w:type="auto"/>
          </w:tcPr>
          <w:p w14:paraId="78695950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7C945B7A" w14:textId="1FEA8EE0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pp.16–19 (Discussion); p.9 (multiplicity statement, following Rothman)</w:t>
            </w:r>
          </w:p>
        </w:tc>
      </w:tr>
      <w:tr w:rsidR="00305DFF" w:rsidRPr="0068764A" w14:paraId="00E00112" w14:textId="77777777">
        <w:tc>
          <w:tcPr>
            <w:tcW w:w="0" w:type="auto"/>
          </w:tcPr>
          <w:p w14:paraId="579BF8A2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Generalisability</w:t>
            </w:r>
          </w:p>
        </w:tc>
        <w:tc>
          <w:tcPr>
            <w:tcW w:w="0" w:type="auto"/>
          </w:tcPr>
          <w:p w14:paraId="159E3386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0" w:type="auto"/>
          </w:tcPr>
          <w:p w14:paraId="712B58E5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Discuss the generalisability </w:t>
            </w:r>
            <w:r w:rsidRPr="006876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(external validity) of the study results</w:t>
            </w:r>
          </w:p>
        </w:tc>
        <w:tc>
          <w:tcPr>
            <w:tcW w:w="0" w:type="auto"/>
          </w:tcPr>
          <w:p w14:paraId="26FE3265" w14:textId="0477F5C1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p.18 (Methodological contribution)</w:t>
            </w:r>
          </w:p>
        </w:tc>
      </w:tr>
      <w:tr w:rsidR="00305DFF" w:rsidRPr="0068764A" w14:paraId="391951E8" w14:textId="77777777">
        <w:tc>
          <w:tcPr>
            <w:tcW w:w="0" w:type="auto"/>
          </w:tcPr>
          <w:p w14:paraId="2C95C1BE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Other information</w:t>
            </w:r>
          </w:p>
        </w:tc>
        <w:tc>
          <w:tcPr>
            <w:tcW w:w="0" w:type="auto"/>
          </w:tcPr>
          <w:p w14:paraId="08366454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B3A260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B691361" w14:textId="77777777" w:rsidR="00305DFF" w:rsidRPr="0068764A" w:rsidRDefault="00305DFF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05DFF" w:rsidRPr="0068764A" w14:paraId="4AD30BEC" w14:textId="77777777" w:rsidTr="0068764A">
        <w:tc>
          <w:tcPr>
            <w:tcW w:w="0" w:type="auto"/>
            <w:tcBorders>
              <w:bottom w:val="single" w:sz="4" w:space="0" w:color="auto"/>
            </w:tcBorders>
          </w:tcPr>
          <w:p w14:paraId="1B68157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Funding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0C2417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D14021" w14:textId="77777777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95E731" w14:textId="03E6D2CA" w:rsidR="00305DFF" w:rsidRPr="0068764A" w:rsidRDefault="00000000">
            <w:pPr>
              <w:pStyle w:val="Compact"/>
              <w:rPr>
                <w:rFonts w:ascii="Times New Roman" w:hAnsi="Times New Roman" w:cs="Times New Roman"/>
                <w:sz w:val="21"/>
                <w:szCs w:val="21"/>
              </w:rPr>
            </w:pPr>
            <w:r w:rsidRPr="0068764A">
              <w:rPr>
                <w:rFonts w:ascii="Times New Roman" w:hAnsi="Times New Roman" w:cs="Times New Roman"/>
                <w:sz w:val="21"/>
                <w:szCs w:val="21"/>
              </w:rPr>
              <w:t xml:space="preserve">p.26 (Declarations, Funding: Tianjin Key Medical Discipline (Specialty) Construction Project, Grant </w:t>
            </w:r>
            <w:proofErr w:type="gramStart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No.TJYXZDXK</w:t>
            </w:r>
            <w:proofErr w:type="gramEnd"/>
            <w:r w:rsidRPr="0068764A">
              <w:rPr>
                <w:rFonts w:ascii="Times New Roman" w:hAnsi="Times New Roman" w:cs="Times New Roman"/>
                <w:sz w:val="21"/>
                <w:szCs w:val="21"/>
              </w:rPr>
              <w:t>-055B)</w:t>
            </w:r>
          </w:p>
        </w:tc>
      </w:tr>
      <w:bookmarkEnd w:id="0"/>
    </w:tbl>
    <w:p w14:paraId="1D7D321E" w14:textId="77777777" w:rsidR="00515EB2" w:rsidRDefault="00515EB2"/>
    <w:sectPr w:rsidR="00515EB2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9328" w14:textId="77777777" w:rsidR="00515EB2" w:rsidRDefault="00515EB2">
      <w:pPr>
        <w:spacing w:after="0"/>
      </w:pPr>
      <w:r>
        <w:separator/>
      </w:r>
    </w:p>
  </w:endnote>
  <w:endnote w:type="continuationSeparator" w:id="0">
    <w:p w14:paraId="1EC4ED0C" w14:textId="77777777" w:rsidR="00515EB2" w:rsidRDefault="00515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85A6" w14:textId="77777777" w:rsidR="00515EB2" w:rsidRDefault="00515EB2">
      <w:r>
        <w:separator/>
      </w:r>
    </w:p>
  </w:footnote>
  <w:footnote w:type="continuationSeparator" w:id="0">
    <w:p w14:paraId="5EB91FEF" w14:textId="77777777" w:rsidR="00515EB2" w:rsidRDefault="00515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7BA3FF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203838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DFF"/>
    <w:rsid w:val="00305DFF"/>
    <w:rsid w:val="004A7257"/>
    <w:rsid w:val="00515EB2"/>
    <w:rsid w:val="0068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82C23"/>
  <w15:docId w15:val="{56E83DAD-0375-4F48-A167-9C19F5F8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  <w:pPr>
      <w:spacing w:after="0" w:line="200" w:lineRule="exact"/>
    </w:pPr>
    <w:rPr>
      <w:sz w:val="18"/>
      <w:szCs w:val="18"/>
    </w:r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1112</Words>
  <Characters>6497</Characters>
  <Application>Microsoft Office Word</Application>
  <DocSecurity>0</DocSecurity>
  <Lines>406</Lines>
  <Paragraphs>146</Paragraphs>
  <ScaleCrop>false</ScaleCrop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jiayi sun</cp:lastModifiedBy>
  <cp:revision>2</cp:revision>
  <dcterms:created xsi:type="dcterms:W3CDTF">2026-09-06T14:36:00Z</dcterms:created>
  <dcterms:modified xsi:type="dcterms:W3CDTF">2026-09-06T14:57:00Z</dcterms:modified>
</cp:coreProperties>
</file>