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346DE">
      <w:pPr>
        <w:rPr>
          <w:rFonts w:hint="eastAsia"/>
        </w:rPr>
      </w:pPr>
    </w:p>
    <w:p w14:paraId="332765A1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Highlights</w:t>
      </w:r>
    </w:p>
    <w:p w14:paraId="52CCF7C1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0520918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EBR at 5 DAA restores leaf function, increasing wheat yield by 12.5% under heat stress.</w:t>
      </w:r>
    </w:p>
    <w:p w14:paraId="2FCFF20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Maximum grain-filling rate is the key yield determinant under heat stress.</w:t>
      </w:r>
    </w:p>
    <w:p w14:paraId="4C12EDE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Optimized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EBR timing coordinates source–sink relations to mitigate yield loss.</w:t>
      </w:r>
    </w:p>
    <w:sectPr>
      <w:pgSz w:w="11906" w:h="16838"/>
      <w:pgMar w:top="1134" w:right="1020" w:bottom="10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6096BC"/>
    <w:multiLevelType w:val="singleLevel"/>
    <w:tmpl w:val="C06096BC"/>
    <w:lvl w:ilvl="0" w:tentative="0">
      <w:start w:val="1"/>
      <w:numFmt w:val="decimal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3B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2026-06-30T13:03:41Z</dcterms:created>
  <dc:creator>苏明</dc:creator>
  <cp:lastModifiedBy>难从众</cp:lastModifiedBy>
  <dcterms:modified xsi:type="dcterms:W3CDTF">2026-06-30T13:08:00Z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eyJoZGlkIjoiNzZlM2RlMTBjYWYxNDdkMDFjZGJmNWI4MTk2NjNhZjYiLCJ1c2VySWQiOiI1ODg1NDE5OTUifQ==</vt:lpwstr>
  </property>
  <property fmtid="{D5CDD505-2E9C-101B-9397-08002B2CF9AE}" pid="4" name="ICV">
    <vt:lpwstr>32DE24B8D4F646A3855CCAECFE6176A2_12</vt:lpwstr>
  </property>
</Properties>
</file>