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03457" w14:textId="77777777" w:rsidR="00024661" w:rsidRDefault="00024661" w:rsidP="00A142F3">
      <w:pPr>
        <w:bidi/>
        <w:spacing w:after="120" w:line="264" w:lineRule="auto"/>
        <w:rPr>
          <w:rFonts w:cs="B Nazanin"/>
          <w:b/>
          <w:bCs/>
          <w:sz w:val="22"/>
          <w:szCs w:val="22"/>
          <w:rtl/>
        </w:rPr>
      </w:pPr>
      <w:bookmarkStart w:id="0" w:name="_Hlk186206777"/>
    </w:p>
    <w:bookmarkEnd w:id="0"/>
    <w:p w14:paraId="151DAD0C" w14:textId="140070EA" w:rsidR="002154AB" w:rsidRPr="002154AB" w:rsidRDefault="002154AB" w:rsidP="002154AB">
      <w:pPr>
        <w:jc w:val="center"/>
        <w:rPr>
          <w:rFonts w:asciiTheme="majorBidi" w:hAnsiTheme="majorBidi" w:cstheme="majorBidi"/>
          <w:b/>
          <w:bCs/>
          <w:sz w:val="28"/>
          <w:szCs w:val="28"/>
        </w:rPr>
      </w:pPr>
      <w:r w:rsidRPr="002154AB">
        <w:rPr>
          <w:rFonts w:asciiTheme="majorBidi" w:hAnsiTheme="majorBidi" w:cstheme="majorBidi"/>
          <w:b/>
          <w:bCs/>
          <w:sz w:val="28"/>
          <w:szCs w:val="28"/>
        </w:rPr>
        <w:t>Researcher-developed questionnaire for assessing learning levels</w:t>
      </w:r>
    </w:p>
    <w:p w14:paraId="13A52366" w14:textId="12C06814" w:rsidR="006F5AE2" w:rsidRDefault="006F5AE2" w:rsidP="00A142F3">
      <w:pPr>
        <w:rPr>
          <w:rFonts w:cs="B Nazanin"/>
          <w:b/>
          <w:bCs/>
          <w:sz w:val="20"/>
          <w:szCs w:val="20"/>
          <w:rtl/>
          <w:lang w:bidi="fa-IR"/>
        </w:rPr>
      </w:pPr>
    </w:p>
    <w:tbl>
      <w:tblPr>
        <w:tblStyle w:val="TableGrid"/>
        <w:tblW w:w="0" w:type="auto"/>
        <w:tblLook w:val="04A0" w:firstRow="1" w:lastRow="0" w:firstColumn="1" w:lastColumn="0" w:noHBand="0" w:noVBand="1"/>
      </w:tblPr>
      <w:tblGrid>
        <w:gridCol w:w="570"/>
        <w:gridCol w:w="1822"/>
        <w:gridCol w:w="1779"/>
        <w:gridCol w:w="1961"/>
        <w:gridCol w:w="1739"/>
        <w:gridCol w:w="1479"/>
      </w:tblGrid>
      <w:tr w:rsidR="00FF65F5" w:rsidRPr="00FF65F5" w14:paraId="5EC820B3" w14:textId="77777777" w:rsidTr="002154AB">
        <w:tc>
          <w:tcPr>
            <w:tcW w:w="0" w:type="auto"/>
            <w:hideMark/>
          </w:tcPr>
          <w:p w14:paraId="08C7990A" w14:textId="77777777" w:rsidR="00FF65F5" w:rsidRPr="00FF65F5" w:rsidRDefault="00FF65F5" w:rsidP="002154AB">
            <w:pPr>
              <w:spacing w:line="375" w:lineRule="atLeast"/>
              <w:jc w:val="righ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No.</w:t>
            </w:r>
          </w:p>
        </w:tc>
        <w:tc>
          <w:tcPr>
            <w:tcW w:w="0" w:type="auto"/>
            <w:hideMark/>
          </w:tcPr>
          <w:p w14:paraId="6C46D12C" w14:textId="77777777" w:rsidR="00FF65F5" w:rsidRPr="00FF65F5" w:rsidRDefault="00FF65F5" w:rsidP="002154AB">
            <w:pPr>
              <w:spacing w:line="375" w:lineRule="atLeast"/>
              <w:jc w:val="righ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Questions</w:t>
            </w:r>
          </w:p>
        </w:tc>
        <w:tc>
          <w:tcPr>
            <w:tcW w:w="0" w:type="auto"/>
            <w:hideMark/>
          </w:tcPr>
          <w:p w14:paraId="73D37C31" w14:textId="77777777" w:rsidR="00FF65F5" w:rsidRPr="00FF65F5" w:rsidRDefault="00FF65F5" w:rsidP="002154AB">
            <w:pPr>
              <w:spacing w:line="375" w:lineRule="atLeast"/>
              <w:jc w:val="righ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A</w:t>
            </w:r>
          </w:p>
        </w:tc>
        <w:tc>
          <w:tcPr>
            <w:tcW w:w="0" w:type="auto"/>
            <w:hideMark/>
          </w:tcPr>
          <w:p w14:paraId="135063B5" w14:textId="77777777" w:rsidR="00FF65F5" w:rsidRPr="00FF65F5" w:rsidRDefault="00FF65F5" w:rsidP="002154AB">
            <w:pPr>
              <w:spacing w:line="375" w:lineRule="atLeast"/>
              <w:jc w:val="righ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B</w:t>
            </w:r>
          </w:p>
        </w:tc>
        <w:tc>
          <w:tcPr>
            <w:tcW w:w="0" w:type="auto"/>
            <w:hideMark/>
          </w:tcPr>
          <w:p w14:paraId="0E0DCCA1" w14:textId="77777777" w:rsidR="00FF65F5" w:rsidRPr="00FF65F5" w:rsidRDefault="00FF65F5" w:rsidP="002154AB">
            <w:pPr>
              <w:spacing w:line="375" w:lineRule="atLeast"/>
              <w:jc w:val="righ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C</w:t>
            </w:r>
          </w:p>
        </w:tc>
        <w:tc>
          <w:tcPr>
            <w:tcW w:w="0" w:type="auto"/>
            <w:hideMark/>
          </w:tcPr>
          <w:p w14:paraId="427006F8" w14:textId="77777777" w:rsidR="00FF65F5" w:rsidRPr="00FF65F5" w:rsidRDefault="00FF65F5" w:rsidP="002154AB">
            <w:pPr>
              <w:spacing w:line="375" w:lineRule="atLeast"/>
              <w:jc w:val="righ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D</w:t>
            </w:r>
          </w:p>
        </w:tc>
      </w:tr>
      <w:tr w:rsidR="00FF65F5" w:rsidRPr="00FF65F5" w14:paraId="24761497" w14:textId="77777777" w:rsidTr="002154AB">
        <w:tc>
          <w:tcPr>
            <w:tcW w:w="0" w:type="auto"/>
            <w:hideMark/>
          </w:tcPr>
          <w:p w14:paraId="3E9B4D3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w:t>
            </w:r>
          </w:p>
        </w:tc>
        <w:tc>
          <w:tcPr>
            <w:tcW w:w="0" w:type="auto"/>
            <w:hideMark/>
          </w:tcPr>
          <w:p w14:paraId="66EF11A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What is the main indication for hip replacement surgery?</w:t>
            </w:r>
          </w:p>
        </w:tc>
        <w:tc>
          <w:tcPr>
            <w:tcW w:w="0" w:type="auto"/>
            <w:hideMark/>
          </w:tcPr>
          <w:p w14:paraId="7C85DEA1"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Developmental dysplasia of the hip</w:t>
            </w:r>
          </w:p>
        </w:tc>
        <w:tc>
          <w:tcPr>
            <w:tcW w:w="0" w:type="auto"/>
            <w:hideMark/>
          </w:tcPr>
          <w:p w14:paraId="36BABCF3"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Proximal femoral bone tumor</w:t>
            </w:r>
          </w:p>
        </w:tc>
        <w:tc>
          <w:tcPr>
            <w:tcW w:w="0" w:type="auto"/>
            <w:hideMark/>
          </w:tcPr>
          <w:p w14:paraId="34EF96D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Osteoarthritis*</w:t>
            </w:r>
          </w:p>
        </w:tc>
        <w:tc>
          <w:tcPr>
            <w:tcW w:w="0" w:type="auto"/>
            <w:hideMark/>
          </w:tcPr>
          <w:p w14:paraId="667B54E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Leg length discrepancy</w:t>
            </w:r>
          </w:p>
        </w:tc>
      </w:tr>
      <w:tr w:rsidR="00FF65F5" w:rsidRPr="00FF65F5" w14:paraId="55B9661C" w14:textId="77777777" w:rsidTr="002154AB">
        <w:tc>
          <w:tcPr>
            <w:tcW w:w="0" w:type="auto"/>
            <w:hideMark/>
          </w:tcPr>
          <w:p w14:paraId="6100AE6F"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2</w:t>
            </w:r>
          </w:p>
        </w:tc>
        <w:tc>
          <w:tcPr>
            <w:tcW w:w="0" w:type="auto"/>
            <w:hideMark/>
          </w:tcPr>
          <w:p w14:paraId="7230C066"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For hip replacement surgery, which radiographic views are mandatory for the patient?</w:t>
            </w:r>
          </w:p>
        </w:tc>
        <w:tc>
          <w:tcPr>
            <w:tcW w:w="0" w:type="auto"/>
            <w:hideMark/>
          </w:tcPr>
          <w:p w14:paraId="5351EE5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Distal femur</w:t>
            </w:r>
          </w:p>
        </w:tc>
        <w:tc>
          <w:tcPr>
            <w:tcW w:w="0" w:type="auto"/>
            <w:hideMark/>
          </w:tcPr>
          <w:p w14:paraId="09320914"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Lateral hip</w:t>
            </w:r>
          </w:p>
        </w:tc>
        <w:tc>
          <w:tcPr>
            <w:tcW w:w="0" w:type="auto"/>
            <w:hideMark/>
          </w:tcPr>
          <w:p w14:paraId="5F930CF2" w14:textId="79A96F9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AP </w:t>
            </w:r>
            <w:r>
              <w:rPr>
                <w:rFonts w:asciiTheme="majorBidi" w:eastAsia="Times New Roman" w:hAnsiTheme="majorBidi" w:cstheme="majorBidi"/>
                <w:color w:val="0F1115"/>
                <w:kern w:val="0"/>
                <w14:ligatures w14:val="none"/>
              </w:rPr>
              <w:t>*</w:t>
            </w:r>
          </w:p>
        </w:tc>
        <w:tc>
          <w:tcPr>
            <w:tcW w:w="0" w:type="auto"/>
            <w:hideMark/>
          </w:tcPr>
          <w:p w14:paraId="27648119" w14:textId="4FE1183C" w:rsidR="00FF65F5" w:rsidRPr="00FF65F5" w:rsidRDefault="00FF65F5" w:rsidP="002154AB">
            <w:pPr>
              <w:spacing w:line="375" w:lineRule="atLeast"/>
              <w:rPr>
                <w:rFonts w:asciiTheme="majorBidi" w:eastAsia="Times New Roman" w:hAnsiTheme="majorBidi" w:cstheme="majorBidi"/>
                <w:color w:val="0F1115"/>
                <w:kern w:val="0"/>
                <w14:ligatures w14:val="none"/>
              </w:rPr>
            </w:pPr>
            <w:proofErr w:type="gramStart"/>
            <w:r w:rsidRPr="00024661">
              <w:rPr>
                <w:rFonts w:ascii="Calibri" w:eastAsia="Calibri" w:hAnsi="Calibri" w:cs="B Nazanin"/>
                <w:kern w:val="0"/>
                <w:lang w:bidi="fa-IR"/>
                <w14:ligatures w14:val="none"/>
              </w:rPr>
              <w:t>Oblique</w:t>
            </w:r>
            <w:r>
              <w:rPr>
                <w:rFonts w:ascii="Calibri" w:eastAsia="Calibri" w:hAnsi="Calibri" w:cs="B Nazanin" w:hint="cs"/>
                <w:kern w:val="0"/>
                <w:rtl/>
                <w:lang w:bidi="fa-IR"/>
                <w14:ligatures w14:val="none"/>
              </w:rPr>
              <w:t xml:space="preserve"> </w:t>
            </w:r>
            <w:r>
              <w:rPr>
                <w:rFonts w:ascii="Calibri" w:eastAsia="Calibri" w:hAnsi="Calibri" w:cs="B Nazanin"/>
                <w:kern w:val="0"/>
                <w:lang w:bidi="fa-IR"/>
                <w14:ligatures w14:val="none"/>
              </w:rPr>
              <w:t xml:space="preserve"> hip</w:t>
            </w:r>
            <w:proofErr w:type="gramEnd"/>
          </w:p>
        </w:tc>
      </w:tr>
      <w:tr w:rsidR="00FF65F5" w:rsidRPr="00FF65F5" w14:paraId="019F26FF" w14:textId="77777777" w:rsidTr="002154AB">
        <w:tc>
          <w:tcPr>
            <w:tcW w:w="0" w:type="auto"/>
            <w:hideMark/>
          </w:tcPr>
          <w:p w14:paraId="448F2BB2"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3</w:t>
            </w:r>
          </w:p>
        </w:tc>
        <w:tc>
          <w:tcPr>
            <w:tcW w:w="0" w:type="auto"/>
            <w:hideMark/>
          </w:tcPr>
          <w:p w14:paraId="438C183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Which item is </w:t>
            </w:r>
            <w:r w:rsidRPr="00FF65F5">
              <w:rPr>
                <w:rFonts w:asciiTheme="majorBidi" w:eastAsia="Times New Roman" w:hAnsiTheme="majorBidi" w:cstheme="majorBidi"/>
                <w:b/>
                <w:bCs/>
                <w:color w:val="0F1115"/>
                <w:kern w:val="0"/>
                <w14:ligatures w14:val="none"/>
              </w:rPr>
              <w:t>not</w:t>
            </w:r>
            <w:r w:rsidRPr="00FF65F5">
              <w:rPr>
                <w:rFonts w:asciiTheme="majorBidi" w:eastAsia="Times New Roman" w:hAnsiTheme="majorBidi" w:cstheme="majorBidi"/>
                <w:color w:val="0F1115"/>
                <w:kern w:val="0"/>
                <w14:ligatures w14:val="none"/>
              </w:rPr>
              <w:t xml:space="preserve"> considered part of the initial evaluation of a patient for hip replacement surgery?</w:t>
            </w:r>
          </w:p>
        </w:tc>
        <w:tc>
          <w:tcPr>
            <w:tcW w:w="0" w:type="auto"/>
            <w:hideMark/>
          </w:tcPr>
          <w:p w14:paraId="708ACE6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Plain radiography (X-ray) of the involved joint</w:t>
            </w:r>
          </w:p>
        </w:tc>
        <w:tc>
          <w:tcPr>
            <w:tcW w:w="0" w:type="auto"/>
            <w:hideMark/>
          </w:tcPr>
          <w:p w14:paraId="181E0584"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Checking the patient for absence of jewelry</w:t>
            </w:r>
          </w:p>
        </w:tc>
        <w:tc>
          <w:tcPr>
            <w:tcW w:w="0" w:type="auto"/>
            <w:hideMark/>
          </w:tcPr>
          <w:p w14:paraId="52C64B3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Maintaining patient privacy</w:t>
            </w:r>
          </w:p>
        </w:tc>
        <w:tc>
          <w:tcPr>
            <w:tcW w:w="0" w:type="auto"/>
            <w:hideMark/>
          </w:tcPr>
          <w:p w14:paraId="1C40EBB4"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Specialized blood tests such as advanced coagulation tests*</w:t>
            </w:r>
          </w:p>
        </w:tc>
      </w:tr>
      <w:tr w:rsidR="00FF65F5" w:rsidRPr="00FF65F5" w14:paraId="047DBA06" w14:textId="77777777" w:rsidTr="002154AB">
        <w:tc>
          <w:tcPr>
            <w:tcW w:w="0" w:type="auto"/>
            <w:hideMark/>
          </w:tcPr>
          <w:p w14:paraId="51A7A681"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4</w:t>
            </w:r>
          </w:p>
        </w:tc>
        <w:tc>
          <w:tcPr>
            <w:tcW w:w="0" w:type="auto"/>
            <w:hideMark/>
          </w:tcPr>
          <w:p w14:paraId="27AB809A"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Which of the following is used for positioning the patient in the lateral position?</w:t>
            </w:r>
          </w:p>
        </w:tc>
        <w:tc>
          <w:tcPr>
            <w:tcW w:w="0" w:type="auto"/>
            <w:hideMark/>
          </w:tcPr>
          <w:p w14:paraId="79715BC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Specialized blood tests such as advanced coagulation tests*</w:t>
            </w:r>
          </w:p>
        </w:tc>
        <w:tc>
          <w:tcPr>
            <w:tcW w:w="0" w:type="auto"/>
            <w:hideMark/>
          </w:tcPr>
          <w:p w14:paraId="0CDBA8B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Headrest</w:t>
            </w:r>
          </w:p>
        </w:tc>
        <w:tc>
          <w:tcPr>
            <w:tcW w:w="0" w:type="auto"/>
            <w:hideMark/>
          </w:tcPr>
          <w:p w14:paraId="61E4DF14"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Hand rest</w:t>
            </w:r>
          </w:p>
        </w:tc>
        <w:tc>
          <w:tcPr>
            <w:tcW w:w="0" w:type="auto"/>
            <w:hideMark/>
          </w:tcPr>
          <w:p w14:paraId="244EF79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Footrest</w:t>
            </w:r>
          </w:p>
        </w:tc>
      </w:tr>
      <w:tr w:rsidR="00FF65F5" w:rsidRPr="00FF65F5" w14:paraId="04EA6936" w14:textId="77777777" w:rsidTr="002154AB">
        <w:tc>
          <w:tcPr>
            <w:tcW w:w="0" w:type="auto"/>
            <w:hideMark/>
          </w:tcPr>
          <w:p w14:paraId="66561AF2"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5</w:t>
            </w:r>
          </w:p>
        </w:tc>
        <w:tc>
          <w:tcPr>
            <w:tcW w:w="0" w:type="auto"/>
            <w:hideMark/>
          </w:tcPr>
          <w:p w14:paraId="10549A8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For femoral replacement surgery, what </w:t>
            </w:r>
            <w:r w:rsidRPr="00FF65F5">
              <w:rPr>
                <w:rFonts w:asciiTheme="majorBidi" w:eastAsia="Times New Roman" w:hAnsiTheme="majorBidi" w:cstheme="majorBidi"/>
                <w:color w:val="0F1115"/>
                <w:kern w:val="0"/>
                <w14:ligatures w14:val="none"/>
              </w:rPr>
              <w:lastRenderedPageBreak/>
              <w:t>parts of the patient's body does the secondary prep include?</w:t>
            </w:r>
          </w:p>
        </w:tc>
        <w:tc>
          <w:tcPr>
            <w:tcW w:w="0" w:type="auto"/>
            <w:hideMark/>
          </w:tcPr>
          <w:p w14:paraId="18B99E2A"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lastRenderedPageBreak/>
              <w:t>From the axilla to the knee</w:t>
            </w:r>
          </w:p>
        </w:tc>
        <w:tc>
          <w:tcPr>
            <w:tcW w:w="0" w:type="auto"/>
            <w:hideMark/>
          </w:tcPr>
          <w:p w14:paraId="23F578A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From below the ribs to the tip of the toes</w:t>
            </w:r>
          </w:p>
        </w:tc>
        <w:tc>
          <w:tcPr>
            <w:tcW w:w="0" w:type="auto"/>
            <w:hideMark/>
          </w:tcPr>
          <w:p w14:paraId="1B22EF92"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From the iliac crest to the tip of the fingers*</w:t>
            </w:r>
          </w:p>
        </w:tc>
        <w:tc>
          <w:tcPr>
            <w:tcW w:w="0" w:type="auto"/>
            <w:hideMark/>
          </w:tcPr>
          <w:p w14:paraId="264D7767"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Entire groin and perineal area</w:t>
            </w:r>
          </w:p>
        </w:tc>
      </w:tr>
      <w:tr w:rsidR="00FF65F5" w:rsidRPr="00FF65F5" w14:paraId="79E56B72" w14:textId="77777777" w:rsidTr="002154AB">
        <w:tc>
          <w:tcPr>
            <w:tcW w:w="0" w:type="auto"/>
            <w:hideMark/>
          </w:tcPr>
          <w:p w14:paraId="2FD2F856"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6</w:t>
            </w:r>
          </w:p>
        </w:tc>
        <w:tc>
          <w:tcPr>
            <w:tcW w:w="0" w:type="auto"/>
            <w:hideMark/>
          </w:tcPr>
          <w:p w14:paraId="4B8DCC2A"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For draping a patient undergoing THA, which areas of the body must be completely covered and kept out of the surgical field?</w:t>
            </w:r>
          </w:p>
        </w:tc>
        <w:tc>
          <w:tcPr>
            <w:tcW w:w="0" w:type="auto"/>
            <w:hideMark/>
          </w:tcPr>
          <w:p w14:paraId="19DE47B1" w14:textId="18562AAE" w:rsidR="002154AB" w:rsidRPr="00FF65F5" w:rsidRDefault="002154AB" w:rsidP="002154AB">
            <w:pPr>
              <w:spacing w:line="375" w:lineRule="atLeast"/>
              <w:rPr>
                <w:rFonts w:asciiTheme="majorBidi" w:eastAsia="Times New Roman" w:hAnsiTheme="majorBidi" w:cstheme="majorBidi"/>
                <w:color w:val="0F1115"/>
                <w:kern w:val="0"/>
                <w14:ligatures w14:val="none"/>
              </w:rPr>
            </w:pPr>
            <w:r w:rsidRPr="002154AB">
              <w:rPr>
                <w:rFonts w:asciiTheme="majorBidi" w:eastAsia="Times New Roman" w:hAnsiTheme="majorBidi" w:cstheme="majorBidi"/>
                <w:color w:val="0F1115"/>
                <w:kern w:val="0"/>
                <w14:ligatures w14:val="none"/>
              </w:rPr>
              <w:t>Upper-posterior thigh</w:t>
            </w:r>
          </w:p>
        </w:tc>
        <w:tc>
          <w:tcPr>
            <w:tcW w:w="0" w:type="auto"/>
            <w:hideMark/>
          </w:tcPr>
          <w:p w14:paraId="7F71225F"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Greater trochanter prominence of the femur</w:t>
            </w:r>
          </w:p>
        </w:tc>
        <w:tc>
          <w:tcPr>
            <w:tcW w:w="0" w:type="auto"/>
            <w:hideMark/>
          </w:tcPr>
          <w:p w14:paraId="324084E2"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Back and lateral pelvis</w:t>
            </w:r>
          </w:p>
        </w:tc>
        <w:tc>
          <w:tcPr>
            <w:tcW w:w="0" w:type="auto"/>
            <w:hideMark/>
          </w:tcPr>
          <w:p w14:paraId="70369B01"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Upper half of the body, abdomen, and distal foot*</w:t>
            </w:r>
          </w:p>
        </w:tc>
      </w:tr>
      <w:tr w:rsidR="00FF65F5" w:rsidRPr="00FF65F5" w14:paraId="40DD2E9C" w14:textId="77777777" w:rsidTr="002154AB">
        <w:tc>
          <w:tcPr>
            <w:tcW w:w="0" w:type="auto"/>
            <w:hideMark/>
          </w:tcPr>
          <w:p w14:paraId="7157FEC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7</w:t>
            </w:r>
          </w:p>
        </w:tc>
        <w:tc>
          <w:tcPr>
            <w:tcW w:w="0" w:type="auto"/>
            <w:hideMark/>
          </w:tcPr>
          <w:p w14:paraId="57D7118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In THA via the direct lateral approach, where is the surgical incision located?</w:t>
            </w:r>
          </w:p>
        </w:tc>
        <w:tc>
          <w:tcPr>
            <w:tcW w:w="0" w:type="auto"/>
            <w:hideMark/>
          </w:tcPr>
          <w:p w14:paraId="70C96400"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Circular incision around the greater trochanter</w:t>
            </w:r>
          </w:p>
        </w:tc>
        <w:tc>
          <w:tcPr>
            <w:tcW w:w="0" w:type="auto"/>
            <w:hideMark/>
          </w:tcPr>
          <w:p w14:paraId="790E5805"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Linear incision at the lateral femur*</w:t>
            </w:r>
          </w:p>
        </w:tc>
        <w:tc>
          <w:tcPr>
            <w:tcW w:w="0" w:type="auto"/>
            <w:hideMark/>
          </w:tcPr>
          <w:p w14:paraId="3653BA1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Curved incision at the center of the greater trochanter</w:t>
            </w:r>
          </w:p>
        </w:tc>
        <w:tc>
          <w:tcPr>
            <w:tcW w:w="0" w:type="auto"/>
            <w:hideMark/>
          </w:tcPr>
          <w:p w14:paraId="4517E5F1"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Curved incision at the lower part of the greater trochanter</w:t>
            </w:r>
          </w:p>
        </w:tc>
      </w:tr>
      <w:tr w:rsidR="00FF65F5" w:rsidRPr="00FF65F5" w14:paraId="4D6964F0" w14:textId="77777777" w:rsidTr="002154AB">
        <w:tc>
          <w:tcPr>
            <w:tcW w:w="0" w:type="auto"/>
            <w:hideMark/>
          </w:tcPr>
          <w:p w14:paraId="0051EB45"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8</w:t>
            </w:r>
          </w:p>
        </w:tc>
        <w:tc>
          <w:tcPr>
            <w:tcW w:w="0" w:type="auto"/>
            <w:hideMark/>
          </w:tcPr>
          <w:p w14:paraId="61BB6C50"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Based on the four-quadrant classification of the acetabulum (using horizontal and vertical lines passing through the ASIS), which area is considered the safest option for </w:t>
            </w:r>
            <w:proofErr w:type="spellStart"/>
            <w:r w:rsidRPr="00FF65F5">
              <w:rPr>
                <w:rFonts w:asciiTheme="majorBidi" w:eastAsia="Times New Roman" w:hAnsiTheme="majorBidi" w:cstheme="majorBidi"/>
                <w:color w:val="0F1115"/>
                <w:kern w:val="0"/>
                <w14:ligatures w14:val="none"/>
              </w:rPr>
              <w:t>transacetabular</w:t>
            </w:r>
            <w:proofErr w:type="spellEnd"/>
            <w:r w:rsidRPr="00FF65F5">
              <w:rPr>
                <w:rFonts w:asciiTheme="majorBidi" w:eastAsia="Times New Roman" w:hAnsiTheme="majorBidi" w:cstheme="majorBidi"/>
                <w:color w:val="0F1115"/>
                <w:kern w:val="0"/>
                <w14:ligatures w14:val="none"/>
              </w:rPr>
              <w:t xml:space="preserve"> </w:t>
            </w:r>
            <w:r w:rsidRPr="00FF65F5">
              <w:rPr>
                <w:rFonts w:asciiTheme="majorBidi" w:eastAsia="Times New Roman" w:hAnsiTheme="majorBidi" w:cstheme="majorBidi"/>
                <w:color w:val="0F1115"/>
                <w:kern w:val="0"/>
                <w14:ligatures w14:val="none"/>
              </w:rPr>
              <w:lastRenderedPageBreak/>
              <w:t>screw placement?</w:t>
            </w:r>
          </w:p>
        </w:tc>
        <w:tc>
          <w:tcPr>
            <w:tcW w:w="0" w:type="auto"/>
            <w:hideMark/>
          </w:tcPr>
          <w:p w14:paraId="6E372662"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lastRenderedPageBreak/>
              <w:t>Anterior-superior quadrant</w:t>
            </w:r>
          </w:p>
        </w:tc>
        <w:tc>
          <w:tcPr>
            <w:tcW w:w="0" w:type="auto"/>
            <w:hideMark/>
          </w:tcPr>
          <w:p w14:paraId="54C8665A"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Anterior-inferior quadrant</w:t>
            </w:r>
          </w:p>
        </w:tc>
        <w:tc>
          <w:tcPr>
            <w:tcW w:w="0" w:type="auto"/>
            <w:hideMark/>
          </w:tcPr>
          <w:p w14:paraId="270B6223"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Posterior-inferior quadrant</w:t>
            </w:r>
          </w:p>
        </w:tc>
        <w:tc>
          <w:tcPr>
            <w:tcW w:w="0" w:type="auto"/>
            <w:hideMark/>
          </w:tcPr>
          <w:p w14:paraId="7AC0B194"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Posterior-superior quadrant*</w:t>
            </w:r>
          </w:p>
        </w:tc>
      </w:tr>
      <w:tr w:rsidR="00FF65F5" w:rsidRPr="00FF65F5" w14:paraId="3EEA44CA" w14:textId="77777777" w:rsidTr="002154AB">
        <w:tc>
          <w:tcPr>
            <w:tcW w:w="0" w:type="auto"/>
            <w:hideMark/>
          </w:tcPr>
          <w:p w14:paraId="5F5233D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9</w:t>
            </w:r>
          </w:p>
        </w:tc>
        <w:tc>
          <w:tcPr>
            <w:tcW w:w="0" w:type="auto"/>
            <w:hideMark/>
          </w:tcPr>
          <w:p w14:paraId="6F9C759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In femoral canal preparation, where should the correct entry point for the reamer be determined, and toward which anatomical structure should the reamer handle be directed during surgery?</w:t>
            </w:r>
          </w:p>
        </w:tc>
        <w:tc>
          <w:tcPr>
            <w:tcW w:w="0" w:type="auto"/>
            <w:hideMark/>
          </w:tcPr>
          <w:p w14:paraId="6058B0B8" w14:textId="08F685F1"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Tip of the greater trochanter</w:t>
            </w:r>
            <w:r w:rsidR="002154AB">
              <w:rPr>
                <w:rFonts w:asciiTheme="majorBidi" w:eastAsia="Times New Roman" w:hAnsiTheme="majorBidi" w:cstheme="majorBidi"/>
                <w:color w:val="0F1115"/>
                <w:kern w:val="0"/>
                <w14:ligatures w14:val="none"/>
              </w:rPr>
              <w:t xml:space="preserve"> -</w:t>
            </w:r>
            <w:r w:rsidRPr="00FF65F5">
              <w:rPr>
                <w:rFonts w:asciiTheme="majorBidi" w:eastAsia="Times New Roman" w:hAnsiTheme="majorBidi" w:cstheme="majorBidi"/>
                <w:color w:val="0F1115"/>
                <w:kern w:val="0"/>
                <w14:ligatures w14:val="none"/>
              </w:rPr>
              <w:t xml:space="preserve"> directing the handle toward the posterior iliac spine</w:t>
            </w:r>
          </w:p>
        </w:tc>
        <w:tc>
          <w:tcPr>
            <w:tcW w:w="0" w:type="auto"/>
            <w:hideMark/>
          </w:tcPr>
          <w:p w14:paraId="458074F6" w14:textId="00137245"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Center of the acetabular fossa </w:t>
            </w:r>
            <w:r w:rsidR="002154AB">
              <w:rPr>
                <w:rFonts w:asciiTheme="majorBidi" w:eastAsia="Times New Roman" w:hAnsiTheme="majorBidi" w:cstheme="majorBidi"/>
                <w:color w:val="0F1115"/>
                <w:kern w:val="0"/>
                <w14:ligatures w14:val="none"/>
              </w:rPr>
              <w:t>-</w:t>
            </w:r>
            <w:r w:rsidRPr="00FF65F5">
              <w:rPr>
                <w:rFonts w:asciiTheme="majorBidi" w:eastAsia="Times New Roman" w:hAnsiTheme="majorBidi" w:cstheme="majorBidi"/>
                <w:color w:val="0F1115"/>
                <w:kern w:val="0"/>
                <w14:ligatures w14:val="none"/>
              </w:rPr>
              <w:t xml:space="preserve"> directing the handle toward the intertrochanteric line</w:t>
            </w:r>
          </w:p>
        </w:tc>
        <w:tc>
          <w:tcPr>
            <w:tcW w:w="0" w:type="auto"/>
            <w:hideMark/>
          </w:tcPr>
          <w:p w14:paraId="6C13CD58" w14:textId="2AC19C7A"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Ischial tuberosity</w:t>
            </w:r>
            <w:r w:rsidR="002154AB">
              <w:rPr>
                <w:rFonts w:asciiTheme="majorBidi" w:eastAsia="Times New Roman" w:hAnsiTheme="majorBidi" w:cstheme="majorBidi"/>
                <w:color w:val="0F1115"/>
                <w:kern w:val="0"/>
                <w14:ligatures w14:val="none"/>
              </w:rPr>
              <w:t xml:space="preserve"> -</w:t>
            </w:r>
            <w:r w:rsidRPr="00FF65F5">
              <w:rPr>
                <w:rFonts w:asciiTheme="majorBidi" w:eastAsia="Times New Roman" w:hAnsiTheme="majorBidi" w:cstheme="majorBidi"/>
                <w:color w:val="0F1115"/>
                <w:kern w:val="0"/>
                <w14:ligatures w14:val="none"/>
              </w:rPr>
              <w:t xml:space="preserve"> directing the handle toward the knee</w:t>
            </w:r>
          </w:p>
        </w:tc>
        <w:tc>
          <w:tcPr>
            <w:tcW w:w="0" w:type="auto"/>
            <w:hideMark/>
          </w:tcPr>
          <w:p w14:paraId="4EB989DA" w14:textId="243B1374"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Piriformis fossa</w:t>
            </w:r>
            <w:r w:rsidR="002154AB">
              <w:rPr>
                <w:rFonts w:asciiTheme="majorBidi" w:eastAsia="Times New Roman" w:hAnsiTheme="majorBidi" w:cstheme="majorBidi"/>
                <w:color w:val="0F1115"/>
                <w:kern w:val="0"/>
                <w14:ligatures w14:val="none"/>
              </w:rPr>
              <w:t xml:space="preserve"> -</w:t>
            </w:r>
            <w:r w:rsidRPr="00FF65F5">
              <w:rPr>
                <w:rFonts w:asciiTheme="majorBidi" w:eastAsia="Times New Roman" w:hAnsiTheme="majorBidi" w:cstheme="majorBidi"/>
                <w:color w:val="0F1115"/>
                <w:kern w:val="0"/>
                <w14:ligatures w14:val="none"/>
              </w:rPr>
              <w:t xml:space="preserve"> directing the handle toward the greater trochanter*</w:t>
            </w:r>
          </w:p>
        </w:tc>
      </w:tr>
      <w:tr w:rsidR="00FF65F5" w:rsidRPr="00FF65F5" w14:paraId="45D05F02" w14:textId="77777777" w:rsidTr="002154AB">
        <w:tc>
          <w:tcPr>
            <w:tcW w:w="0" w:type="auto"/>
            <w:hideMark/>
          </w:tcPr>
          <w:p w14:paraId="3C5DD5FF"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10</w:t>
            </w:r>
          </w:p>
        </w:tc>
        <w:tc>
          <w:tcPr>
            <w:tcW w:w="0" w:type="auto"/>
            <w:hideMark/>
          </w:tcPr>
          <w:p w14:paraId="76E75E97"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Which of the following measures is correct regarding acetabular and tendon preparation during hip surgery?</w:t>
            </w:r>
          </w:p>
        </w:tc>
        <w:tc>
          <w:tcPr>
            <w:tcW w:w="0" w:type="auto"/>
            <w:hideMark/>
          </w:tcPr>
          <w:p w14:paraId="2524C796"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To prevent injury to anterior and posterior vessels and nerves, direct instruments toward the outer (lateral) edge of the acetabulum.</w:t>
            </w:r>
          </w:p>
        </w:tc>
        <w:tc>
          <w:tcPr>
            <w:tcW w:w="0" w:type="auto"/>
            <w:hideMark/>
          </w:tcPr>
          <w:p w14:paraId="0F097B5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During guidance of instruments such as drills and reamers, always maintain the direction of movement toward the medial border of the acetabulum so that vital anterior and posterior structures are not </w:t>
            </w:r>
            <w:proofErr w:type="gramStart"/>
            <w:r w:rsidRPr="00FF65F5">
              <w:rPr>
                <w:rFonts w:asciiTheme="majorBidi" w:eastAsia="Times New Roman" w:hAnsiTheme="majorBidi" w:cstheme="majorBidi"/>
                <w:color w:val="0F1115"/>
                <w:kern w:val="0"/>
                <w14:ligatures w14:val="none"/>
              </w:rPr>
              <w:t>damaged.*</w:t>
            </w:r>
            <w:proofErr w:type="gramEnd"/>
          </w:p>
        </w:tc>
        <w:tc>
          <w:tcPr>
            <w:tcW w:w="0" w:type="auto"/>
            <w:hideMark/>
          </w:tcPr>
          <w:p w14:paraId="79CE8FA0"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After labral incision, soft tissues are gathered into the acetabular fossa and dissected deep within the fossa and away from the edges.</w:t>
            </w:r>
          </w:p>
        </w:tc>
        <w:tc>
          <w:tcPr>
            <w:tcW w:w="0" w:type="auto"/>
            <w:hideMark/>
          </w:tcPr>
          <w:p w14:paraId="0468DC19"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To facilitate access, the gluteus maximus tendon is completely detached from its insertion and, after completion, reattached to the bone using a 1-cm cuff.</w:t>
            </w:r>
          </w:p>
        </w:tc>
      </w:tr>
      <w:tr w:rsidR="00FF65F5" w:rsidRPr="00FF65F5" w14:paraId="52141DAD" w14:textId="77777777" w:rsidTr="002154AB">
        <w:tc>
          <w:tcPr>
            <w:tcW w:w="0" w:type="auto"/>
            <w:hideMark/>
          </w:tcPr>
          <w:p w14:paraId="65D9A4D8"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11</w:t>
            </w:r>
          </w:p>
        </w:tc>
        <w:tc>
          <w:tcPr>
            <w:tcW w:w="0" w:type="auto"/>
            <w:hideMark/>
          </w:tcPr>
          <w:p w14:paraId="6995D97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Which instrument is </w:t>
            </w:r>
            <w:r w:rsidRPr="00FF65F5">
              <w:rPr>
                <w:rFonts w:asciiTheme="majorBidi" w:eastAsia="Times New Roman" w:hAnsiTheme="majorBidi" w:cstheme="majorBidi"/>
                <w:b/>
                <w:bCs/>
                <w:color w:val="0F1115"/>
                <w:kern w:val="0"/>
                <w14:ligatures w14:val="none"/>
              </w:rPr>
              <w:lastRenderedPageBreak/>
              <w:t>not</w:t>
            </w:r>
            <w:r w:rsidRPr="00FF65F5">
              <w:rPr>
                <w:rFonts w:asciiTheme="majorBidi" w:eastAsia="Times New Roman" w:hAnsiTheme="majorBidi" w:cstheme="majorBidi"/>
                <w:color w:val="0F1115"/>
                <w:kern w:val="0"/>
                <w14:ligatures w14:val="none"/>
              </w:rPr>
              <w:t xml:space="preserve"> used for THA surgery?</w:t>
            </w:r>
          </w:p>
        </w:tc>
        <w:tc>
          <w:tcPr>
            <w:tcW w:w="0" w:type="auto"/>
            <w:hideMark/>
          </w:tcPr>
          <w:p w14:paraId="34C5AD9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lastRenderedPageBreak/>
              <w:t>Cushing rongeur</w:t>
            </w:r>
          </w:p>
        </w:tc>
        <w:tc>
          <w:tcPr>
            <w:tcW w:w="0" w:type="auto"/>
            <w:hideMark/>
          </w:tcPr>
          <w:p w14:paraId="1EA216A9"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Bone hook</w:t>
            </w:r>
          </w:p>
        </w:tc>
        <w:tc>
          <w:tcPr>
            <w:tcW w:w="0" w:type="auto"/>
            <w:hideMark/>
          </w:tcPr>
          <w:p w14:paraId="4B4C14D4"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Benett</w:t>
            </w:r>
          </w:p>
        </w:tc>
        <w:tc>
          <w:tcPr>
            <w:tcW w:w="0" w:type="auto"/>
            <w:hideMark/>
          </w:tcPr>
          <w:p w14:paraId="40C7F523"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Lowman bone clamp*</w:t>
            </w:r>
          </w:p>
        </w:tc>
      </w:tr>
      <w:tr w:rsidR="00FF65F5" w:rsidRPr="00FF65F5" w14:paraId="6EDA1EB1" w14:textId="77777777" w:rsidTr="002154AB">
        <w:tc>
          <w:tcPr>
            <w:tcW w:w="0" w:type="auto"/>
            <w:hideMark/>
          </w:tcPr>
          <w:p w14:paraId="68C34725"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12</w:t>
            </w:r>
          </w:p>
        </w:tc>
        <w:tc>
          <w:tcPr>
            <w:tcW w:w="0" w:type="auto"/>
            <w:hideMark/>
          </w:tcPr>
          <w:p w14:paraId="268D335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Which retractor is used in THA surgery?</w:t>
            </w:r>
          </w:p>
        </w:tc>
        <w:tc>
          <w:tcPr>
            <w:tcW w:w="0" w:type="auto"/>
            <w:hideMark/>
          </w:tcPr>
          <w:p w14:paraId="11F7E687"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Balfour</w:t>
            </w:r>
          </w:p>
        </w:tc>
        <w:tc>
          <w:tcPr>
            <w:tcW w:w="0" w:type="auto"/>
            <w:hideMark/>
          </w:tcPr>
          <w:p w14:paraId="6E5392E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proofErr w:type="spellStart"/>
            <w:r w:rsidRPr="00FF65F5">
              <w:rPr>
                <w:rFonts w:asciiTheme="majorBidi" w:eastAsia="Times New Roman" w:hAnsiTheme="majorBidi" w:cstheme="majorBidi"/>
                <w:color w:val="0F1115"/>
                <w:kern w:val="0"/>
                <w14:ligatures w14:val="none"/>
              </w:rPr>
              <w:t>Weitlaner</w:t>
            </w:r>
            <w:proofErr w:type="spellEnd"/>
            <w:r w:rsidRPr="00FF65F5">
              <w:rPr>
                <w:rFonts w:asciiTheme="majorBidi" w:eastAsia="Times New Roman" w:hAnsiTheme="majorBidi" w:cstheme="majorBidi"/>
                <w:color w:val="0F1115"/>
                <w:kern w:val="0"/>
                <w14:ligatures w14:val="none"/>
              </w:rPr>
              <w:t>*</w:t>
            </w:r>
          </w:p>
        </w:tc>
        <w:tc>
          <w:tcPr>
            <w:tcW w:w="0" w:type="auto"/>
            <w:hideMark/>
          </w:tcPr>
          <w:p w14:paraId="17384553"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Richardson</w:t>
            </w:r>
          </w:p>
        </w:tc>
        <w:tc>
          <w:tcPr>
            <w:tcW w:w="0" w:type="auto"/>
            <w:hideMark/>
          </w:tcPr>
          <w:p w14:paraId="64C82FA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Estman</w:t>
            </w:r>
          </w:p>
        </w:tc>
      </w:tr>
      <w:tr w:rsidR="00FF65F5" w:rsidRPr="00FF65F5" w14:paraId="07C7B9EF" w14:textId="77777777" w:rsidTr="002154AB">
        <w:tc>
          <w:tcPr>
            <w:tcW w:w="0" w:type="auto"/>
            <w:hideMark/>
          </w:tcPr>
          <w:p w14:paraId="40D86F80"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13</w:t>
            </w:r>
          </w:p>
        </w:tc>
        <w:tc>
          <w:tcPr>
            <w:tcW w:w="0" w:type="auto"/>
            <w:hideMark/>
          </w:tcPr>
          <w:p w14:paraId="4A3A5D70"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What is the correct use of an osteotome?</w:t>
            </w:r>
          </w:p>
        </w:tc>
        <w:tc>
          <w:tcPr>
            <w:tcW w:w="0" w:type="auto"/>
            <w:hideMark/>
          </w:tcPr>
          <w:p w14:paraId="3C1F66A8"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To smooth raised bone edges or surfaces of large bones</w:t>
            </w:r>
          </w:p>
        </w:tc>
        <w:tc>
          <w:tcPr>
            <w:tcW w:w="0" w:type="auto"/>
            <w:hideMark/>
          </w:tcPr>
          <w:p w14:paraId="1BB21420"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To remove osteophytes beyond the bone boundary*</w:t>
            </w:r>
          </w:p>
        </w:tc>
        <w:tc>
          <w:tcPr>
            <w:tcW w:w="0" w:type="auto"/>
            <w:hideMark/>
          </w:tcPr>
          <w:p w14:paraId="19BAC1F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To keep bone fragments aligned in a fixed position</w:t>
            </w:r>
          </w:p>
        </w:tc>
        <w:tc>
          <w:tcPr>
            <w:tcW w:w="0" w:type="auto"/>
            <w:hideMark/>
          </w:tcPr>
          <w:p w14:paraId="2CB0700F"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To retract different tissue volumes at different depths</w:t>
            </w:r>
          </w:p>
        </w:tc>
      </w:tr>
      <w:tr w:rsidR="00FF65F5" w:rsidRPr="00FF65F5" w14:paraId="07E40D3E" w14:textId="77777777" w:rsidTr="002154AB">
        <w:tc>
          <w:tcPr>
            <w:tcW w:w="0" w:type="auto"/>
            <w:hideMark/>
          </w:tcPr>
          <w:p w14:paraId="1434A812"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14</w:t>
            </w:r>
          </w:p>
        </w:tc>
        <w:tc>
          <w:tcPr>
            <w:tcW w:w="0" w:type="auto"/>
            <w:hideMark/>
          </w:tcPr>
          <w:p w14:paraId="43206E64"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According to common principles in hip arthroplasty, which option is correct regarding acetabular implant sizing?</w:t>
            </w:r>
          </w:p>
        </w:tc>
        <w:tc>
          <w:tcPr>
            <w:tcW w:w="0" w:type="auto"/>
            <w:hideMark/>
          </w:tcPr>
          <w:p w14:paraId="4E37C07A"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To achieve maximum inherent stability, an implant one size larger than the last reamer used should be used to create proper press-fit.</w:t>
            </w:r>
          </w:p>
        </w:tc>
        <w:tc>
          <w:tcPr>
            <w:tcW w:w="0" w:type="auto"/>
            <w:hideMark/>
          </w:tcPr>
          <w:p w14:paraId="4BDFF378"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The final acetabular implant size is determined based on the diameter of the last reamer used, although using an implant the same size as the reamer may not provide sufficient inherent </w:t>
            </w:r>
            <w:proofErr w:type="gramStart"/>
            <w:r w:rsidRPr="00FF65F5">
              <w:rPr>
                <w:rFonts w:asciiTheme="majorBidi" w:eastAsia="Times New Roman" w:hAnsiTheme="majorBidi" w:cstheme="majorBidi"/>
                <w:color w:val="0F1115"/>
                <w:kern w:val="0"/>
                <w14:ligatures w14:val="none"/>
              </w:rPr>
              <w:t>stability.*</w:t>
            </w:r>
            <w:proofErr w:type="gramEnd"/>
          </w:p>
        </w:tc>
        <w:tc>
          <w:tcPr>
            <w:tcW w:w="0" w:type="auto"/>
            <w:hideMark/>
          </w:tcPr>
          <w:p w14:paraId="698C12B1"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Implant size is completely independent of reamer size and is determined solely based on patient anatomy and trial components.</w:t>
            </w:r>
          </w:p>
        </w:tc>
        <w:tc>
          <w:tcPr>
            <w:tcW w:w="0" w:type="auto"/>
            <w:hideMark/>
          </w:tcPr>
          <w:p w14:paraId="3DB5F0CF"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All three options are correct.</w:t>
            </w:r>
          </w:p>
        </w:tc>
      </w:tr>
      <w:tr w:rsidR="00FF65F5" w:rsidRPr="00FF65F5" w14:paraId="75D14912" w14:textId="77777777" w:rsidTr="002154AB">
        <w:tc>
          <w:tcPr>
            <w:tcW w:w="0" w:type="auto"/>
            <w:hideMark/>
          </w:tcPr>
          <w:p w14:paraId="52DCC768"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15</w:t>
            </w:r>
          </w:p>
        </w:tc>
        <w:tc>
          <w:tcPr>
            <w:tcW w:w="0" w:type="auto"/>
            <w:hideMark/>
          </w:tcPr>
          <w:p w14:paraId="7ADAD059"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In the process of acetabular preparation with power reamers, which method is correct?</w:t>
            </w:r>
          </w:p>
        </w:tc>
        <w:tc>
          <w:tcPr>
            <w:tcW w:w="0" w:type="auto"/>
            <w:hideMark/>
          </w:tcPr>
          <w:p w14:paraId="3777D1EE"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Focus reamer guidance toward the posterior wall of the acetabulum to prevent excessive </w:t>
            </w:r>
            <w:r w:rsidRPr="00FF65F5">
              <w:rPr>
                <w:rFonts w:asciiTheme="majorBidi" w:eastAsia="Times New Roman" w:hAnsiTheme="majorBidi" w:cstheme="majorBidi"/>
                <w:color w:val="0F1115"/>
                <w:kern w:val="0"/>
                <w14:ligatures w14:val="none"/>
              </w:rPr>
              <w:lastRenderedPageBreak/>
              <w:t>thinning of the anterior wall.</w:t>
            </w:r>
          </w:p>
        </w:tc>
        <w:tc>
          <w:tcPr>
            <w:tcW w:w="0" w:type="auto"/>
            <w:hideMark/>
          </w:tcPr>
          <w:p w14:paraId="0ABD6B02"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lastRenderedPageBreak/>
              <w:t>For faster work, rotate the reamer at maximum speed deep in the acetabulum to remove excess soft tissue as well.</w:t>
            </w:r>
          </w:p>
        </w:tc>
        <w:tc>
          <w:tcPr>
            <w:tcW w:w="0" w:type="auto"/>
            <w:hideMark/>
          </w:tcPr>
          <w:p w14:paraId="1FBEF383"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Direct the reamer directly toward the medial wall of the acetabulum and start with the largest possible size.</w:t>
            </w:r>
          </w:p>
        </w:tc>
        <w:tc>
          <w:tcPr>
            <w:tcW w:w="0" w:type="auto"/>
            <w:hideMark/>
          </w:tcPr>
          <w:p w14:paraId="7B909C83"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Start the reamer with a size smaller than the final size and direct it downward (not toward </w:t>
            </w:r>
            <w:r w:rsidRPr="00FF65F5">
              <w:rPr>
                <w:rFonts w:asciiTheme="majorBidi" w:eastAsia="Times New Roman" w:hAnsiTheme="majorBidi" w:cstheme="majorBidi"/>
                <w:color w:val="0F1115"/>
                <w:kern w:val="0"/>
                <w14:ligatures w14:val="none"/>
              </w:rPr>
              <w:lastRenderedPageBreak/>
              <w:t>the medial wall</w:t>
            </w:r>
            <w:proofErr w:type="gramStart"/>
            <w:r w:rsidRPr="00FF65F5">
              <w:rPr>
                <w:rFonts w:asciiTheme="majorBidi" w:eastAsia="Times New Roman" w:hAnsiTheme="majorBidi" w:cstheme="majorBidi"/>
                <w:color w:val="0F1115"/>
                <w:kern w:val="0"/>
                <w14:ligatures w14:val="none"/>
              </w:rPr>
              <w:t>).*</w:t>
            </w:r>
            <w:proofErr w:type="gramEnd"/>
          </w:p>
        </w:tc>
      </w:tr>
      <w:tr w:rsidR="00FF65F5" w:rsidRPr="00FF65F5" w14:paraId="365873D5" w14:textId="77777777" w:rsidTr="002154AB">
        <w:tc>
          <w:tcPr>
            <w:tcW w:w="0" w:type="auto"/>
            <w:hideMark/>
          </w:tcPr>
          <w:p w14:paraId="78ED1E90"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lastRenderedPageBreak/>
              <w:t>16</w:t>
            </w:r>
          </w:p>
        </w:tc>
        <w:tc>
          <w:tcPr>
            <w:tcW w:w="0" w:type="auto"/>
            <w:hideMark/>
          </w:tcPr>
          <w:p w14:paraId="3BBA7139"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To achieve final stability and correct alignment during femoral canal broaching, which action is essential?</w:t>
            </w:r>
          </w:p>
        </w:tc>
        <w:tc>
          <w:tcPr>
            <w:tcW w:w="0" w:type="auto"/>
            <w:hideMark/>
          </w:tcPr>
          <w:p w14:paraId="7A967BB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Adjusting the neck cut before starting broaching</w:t>
            </w:r>
          </w:p>
        </w:tc>
        <w:tc>
          <w:tcPr>
            <w:tcW w:w="0" w:type="auto"/>
            <w:hideMark/>
          </w:tcPr>
          <w:p w14:paraId="7A15C7F1"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Removing axial pins before broaching</w:t>
            </w:r>
          </w:p>
        </w:tc>
        <w:tc>
          <w:tcPr>
            <w:tcW w:w="0" w:type="auto"/>
            <w:hideMark/>
          </w:tcPr>
          <w:p w14:paraId="30A45114"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Placing the broach in axial stability within the canal*</w:t>
            </w:r>
          </w:p>
        </w:tc>
        <w:tc>
          <w:tcPr>
            <w:tcW w:w="0" w:type="auto"/>
            <w:hideMark/>
          </w:tcPr>
          <w:p w14:paraId="2AC72EB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Pushing the broach handle inward</w:t>
            </w:r>
          </w:p>
        </w:tc>
      </w:tr>
      <w:tr w:rsidR="00FF65F5" w:rsidRPr="00FF65F5" w14:paraId="483C6643" w14:textId="77777777" w:rsidTr="002154AB">
        <w:tc>
          <w:tcPr>
            <w:tcW w:w="0" w:type="auto"/>
            <w:hideMark/>
          </w:tcPr>
          <w:p w14:paraId="7A60792F"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17</w:t>
            </w:r>
          </w:p>
        </w:tc>
        <w:tc>
          <w:tcPr>
            <w:tcW w:w="0" w:type="auto"/>
            <w:hideMark/>
          </w:tcPr>
          <w:p w14:paraId="6215F2DD"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In the process of broaching the femoral canal, to achieve final stability and correct alignment, which action is essential?</w:t>
            </w:r>
          </w:p>
        </w:tc>
        <w:tc>
          <w:tcPr>
            <w:tcW w:w="0" w:type="auto"/>
            <w:hideMark/>
          </w:tcPr>
          <w:p w14:paraId="7F12EC9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Pushing the broach handle inward (medially) and rapid hammering for deeper penetration</w:t>
            </w:r>
          </w:p>
        </w:tc>
        <w:tc>
          <w:tcPr>
            <w:tcW w:w="0" w:type="auto"/>
            <w:hideMark/>
          </w:tcPr>
          <w:p w14:paraId="140C2532"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Directing the broach handle laterally and final placement of the broach in axial stability within the canal*</w:t>
            </w:r>
          </w:p>
        </w:tc>
        <w:tc>
          <w:tcPr>
            <w:tcW w:w="0" w:type="auto"/>
            <w:hideMark/>
          </w:tcPr>
          <w:p w14:paraId="30FBA0D8"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Adjusting the neck cut before starting broaching and using the largest broach at the very beginning</w:t>
            </w:r>
          </w:p>
        </w:tc>
        <w:tc>
          <w:tcPr>
            <w:tcW w:w="0" w:type="auto"/>
            <w:hideMark/>
          </w:tcPr>
          <w:p w14:paraId="4056425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Removing axial pins before broaching and hammering with irregular blows</w:t>
            </w:r>
          </w:p>
        </w:tc>
      </w:tr>
      <w:tr w:rsidR="00FF65F5" w:rsidRPr="00FF65F5" w14:paraId="20FEF359" w14:textId="77777777" w:rsidTr="002154AB">
        <w:tc>
          <w:tcPr>
            <w:tcW w:w="0" w:type="auto"/>
            <w:hideMark/>
          </w:tcPr>
          <w:p w14:paraId="502C03F0"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18</w:t>
            </w:r>
          </w:p>
        </w:tc>
        <w:tc>
          <w:tcPr>
            <w:tcW w:w="0" w:type="auto"/>
            <w:hideMark/>
          </w:tcPr>
          <w:p w14:paraId="439FE1B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What is the criterion for complete seating of the stem in the femoral canal when striking with the hammer?</w:t>
            </w:r>
          </w:p>
        </w:tc>
        <w:tc>
          <w:tcPr>
            <w:tcW w:w="0" w:type="auto"/>
            <w:hideMark/>
          </w:tcPr>
          <w:p w14:paraId="67A3B113"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No advancement of the stem with hammer blows*</w:t>
            </w:r>
          </w:p>
        </w:tc>
        <w:tc>
          <w:tcPr>
            <w:tcW w:w="0" w:type="auto"/>
            <w:hideMark/>
          </w:tcPr>
          <w:p w14:paraId="0DCD268F"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Sharp and high-pitched sound when striking</w:t>
            </w:r>
          </w:p>
        </w:tc>
        <w:tc>
          <w:tcPr>
            <w:tcW w:w="0" w:type="auto"/>
            <w:hideMark/>
          </w:tcPr>
          <w:p w14:paraId="124CEAB5"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Advancement of the component at least 5 mm with each blow</w:t>
            </w:r>
          </w:p>
        </w:tc>
        <w:tc>
          <w:tcPr>
            <w:tcW w:w="0" w:type="auto"/>
            <w:hideMark/>
          </w:tcPr>
          <w:p w14:paraId="2BD4E26B"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Rebound of the component after each blow</w:t>
            </w:r>
          </w:p>
        </w:tc>
      </w:tr>
      <w:tr w:rsidR="00FF65F5" w:rsidRPr="00FF65F5" w14:paraId="193282D2" w14:textId="77777777" w:rsidTr="002154AB">
        <w:tc>
          <w:tcPr>
            <w:tcW w:w="0" w:type="auto"/>
            <w:hideMark/>
          </w:tcPr>
          <w:p w14:paraId="6FCA53F4"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19</w:t>
            </w:r>
          </w:p>
        </w:tc>
        <w:tc>
          <w:tcPr>
            <w:tcW w:w="0" w:type="auto"/>
            <w:hideMark/>
          </w:tcPr>
          <w:p w14:paraId="4003A171"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 xml:space="preserve">After complete implant placement and hip reduction, before wound closure, what is </w:t>
            </w:r>
            <w:r w:rsidRPr="00FF65F5">
              <w:rPr>
                <w:rFonts w:asciiTheme="majorBidi" w:eastAsia="Times New Roman" w:hAnsiTheme="majorBidi" w:cstheme="majorBidi"/>
                <w:color w:val="0F1115"/>
                <w:kern w:val="0"/>
                <w14:ligatures w14:val="none"/>
              </w:rPr>
              <w:lastRenderedPageBreak/>
              <w:t>the surgeon's final and primary assessment focused on?</w:t>
            </w:r>
          </w:p>
        </w:tc>
        <w:tc>
          <w:tcPr>
            <w:tcW w:w="0" w:type="auto"/>
            <w:hideMark/>
          </w:tcPr>
          <w:p w14:paraId="665531CF"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lastRenderedPageBreak/>
              <w:t>Evaluating stability and range of motion*</w:t>
            </w:r>
          </w:p>
        </w:tc>
        <w:tc>
          <w:tcPr>
            <w:tcW w:w="0" w:type="auto"/>
            <w:hideMark/>
          </w:tcPr>
          <w:p w14:paraId="6D64B028"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Evaluating aesthetics and skin incision length</w:t>
            </w:r>
          </w:p>
        </w:tc>
        <w:tc>
          <w:tcPr>
            <w:tcW w:w="0" w:type="auto"/>
            <w:hideMark/>
          </w:tcPr>
          <w:p w14:paraId="4AC6E631"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Final count of gauze and needles on the surgical table</w:t>
            </w:r>
          </w:p>
        </w:tc>
        <w:tc>
          <w:tcPr>
            <w:tcW w:w="0" w:type="auto"/>
            <w:hideMark/>
          </w:tcPr>
          <w:p w14:paraId="4B79C2C9"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Patellar function test</w:t>
            </w:r>
          </w:p>
        </w:tc>
      </w:tr>
      <w:tr w:rsidR="00FF65F5" w:rsidRPr="00FF65F5" w14:paraId="1A933DF2" w14:textId="77777777" w:rsidTr="002154AB">
        <w:tc>
          <w:tcPr>
            <w:tcW w:w="0" w:type="auto"/>
            <w:hideMark/>
          </w:tcPr>
          <w:p w14:paraId="41D1780C"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20</w:t>
            </w:r>
          </w:p>
        </w:tc>
        <w:tc>
          <w:tcPr>
            <w:tcW w:w="0" w:type="auto"/>
            <w:hideMark/>
          </w:tcPr>
          <w:p w14:paraId="1BF74252"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Which suture is suitable for closing muscles?</w:t>
            </w:r>
          </w:p>
        </w:tc>
        <w:tc>
          <w:tcPr>
            <w:tcW w:w="0" w:type="auto"/>
            <w:hideMark/>
          </w:tcPr>
          <w:p w14:paraId="77B81515"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proofErr w:type="spellStart"/>
            <w:r w:rsidRPr="00FF65F5">
              <w:rPr>
                <w:rFonts w:asciiTheme="majorBidi" w:eastAsia="Times New Roman" w:hAnsiTheme="majorBidi" w:cstheme="majorBidi"/>
                <w:color w:val="0F1115"/>
                <w:kern w:val="0"/>
                <w14:ligatures w14:val="none"/>
              </w:rPr>
              <w:t>Vicryl</w:t>
            </w:r>
            <w:proofErr w:type="spellEnd"/>
            <w:r w:rsidRPr="00FF65F5">
              <w:rPr>
                <w:rFonts w:asciiTheme="majorBidi" w:eastAsia="Times New Roman" w:hAnsiTheme="majorBidi" w:cstheme="majorBidi"/>
                <w:color w:val="0F1115"/>
                <w:kern w:val="0"/>
                <w14:ligatures w14:val="none"/>
              </w:rPr>
              <w:t xml:space="preserve"> 1*</w:t>
            </w:r>
          </w:p>
        </w:tc>
        <w:tc>
          <w:tcPr>
            <w:tcW w:w="0" w:type="auto"/>
            <w:hideMark/>
          </w:tcPr>
          <w:p w14:paraId="6C0DC9E7"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r w:rsidRPr="00FF65F5">
              <w:rPr>
                <w:rFonts w:asciiTheme="majorBidi" w:eastAsia="Times New Roman" w:hAnsiTheme="majorBidi" w:cstheme="majorBidi"/>
                <w:color w:val="0F1115"/>
                <w:kern w:val="0"/>
                <w14:ligatures w14:val="none"/>
              </w:rPr>
              <w:t>Nylon 1</w:t>
            </w:r>
          </w:p>
        </w:tc>
        <w:tc>
          <w:tcPr>
            <w:tcW w:w="0" w:type="auto"/>
            <w:hideMark/>
          </w:tcPr>
          <w:p w14:paraId="680785BF"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proofErr w:type="spellStart"/>
            <w:r w:rsidRPr="00FF65F5">
              <w:rPr>
                <w:rFonts w:asciiTheme="majorBidi" w:eastAsia="Times New Roman" w:hAnsiTheme="majorBidi" w:cstheme="majorBidi"/>
                <w:color w:val="0F1115"/>
                <w:kern w:val="0"/>
                <w14:ligatures w14:val="none"/>
              </w:rPr>
              <w:t>Ethibond</w:t>
            </w:r>
            <w:proofErr w:type="spellEnd"/>
          </w:p>
        </w:tc>
        <w:tc>
          <w:tcPr>
            <w:tcW w:w="0" w:type="auto"/>
            <w:hideMark/>
          </w:tcPr>
          <w:p w14:paraId="03A2E0B5" w14:textId="77777777" w:rsidR="00FF65F5" w:rsidRPr="00FF65F5" w:rsidRDefault="00FF65F5" w:rsidP="002154AB">
            <w:pPr>
              <w:spacing w:line="375" w:lineRule="atLeast"/>
              <w:rPr>
                <w:rFonts w:asciiTheme="majorBidi" w:eastAsia="Times New Roman" w:hAnsiTheme="majorBidi" w:cstheme="majorBidi"/>
                <w:color w:val="0F1115"/>
                <w:kern w:val="0"/>
                <w14:ligatures w14:val="none"/>
              </w:rPr>
            </w:pPr>
            <w:proofErr w:type="spellStart"/>
            <w:r w:rsidRPr="00FF65F5">
              <w:rPr>
                <w:rFonts w:asciiTheme="majorBidi" w:eastAsia="Times New Roman" w:hAnsiTheme="majorBidi" w:cstheme="majorBidi"/>
                <w:color w:val="0F1115"/>
                <w:kern w:val="0"/>
                <w14:ligatures w14:val="none"/>
              </w:rPr>
              <w:t>Vicryl</w:t>
            </w:r>
            <w:proofErr w:type="spellEnd"/>
            <w:r w:rsidRPr="00FF65F5">
              <w:rPr>
                <w:rFonts w:asciiTheme="majorBidi" w:eastAsia="Times New Roman" w:hAnsiTheme="majorBidi" w:cstheme="majorBidi"/>
                <w:color w:val="0F1115"/>
                <w:kern w:val="0"/>
                <w14:ligatures w14:val="none"/>
              </w:rPr>
              <w:t xml:space="preserve"> 2/0</w:t>
            </w:r>
          </w:p>
        </w:tc>
      </w:tr>
    </w:tbl>
    <w:p w14:paraId="5D588A9C" w14:textId="77777777" w:rsidR="00FF65F5" w:rsidRDefault="00FF65F5" w:rsidP="00A142F3">
      <w:pPr>
        <w:rPr>
          <w:rFonts w:cs="B Nazanin"/>
          <w:b/>
          <w:bCs/>
          <w:sz w:val="20"/>
          <w:szCs w:val="20"/>
          <w:rtl/>
          <w:lang w:bidi="fa-IR"/>
        </w:rPr>
      </w:pPr>
    </w:p>
    <w:p w14:paraId="2F3E062A" w14:textId="77777777" w:rsidR="00FF65F5" w:rsidRPr="006F5AE2" w:rsidRDefault="00FF65F5" w:rsidP="00A142F3">
      <w:pPr>
        <w:rPr>
          <w:rFonts w:cs="B Nazanin"/>
          <w:b/>
          <w:bCs/>
          <w:sz w:val="20"/>
          <w:szCs w:val="20"/>
          <w:rtl/>
          <w:lang w:bidi="fa-IR"/>
        </w:rPr>
      </w:pPr>
    </w:p>
    <w:sectPr w:rsidR="00FF65F5" w:rsidRPr="006F5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71E1"/>
    <w:multiLevelType w:val="hybridMultilevel"/>
    <w:tmpl w:val="24309A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B3770"/>
    <w:multiLevelType w:val="hybridMultilevel"/>
    <w:tmpl w:val="1FB48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E0784C"/>
    <w:multiLevelType w:val="hybridMultilevel"/>
    <w:tmpl w:val="82F43E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551827"/>
    <w:multiLevelType w:val="hybridMultilevel"/>
    <w:tmpl w:val="8CBEC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E7103"/>
    <w:multiLevelType w:val="hybridMultilevel"/>
    <w:tmpl w:val="B17C731E"/>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6714633"/>
    <w:multiLevelType w:val="hybridMultilevel"/>
    <w:tmpl w:val="D2685CB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C42532"/>
    <w:multiLevelType w:val="hybridMultilevel"/>
    <w:tmpl w:val="4EE406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BC2E8B"/>
    <w:multiLevelType w:val="hybridMultilevel"/>
    <w:tmpl w:val="7FA8AF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6411C1"/>
    <w:multiLevelType w:val="hybridMultilevel"/>
    <w:tmpl w:val="90440A04"/>
    <w:lvl w:ilvl="0" w:tplc="490CE2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421BE2"/>
    <w:multiLevelType w:val="hybridMultilevel"/>
    <w:tmpl w:val="F3D26A5E"/>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FC2755"/>
    <w:multiLevelType w:val="hybridMultilevel"/>
    <w:tmpl w:val="90440A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C4C1187"/>
    <w:multiLevelType w:val="hybridMultilevel"/>
    <w:tmpl w:val="33A47B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A37149F"/>
    <w:multiLevelType w:val="hybridMultilevel"/>
    <w:tmpl w:val="80F22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3C50AD"/>
    <w:multiLevelType w:val="hybridMultilevel"/>
    <w:tmpl w:val="968E5A2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5C277EE"/>
    <w:multiLevelType w:val="hybridMultilevel"/>
    <w:tmpl w:val="7E40CF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8202A60"/>
    <w:multiLevelType w:val="hybridMultilevel"/>
    <w:tmpl w:val="DDD6FD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AD4944"/>
    <w:multiLevelType w:val="hybridMultilevel"/>
    <w:tmpl w:val="15EA13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3767639">
    <w:abstractNumId w:val="8"/>
  </w:num>
  <w:num w:numId="2" w16cid:durableId="929776773">
    <w:abstractNumId w:val="15"/>
  </w:num>
  <w:num w:numId="3" w16cid:durableId="706371835">
    <w:abstractNumId w:val="9"/>
  </w:num>
  <w:num w:numId="4" w16cid:durableId="887377115">
    <w:abstractNumId w:val="10"/>
  </w:num>
  <w:num w:numId="5" w16cid:durableId="1140726931">
    <w:abstractNumId w:val="13"/>
  </w:num>
  <w:num w:numId="6" w16cid:durableId="1955550386">
    <w:abstractNumId w:val="0"/>
  </w:num>
  <w:num w:numId="7" w16cid:durableId="468935544">
    <w:abstractNumId w:val="2"/>
  </w:num>
  <w:num w:numId="8" w16cid:durableId="972101262">
    <w:abstractNumId w:val="16"/>
  </w:num>
  <w:num w:numId="9" w16cid:durableId="116801447">
    <w:abstractNumId w:val="4"/>
  </w:num>
  <w:num w:numId="10" w16cid:durableId="1659452971">
    <w:abstractNumId w:val="5"/>
  </w:num>
  <w:num w:numId="11" w16cid:durableId="1378504991">
    <w:abstractNumId w:val="11"/>
  </w:num>
  <w:num w:numId="12" w16cid:durableId="592707963">
    <w:abstractNumId w:val="14"/>
  </w:num>
  <w:num w:numId="13" w16cid:durableId="971446367">
    <w:abstractNumId w:val="6"/>
  </w:num>
  <w:num w:numId="14" w16cid:durableId="1132022791">
    <w:abstractNumId w:val="12"/>
  </w:num>
  <w:num w:numId="15" w16cid:durableId="759373709">
    <w:abstractNumId w:val="1"/>
  </w:num>
  <w:num w:numId="16" w16cid:durableId="1674726456">
    <w:abstractNumId w:val="7"/>
  </w:num>
  <w:num w:numId="17" w16cid:durableId="15635623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FEF"/>
    <w:rsid w:val="0001176C"/>
    <w:rsid w:val="00024661"/>
    <w:rsid w:val="00084DAA"/>
    <w:rsid w:val="001656F3"/>
    <w:rsid w:val="001B3A7D"/>
    <w:rsid w:val="001C3D62"/>
    <w:rsid w:val="001C6F17"/>
    <w:rsid w:val="001E32CE"/>
    <w:rsid w:val="002154AB"/>
    <w:rsid w:val="003B663A"/>
    <w:rsid w:val="003E36C1"/>
    <w:rsid w:val="00534FC2"/>
    <w:rsid w:val="006110FA"/>
    <w:rsid w:val="006964C0"/>
    <w:rsid w:val="006F460A"/>
    <w:rsid w:val="006F4B1D"/>
    <w:rsid w:val="006F5AE2"/>
    <w:rsid w:val="00773ED9"/>
    <w:rsid w:val="007969D4"/>
    <w:rsid w:val="007C0EFF"/>
    <w:rsid w:val="007C6795"/>
    <w:rsid w:val="007F7BD2"/>
    <w:rsid w:val="00830D2D"/>
    <w:rsid w:val="00894A5F"/>
    <w:rsid w:val="008C6003"/>
    <w:rsid w:val="008E49C8"/>
    <w:rsid w:val="009B29F4"/>
    <w:rsid w:val="00A142F3"/>
    <w:rsid w:val="00A14FF3"/>
    <w:rsid w:val="00AA0E94"/>
    <w:rsid w:val="00B45FEF"/>
    <w:rsid w:val="00B9668B"/>
    <w:rsid w:val="00BB490B"/>
    <w:rsid w:val="00BB730A"/>
    <w:rsid w:val="00C62CCC"/>
    <w:rsid w:val="00CA37F0"/>
    <w:rsid w:val="00CB3266"/>
    <w:rsid w:val="00D33B9C"/>
    <w:rsid w:val="00DF0CCC"/>
    <w:rsid w:val="00E05476"/>
    <w:rsid w:val="00E4457B"/>
    <w:rsid w:val="00F25EE1"/>
    <w:rsid w:val="00FB07B8"/>
    <w:rsid w:val="00FC5D44"/>
    <w:rsid w:val="00FF65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A5C2"/>
  <w15:chartTrackingRefBased/>
  <w15:docId w15:val="{DDD7325D-2845-4626-ACE8-57217A552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F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F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F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F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F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F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F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F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F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F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F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F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FEF"/>
    <w:rPr>
      <w:rFonts w:eastAsiaTheme="majorEastAsia" w:cstheme="majorBidi"/>
      <w:color w:val="272727" w:themeColor="text1" w:themeTint="D8"/>
    </w:rPr>
  </w:style>
  <w:style w:type="paragraph" w:styleId="Title">
    <w:name w:val="Title"/>
    <w:basedOn w:val="Normal"/>
    <w:next w:val="Normal"/>
    <w:link w:val="TitleChar"/>
    <w:uiPriority w:val="10"/>
    <w:qFormat/>
    <w:rsid w:val="00B45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FEF"/>
    <w:pPr>
      <w:spacing w:before="160"/>
      <w:jc w:val="center"/>
    </w:pPr>
    <w:rPr>
      <w:i/>
      <w:iCs/>
      <w:color w:val="404040" w:themeColor="text1" w:themeTint="BF"/>
    </w:rPr>
  </w:style>
  <w:style w:type="character" w:customStyle="1" w:styleId="QuoteChar">
    <w:name w:val="Quote Char"/>
    <w:basedOn w:val="DefaultParagraphFont"/>
    <w:link w:val="Quote"/>
    <w:uiPriority w:val="29"/>
    <w:rsid w:val="00B45FEF"/>
    <w:rPr>
      <w:i/>
      <w:iCs/>
      <w:color w:val="404040" w:themeColor="text1" w:themeTint="BF"/>
    </w:rPr>
  </w:style>
  <w:style w:type="paragraph" w:styleId="ListParagraph">
    <w:name w:val="List Paragraph"/>
    <w:basedOn w:val="Normal"/>
    <w:uiPriority w:val="34"/>
    <w:qFormat/>
    <w:rsid w:val="00B45FEF"/>
    <w:pPr>
      <w:ind w:left="720"/>
      <w:contextualSpacing/>
    </w:pPr>
  </w:style>
  <w:style w:type="character" w:styleId="IntenseEmphasis">
    <w:name w:val="Intense Emphasis"/>
    <w:basedOn w:val="DefaultParagraphFont"/>
    <w:uiPriority w:val="21"/>
    <w:qFormat/>
    <w:rsid w:val="00B45FEF"/>
    <w:rPr>
      <w:i/>
      <w:iCs/>
      <w:color w:val="0F4761" w:themeColor="accent1" w:themeShade="BF"/>
    </w:rPr>
  </w:style>
  <w:style w:type="paragraph" w:styleId="IntenseQuote">
    <w:name w:val="Intense Quote"/>
    <w:basedOn w:val="Normal"/>
    <w:next w:val="Normal"/>
    <w:link w:val="IntenseQuoteChar"/>
    <w:uiPriority w:val="30"/>
    <w:qFormat/>
    <w:rsid w:val="00B45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FEF"/>
    <w:rPr>
      <w:i/>
      <w:iCs/>
      <w:color w:val="0F4761" w:themeColor="accent1" w:themeShade="BF"/>
    </w:rPr>
  </w:style>
  <w:style w:type="character" w:styleId="IntenseReference">
    <w:name w:val="Intense Reference"/>
    <w:basedOn w:val="DefaultParagraphFont"/>
    <w:uiPriority w:val="32"/>
    <w:qFormat/>
    <w:rsid w:val="00B45FEF"/>
    <w:rPr>
      <w:b/>
      <w:bCs/>
      <w:smallCaps/>
      <w:color w:val="0F4761" w:themeColor="accent1" w:themeShade="BF"/>
      <w:spacing w:val="5"/>
    </w:rPr>
  </w:style>
  <w:style w:type="table" w:styleId="TableGrid">
    <w:name w:val="Table Grid"/>
    <w:basedOn w:val="TableNormal"/>
    <w:uiPriority w:val="39"/>
    <w:rsid w:val="003B6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322</TotalTime>
  <Pages>6</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 Tayyebi</cp:lastModifiedBy>
  <cp:revision>26</cp:revision>
  <cp:lastPrinted>2026-05-17T15:54:00Z</cp:lastPrinted>
  <dcterms:created xsi:type="dcterms:W3CDTF">2026-05-16T21:25:00Z</dcterms:created>
  <dcterms:modified xsi:type="dcterms:W3CDTF">2026-09-15T10:40:00Z</dcterms:modified>
</cp:coreProperties>
</file>