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t>RICHTLIJN:</w:t>
      </w:r>
      <w:r>
        <w:rPr>
          <w:spacing w:val="-6"/>
        </w:rPr>
        <w:t> </w:t>
      </w:r>
      <w:r>
        <w:rPr/>
        <w:t>Antistolling</w:t>
      </w:r>
      <w:r>
        <w:rPr>
          <w:spacing w:val="-3"/>
        </w:rPr>
        <w:t> </w:t>
      </w:r>
      <w:r>
        <w:rPr/>
        <w:t>in</w:t>
      </w:r>
      <w:r>
        <w:rPr>
          <w:spacing w:val="-4"/>
        </w:rPr>
        <w:t> </w:t>
      </w:r>
      <w:r>
        <w:rPr/>
        <w:t>de</w:t>
      </w:r>
      <w:r>
        <w:rPr>
          <w:spacing w:val="-7"/>
        </w:rPr>
        <w:t> </w:t>
      </w:r>
      <w:r>
        <w:rPr>
          <w:spacing w:val="-2"/>
        </w:rPr>
        <w:t>kindercardiologie</w:t>
      </w:r>
    </w:p>
    <w:p>
      <w:pPr>
        <w:pStyle w:val="BodyText"/>
        <w:ind w:left="0"/>
        <w:rPr>
          <w:b/>
          <w:sz w:val="20"/>
        </w:rPr>
      </w:pPr>
    </w:p>
    <w:p>
      <w:pPr>
        <w:pStyle w:val="BodyText"/>
        <w:ind w:left="0"/>
        <w:rPr>
          <w:b/>
          <w:sz w:val="20"/>
        </w:rPr>
      </w:pPr>
    </w:p>
    <w:p>
      <w:pPr>
        <w:pStyle w:val="BodyText"/>
        <w:spacing w:before="214"/>
        <w:ind w:left="0"/>
        <w:rPr>
          <w:b/>
          <w:sz w:val="20"/>
        </w:rPr>
      </w:pPr>
      <w:r>
        <w:rPr>
          <w:b/>
          <w:sz w:val="20"/>
        </w:rPr>
        <w:drawing>
          <wp:anchor distT="0" distB="0" distL="0" distR="0" allowOverlap="1" layoutInCell="1" locked="0" behindDoc="1" simplePos="0" relativeHeight="487587840">
            <wp:simplePos x="0" y="0"/>
            <wp:positionH relativeFrom="page">
              <wp:posOffset>2797941</wp:posOffset>
            </wp:positionH>
            <wp:positionV relativeFrom="paragraph">
              <wp:posOffset>306163</wp:posOffset>
            </wp:positionV>
            <wp:extent cx="1749041" cy="1843277"/>
            <wp:effectExtent l="0" t="0" r="0" b="0"/>
            <wp:wrapTopAndBottom/>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749041" cy="1843277"/>
                    </a:xfrm>
                    <a:prstGeom prst="rect">
                      <a:avLst/>
                    </a:prstGeom>
                  </pic:spPr>
                </pic:pic>
              </a:graphicData>
            </a:graphic>
          </wp:anchor>
        </w:drawing>
      </w:r>
    </w:p>
    <w:p>
      <w:pPr>
        <w:pStyle w:val="BodyText"/>
        <w:ind w:left="0"/>
        <w:rPr>
          <w:b/>
          <w:sz w:val="40"/>
        </w:rPr>
      </w:pPr>
    </w:p>
    <w:p>
      <w:pPr>
        <w:pStyle w:val="BodyText"/>
        <w:ind w:left="0"/>
        <w:rPr>
          <w:b/>
          <w:sz w:val="40"/>
        </w:rPr>
      </w:pPr>
    </w:p>
    <w:p>
      <w:pPr>
        <w:pStyle w:val="BodyText"/>
        <w:spacing w:before="474"/>
        <w:ind w:left="0"/>
        <w:rPr>
          <w:b/>
          <w:sz w:val="40"/>
        </w:rPr>
      </w:pPr>
    </w:p>
    <w:p>
      <w:pPr>
        <w:pStyle w:val="Heading1"/>
        <w:spacing w:line="242" w:lineRule="auto"/>
        <w:ind w:left="145"/>
        <w:jc w:val="center"/>
      </w:pPr>
      <w:r>
        <w:rPr/>
        <w:t>Werkgroep</w:t>
      </w:r>
      <w:r>
        <w:rPr>
          <w:spacing w:val="-4"/>
        </w:rPr>
        <w:t> </w:t>
      </w:r>
      <w:r>
        <w:rPr/>
        <w:t>Anti-</w:t>
      </w:r>
      <w:r>
        <w:rPr>
          <w:color w:val="0000FF"/>
        </w:rPr>
        <w:t>TR</w:t>
      </w:r>
      <w:r>
        <w:rPr/>
        <w:t>o</w:t>
      </w:r>
      <w:r>
        <w:rPr>
          <w:color w:val="0000FF"/>
        </w:rPr>
        <w:t>M</w:t>
      </w:r>
      <w:r>
        <w:rPr/>
        <w:t>botic</w:t>
      </w:r>
      <w:r>
        <w:rPr>
          <w:spacing w:val="-5"/>
        </w:rPr>
        <w:t> </w:t>
      </w:r>
      <w:r>
        <w:rPr/>
        <w:t>Thera</w:t>
      </w:r>
      <w:r>
        <w:rPr>
          <w:color w:val="0000FF"/>
        </w:rPr>
        <w:t>P</w:t>
      </w:r>
      <w:r>
        <w:rPr/>
        <w:t>y</w:t>
      </w:r>
      <w:r>
        <w:rPr>
          <w:spacing w:val="-4"/>
        </w:rPr>
        <w:t> </w:t>
      </w:r>
      <w:r>
        <w:rPr/>
        <w:t>in</w:t>
      </w:r>
      <w:r>
        <w:rPr>
          <w:spacing w:val="-2"/>
        </w:rPr>
        <w:t> </w:t>
      </w:r>
      <w:r>
        <w:rPr/>
        <w:t>Children</w:t>
      </w:r>
      <w:r>
        <w:rPr>
          <w:spacing w:val="-4"/>
        </w:rPr>
        <w:t> </w:t>
      </w:r>
      <w:r>
        <w:rPr/>
        <w:t>with</w:t>
      </w:r>
      <w:r>
        <w:rPr>
          <w:spacing w:val="-2"/>
        </w:rPr>
        <w:t> </w:t>
      </w:r>
      <w:r>
        <w:rPr/>
        <w:t>a</w:t>
      </w:r>
      <w:r>
        <w:rPr>
          <w:spacing w:val="-4"/>
        </w:rPr>
        <w:t> </w:t>
      </w:r>
      <w:r>
        <w:rPr/>
        <w:t>Cardi</w:t>
      </w:r>
      <w:r>
        <w:rPr>
          <w:color w:val="0000FF"/>
        </w:rPr>
        <w:t>OL</w:t>
      </w:r>
      <w:r>
        <w:rPr/>
        <w:t>og</w:t>
      </w:r>
      <w:r>
        <w:rPr>
          <w:color w:val="0000FF"/>
        </w:rPr>
        <w:t>I</w:t>
      </w:r>
      <w:r>
        <w:rPr/>
        <w:t>cal</w:t>
      </w:r>
      <w:r>
        <w:rPr>
          <w:spacing w:val="-5"/>
        </w:rPr>
        <w:t> </w:t>
      </w:r>
      <w:r>
        <w:rPr/>
        <w:t>A</w:t>
      </w:r>
      <w:r>
        <w:rPr>
          <w:color w:val="0000FF"/>
        </w:rPr>
        <w:t>n</w:t>
      </w:r>
      <w:r>
        <w:rPr/>
        <w:t>omaly </w:t>
      </w:r>
      <w:r>
        <w:rPr>
          <w:spacing w:val="-2"/>
        </w:rPr>
        <w:t>(“</w:t>
      </w:r>
      <w:r>
        <w:rPr>
          <w:color w:val="0000FF"/>
          <w:spacing w:val="-2"/>
        </w:rPr>
        <w:t>TRAMPOLINE</w:t>
      </w:r>
      <w:r>
        <w:rPr>
          <w:spacing w:val="-2"/>
        </w:rPr>
        <w:t>”):</w:t>
      </w:r>
    </w:p>
    <w:p>
      <w:pPr>
        <w:pStyle w:val="BodyText"/>
        <w:ind w:left="0"/>
        <w:rPr>
          <w:b/>
        </w:rPr>
      </w:pPr>
    </w:p>
    <w:p>
      <w:pPr>
        <w:pStyle w:val="BodyText"/>
        <w:spacing w:before="115"/>
        <w:ind w:left="0"/>
        <w:rPr>
          <w:b/>
        </w:rPr>
      </w:pPr>
    </w:p>
    <w:p>
      <w:pPr>
        <w:spacing w:before="1"/>
        <w:ind w:left="141" w:right="0" w:firstLine="0"/>
        <w:jc w:val="left"/>
        <w:rPr>
          <w:sz w:val="22"/>
        </w:rPr>
      </w:pPr>
      <w:r>
        <w:rPr>
          <w:sz w:val="22"/>
        </w:rPr>
        <w:t>Beatrijs</w:t>
      </w:r>
      <w:r>
        <w:rPr>
          <w:spacing w:val="-13"/>
          <w:sz w:val="22"/>
        </w:rPr>
        <w:t> </w:t>
      </w:r>
      <w:r>
        <w:rPr>
          <w:sz w:val="22"/>
        </w:rPr>
        <w:t>Bartelds,</w:t>
      </w:r>
      <w:r>
        <w:rPr>
          <w:spacing w:val="-12"/>
          <w:sz w:val="22"/>
        </w:rPr>
        <w:t> </w:t>
      </w:r>
      <w:r>
        <w:rPr>
          <w:sz w:val="22"/>
        </w:rPr>
        <w:t>kinderarts-cardioloog</w:t>
      </w:r>
      <w:r>
        <w:rPr>
          <w:spacing w:val="-9"/>
          <w:sz w:val="22"/>
        </w:rPr>
        <w:t> </w:t>
      </w:r>
      <w:r>
        <w:rPr>
          <w:spacing w:val="-4"/>
          <w:sz w:val="22"/>
        </w:rPr>
        <w:t>UMCG</w:t>
      </w:r>
    </w:p>
    <w:p>
      <w:pPr>
        <w:spacing w:line="360" w:lineRule="auto" w:before="132"/>
        <w:ind w:left="141" w:right="3497" w:firstLine="0"/>
        <w:jc w:val="left"/>
        <w:rPr>
          <w:sz w:val="22"/>
        </w:rPr>
      </w:pPr>
      <w:r>
        <w:rPr>
          <w:sz w:val="22"/>
        </w:rPr>
        <w:t>Marjon H. Cnossen, kinderarts-hematoloog Erasmus MC Michiel Dalinghaus, kinderarts-cardioloog Erasmus MC Janneke</w:t>
      </w:r>
      <w:r>
        <w:rPr>
          <w:spacing w:val="-6"/>
          <w:sz w:val="22"/>
        </w:rPr>
        <w:t> </w:t>
      </w:r>
      <w:r>
        <w:rPr>
          <w:sz w:val="22"/>
        </w:rPr>
        <w:t>A.E.</w:t>
      </w:r>
      <w:r>
        <w:rPr>
          <w:spacing w:val="-6"/>
          <w:sz w:val="22"/>
        </w:rPr>
        <w:t> </w:t>
      </w:r>
      <w:r>
        <w:rPr>
          <w:sz w:val="22"/>
        </w:rPr>
        <w:t>Kammeraad,</w:t>
      </w:r>
      <w:r>
        <w:rPr>
          <w:spacing w:val="-7"/>
          <w:sz w:val="22"/>
        </w:rPr>
        <w:t> </w:t>
      </w:r>
      <w:r>
        <w:rPr>
          <w:sz w:val="22"/>
        </w:rPr>
        <w:t>kinderarts-cardioloog</w:t>
      </w:r>
      <w:r>
        <w:rPr>
          <w:spacing w:val="-6"/>
          <w:sz w:val="22"/>
        </w:rPr>
        <w:t> </w:t>
      </w:r>
      <w:r>
        <w:rPr>
          <w:sz w:val="22"/>
        </w:rPr>
        <w:t>Erasmus</w:t>
      </w:r>
      <w:r>
        <w:rPr>
          <w:spacing w:val="-8"/>
          <w:sz w:val="22"/>
        </w:rPr>
        <w:t> </w:t>
      </w:r>
      <w:r>
        <w:rPr>
          <w:sz w:val="22"/>
        </w:rPr>
        <w:t>MC</w:t>
      </w:r>
    </w:p>
    <w:p>
      <w:pPr>
        <w:spacing w:line="360" w:lineRule="auto" w:before="1"/>
        <w:ind w:left="141" w:right="2203" w:firstLine="0"/>
        <w:jc w:val="left"/>
        <w:rPr>
          <w:sz w:val="22"/>
        </w:rPr>
      </w:pPr>
      <w:r>
        <w:rPr>
          <w:sz w:val="22"/>
        </w:rPr>
        <w:t>C.</w:t>
      </w:r>
      <w:r>
        <w:rPr>
          <w:spacing w:val="-4"/>
          <w:sz w:val="22"/>
        </w:rPr>
        <w:t> </w:t>
      </w:r>
      <w:r>
        <w:rPr>
          <w:sz w:val="22"/>
        </w:rPr>
        <w:t>Heleen</w:t>
      </w:r>
      <w:r>
        <w:rPr>
          <w:spacing w:val="-6"/>
          <w:sz w:val="22"/>
        </w:rPr>
        <w:t> </w:t>
      </w:r>
      <w:r>
        <w:rPr>
          <w:sz w:val="22"/>
        </w:rPr>
        <w:t>van</w:t>
      </w:r>
      <w:r>
        <w:rPr>
          <w:spacing w:val="-5"/>
          <w:sz w:val="22"/>
        </w:rPr>
        <w:t> </w:t>
      </w:r>
      <w:r>
        <w:rPr>
          <w:sz w:val="22"/>
        </w:rPr>
        <w:t>Ommen,</w:t>
      </w:r>
      <w:r>
        <w:rPr>
          <w:spacing w:val="-6"/>
          <w:sz w:val="22"/>
        </w:rPr>
        <w:t> </w:t>
      </w:r>
      <w:r>
        <w:rPr>
          <w:sz w:val="22"/>
        </w:rPr>
        <w:t>kinderarts-hematoloog</w:t>
      </w:r>
      <w:r>
        <w:rPr>
          <w:spacing w:val="-4"/>
          <w:sz w:val="22"/>
        </w:rPr>
        <w:t> </w:t>
      </w:r>
      <w:r>
        <w:rPr>
          <w:sz w:val="22"/>
        </w:rPr>
        <w:t>Erasmus</w:t>
      </w:r>
      <w:r>
        <w:rPr>
          <w:spacing w:val="-4"/>
          <w:sz w:val="22"/>
        </w:rPr>
        <w:t> </w:t>
      </w:r>
      <w:r>
        <w:rPr>
          <w:sz w:val="22"/>
        </w:rPr>
        <w:t>MC</w:t>
      </w:r>
      <w:r>
        <w:rPr>
          <w:spacing w:val="-4"/>
          <w:sz w:val="22"/>
        </w:rPr>
        <w:t> </w:t>
      </w:r>
      <w:r>
        <w:rPr>
          <w:sz w:val="22"/>
        </w:rPr>
        <w:t>(voorzitter) Marry E.B. Rijlaarsdam, kinderarts-cardioloog LUMC</w:t>
      </w:r>
    </w:p>
    <w:p>
      <w:pPr>
        <w:spacing w:before="1"/>
        <w:ind w:left="141" w:right="0" w:firstLine="0"/>
        <w:jc w:val="left"/>
        <w:rPr>
          <w:sz w:val="22"/>
        </w:rPr>
      </w:pPr>
      <w:r>
        <w:rPr>
          <w:sz w:val="22"/>
        </w:rPr>
        <w:t>Christiaan</w:t>
      </w:r>
      <w:r>
        <w:rPr>
          <w:spacing w:val="-12"/>
          <w:sz w:val="22"/>
        </w:rPr>
        <w:t> </w:t>
      </w:r>
      <w:r>
        <w:rPr>
          <w:sz w:val="22"/>
        </w:rPr>
        <w:t>Schroer,</w:t>
      </w:r>
      <w:r>
        <w:rPr>
          <w:spacing w:val="-9"/>
          <w:sz w:val="22"/>
        </w:rPr>
        <w:t> </w:t>
      </w:r>
      <w:r>
        <w:rPr>
          <w:sz w:val="22"/>
        </w:rPr>
        <w:t>kinderarts-cardioloog</w:t>
      </w:r>
      <w:r>
        <w:rPr>
          <w:spacing w:val="-9"/>
          <w:sz w:val="22"/>
        </w:rPr>
        <w:t> </w:t>
      </w:r>
      <w:r>
        <w:rPr>
          <w:spacing w:val="-5"/>
          <w:sz w:val="22"/>
        </w:rPr>
        <w:t>MMC</w:t>
      </w:r>
    </w:p>
    <w:p>
      <w:pPr>
        <w:spacing w:before="135"/>
        <w:ind w:left="141" w:right="0" w:firstLine="0"/>
        <w:jc w:val="left"/>
        <w:rPr>
          <w:sz w:val="22"/>
        </w:rPr>
      </w:pPr>
      <w:r>
        <w:rPr>
          <w:sz w:val="22"/>
        </w:rPr>
        <w:t>Bart</w:t>
      </w:r>
      <w:r>
        <w:rPr>
          <w:spacing w:val="-6"/>
          <w:sz w:val="22"/>
        </w:rPr>
        <w:t> </w:t>
      </w:r>
      <w:r>
        <w:rPr>
          <w:sz w:val="22"/>
        </w:rPr>
        <w:t>Straver,</w:t>
      </w:r>
      <w:r>
        <w:rPr>
          <w:spacing w:val="-6"/>
          <w:sz w:val="22"/>
        </w:rPr>
        <w:t> </w:t>
      </w:r>
      <w:r>
        <w:rPr>
          <w:sz w:val="22"/>
        </w:rPr>
        <w:t>kinderarts-cardioloog</w:t>
      </w:r>
      <w:r>
        <w:rPr>
          <w:spacing w:val="-6"/>
          <w:sz w:val="22"/>
        </w:rPr>
        <w:t> </w:t>
      </w:r>
      <w:r>
        <w:rPr>
          <w:sz w:val="22"/>
        </w:rPr>
        <w:t>AMC</w:t>
      </w:r>
      <w:r>
        <w:rPr>
          <w:spacing w:val="-5"/>
          <w:sz w:val="22"/>
        </w:rPr>
        <w:t> </w:t>
      </w:r>
      <w:r>
        <w:rPr>
          <w:spacing w:val="-2"/>
          <w:sz w:val="22"/>
        </w:rPr>
        <w:t>(voorzitter)</w:t>
      </w:r>
    </w:p>
    <w:p>
      <w:pPr>
        <w:pStyle w:val="BodyText"/>
        <w:spacing w:before="135"/>
      </w:pPr>
      <w:r>
        <w:rPr/>
        <w:t>Pieter</w:t>
      </w:r>
      <w:r>
        <w:rPr>
          <w:spacing w:val="-2"/>
        </w:rPr>
        <w:t> </w:t>
      </w:r>
      <w:r>
        <w:rPr/>
        <w:t>van</w:t>
      </w:r>
      <w:r>
        <w:rPr>
          <w:spacing w:val="-4"/>
        </w:rPr>
        <w:t> </w:t>
      </w:r>
      <w:r>
        <w:rPr/>
        <w:t>de</w:t>
      </w:r>
      <w:r>
        <w:rPr>
          <w:spacing w:val="-5"/>
        </w:rPr>
        <w:t> </w:t>
      </w:r>
      <w:r>
        <w:rPr/>
        <w:t>Woestijne,</w:t>
      </w:r>
      <w:r>
        <w:rPr>
          <w:spacing w:val="-4"/>
        </w:rPr>
        <w:t> </w:t>
      </w:r>
      <w:r>
        <w:rPr/>
        <w:t>cardiothoracaal</w:t>
      </w:r>
      <w:r>
        <w:rPr>
          <w:spacing w:val="-5"/>
        </w:rPr>
        <w:t> </w:t>
      </w:r>
      <w:r>
        <w:rPr/>
        <w:t>chirurg</w:t>
      </w:r>
      <w:r>
        <w:rPr>
          <w:spacing w:val="-5"/>
        </w:rPr>
        <w:t> </w:t>
      </w:r>
      <w:r>
        <w:rPr/>
        <w:t>Erasmus</w:t>
      </w:r>
      <w:r>
        <w:rPr>
          <w:spacing w:val="-2"/>
        </w:rPr>
        <w:t> </w:t>
      </w:r>
      <w:r>
        <w:rPr>
          <w:spacing w:val="-5"/>
        </w:rPr>
        <w:t>MC</w: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188"/>
        <w:ind w:left="0"/>
      </w:pPr>
    </w:p>
    <w:p>
      <w:pPr>
        <w:pStyle w:val="BodyText"/>
      </w:pPr>
      <w:r>
        <w:rPr/>
        <w:t>Richtlijn</w:t>
      </w:r>
      <w:r>
        <w:rPr>
          <w:spacing w:val="-3"/>
        </w:rPr>
        <w:t> </w:t>
      </w:r>
      <w:r>
        <w:rPr/>
        <w:t>Cardiomyopathie;</w:t>
      </w:r>
      <w:r>
        <w:rPr>
          <w:spacing w:val="-2"/>
        </w:rPr>
        <w:t> </w:t>
      </w:r>
      <w:r>
        <w:rPr/>
        <w:t>datum</w:t>
      </w:r>
      <w:r>
        <w:rPr>
          <w:spacing w:val="-5"/>
        </w:rPr>
        <w:t> </w:t>
      </w:r>
      <w:r>
        <w:rPr/>
        <w:t>19052014,</w:t>
      </w:r>
      <w:r>
        <w:rPr>
          <w:spacing w:val="-6"/>
        </w:rPr>
        <w:t> </w:t>
      </w:r>
      <w:r>
        <w:rPr/>
        <w:t>versie</w:t>
      </w:r>
      <w:r>
        <w:rPr>
          <w:spacing w:val="-1"/>
        </w:rPr>
        <w:t> </w:t>
      </w:r>
      <w:r>
        <w:rPr/>
        <w:t>4;</w:t>
      </w:r>
      <w:r>
        <w:rPr>
          <w:spacing w:val="-4"/>
        </w:rPr>
        <w:t> </w:t>
      </w:r>
      <w:r>
        <w:rPr/>
        <w:t>HO,</w:t>
      </w:r>
      <w:r>
        <w:rPr>
          <w:spacing w:val="-3"/>
        </w:rPr>
        <w:t> </w:t>
      </w:r>
      <w:r>
        <w:rPr>
          <w:spacing w:val="-5"/>
        </w:rPr>
        <w:t>MD</w:t>
      </w:r>
    </w:p>
    <w:p>
      <w:pPr>
        <w:pStyle w:val="BodyText"/>
        <w:spacing w:after="0"/>
        <w:sectPr>
          <w:type w:val="continuous"/>
          <w:pgSz w:w="11910" w:h="16840"/>
          <w:pgMar w:top="1920" w:bottom="280" w:left="1275" w:right="1417"/>
        </w:sectPr>
      </w:pPr>
    </w:p>
    <w:p>
      <w:pPr>
        <w:spacing w:before="15"/>
        <w:ind w:left="141" w:right="0" w:firstLine="0"/>
        <w:jc w:val="left"/>
        <w:rPr>
          <w:b/>
          <w:sz w:val="32"/>
        </w:rPr>
      </w:pPr>
      <w:r>
        <w:rPr>
          <w:b/>
          <w:spacing w:val="-2"/>
          <w:sz w:val="32"/>
        </w:rPr>
        <w:t>Afkortingen</w:t>
      </w:r>
    </w:p>
    <w:p>
      <w:pPr>
        <w:pStyle w:val="BodyText"/>
        <w:spacing w:before="3"/>
        <w:ind w:left="0"/>
        <w:rPr>
          <w:b/>
          <w:sz w:val="32"/>
        </w:rPr>
      </w:pPr>
    </w:p>
    <w:p>
      <w:pPr>
        <w:pStyle w:val="BodyText"/>
        <w:tabs>
          <w:tab w:pos="1557" w:val="left" w:leader="none"/>
        </w:tabs>
        <w:ind w:right="4341"/>
      </w:pPr>
      <w:r>
        <w:rPr>
          <w:spacing w:val="-4"/>
        </w:rPr>
        <w:t>LMWH</w:t>
      </w:r>
      <w:r>
        <w:rPr/>
        <w:tab/>
        <w:t>Laag-moleculair-gewicht</w:t>
      </w:r>
      <w:r>
        <w:rPr>
          <w:spacing w:val="-14"/>
        </w:rPr>
        <w:t> </w:t>
      </w:r>
      <w:r>
        <w:rPr/>
        <w:t>heparine </w:t>
      </w:r>
      <w:r>
        <w:rPr>
          <w:spacing w:val="-4"/>
        </w:rPr>
        <w:t>VKA</w:t>
      </w:r>
      <w:r>
        <w:rPr/>
        <w:tab/>
        <w:t>Vitamine K antagonisten</w:t>
      </w:r>
    </w:p>
    <w:p>
      <w:pPr>
        <w:pStyle w:val="BodyText"/>
        <w:tabs>
          <w:tab w:pos="1557" w:val="left" w:leader="none"/>
        </w:tabs>
        <w:spacing w:line="293" w:lineRule="exact"/>
      </w:pPr>
      <w:r>
        <w:rPr>
          <w:spacing w:val="-5"/>
        </w:rPr>
        <w:t>CZS</w:t>
      </w:r>
      <w:r>
        <w:rPr/>
        <w:tab/>
        <w:t>Centraal</w:t>
      </w:r>
      <w:r>
        <w:rPr>
          <w:spacing w:val="-4"/>
        </w:rPr>
        <w:t> </w:t>
      </w:r>
      <w:r>
        <w:rPr/>
        <w:t>zenuw</w:t>
      </w:r>
      <w:r>
        <w:rPr>
          <w:spacing w:val="-3"/>
        </w:rPr>
        <w:t> </w:t>
      </w:r>
      <w:r>
        <w:rPr>
          <w:spacing w:val="-2"/>
        </w:rPr>
        <w:t>stelsel</w:t>
      </w:r>
    </w:p>
    <w:p>
      <w:pPr>
        <w:pStyle w:val="BodyText"/>
        <w:tabs>
          <w:tab w:pos="1557" w:val="left" w:leader="none"/>
        </w:tabs>
      </w:pPr>
      <w:r>
        <w:rPr>
          <w:spacing w:val="-5"/>
        </w:rPr>
        <w:t>INR</w:t>
      </w:r>
      <w:r>
        <w:rPr/>
        <w:tab/>
        <w:t>International</w:t>
      </w:r>
      <w:r>
        <w:rPr>
          <w:spacing w:val="-4"/>
        </w:rPr>
        <w:t> </w:t>
      </w:r>
      <w:r>
        <w:rPr/>
        <w:t>normalized</w:t>
      </w:r>
      <w:r>
        <w:rPr>
          <w:spacing w:val="-4"/>
        </w:rPr>
        <w:t> ratio</w:t>
      </w:r>
    </w:p>
    <w:p>
      <w:pPr>
        <w:pStyle w:val="BodyText"/>
        <w:tabs>
          <w:tab w:pos="1557" w:val="left" w:leader="none"/>
        </w:tabs>
      </w:pPr>
      <w:r>
        <w:rPr>
          <w:spacing w:val="-5"/>
        </w:rPr>
        <w:t>TAR</w:t>
      </w:r>
      <w:r>
        <w:rPr/>
        <w:tab/>
        <w:t>Trombocytenaggregatie</w:t>
      </w:r>
      <w:r>
        <w:rPr>
          <w:spacing w:val="-10"/>
        </w:rPr>
        <w:t> </w:t>
      </w:r>
      <w:r>
        <w:rPr>
          <w:spacing w:val="-2"/>
        </w:rPr>
        <w:t>remmer</w:t>
      </w:r>
    </w:p>
    <w:p>
      <w:pPr>
        <w:pStyle w:val="BodyText"/>
        <w:tabs>
          <w:tab w:pos="1557" w:val="left" w:leader="none"/>
        </w:tabs>
        <w:ind w:right="2956"/>
      </w:pPr>
      <w:r>
        <w:rPr>
          <w:spacing w:val="-4"/>
        </w:rPr>
        <w:t>PCPC</w:t>
      </w:r>
      <w:r>
        <w:rPr/>
        <w:tab/>
        <w:t>Partieel</w:t>
      </w:r>
      <w:r>
        <w:rPr>
          <w:spacing w:val="-8"/>
        </w:rPr>
        <w:t> </w:t>
      </w:r>
      <w:r>
        <w:rPr/>
        <w:t>cavopulmonale</w:t>
      </w:r>
      <w:r>
        <w:rPr>
          <w:spacing w:val="-10"/>
        </w:rPr>
        <w:t> </w:t>
      </w:r>
      <w:r>
        <w:rPr/>
        <w:t>connectie</w:t>
      </w:r>
      <w:r>
        <w:rPr>
          <w:spacing w:val="-5"/>
        </w:rPr>
        <w:t> </w:t>
      </w:r>
      <w:r>
        <w:rPr/>
        <w:t>(Glenn</w:t>
      </w:r>
      <w:r>
        <w:rPr>
          <w:spacing w:val="-8"/>
        </w:rPr>
        <w:t> </w:t>
      </w:r>
      <w:r>
        <w:rPr/>
        <w:t>shunt) </w:t>
      </w:r>
      <w:r>
        <w:rPr>
          <w:spacing w:val="-4"/>
        </w:rPr>
        <w:t>VCS</w:t>
      </w:r>
      <w:r>
        <w:rPr/>
        <w:tab/>
        <w:t>Vena cava superior</w:t>
      </w:r>
    </w:p>
    <w:p>
      <w:pPr>
        <w:pStyle w:val="BodyText"/>
        <w:tabs>
          <w:tab w:pos="1557" w:val="left" w:leader="none"/>
        </w:tabs>
        <w:spacing w:line="293" w:lineRule="exact"/>
      </w:pPr>
      <w:r>
        <w:rPr>
          <w:spacing w:val="-4"/>
        </w:rPr>
        <w:t>TCPC</w:t>
      </w:r>
      <w:r>
        <w:rPr/>
        <w:tab/>
        <w:t>Totale</w:t>
      </w:r>
      <w:r>
        <w:rPr>
          <w:spacing w:val="-3"/>
        </w:rPr>
        <w:t> </w:t>
      </w:r>
      <w:r>
        <w:rPr/>
        <w:t>cavopulmonale </w:t>
      </w:r>
      <w:r>
        <w:rPr>
          <w:spacing w:val="-2"/>
        </w:rPr>
        <w:t>connectie</w:t>
      </w:r>
    </w:p>
    <w:p>
      <w:pPr>
        <w:pStyle w:val="BodyText"/>
        <w:tabs>
          <w:tab w:pos="1557" w:val="left" w:leader="none"/>
        </w:tabs>
        <w:spacing w:before="3"/>
      </w:pPr>
      <w:r>
        <w:rPr>
          <w:spacing w:val="-5"/>
        </w:rPr>
        <w:t>MBT</w:t>
      </w:r>
      <w:r>
        <w:rPr/>
        <w:tab/>
        <w:t>Modified</w:t>
      </w:r>
      <w:r>
        <w:rPr>
          <w:spacing w:val="-8"/>
        </w:rPr>
        <w:t> </w:t>
      </w:r>
      <w:r>
        <w:rPr/>
        <w:t>Blalock</w:t>
      </w:r>
      <w:r>
        <w:rPr>
          <w:spacing w:val="-6"/>
        </w:rPr>
        <w:t> </w:t>
      </w:r>
      <w:r>
        <w:rPr>
          <w:spacing w:val="-2"/>
        </w:rPr>
        <w:t>Taussig</w:t>
      </w:r>
    </w:p>
    <w:p>
      <w:pPr>
        <w:pStyle w:val="BodyText"/>
        <w:tabs>
          <w:tab w:pos="1557" w:val="left" w:leader="none"/>
        </w:tabs>
      </w:pPr>
      <w:r>
        <w:rPr>
          <w:spacing w:val="-5"/>
        </w:rPr>
        <w:t>PLE</w:t>
      </w:r>
      <w:r>
        <w:rPr/>
        <w:tab/>
        <w:t>Protein</w:t>
      </w:r>
      <w:r>
        <w:rPr>
          <w:spacing w:val="-4"/>
        </w:rPr>
        <w:t> </w:t>
      </w:r>
      <w:r>
        <w:rPr/>
        <w:t>losing</w:t>
      </w:r>
      <w:r>
        <w:rPr>
          <w:spacing w:val="-5"/>
        </w:rPr>
        <w:t> </w:t>
      </w:r>
      <w:r>
        <w:rPr>
          <w:spacing w:val="-2"/>
        </w:rPr>
        <w:t>enteropathy</w:t>
      </w:r>
    </w:p>
    <w:p>
      <w:pPr>
        <w:pStyle w:val="BodyText"/>
        <w:tabs>
          <w:tab w:pos="1557" w:val="left" w:leader="none"/>
        </w:tabs>
      </w:pPr>
      <w:r>
        <w:rPr>
          <w:spacing w:val="-5"/>
        </w:rPr>
        <w:t>TOE</w:t>
      </w:r>
      <w:r>
        <w:rPr/>
        <w:tab/>
        <w:t>Transoesophageale</w:t>
      </w:r>
      <w:r>
        <w:rPr>
          <w:spacing w:val="-6"/>
        </w:rPr>
        <w:t> </w:t>
      </w:r>
      <w:r>
        <w:rPr>
          <w:spacing w:val="-2"/>
        </w:rPr>
        <w:t>echocardiografie</w:t>
      </w:r>
    </w:p>
    <w:p>
      <w:pPr>
        <w:pStyle w:val="BodyText"/>
        <w:tabs>
          <w:tab w:pos="1557" w:val="left" w:leader="none"/>
        </w:tabs>
      </w:pPr>
      <w:r>
        <w:rPr>
          <w:spacing w:val="-5"/>
        </w:rPr>
        <w:t>VCS</w:t>
      </w:r>
      <w:r>
        <w:rPr/>
        <w:tab/>
        <w:t>Vena</w:t>
      </w:r>
      <w:r>
        <w:rPr>
          <w:spacing w:val="-1"/>
        </w:rPr>
        <w:t> </w:t>
      </w:r>
      <w:r>
        <w:rPr/>
        <w:t>cava</w:t>
      </w:r>
      <w:r>
        <w:rPr>
          <w:spacing w:val="-2"/>
        </w:rPr>
        <w:t> superior</w:t>
      </w:r>
    </w:p>
    <w:p>
      <w:pPr>
        <w:pStyle w:val="BodyText"/>
        <w:spacing w:after="0"/>
        <w:sectPr>
          <w:footerReference w:type="default" r:id="rId6"/>
          <w:pgSz w:w="11910" w:h="16840"/>
          <w:pgMar w:header="0" w:footer="750" w:top="1380" w:bottom="940" w:left="1275" w:right="1417"/>
          <w:pgNumType w:start="2"/>
        </w:sectPr>
      </w:pPr>
    </w:p>
    <w:p>
      <w:pPr>
        <w:spacing w:before="15"/>
        <w:ind w:left="141" w:right="0" w:firstLine="0"/>
        <w:jc w:val="left"/>
        <w:rPr>
          <w:b/>
          <w:sz w:val="32"/>
        </w:rPr>
      </w:pPr>
      <w:r>
        <w:rPr>
          <w:b/>
          <w:spacing w:val="-2"/>
          <w:sz w:val="32"/>
        </w:rPr>
        <w:t>Samenvatting</w:t>
      </w:r>
      <w:r>
        <w:rPr>
          <w:b/>
          <w:spacing w:val="5"/>
          <w:sz w:val="32"/>
        </w:rPr>
        <w:t> </w:t>
      </w:r>
      <w:r>
        <w:rPr>
          <w:b/>
          <w:spacing w:val="-2"/>
          <w:sz w:val="32"/>
        </w:rPr>
        <w:t>aanbevelingen</w:t>
      </w:r>
    </w:p>
    <w:p>
      <w:pPr>
        <w:pStyle w:val="BodyText"/>
        <w:spacing w:before="3"/>
        <w:ind w:left="0"/>
        <w:rPr>
          <w:b/>
          <w:sz w:val="32"/>
        </w:rPr>
      </w:pPr>
    </w:p>
    <w:p>
      <w:pPr>
        <w:pStyle w:val="Heading1"/>
        <w:spacing w:line="480" w:lineRule="auto"/>
        <w:ind w:right="6429"/>
      </w:pPr>
      <w:r>
        <w:rPr>
          <w:spacing w:val="-2"/>
        </w:rPr>
        <w:t>Glenn-shunt Aanbevelingen</w:t>
      </w:r>
    </w:p>
    <w:p>
      <w:pPr>
        <w:pStyle w:val="ListParagraph"/>
        <w:numPr>
          <w:ilvl w:val="0"/>
          <w:numId w:val="1"/>
        </w:numPr>
        <w:tabs>
          <w:tab w:pos="848" w:val="left" w:leader="none"/>
        </w:tabs>
        <w:spacing w:line="278" w:lineRule="exact" w:before="0" w:after="0"/>
        <w:ind w:left="848" w:right="0" w:hanging="347"/>
        <w:jc w:val="left"/>
        <w:rPr>
          <w:sz w:val="24"/>
        </w:rPr>
      </w:pPr>
      <w:r>
        <w:rPr>
          <w:sz w:val="24"/>
        </w:rPr>
        <w:t>Postoperatief</w:t>
      </w:r>
      <w:r>
        <w:rPr>
          <w:spacing w:val="-5"/>
          <w:sz w:val="24"/>
        </w:rPr>
        <w:t> </w:t>
      </w:r>
      <w:r>
        <w:rPr>
          <w:sz w:val="24"/>
        </w:rPr>
        <w:t>wordt</w:t>
      </w:r>
      <w:r>
        <w:rPr>
          <w:spacing w:val="-2"/>
          <w:sz w:val="24"/>
        </w:rPr>
        <w:t> </w:t>
      </w:r>
      <w:r>
        <w:rPr>
          <w:sz w:val="24"/>
        </w:rPr>
        <w:t>geadviseerd</w:t>
      </w:r>
      <w:r>
        <w:rPr>
          <w:spacing w:val="-4"/>
          <w:sz w:val="24"/>
        </w:rPr>
        <w:t> </w:t>
      </w:r>
      <w:r>
        <w:rPr>
          <w:sz w:val="24"/>
        </w:rPr>
        <w:t>om</w:t>
      </w:r>
      <w:r>
        <w:rPr>
          <w:spacing w:val="-6"/>
          <w:sz w:val="24"/>
        </w:rPr>
        <w:t> </w:t>
      </w:r>
      <w:r>
        <w:rPr>
          <w:sz w:val="24"/>
        </w:rPr>
        <w:t>alle</w:t>
      </w:r>
      <w:r>
        <w:rPr>
          <w:spacing w:val="1"/>
          <w:sz w:val="24"/>
        </w:rPr>
        <w:t> </w:t>
      </w:r>
      <w:r>
        <w:rPr>
          <w:sz w:val="24"/>
        </w:rPr>
        <w:t>centraal</w:t>
      </w:r>
      <w:r>
        <w:rPr>
          <w:spacing w:val="-5"/>
          <w:sz w:val="24"/>
        </w:rPr>
        <w:t> </w:t>
      </w:r>
      <w:r>
        <w:rPr>
          <w:sz w:val="24"/>
        </w:rPr>
        <w:t>veneuze</w:t>
      </w:r>
      <w:r>
        <w:rPr>
          <w:spacing w:val="-5"/>
          <w:sz w:val="24"/>
        </w:rPr>
        <w:t> </w:t>
      </w:r>
      <w:r>
        <w:rPr>
          <w:sz w:val="24"/>
        </w:rPr>
        <w:t>lijnen</w:t>
      </w:r>
      <w:r>
        <w:rPr>
          <w:spacing w:val="-1"/>
          <w:sz w:val="24"/>
        </w:rPr>
        <w:t> </w:t>
      </w:r>
      <w:r>
        <w:rPr>
          <w:sz w:val="24"/>
        </w:rPr>
        <w:t>zo</w:t>
      </w:r>
      <w:r>
        <w:rPr>
          <w:spacing w:val="-5"/>
          <w:sz w:val="24"/>
        </w:rPr>
        <w:t> </w:t>
      </w:r>
      <w:r>
        <w:rPr>
          <w:sz w:val="24"/>
        </w:rPr>
        <w:t>snel</w:t>
      </w:r>
      <w:r>
        <w:rPr>
          <w:spacing w:val="-5"/>
          <w:sz w:val="24"/>
        </w:rPr>
        <w:t> </w:t>
      </w:r>
      <w:r>
        <w:rPr>
          <w:sz w:val="24"/>
        </w:rPr>
        <w:t>mogelijk</w:t>
      </w:r>
      <w:r>
        <w:rPr>
          <w:spacing w:val="-3"/>
          <w:sz w:val="24"/>
        </w:rPr>
        <w:t> </w:t>
      </w:r>
      <w:r>
        <w:rPr>
          <w:spacing w:val="-5"/>
          <w:sz w:val="24"/>
        </w:rPr>
        <w:t>te</w:t>
      </w:r>
    </w:p>
    <w:p>
      <w:pPr>
        <w:pStyle w:val="BodyText"/>
        <w:spacing w:before="3"/>
        <w:ind w:left="861"/>
      </w:pPr>
      <w:r>
        <w:rPr/>
        <w:t>verwijderen</w:t>
      </w:r>
      <w:r>
        <w:rPr>
          <w:spacing w:val="-4"/>
        </w:rPr>
        <w:t> </w:t>
      </w:r>
      <w:r>
        <w:rPr/>
        <w:t>uit</w:t>
      </w:r>
      <w:r>
        <w:rPr>
          <w:spacing w:val="-1"/>
        </w:rPr>
        <w:t> </w:t>
      </w:r>
      <w:r>
        <w:rPr/>
        <w:t>het</w:t>
      </w:r>
      <w:r>
        <w:rPr>
          <w:spacing w:val="-2"/>
        </w:rPr>
        <w:t> </w:t>
      </w:r>
      <w:r>
        <w:rPr/>
        <w:t>Glenn</w:t>
      </w:r>
      <w:r>
        <w:rPr>
          <w:spacing w:val="-1"/>
        </w:rPr>
        <w:t> </w:t>
      </w:r>
      <w:r>
        <w:rPr>
          <w:spacing w:val="-2"/>
        </w:rPr>
        <w:t>stroomgebied</w:t>
      </w:r>
    </w:p>
    <w:p>
      <w:pPr>
        <w:pStyle w:val="ListParagraph"/>
        <w:numPr>
          <w:ilvl w:val="0"/>
          <w:numId w:val="1"/>
        </w:numPr>
        <w:tabs>
          <w:tab w:pos="848" w:val="left" w:leader="none"/>
          <w:tab w:pos="861" w:val="left" w:leader="none"/>
        </w:tabs>
        <w:spacing w:line="240" w:lineRule="auto" w:before="0" w:after="0"/>
        <w:ind w:left="861" w:right="221" w:hanging="360"/>
        <w:jc w:val="left"/>
        <w:rPr>
          <w:sz w:val="24"/>
        </w:rPr>
      </w:pPr>
      <w:r>
        <w:rPr>
          <w:sz w:val="24"/>
        </w:rPr>
        <w:t>In de direct post-operatieve fase van de Glenn operatie wordt een actief antistollingsbeleid</w:t>
      </w:r>
      <w:r>
        <w:rPr>
          <w:spacing w:val="-1"/>
          <w:sz w:val="24"/>
        </w:rPr>
        <w:t> </w:t>
      </w:r>
      <w:r>
        <w:rPr>
          <w:sz w:val="24"/>
        </w:rPr>
        <w:t>met</w:t>
      </w:r>
      <w:r>
        <w:rPr>
          <w:spacing w:val="-6"/>
          <w:sz w:val="24"/>
        </w:rPr>
        <w:t> </w:t>
      </w:r>
      <w:r>
        <w:rPr>
          <w:sz w:val="24"/>
        </w:rPr>
        <w:t>ongefractioneerde</w:t>
      </w:r>
      <w:r>
        <w:rPr>
          <w:spacing w:val="-5"/>
          <w:sz w:val="24"/>
        </w:rPr>
        <w:t> </w:t>
      </w:r>
      <w:r>
        <w:rPr>
          <w:sz w:val="24"/>
        </w:rPr>
        <w:t>heparine</w:t>
      </w:r>
      <w:r>
        <w:rPr>
          <w:spacing w:val="-4"/>
          <w:sz w:val="24"/>
        </w:rPr>
        <w:t> </w:t>
      </w:r>
      <w:r>
        <w:rPr>
          <w:sz w:val="24"/>
        </w:rPr>
        <w:t>of</w:t>
      </w:r>
      <w:r>
        <w:rPr>
          <w:spacing w:val="-4"/>
          <w:sz w:val="24"/>
        </w:rPr>
        <w:t> </w:t>
      </w:r>
      <w:r>
        <w:rPr>
          <w:sz w:val="24"/>
        </w:rPr>
        <w:t>LMWH</w:t>
      </w:r>
      <w:r>
        <w:rPr>
          <w:spacing w:val="-6"/>
          <w:sz w:val="24"/>
        </w:rPr>
        <w:t> </w:t>
      </w:r>
      <w:r>
        <w:rPr>
          <w:sz w:val="24"/>
        </w:rPr>
        <w:t>geadviseerd</w:t>
      </w:r>
      <w:r>
        <w:rPr>
          <w:spacing w:val="-4"/>
          <w:sz w:val="24"/>
        </w:rPr>
        <w:t> </w:t>
      </w:r>
      <w:r>
        <w:rPr>
          <w:sz w:val="24"/>
        </w:rPr>
        <w:t>voor</w:t>
      </w:r>
      <w:r>
        <w:rPr>
          <w:spacing w:val="-2"/>
          <w:sz w:val="24"/>
        </w:rPr>
        <w:t> </w:t>
      </w:r>
      <w:r>
        <w:rPr>
          <w:sz w:val="24"/>
        </w:rPr>
        <w:t>alle patiënten, maar in ieder geval voor patiënten met risicofactoren (zie tabel 1)</w:t>
      </w:r>
    </w:p>
    <w:p>
      <w:pPr>
        <w:pStyle w:val="ListParagraph"/>
        <w:numPr>
          <w:ilvl w:val="0"/>
          <w:numId w:val="1"/>
        </w:numPr>
        <w:tabs>
          <w:tab w:pos="848" w:val="left" w:leader="none"/>
          <w:tab w:pos="861" w:val="left" w:leader="none"/>
        </w:tabs>
        <w:spacing w:line="240" w:lineRule="auto" w:before="0" w:after="0"/>
        <w:ind w:left="861" w:right="461" w:hanging="360"/>
        <w:jc w:val="left"/>
        <w:rPr>
          <w:sz w:val="24"/>
        </w:rPr>
      </w:pPr>
      <w:r>
        <w:rPr>
          <w:sz w:val="24"/>
        </w:rPr>
        <w:t>Na</w:t>
      </w:r>
      <w:r>
        <w:rPr>
          <w:spacing w:val="-3"/>
          <w:sz w:val="24"/>
        </w:rPr>
        <w:t> </w:t>
      </w:r>
      <w:r>
        <w:rPr>
          <w:sz w:val="24"/>
        </w:rPr>
        <w:t>het</w:t>
      </w:r>
      <w:r>
        <w:rPr>
          <w:spacing w:val="-3"/>
          <w:sz w:val="24"/>
        </w:rPr>
        <w:t> </w:t>
      </w:r>
      <w:r>
        <w:rPr>
          <w:sz w:val="24"/>
        </w:rPr>
        <w:t>op</w:t>
      </w:r>
      <w:r>
        <w:rPr>
          <w:spacing w:val="-4"/>
          <w:sz w:val="24"/>
        </w:rPr>
        <w:t> </w:t>
      </w:r>
      <w:r>
        <w:rPr>
          <w:sz w:val="24"/>
        </w:rPr>
        <w:t>gang</w:t>
      </w:r>
      <w:r>
        <w:rPr>
          <w:spacing w:val="-3"/>
          <w:sz w:val="24"/>
        </w:rPr>
        <w:t> </w:t>
      </w:r>
      <w:r>
        <w:rPr>
          <w:sz w:val="24"/>
        </w:rPr>
        <w:t>komen</w:t>
      </w:r>
      <w:r>
        <w:rPr>
          <w:spacing w:val="-2"/>
          <w:sz w:val="24"/>
        </w:rPr>
        <w:t> </w:t>
      </w:r>
      <w:r>
        <w:rPr>
          <w:sz w:val="24"/>
        </w:rPr>
        <w:t>van</w:t>
      </w:r>
      <w:r>
        <w:rPr>
          <w:spacing w:val="-2"/>
          <w:sz w:val="24"/>
        </w:rPr>
        <w:t> </w:t>
      </w:r>
      <w:r>
        <w:rPr>
          <w:sz w:val="24"/>
        </w:rPr>
        <w:t>de</w:t>
      </w:r>
      <w:r>
        <w:rPr>
          <w:spacing w:val="-2"/>
          <w:sz w:val="24"/>
        </w:rPr>
        <w:t> </w:t>
      </w:r>
      <w:r>
        <w:rPr>
          <w:sz w:val="24"/>
        </w:rPr>
        <w:t>orale</w:t>
      </w:r>
      <w:r>
        <w:rPr>
          <w:spacing w:val="-2"/>
          <w:sz w:val="24"/>
        </w:rPr>
        <w:t> </w:t>
      </w:r>
      <w:r>
        <w:rPr>
          <w:sz w:val="24"/>
        </w:rPr>
        <w:t>intake</w:t>
      </w:r>
      <w:r>
        <w:rPr>
          <w:spacing w:val="-2"/>
          <w:sz w:val="24"/>
        </w:rPr>
        <w:t> </w:t>
      </w:r>
      <w:r>
        <w:rPr>
          <w:sz w:val="24"/>
        </w:rPr>
        <w:t>kan</w:t>
      </w:r>
      <w:r>
        <w:rPr>
          <w:spacing w:val="-2"/>
          <w:sz w:val="24"/>
        </w:rPr>
        <w:t> </w:t>
      </w:r>
      <w:r>
        <w:rPr>
          <w:sz w:val="24"/>
        </w:rPr>
        <w:t>in</w:t>
      </w:r>
      <w:r>
        <w:rPr>
          <w:spacing w:val="-6"/>
          <w:sz w:val="24"/>
        </w:rPr>
        <w:t> </w:t>
      </w:r>
      <w:r>
        <w:rPr>
          <w:sz w:val="24"/>
        </w:rPr>
        <w:t>de</w:t>
      </w:r>
      <w:r>
        <w:rPr>
          <w:spacing w:val="-2"/>
          <w:sz w:val="24"/>
        </w:rPr>
        <w:t> </w:t>
      </w:r>
      <w:r>
        <w:rPr>
          <w:sz w:val="24"/>
        </w:rPr>
        <w:t>meeste gevallen</w:t>
      </w:r>
      <w:r>
        <w:rPr>
          <w:spacing w:val="-2"/>
          <w:sz w:val="24"/>
        </w:rPr>
        <w:t> </w:t>
      </w:r>
      <w:r>
        <w:rPr>
          <w:sz w:val="24"/>
        </w:rPr>
        <w:t>overgegaan worden op trombocytenaggregatie remming</w:t>
      </w:r>
    </w:p>
    <w:p>
      <w:pPr>
        <w:pStyle w:val="ListParagraph"/>
        <w:numPr>
          <w:ilvl w:val="0"/>
          <w:numId w:val="1"/>
        </w:numPr>
        <w:tabs>
          <w:tab w:pos="848" w:val="left" w:leader="none"/>
          <w:tab w:pos="861" w:val="left" w:leader="none"/>
        </w:tabs>
        <w:spacing w:line="240" w:lineRule="auto" w:before="0" w:after="0"/>
        <w:ind w:left="861" w:right="351" w:hanging="360"/>
        <w:jc w:val="left"/>
        <w:rPr>
          <w:sz w:val="24"/>
        </w:rPr>
      </w:pPr>
      <w:r>
        <w:rPr>
          <w:sz w:val="24"/>
        </w:rPr>
        <w:t>Het</w:t>
      </w:r>
      <w:r>
        <w:rPr>
          <w:spacing w:val="-2"/>
          <w:sz w:val="24"/>
        </w:rPr>
        <w:t> </w:t>
      </w:r>
      <w:r>
        <w:rPr>
          <w:sz w:val="24"/>
        </w:rPr>
        <w:t>valt</w:t>
      </w:r>
      <w:r>
        <w:rPr>
          <w:spacing w:val="-5"/>
          <w:sz w:val="24"/>
        </w:rPr>
        <w:t> </w:t>
      </w:r>
      <w:r>
        <w:rPr>
          <w:sz w:val="24"/>
        </w:rPr>
        <w:t>te</w:t>
      </w:r>
      <w:r>
        <w:rPr>
          <w:spacing w:val="-6"/>
          <w:sz w:val="24"/>
        </w:rPr>
        <w:t> </w:t>
      </w:r>
      <w:r>
        <w:rPr>
          <w:sz w:val="24"/>
        </w:rPr>
        <w:t>overwegen</w:t>
      </w:r>
      <w:r>
        <w:rPr>
          <w:spacing w:val="-5"/>
          <w:sz w:val="24"/>
        </w:rPr>
        <w:t> </w:t>
      </w:r>
      <w:r>
        <w:rPr>
          <w:sz w:val="24"/>
        </w:rPr>
        <w:t>de</w:t>
      </w:r>
      <w:r>
        <w:rPr>
          <w:spacing w:val="-3"/>
          <w:sz w:val="24"/>
        </w:rPr>
        <w:t> </w:t>
      </w:r>
      <w:r>
        <w:rPr>
          <w:sz w:val="24"/>
        </w:rPr>
        <w:t>behandeling</w:t>
      </w:r>
      <w:r>
        <w:rPr>
          <w:spacing w:val="-4"/>
          <w:sz w:val="24"/>
        </w:rPr>
        <w:t> </w:t>
      </w:r>
      <w:r>
        <w:rPr>
          <w:sz w:val="24"/>
        </w:rPr>
        <w:t>met</w:t>
      </w:r>
      <w:r>
        <w:rPr>
          <w:spacing w:val="-5"/>
          <w:sz w:val="24"/>
        </w:rPr>
        <w:t> </w:t>
      </w:r>
      <w:r>
        <w:rPr>
          <w:sz w:val="24"/>
        </w:rPr>
        <w:t>heparine</w:t>
      </w:r>
      <w:r>
        <w:rPr>
          <w:spacing w:val="-3"/>
          <w:sz w:val="24"/>
        </w:rPr>
        <w:t> </w:t>
      </w:r>
      <w:r>
        <w:rPr>
          <w:sz w:val="24"/>
        </w:rPr>
        <w:t>gedurende</w:t>
      </w:r>
      <w:r>
        <w:rPr>
          <w:spacing w:val="-3"/>
          <w:sz w:val="24"/>
        </w:rPr>
        <w:t> </w:t>
      </w:r>
      <w:r>
        <w:rPr>
          <w:sz w:val="24"/>
        </w:rPr>
        <w:t>minstens</w:t>
      </w:r>
      <w:r>
        <w:rPr>
          <w:spacing w:val="-6"/>
          <w:sz w:val="24"/>
        </w:rPr>
        <w:t> </w:t>
      </w:r>
      <w:r>
        <w:rPr>
          <w:sz w:val="24"/>
        </w:rPr>
        <w:t>6</w:t>
      </w:r>
      <w:r>
        <w:rPr>
          <w:spacing w:val="-3"/>
          <w:sz w:val="24"/>
        </w:rPr>
        <w:t> </w:t>
      </w:r>
      <w:r>
        <w:rPr>
          <w:sz w:val="24"/>
        </w:rPr>
        <w:t>weken voort te zetten bij patiënten met bilaterale Glenn of Glenn in het kader van een comprehensive stage II (Norwood-Glenn)</w:t>
      </w:r>
    </w:p>
    <w:p>
      <w:pPr>
        <w:pStyle w:val="ListParagraph"/>
        <w:numPr>
          <w:ilvl w:val="0"/>
          <w:numId w:val="1"/>
        </w:numPr>
        <w:tabs>
          <w:tab w:pos="848" w:val="left" w:leader="none"/>
          <w:tab w:pos="861" w:val="left" w:leader="none"/>
        </w:tabs>
        <w:spacing w:line="240" w:lineRule="auto" w:before="1" w:after="0"/>
        <w:ind w:left="861" w:right="632" w:hanging="360"/>
        <w:jc w:val="left"/>
        <w:rPr>
          <w:sz w:val="24"/>
        </w:rPr>
      </w:pPr>
      <w:r>
        <w:rPr>
          <w:sz w:val="24"/>
        </w:rPr>
        <w:t>Lange</w:t>
      </w:r>
      <w:r>
        <w:rPr>
          <w:spacing w:val="-7"/>
          <w:sz w:val="24"/>
        </w:rPr>
        <w:t> </w:t>
      </w:r>
      <w:r>
        <w:rPr>
          <w:sz w:val="24"/>
        </w:rPr>
        <w:t>termijn</w:t>
      </w:r>
      <w:r>
        <w:rPr>
          <w:spacing w:val="-4"/>
          <w:sz w:val="24"/>
        </w:rPr>
        <w:t> </w:t>
      </w:r>
      <w:r>
        <w:rPr>
          <w:sz w:val="24"/>
        </w:rPr>
        <w:t>behandeling</w:t>
      </w:r>
      <w:r>
        <w:rPr>
          <w:spacing w:val="-5"/>
          <w:sz w:val="24"/>
        </w:rPr>
        <w:t> </w:t>
      </w:r>
      <w:r>
        <w:rPr>
          <w:sz w:val="24"/>
        </w:rPr>
        <w:t>met een</w:t>
      </w:r>
      <w:r>
        <w:rPr>
          <w:spacing w:val="-6"/>
          <w:sz w:val="24"/>
        </w:rPr>
        <w:t> </w:t>
      </w:r>
      <w:r>
        <w:rPr>
          <w:sz w:val="24"/>
        </w:rPr>
        <w:t>TAR</w:t>
      </w:r>
      <w:r>
        <w:rPr>
          <w:spacing w:val="-4"/>
          <w:sz w:val="24"/>
        </w:rPr>
        <w:t> </w:t>
      </w:r>
      <w:r>
        <w:rPr>
          <w:sz w:val="24"/>
        </w:rPr>
        <w:t>wordt</w:t>
      </w:r>
      <w:r>
        <w:rPr>
          <w:spacing w:val="-4"/>
          <w:sz w:val="24"/>
        </w:rPr>
        <w:t> </w:t>
      </w:r>
      <w:r>
        <w:rPr>
          <w:sz w:val="24"/>
        </w:rPr>
        <w:t>geadviseerd</w:t>
      </w:r>
      <w:r>
        <w:rPr>
          <w:spacing w:val="-4"/>
          <w:sz w:val="24"/>
        </w:rPr>
        <w:t> </w:t>
      </w:r>
      <w:r>
        <w:rPr>
          <w:sz w:val="24"/>
        </w:rPr>
        <w:t>voor</w:t>
      </w:r>
      <w:r>
        <w:rPr>
          <w:spacing w:val="-4"/>
          <w:sz w:val="24"/>
        </w:rPr>
        <w:t> </w:t>
      </w:r>
      <w:r>
        <w:rPr>
          <w:sz w:val="24"/>
        </w:rPr>
        <w:t>patiënten</w:t>
      </w:r>
      <w:r>
        <w:rPr>
          <w:spacing w:val="-4"/>
          <w:sz w:val="24"/>
        </w:rPr>
        <w:t> </w:t>
      </w:r>
      <w:r>
        <w:rPr>
          <w:sz w:val="24"/>
        </w:rPr>
        <w:t>met risicofactoren en valt te overwegen voor alle Glenn-patiënten.</w:t>
      </w:r>
    </w:p>
    <w:p>
      <w:pPr>
        <w:pStyle w:val="ListParagraph"/>
        <w:numPr>
          <w:ilvl w:val="0"/>
          <w:numId w:val="1"/>
        </w:numPr>
        <w:tabs>
          <w:tab w:pos="848" w:val="left" w:leader="none"/>
          <w:tab w:pos="861" w:val="left" w:leader="none"/>
        </w:tabs>
        <w:spacing w:line="237" w:lineRule="auto" w:before="2" w:after="0"/>
        <w:ind w:left="861" w:right="75" w:hanging="360"/>
        <w:jc w:val="left"/>
        <w:rPr>
          <w:sz w:val="24"/>
        </w:rPr>
      </w:pPr>
      <w:r>
        <w:rPr>
          <w:sz w:val="24"/>
        </w:rPr>
        <w:t>Bij</w:t>
      </w:r>
      <w:r>
        <w:rPr>
          <w:spacing w:val="-3"/>
          <w:sz w:val="24"/>
        </w:rPr>
        <w:t> </w:t>
      </w:r>
      <w:r>
        <w:rPr>
          <w:sz w:val="24"/>
        </w:rPr>
        <w:t>niet</w:t>
      </w:r>
      <w:r>
        <w:rPr>
          <w:spacing w:val="-3"/>
          <w:sz w:val="24"/>
        </w:rPr>
        <w:t> </w:t>
      </w:r>
      <w:r>
        <w:rPr>
          <w:sz w:val="24"/>
        </w:rPr>
        <w:t>afgesloten</w:t>
      </w:r>
      <w:r>
        <w:rPr>
          <w:spacing w:val="-4"/>
          <w:sz w:val="24"/>
        </w:rPr>
        <w:t> </w:t>
      </w:r>
      <w:r>
        <w:rPr>
          <w:sz w:val="24"/>
        </w:rPr>
        <w:t>blind-</w:t>
      </w:r>
      <w:r>
        <w:rPr>
          <w:spacing w:val="-6"/>
          <w:sz w:val="24"/>
        </w:rPr>
        <w:t> </w:t>
      </w:r>
      <w:r>
        <w:rPr>
          <w:sz w:val="24"/>
        </w:rPr>
        <w:t>eindigende</w:t>
      </w:r>
      <w:r>
        <w:rPr>
          <w:spacing w:val="-2"/>
          <w:sz w:val="24"/>
        </w:rPr>
        <w:t> </w:t>
      </w:r>
      <w:r>
        <w:rPr>
          <w:sz w:val="24"/>
        </w:rPr>
        <w:t>pulmonalis</w:t>
      </w:r>
      <w:r>
        <w:rPr>
          <w:spacing w:val="-3"/>
          <w:sz w:val="24"/>
        </w:rPr>
        <w:t> </w:t>
      </w:r>
      <w:r>
        <w:rPr>
          <w:sz w:val="24"/>
        </w:rPr>
        <w:t>stomp</w:t>
      </w:r>
      <w:r>
        <w:rPr>
          <w:spacing w:val="-2"/>
          <w:sz w:val="24"/>
        </w:rPr>
        <w:t> </w:t>
      </w:r>
      <w:r>
        <w:rPr>
          <w:sz w:val="24"/>
        </w:rPr>
        <w:t>kan</w:t>
      </w:r>
      <w:r>
        <w:rPr>
          <w:spacing w:val="-4"/>
          <w:sz w:val="24"/>
        </w:rPr>
        <w:t> </w:t>
      </w:r>
      <w:r>
        <w:rPr>
          <w:sz w:val="24"/>
        </w:rPr>
        <w:t>LMWH</w:t>
      </w:r>
      <w:r>
        <w:rPr>
          <w:spacing w:val="-6"/>
          <w:sz w:val="24"/>
        </w:rPr>
        <w:t> </w:t>
      </w:r>
      <w:r>
        <w:rPr>
          <w:sz w:val="24"/>
        </w:rPr>
        <w:t>of</w:t>
      </w:r>
      <w:r>
        <w:rPr>
          <w:spacing w:val="-4"/>
          <w:sz w:val="24"/>
        </w:rPr>
        <w:t> </w:t>
      </w:r>
      <w:r>
        <w:rPr>
          <w:sz w:val="24"/>
        </w:rPr>
        <w:t>VKA</w:t>
      </w:r>
      <w:r>
        <w:rPr>
          <w:spacing w:val="-5"/>
          <w:sz w:val="24"/>
        </w:rPr>
        <w:t> </w:t>
      </w:r>
      <w:r>
        <w:rPr>
          <w:sz w:val="24"/>
        </w:rPr>
        <w:t>overwogen </w:t>
      </w:r>
      <w:r>
        <w:rPr>
          <w:spacing w:val="-2"/>
          <w:sz w:val="24"/>
        </w:rPr>
        <w:t>worden.</w:t>
      </w:r>
    </w:p>
    <w:p>
      <w:pPr>
        <w:pStyle w:val="BodyText"/>
        <w:spacing w:before="280"/>
        <w:ind w:left="501"/>
      </w:pPr>
      <w:r>
        <w:rPr>
          <w:u w:val="single"/>
        </w:rPr>
        <w:t>Tabel</w:t>
      </w:r>
      <w:r>
        <w:rPr>
          <w:spacing w:val="-5"/>
          <w:u w:val="single"/>
        </w:rPr>
        <w:t> </w:t>
      </w:r>
      <w:r>
        <w:rPr>
          <w:u w:val="single"/>
        </w:rPr>
        <w:t>1 :</w:t>
      </w:r>
      <w:r>
        <w:rPr>
          <w:spacing w:val="-4"/>
          <w:u w:val="single"/>
        </w:rPr>
        <w:t> </w:t>
      </w:r>
      <w:r>
        <w:rPr>
          <w:u w:val="single"/>
        </w:rPr>
        <w:t>Risicofactoren</w:t>
      </w:r>
      <w:r>
        <w:rPr>
          <w:spacing w:val="-2"/>
          <w:u w:val="single"/>
        </w:rPr>
        <w:t> </w:t>
      </w:r>
      <w:r>
        <w:rPr>
          <w:u w:val="single"/>
        </w:rPr>
        <w:t>voor</w:t>
      </w:r>
      <w:r>
        <w:rPr>
          <w:spacing w:val="-4"/>
          <w:u w:val="single"/>
        </w:rPr>
        <w:t> </w:t>
      </w:r>
      <w:r>
        <w:rPr>
          <w:u w:val="single"/>
        </w:rPr>
        <w:t>trombose</w:t>
      </w:r>
      <w:r>
        <w:rPr>
          <w:spacing w:val="-3"/>
          <w:u w:val="single"/>
        </w:rPr>
        <w:t> </w:t>
      </w:r>
      <w:r>
        <w:rPr>
          <w:u w:val="single"/>
        </w:rPr>
        <w:t>post</w:t>
      </w:r>
      <w:r>
        <w:rPr>
          <w:spacing w:val="-2"/>
          <w:u w:val="single"/>
        </w:rPr>
        <w:t> Glenn</w:t>
      </w:r>
    </w:p>
    <w:p>
      <w:pPr>
        <w:pStyle w:val="BodyText"/>
        <w:spacing w:before="147"/>
        <w:ind w:left="0"/>
        <w:rPr>
          <w:sz w:val="20"/>
        </w:rPr>
      </w:pPr>
    </w:p>
    <w:tbl>
      <w:tblPr>
        <w:tblW w:w="0" w:type="auto"/>
        <w:jc w:val="left"/>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97"/>
      </w:tblGrid>
      <w:tr>
        <w:trPr>
          <w:trHeight w:val="314" w:hRule="atLeast"/>
        </w:trPr>
        <w:tc>
          <w:tcPr>
            <w:tcW w:w="5497" w:type="dxa"/>
            <w:tcBorders>
              <w:bottom w:val="nil"/>
            </w:tcBorders>
          </w:tcPr>
          <w:p>
            <w:pPr>
              <w:pStyle w:val="TableParagraph"/>
              <w:spacing w:line="292" w:lineRule="exact"/>
              <w:ind w:left="107"/>
              <w:rPr>
                <w:sz w:val="24"/>
              </w:rPr>
            </w:pPr>
            <w:r>
              <w:rPr>
                <w:sz w:val="24"/>
              </w:rPr>
              <w:t>Bilaterale</w:t>
            </w:r>
            <w:r>
              <w:rPr>
                <w:spacing w:val="-1"/>
                <w:sz w:val="24"/>
              </w:rPr>
              <w:t> </w:t>
            </w:r>
            <w:r>
              <w:rPr>
                <w:sz w:val="24"/>
              </w:rPr>
              <w:t>venae</w:t>
            </w:r>
            <w:r>
              <w:rPr>
                <w:spacing w:val="-2"/>
                <w:sz w:val="24"/>
              </w:rPr>
              <w:t> </w:t>
            </w:r>
            <w:r>
              <w:rPr>
                <w:sz w:val="24"/>
              </w:rPr>
              <w:t>cavae </w:t>
            </w:r>
            <w:r>
              <w:rPr>
                <w:spacing w:val="-2"/>
                <w:sz w:val="24"/>
              </w:rPr>
              <w:t>superiores</w:t>
            </w:r>
          </w:p>
        </w:tc>
      </w:tr>
      <w:tr>
        <w:trPr>
          <w:trHeight w:val="293" w:hRule="atLeast"/>
        </w:trPr>
        <w:tc>
          <w:tcPr>
            <w:tcW w:w="5497" w:type="dxa"/>
            <w:tcBorders>
              <w:top w:val="nil"/>
              <w:bottom w:val="nil"/>
            </w:tcBorders>
          </w:tcPr>
          <w:p>
            <w:pPr>
              <w:pStyle w:val="TableParagraph"/>
              <w:spacing w:line="271" w:lineRule="exact"/>
              <w:ind w:left="107"/>
              <w:rPr>
                <w:sz w:val="24"/>
              </w:rPr>
            </w:pPr>
            <w:r>
              <w:rPr>
                <w:sz w:val="24"/>
              </w:rPr>
              <w:t>Kleine</w:t>
            </w:r>
            <w:r>
              <w:rPr>
                <w:spacing w:val="-4"/>
                <w:sz w:val="24"/>
              </w:rPr>
              <w:t> </w:t>
            </w:r>
            <w:r>
              <w:rPr>
                <w:spacing w:val="-2"/>
                <w:sz w:val="24"/>
              </w:rPr>
              <w:t>pulmonaaltakken</w:t>
            </w:r>
          </w:p>
        </w:tc>
      </w:tr>
      <w:tr>
        <w:trPr>
          <w:trHeight w:val="293" w:hRule="atLeast"/>
        </w:trPr>
        <w:tc>
          <w:tcPr>
            <w:tcW w:w="5497" w:type="dxa"/>
            <w:tcBorders>
              <w:top w:val="nil"/>
              <w:bottom w:val="nil"/>
            </w:tcBorders>
          </w:tcPr>
          <w:p>
            <w:pPr>
              <w:pStyle w:val="TableParagraph"/>
              <w:spacing w:line="272" w:lineRule="exact"/>
              <w:ind w:left="107"/>
              <w:rPr>
                <w:sz w:val="24"/>
              </w:rPr>
            </w:pPr>
            <w:r>
              <w:rPr>
                <w:sz w:val="24"/>
              </w:rPr>
              <w:t>Stent</w:t>
            </w:r>
            <w:r>
              <w:rPr>
                <w:spacing w:val="-1"/>
                <w:sz w:val="24"/>
              </w:rPr>
              <w:t> </w:t>
            </w:r>
            <w:r>
              <w:rPr>
                <w:sz w:val="24"/>
              </w:rPr>
              <w:t>in</w:t>
            </w:r>
            <w:r>
              <w:rPr>
                <w:spacing w:val="-1"/>
                <w:sz w:val="24"/>
              </w:rPr>
              <w:t> </w:t>
            </w:r>
            <w:r>
              <w:rPr>
                <w:spacing w:val="-2"/>
                <w:sz w:val="24"/>
              </w:rPr>
              <w:t>pulmonaaltak</w:t>
            </w:r>
          </w:p>
        </w:tc>
      </w:tr>
      <w:tr>
        <w:trPr>
          <w:trHeight w:val="292" w:hRule="atLeast"/>
        </w:trPr>
        <w:tc>
          <w:tcPr>
            <w:tcW w:w="5497" w:type="dxa"/>
            <w:tcBorders>
              <w:top w:val="nil"/>
              <w:bottom w:val="nil"/>
            </w:tcBorders>
          </w:tcPr>
          <w:p>
            <w:pPr>
              <w:pStyle w:val="TableParagraph"/>
              <w:spacing w:line="271" w:lineRule="exact"/>
              <w:ind w:left="107"/>
              <w:rPr>
                <w:sz w:val="24"/>
              </w:rPr>
            </w:pPr>
            <w:r>
              <w:rPr>
                <w:sz w:val="24"/>
              </w:rPr>
              <w:t>Niet</w:t>
            </w:r>
            <w:r>
              <w:rPr>
                <w:spacing w:val="-5"/>
                <w:sz w:val="24"/>
              </w:rPr>
              <w:t> </w:t>
            </w:r>
            <w:r>
              <w:rPr>
                <w:sz w:val="24"/>
              </w:rPr>
              <w:t>afgesloten</w:t>
            </w:r>
            <w:r>
              <w:rPr>
                <w:spacing w:val="-6"/>
                <w:sz w:val="24"/>
              </w:rPr>
              <w:t> </w:t>
            </w:r>
            <w:r>
              <w:rPr>
                <w:sz w:val="24"/>
              </w:rPr>
              <w:t>blind-eindigende</w:t>
            </w:r>
            <w:r>
              <w:rPr>
                <w:spacing w:val="-5"/>
                <w:sz w:val="24"/>
              </w:rPr>
              <w:t> </w:t>
            </w:r>
            <w:r>
              <w:rPr>
                <w:spacing w:val="-2"/>
                <w:sz w:val="24"/>
              </w:rPr>
              <w:t>pulmonalisstomp</w:t>
            </w:r>
          </w:p>
        </w:tc>
      </w:tr>
      <w:tr>
        <w:trPr>
          <w:trHeight w:val="292" w:hRule="atLeast"/>
        </w:trPr>
        <w:tc>
          <w:tcPr>
            <w:tcW w:w="5497" w:type="dxa"/>
            <w:tcBorders>
              <w:top w:val="nil"/>
              <w:bottom w:val="nil"/>
            </w:tcBorders>
          </w:tcPr>
          <w:p>
            <w:pPr>
              <w:pStyle w:val="TableParagraph"/>
              <w:spacing w:line="271" w:lineRule="exact"/>
              <w:ind w:left="107"/>
              <w:rPr>
                <w:sz w:val="24"/>
              </w:rPr>
            </w:pPr>
            <w:r>
              <w:rPr>
                <w:sz w:val="24"/>
              </w:rPr>
              <w:t>Stasis</w:t>
            </w:r>
            <w:r>
              <w:rPr>
                <w:spacing w:val="-3"/>
                <w:sz w:val="24"/>
              </w:rPr>
              <w:t> </w:t>
            </w:r>
            <w:r>
              <w:rPr>
                <w:sz w:val="24"/>
              </w:rPr>
              <w:t>van</w:t>
            </w:r>
            <w:r>
              <w:rPr>
                <w:spacing w:val="-4"/>
                <w:sz w:val="24"/>
              </w:rPr>
              <w:t> </w:t>
            </w:r>
            <w:r>
              <w:rPr>
                <w:sz w:val="24"/>
              </w:rPr>
              <w:t>bloed</w:t>
            </w:r>
            <w:r>
              <w:rPr>
                <w:spacing w:val="-4"/>
                <w:sz w:val="24"/>
              </w:rPr>
              <w:t> </w:t>
            </w:r>
            <w:r>
              <w:rPr>
                <w:sz w:val="24"/>
              </w:rPr>
              <w:t>in</w:t>
            </w:r>
            <w:r>
              <w:rPr>
                <w:spacing w:val="-4"/>
                <w:sz w:val="24"/>
              </w:rPr>
              <w:t> </w:t>
            </w:r>
            <w:r>
              <w:rPr>
                <w:sz w:val="24"/>
              </w:rPr>
              <w:t>hypoplastische</w:t>
            </w:r>
            <w:r>
              <w:rPr>
                <w:spacing w:val="-4"/>
                <w:sz w:val="24"/>
              </w:rPr>
              <w:t> </w:t>
            </w:r>
            <w:r>
              <w:rPr>
                <w:spacing w:val="-2"/>
                <w:sz w:val="24"/>
              </w:rPr>
              <w:t>ventrikel</w:t>
            </w:r>
          </w:p>
        </w:tc>
      </w:tr>
      <w:tr>
        <w:trPr>
          <w:trHeight w:val="270" w:hRule="atLeast"/>
        </w:trPr>
        <w:tc>
          <w:tcPr>
            <w:tcW w:w="5497" w:type="dxa"/>
            <w:tcBorders>
              <w:top w:val="nil"/>
            </w:tcBorders>
          </w:tcPr>
          <w:p>
            <w:pPr>
              <w:pStyle w:val="TableParagraph"/>
              <w:spacing w:line="251" w:lineRule="exact"/>
              <w:ind w:left="107"/>
              <w:rPr>
                <w:sz w:val="24"/>
              </w:rPr>
            </w:pPr>
            <w:r>
              <w:rPr>
                <w:sz w:val="24"/>
              </w:rPr>
              <w:t>Na</w:t>
            </w:r>
            <w:r>
              <w:rPr>
                <w:spacing w:val="-3"/>
                <w:sz w:val="24"/>
              </w:rPr>
              <w:t> </w:t>
            </w:r>
            <w:r>
              <w:rPr>
                <w:sz w:val="24"/>
              </w:rPr>
              <w:t>comprehensive</w:t>
            </w:r>
            <w:r>
              <w:rPr>
                <w:spacing w:val="-3"/>
                <w:sz w:val="24"/>
              </w:rPr>
              <w:t> </w:t>
            </w:r>
            <w:r>
              <w:rPr>
                <w:sz w:val="24"/>
              </w:rPr>
              <w:t>stage</w:t>
            </w:r>
            <w:r>
              <w:rPr>
                <w:spacing w:val="-3"/>
                <w:sz w:val="24"/>
              </w:rPr>
              <w:t> </w:t>
            </w:r>
            <w:r>
              <w:rPr>
                <w:sz w:val="24"/>
              </w:rPr>
              <w:t>II</w:t>
            </w:r>
            <w:r>
              <w:rPr>
                <w:spacing w:val="-3"/>
                <w:sz w:val="24"/>
              </w:rPr>
              <w:t> </w:t>
            </w:r>
            <w:r>
              <w:rPr>
                <w:sz w:val="24"/>
              </w:rPr>
              <w:t>(boogrepair-</w:t>
            </w:r>
            <w:r>
              <w:rPr>
                <w:spacing w:val="-2"/>
                <w:sz w:val="24"/>
              </w:rPr>
              <w:t>Glenn)</w:t>
            </w:r>
          </w:p>
        </w:tc>
      </w:tr>
    </w:tbl>
    <w:p>
      <w:pPr>
        <w:pStyle w:val="BodyText"/>
        <w:ind w:left="0"/>
      </w:pPr>
    </w:p>
    <w:p>
      <w:pPr>
        <w:pStyle w:val="BodyText"/>
        <w:spacing w:before="71"/>
        <w:ind w:left="0"/>
      </w:pPr>
    </w:p>
    <w:p>
      <w:pPr>
        <w:pStyle w:val="Heading1"/>
        <w:spacing w:line="480" w:lineRule="auto"/>
        <w:ind w:right="2203"/>
      </w:pPr>
      <w:r>
        <w:rPr/>
        <w:t>Aorto-pulmonale</w:t>
      </w:r>
      <w:r>
        <w:rPr>
          <w:spacing w:val="-9"/>
        </w:rPr>
        <w:t> </w:t>
      </w:r>
      <w:r>
        <w:rPr/>
        <w:t>en</w:t>
      </w:r>
      <w:r>
        <w:rPr>
          <w:spacing w:val="-9"/>
        </w:rPr>
        <w:t> </w:t>
      </w:r>
      <w:r>
        <w:rPr/>
        <w:t>rechter</w:t>
      </w:r>
      <w:r>
        <w:rPr>
          <w:spacing w:val="-7"/>
        </w:rPr>
        <w:t> </w:t>
      </w:r>
      <w:r>
        <w:rPr/>
        <w:t>ventrikel-pulmonale</w:t>
      </w:r>
      <w:r>
        <w:rPr>
          <w:spacing w:val="-9"/>
        </w:rPr>
        <w:t> </w:t>
      </w:r>
      <w:r>
        <w:rPr/>
        <w:t>shunts </w:t>
      </w:r>
      <w:r>
        <w:rPr>
          <w:spacing w:val="-2"/>
        </w:rPr>
        <w:t>Aanbevelingen</w:t>
      </w:r>
    </w:p>
    <w:p>
      <w:pPr>
        <w:pStyle w:val="ListParagraph"/>
        <w:numPr>
          <w:ilvl w:val="0"/>
          <w:numId w:val="1"/>
        </w:numPr>
        <w:tabs>
          <w:tab w:pos="848" w:val="left" w:leader="none"/>
          <w:tab w:pos="861" w:val="left" w:leader="none"/>
        </w:tabs>
        <w:spacing w:line="240" w:lineRule="auto" w:before="0" w:after="0"/>
        <w:ind w:left="861" w:right="181" w:hanging="360"/>
        <w:jc w:val="left"/>
        <w:rPr>
          <w:sz w:val="24"/>
        </w:rPr>
      </w:pPr>
      <w:r>
        <w:rPr>
          <w:sz w:val="24"/>
        </w:rPr>
        <w:t>Er wordt geadviseerd om kinderen met aorto-pulmonale shunt (MBT of centraal, Sano</w:t>
      </w:r>
      <w:r>
        <w:rPr>
          <w:spacing w:val="-5"/>
          <w:sz w:val="24"/>
        </w:rPr>
        <w:t> </w:t>
      </w:r>
      <w:r>
        <w:rPr>
          <w:sz w:val="24"/>
        </w:rPr>
        <w:t>of</w:t>
      </w:r>
      <w:r>
        <w:rPr>
          <w:spacing w:val="-2"/>
          <w:sz w:val="24"/>
        </w:rPr>
        <w:t> </w:t>
      </w:r>
      <w:r>
        <w:rPr>
          <w:sz w:val="24"/>
        </w:rPr>
        <w:t>stent</w:t>
      </w:r>
      <w:r>
        <w:rPr>
          <w:spacing w:val="-2"/>
          <w:sz w:val="24"/>
        </w:rPr>
        <w:t> </w:t>
      </w:r>
      <w:r>
        <w:rPr>
          <w:sz w:val="24"/>
        </w:rPr>
        <w:t>in</w:t>
      </w:r>
      <w:r>
        <w:rPr>
          <w:spacing w:val="-4"/>
          <w:sz w:val="24"/>
        </w:rPr>
        <w:t> </w:t>
      </w:r>
      <w:r>
        <w:rPr>
          <w:sz w:val="24"/>
        </w:rPr>
        <w:t>ductus</w:t>
      </w:r>
      <w:r>
        <w:rPr>
          <w:spacing w:val="-3"/>
          <w:sz w:val="24"/>
        </w:rPr>
        <w:t> </w:t>
      </w:r>
      <w:r>
        <w:rPr>
          <w:sz w:val="24"/>
        </w:rPr>
        <w:t>arteriosus)</w:t>
      </w:r>
      <w:r>
        <w:rPr>
          <w:spacing w:val="-4"/>
          <w:sz w:val="24"/>
        </w:rPr>
        <w:t> </w:t>
      </w:r>
      <w:r>
        <w:rPr>
          <w:sz w:val="24"/>
        </w:rPr>
        <w:t>te</w:t>
      </w:r>
      <w:r>
        <w:rPr>
          <w:spacing w:val="-5"/>
          <w:sz w:val="24"/>
        </w:rPr>
        <w:t> </w:t>
      </w:r>
      <w:r>
        <w:rPr>
          <w:sz w:val="24"/>
        </w:rPr>
        <w:t>behandelen</w:t>
      </w:r>
      <w:r>
        <w:rPr>
          <w:spacing w:val="-4"/>
          <w:sz w:val="24"/>
        </w:rPr>
        <w:t> </w:t>
      </w:r>
      <w:r>
        <w:rPr>
          <w:sz w:val="24"/>
        </w:rPr>
        <w:t>met</w:t>
      </w:r>
      <w:r>
        <w:rPr>
          <w:spacing w:val="-3"/>
          <w:sz w:val="24"/>
        </w:rPr>
        <w:t> </w:t>
      </w:r>
      <w:r>
        <w:rPr>
          <w:sz w:val="24"/>
        </w:rPr>
        <w:t>TAR.</w:t>
      </w:r>
      <w:r>
        <w:rPr>
          <w:spacing w:val="-4"/>
          <w:sz w:val="24"/>
        </w:rPr>
        <w:t> </w:t>
      </w:r>
      <w:r>
        <w:rPr>
          <w:sz w:val="24"/>
        </w:rPr>
        <w:t>De</w:t>
      </w:r>
      <w:r>
        <w:rPr>
          <w:spacing w:val="-2"/>
          <w:sz w:val="24"/>
        </w:rPr>
        <w:t> </w:t>
      </w:r>
      <w:r>
        <w:rPr>
          <w:sz w:val="24"/>
        </w:rPr>
        <w:t>geadviseerde</w:t>
      </w:r>
      <w:r>
        <w:rPr>
          <w:spacing w:val="-4"/>
          <w:sz w:val="24"/>
        </w:rPr>
        <w:t> </w:t>
      </w:r>
      <w:r>
        <w:rPr>
          <w:sz w:val="24"/>
        </w:rPr>
        <w:t>dosis</w:t>
      </w:r>
      <w:r>
        <w:rPr>
          <w:spacing w:val="-4"/>
          <w:sz w:val="24"/>
        </w:rPr>
        <w:t> </w:t>
      </w:r>
      <w:r>
        <w:rPr>
          <w:sz w:val="24"/>
        </w:rPr>
        <w:t>is als volgt:</w:t>
      </w:r>
    </w:p>
    <w:p>
      <w:pPr>
        <w:pStyle w:val="BodyText"/>
        <w:spacing w:line="292" w:lineRule="exact"/>
        <w:ind w:left="3682"/>
      </w:pPr>
      <w:r>
        <w:rPr/>
        <w:t>Acetylsalicylzuur</w:t>
      </w:r>
      <w:r>
        <w:rPr>
          <w:spacing w:val="-6"/>
        </w:rPr>
        <w:t> </w:t>
      </w:r>
      <w:r>
        <w:rPr/>
        <w:t>/</w:t>
      </w:r>
      <w:r>
        <w:rPr>
          <w:spacing w:val="-5"/>
        </w:rPr>
        <w:t> </w:t>
      </w:r>
      <w:r>
        <w:rPr/>
        <w:t>Carbasalaatcalcium </w:t>
      </w:r>
      <w:r>
        <w:rPr>
          <w:spacing w:val="-2"/>
        </w:rPr>
        <w:t>(Ascal):</w:t>
      </w:r>
    </w:p>
    <w:p>
      <w:pPr>
        <w:pStyle w:val="ListParagraph"/>
        <w:numPr>
          <w:ilvl w:val="1"/>
          <w:numId w:val="1"/>
        </w:numPr>
        <w:tabs>
          <w:tab w:pos="1221" w:val="left" w:leader="none"/>
          <w:tab w:pos="3681" w:val="left" w:leader="none"/>
        </w:tabs>
        <w:spacing w:line="240" w:lineRule="auto" w:before="0" w:after="0"/>
        <w:ind w:left="1221" w:right="0" w:hanging="360"/>
        <w:jc w:val="left"/>
        <w:rPr>
          <w:sz w:val="24"/>
        </w:rPr>
      </w:pPr>
      <w:r>
        <w:rPr>
          <w:sz w:val="24"/>
        </w:rPr>
        <w:t>gewicht 1 – 6</w:t>
      </w:r>
      <w:r>
        <w:rPr>
          <w:spacing w:val="-1"/>
          <w:sz w:val="24"/>
        </w:rPr>
        <w:t> </w:t>
      </w:r>
      <w:r>
        <w:rPr>
          <w:spacing w:val="-5"/>
          <w:sz w:val="24"/>
        </w:rPr>
        <w:t>kg</w:t>
      </w:r>
      <w:r>
        <w:rPr>
          <w:sz w:val="24"/>
        </w:rPr>
        <w:tab/>
        <w:t>15</w:t>
      </w:r>
      <w:r>
        <w:rPr>
          <w:spacing w:val="1"/>
          <w:sz w:val="24"/>
        </w:rPr>
        <w:t> </w:t>
      </w:r>
      <w:r>
        <w:rPr>
          <w:sz w:val="24"/>
        </w:rPr>
        <w:t>mg</w:t>
      </w:r>
      <w:r>
        <w:rPr>
          <w:spacing w:val="-2"/>
          <w:sz w:val="24"/>
        </w:rPr>
        <w:t> </w:t>
      </w:r>
      <w:r>
        <w:rPr>
          <w:sz w:val="24"/>
        </w:rPr>
        <w:t>/</w:t>
      </w:r>
      <w:r>
        <w:rPr>
          <w:spacing w:val="-1"/>
          <w:sz w:val="24"/>
        </w:rPr>
        <w:t> </w:t>
      </w:r>
      <w:r>
        <w:rPr>
          <w:sz w:val="24"/>
        </w:rPr>
        <w:t>19</w:t>
      </w:r>
      <w:r>
        <w:rPr>
          <w:spacing w:val="1"/>
          <w:sz w:val="24"/>
        </w:rPr>
        <w:t> </w:t>
      </w:r>
      <w:r>
        <w:rPr>
          <w:spacing w:val="-5"/>
          <w:sz w:val="24"/>
        </w:rPr>
        <w:t>mg</w:t>
      </w:r>
    </w:p>
    <w:p>
      <w:pPr>
        <w:pStyle w:val="ListParagraph"/>
        <w:numPr>
          <w:ilvl w:val="1"/>
          <w:numId w:val="1"/>
        </w:numPr>
        <w:tabs>
          <w:tab w:pos="1221" w:val="left" w:leader="none"/>
          <w:tab w:pos="3681" w:val="left" w:leader="none"/>
        </w:tabs>
        <w:spacing w:line="240" w:lineRule="auto" w:before="0" w:after="0"/>
        <w:ind w:left="1221" w:right="0" w:hanging="360"/>
        <w:jc w:val="left"/>
        <w:rPr>
          <w:sz w:val="24"/>
        </w:rPr>
      </w:pPr>
      <w:r>
        <w:rPr>
          <w:sz w:val="24"/>
        </w:rPr>
        <w:t>gewicht</w:t>
      </w:r>
      <w:r>
        <w:rPr>
          <w:spacing w:val="-2"/>
          <w:sz w:val="24"/>
        </w:rPr>
        <w:t> </w:t>
      </w:r>
      <w:r>
        <w:rPr>
          <w:sz w:val="24"/>
        </w:rPr>
        <w:t>6</w:t>
      </w:r>
      <w:r>
        <w:rPr>
          <w:spacing w:val="-1"/>
          <w:sz w:val="24"/>
        </w:rPr>
        <w:t> </w:t>
      </w:r>
      <w:r>
        <w:rPr>
          <w:sz w:val="24"/>
        </w:rPr>
        <w:t>– 10 </w:t>
      </w:r>
      <w:r>
        <w:rPr>
          <w:spacing w:val="-5"/>
          <w:sz w:val="24"/>
        </w:rPr>
        <w:t>kg</w:t>
      </w:r>
      <w:r>
        <w:rPr>
          <w:sz w:val="24"/>
        </w:rPr>
        <w:tab/>
        <w:t>30</w:t>
      </w:r>
      <w:r>
        <w:rPr>
          <w:spacing w:val="1"/>
          <w:sz w:val="24"/>
        </w:rPr>
        <w:t> </w:t>
      </w:r>
      <w:r>
        <w:rPr>
          <w:sz w:val="24"/>
        </w:rPr>
        <w:t>mg</w:t>
      </w:r>
      <w:r>
        <w:rPr>
          <w:spacing w:val="-2"/>
          <w:sz w:val="24"/>
        </w:rPr>
        <w:t> </w:t>
      </w:r>
      <w:r>
        <w:rPr>
          <w:sz w:val="24"/>
        </w:rPr>
        <w:t>/</w:t>
      </w:r>
      <w:r>
        <w:rPr>
          <w:spacing w:val="-1"/>
          <w:sz w:val="24"/>
        </w:rPr>
        <w:t> </w:t>
      </w:r>
      <w:r>
        <w:rPr>
          <w:sz w:val="24"/>
        </w:rPr>
        <w:t>38</w:t>
      </w:r>
      <w:r>
        <w:rPr>
          <w:spacing w:val="1"/>
          <w:sz w:val="24"/>
        </w:rPr>
        <w:t> </w:t>
      </w:r>
      <w:r>
        <w:rPr>
          <w:spacing w:val="-5"/>
          <w:sz w:val="24"/>
        </w:rPr>
        <w:t>mg</w:t>
      </w:r>
    </w:p>
    <w:p>
      <w:pPr>
        <w:pStyle w:val="ListParagraph"/>
        <w:numPr>
          <w:ilvl w:val="1"/>
          <w:numId w:val="1"/>
        </w:numPr>
        <w:tabs>
          <w:tab w:pos="1221" w:val="left" w:leader="none"/>
          <w:tab w:pos="3681" w:val="left" w:leader="none"/>
        </w:tabs>
        <w:spacing w:line="240" w:lineRule="auto" w:before="0" w:after="0"/>
        <w:ind w:left="1221" w:right="0" w:hanging="360"/>
        <w:jc w:val="left"/>
        <w:rPr>
          <w:sz w:val="24"/>
        </w:rPr>
      </w:pPr>
      <w:r>
        <w:rPr>
          <w:sz w:val="24"/>
        </w:rPr>
        <w:t>gewicht 10</w:t>
      </w:r>
      <w:r>
        <w:rPr>
          <w:spacing w:val="-1"/>
          <w:sz w:val="24"/>
        </w:rPr>
        <w:t> </w:t>
      </w:r>
      <w:r>
        <w:rPr>
          <w:sz w:val="24"/>
        </w:rPr>
        <w:t>-</w:t>
      </w:r>
      <w:r>
        <w:rPr>
          <w:spacing w:val="-1"/>
          <w:sz w:val="24"/>
        </w:rPr>
        <w:t> </w:t>
      </w:r>
      <w:r>
        <w:rPr>
          <w:sz w:val="24"/>
        </w:rPr>
        <w:t>20</w:t>
      </w:r>
      <w:r>
        <w:rPr>
          <w:spacing w:val="-1"/>
          <w:sz w:val="24"/>
        </w:rPr>
        <w:t> </w:t>
      </w:r>
      <w:r>
        <w:rPr>
          <w:spacing w:val="-5"/>
          <w:sz w:val="24"/>
        </w:rPr>
        <w:t>kg</w:t>
      </w:r>
      <w:r>
        <w:rPr>
          <w:sz w:val="24"/>
        </w:rPr>
        <w:tab/>
        <w:t>40</w:t>
      </w:r>
      <w:r>
        <w:rPr>
          <w:spacing w:val="-1"/>
          <w:sz w:val="24"/>
        </w:rPr>
        <w:t> </w:t>
      </w:r>
      <w:r>
        <w:rPr>
          <w:sz w:val="24"/>
        </w:rPr>
        <w:t>mg</w:t>
      </w:r>
      <w:r>
        <w:rPr>
          <w:spacing w:val="-1"/>
          <w:sz w:val="24"/>
        </w:rPr>
        <w:t> </w:t>
      </w:r>
      <w:r>
        <w:rPr>
          <w:sz w:val="24"/>
        </w:rPr>
        <w:t>/</w:t>
      </w:r>
      <w:r>
        <w:rPr>
          <w:spacing w:val="-1"/>
          <w:sz w:val="24"/>
        </w:rPr>
        <w:t> </w:t>
      </w:r>
      <w:r>
        <w:rPr>
          <w:sz w:val="24"/>
        </w:rPr>
        <w:t>50</w:t>
      </w:r>
      <w:r>
        <w:rPr>
          <w:spacing w:val="1"/>
          <w:sz w:val="24"/>
        </w:rPr>
        <w:t> </w:t>
      </w:r>
      <w:r>
        <w:rPr>
          <w:spacing w:val="-5"/>
          <w:sz w:val="24"/>
        </w:rPr>
        <w:t>mg</w:t>
      </w:r>
    </w:p>
    <w:p>
      <w:pPr>
        <w:pStyle w:val="ListParagraph"/>
        <w:numPr>
          <w:ilvl w:val="1"/>
          <w:numId w:val="1"/>
        </w:numPr>
        <w:tabs>
          <w:tab w:pos="1221" w:val="left" w:leader="none"/>
          <w:tab w:pos="3681" w:val="left" w:leader="none"/>
        </w:tabs>
        <w:spacing w:line="240" w:lineRule="auto" w:before="0" w:after="0"/>
        <w:ind w:left="1221" w:right="0" w:hanging="360"/>
        <w:jc w:val="left"/>
        <w:rPr>
          <w:sz w:val="24"/>
        </w:rPr>
      </w:pPr>
      <w:r>
        <w:rPr>
          <w:sz w:val="24"/>
        </w:rPr>
        <w:t>gewicht &gt;</w:t>
      </w:r>
      <w:r>
        <w:rPr>
          <w:spacing w:val="-2"/>
          <w:sz w:val="24"/>
        </w:rPr>
        <w:t> </w:t>
      </w:r>
      <w:r>
        <w:rPr>
          <w:sz w:val="24"/>
        </w:rPr>
        <w:t>20</w:t>
      </w:r>
      <w:r>
        <w:rPr>
          <w:spacing w:val="1"/>
          <w:sz w:val="24"/>
        </w:rPr>
        <w:t> </w:t>
      </w:r>
      <w:r>
        <w:rPr>
          <w:spacing w:val="-5"/>
          <w:sz w:val="24"/>
        </w:rPr>
        <w:t>kg</w:t>
      </w:r>
      <w:r>
        <w:rPr>
          <w:sz w:val="24"/>
        </w:rPr>
        <w:tab/>
        <w:t>80 mg/</w:t>
      </w:r>
      <w:r>
        <w:rPr>
          <w:spacing w:val="-1"/>
          <w:sz w:val="24"/>
        </w:rPr>
        <w:t> </w:t>
      </w:r>
      <w:r>
        <w:rPr>
          <w:sz w:val="24"/>
        </w:rPr>
        <w:t>100 </w:t>
      </w:r>
      <w:r>
        <w:rPr>
          <w:spacing w:val="-5"/>
          <w:sz w:val="24"/>
        </w:rPr>
        <w:t>mg</w:t>
      </w:r>
    </w:p>
    <w:p>
      <w:pPr>
        <w:pStyle w:val="BodyText"/>
        <w:spacing w:before="292"/>
        <w:ind w:left="849"/>
      </w:pPr>
      <w:r>
        <w:rPr/>
        <w:t>Start</w:t>
      </w:r>
      <w:r>
        <w:rPr>
          <w:spacing w:val="-3"/>
        </w:rPr>
        <w:t> </w:t>
      </w:r>
      <w:r>
        <w:rPr/>
        <w:t>TAR</w:t>
      </w:r>
      <w:r>
        <w:rPr>
          <w:spacing w:val="-5"/>
        </w:rPr>
        <w:t> </w:t>
      </w:r>
      <w:r>
        <w:rPr/>
        <w:t>direct</w:t>
      </w:r>
      <w:r>
        <w:rPr>
          <w:spacing w:val="-4"/>
        </w:rPr>
        <w:t> </w:t>
      </w:r>
      <w:r>
        <w:rPr/>
        <w:t>postoperatief</w:t>
      </w:r>
      <w:r>
        <w:rPr>
          <w:spacing w:val="-2"/>
        </w:rPr>
        <w:t> </w:t>
      </w:r>
      <w:r>
        <w:rPr/>
        <w:t>bij</w:t>
      </w:r>
      <w:r>
        <w:rPr>
          <w:spacing w:val="-5"/>
        </w:rPr>
        <w:t> </w:t>
      </w:r>
      <w:r>
        <w:rPr/>
        <w:t>hervatting</w:t>
      </w:r>
      <w:r>
        <w:rPr>
          <w:spacing w:val="-5"/>
        </w:rPr>
        <w:t> </w:t>
      </w:r>
      <w:r>
        <w:rPr/>
        <w:t>orale</w:t>
      </w:r>
      <w:r>
        <w:rPr>
          <w:spacing w:val="-4"/>
        </w:rPr>
        <w:t> </w:t>
      </w:r>
      <w:r>
        <w:rPr/>
        <w:t>voeding</w:t>
      </w:r>
      <w:r>
        <w:rPr>
          <w:spacing w:val="-3"/>
        </w:rPr>
        <w:t> </w:t>
      </w:r>
      <w:r>
        <w:rPr/>
        <w:t>en</w:t>
      </w:r>
      <w:r>
        <w:rPr>
          <w:spacing w:val="-2"/>
        </w:rPr>
        <w:t> </w:t>
      </w:r>
      <w:r>
        <w:rPr/>
        <w:t>geef</w:t>
      </w:r>
      <w:r>
        <w:rPr>
          <w:spacing w:val="-1"/>
        </w:rPr>
        <w:t> </w:t>
      </w:r>
      <w:r>
        <w:rPr/>
        <w:t>TAR</w:t>
      </w:r>
      <w:r>
        <w:rPr>
          <w:spacing w:val="-4"/>
        </w:rPr>
        <w:t> </w:t>
      </w:r>
      <w:r>
        <w:rPr/>
        <w:t>gedurende</w:t>
      </w:r>
      <w:r>
        <w:rPr>
          <w:spacing w:val="-5"/>
        </w:rPr>
        <w:t> </w:t>
      </w:r>
      <w:r>
        <w:rPr/>
        <w:t>de tijd dat er een shuntafhankelijke circulatie is.</w:t>
      </w:r>
    </w:p>
    <w:p>
      <w:pPr>
        <w:pStyle w:val="BodyText"/>
        <w:spacing w:after="0"/>
        <w:sectPr>
          <w:pgSz w:w="11910" w:h="16840"/>
          <w:pgMar w:header="0" w:footer="750" w:top="1380" w:bottom="940" w:left="1275" w:right="1417"/>
        </w:sectPr>
      </w:pPr>
    </w:p>
    <w:p>
      <w:pPr>
        <w:pStyle w:val="ListParagraph"/>
        <w:numPr>
          <w:ilvl w:val="0"/>
          <w:numId w:val="1"/>
        </w:numPr>
        <w:tabs>
          <w:tab w:pos="848" w:val="left" w:leader="none"/>
          <w:tab w:pos="861" w:val="left" w:leader="none"/>
        </w:tabs>
        <w:spacing w:line="240" w:lineRule="auto" w:before="37" w:after="0"/>
        <w:ind w:left="861" w:right="681" w:hanging="360"/>
        <w:jc w:val="left"/>
        <w:rPr>
          <w:sz w:val="24"/>
        </w:rPr>
      </w:pPr>
      <w:r>
        <w:rPr>
          <w:sz w:val="24"/>
        </w:rPr>
        <w:t>Overbruggingstherapie</w:t>
      </w:r>
      <w:r>
        <w:rPr>
          <w:spacing w:val="-6"/>
          <w:sz w:val="24"/>
        </w:rPr>
        <w:t> </w:t>
      </w:r>
      <w:r>
        <w:rPr>
          <w:sz w:val="24"/>
        </w:rPr>
        <w:t>per-</w:t>
      </w:r>
      <w:r>
        <w:rPr>
          <w:spacing w:val="-3"/>
          <w:sz w:val="24"/>
        </w:rPr>
        <w:t> </w:t>
      </w:r>
      <w:r>
        <w:rPr>
          <w:sz w:val="24"/>
        </w:rPr>
        <w:t>en</w:t>
      </w:r>
      <w:r>
        <w:rPr>
          <w:spacing w:val="-5"/>
          <w:sz w:val="24"/>
        </w:rPr>
        <w:t> </w:t>
      </w:r>
      <w:r>
        <w:rPr>
          <w:sz w:val="24"/>
        </w:rPr>
        <w:t>direct</w:t>
      </w:r>
      <w:r>
        <w:rPr>
          <w:spacing w:val="-5"/>
          <w:sz w:val="24"/>
        </w:rPr>
        <w:t> </w:t>
      </w:r>
      <w:r>
        <w:rPr>
          <w:sz w:val="24"/>
        </w:rPr>
        <w:t>postoperatief</w:t>
      </w:r>
      <w:r>
        <w:rPr>
          <w:spacing w:val="-2"/>
          <w:sz w:val="24"/>
        </w:rPr>
        <w:t> </w:t>
      </w:r>
      <w:r>
        <w:rPr>
          <w:sz w:val="24"/>
        </w:rPr>
        <w:t>in</w:t>
      </w:r>
      <w:r>
        <w:rPr>
          <w:spacing w:val="-3"/>
          <w:sz w:val="24"/>
        </w:rPr>
        <w:t> </w:t>
      </w:r>
      <w:r>
        <w:rPr>
          <w:sz w:val="24"/>
        </w:rPr>
        <w:t>de</w:t>
      </w:r>
      <w:r>
        <w:rPr>
          <w:spacing w:val="-3"/>
          <w:sz w:val="24"/>
        </w:rPr>
        <w:t> </w:t>
      </w:r>
      <w:r>
        <w:rPr>
          <w:sz w:val="24"/>
        </w:rPr>
        <w:t>vorm</w:t>
      </w:r>
      <w:r>
        <w:rPr>
          <w:spacing w:val="-5"/>
          <w:sz w:val="24"/>
        </w:rPr>
        <w:t> </w:t>
      </w:r>
      <w:r>
        <w:rPr>
          <w:sz w:val="24"/>
        </w:rPr>
        <w:t>van</w:t>
      </w:r>
      <w:r>
        <w:rPr>
          <w:spacing w:val="-5"/>
          <w:sz w:val="24"/>
        </w:rPr>
        <w:t> </w:t>
      </w:r>
      <w:r>
        <w:rPr>
          <w:sz w:val="24"/>
        </w:rPr>
        <w:t>heparine</w:t>
      </w:r>
      <w:r>
        <w:rPr>
          <w:spacing w:val="-3"/>
          <w:sz w:val="24"/>
        </w:rPr>
        <w:t> </w:t>
      </w:r>
      <w:r>
        <w:rPr>
          <w:sz w:val="24"/>
        </w:rPr>
        <w:t>of LMWH tot aan start van TAR wordt niet geadviseerd.</w:t>
      </w:r>
    </w:p>
    <w:p>
      <w:pPr>
        <w:pStyle w:val="BodyText"/>
        <w:ind w:left="0"/>
      </w:pPr>
    </w:p>
    <w:p>
      <w:pPr>
        <w:pStyle w:val="BodyText"/>
        <w:ind w:left="0"/>
      </w:pPr>
    </w:p>
    <w:p>
      <w:pPr>
        <w:pStyle w:val="BodyText"/>
        <w:spacing w:before="2"/>
        <w:ind w:left="0"/>
      </w:pPr>
    </w:p>
    <w:p>
      <w:pPr>
        <w:pStyle w:val="Heading1"/>
        <w:spacing w:line="480" w:lineRule="auto"/>
        <w:ind w:right="6429"/>
      </w:pPr>
      <w:r>
        <w:rPr/>
        <w:t>Fontan</w:t>
      </w:r>
      <w:r>
        <w:rPr>
          <w:spacing w:val="-14"/>
        </w:rPr>
        <w:t> </w:t>
      </w:r>
      <w:r>
        <w:rPr/>
        <w:t>circulatie </w:t>
      </w:r>
      <w:r>
        <w:rPr>
          <w:spacing w:val="-2"/>
        </w:rPr>
        <w:t>Aanbevelingen</w:t>
      </w:r>
    </w:p>
    <w:p>
      <w:pPr>
        <w:pStyle w:val="ListParagraph"/>
        <w:numPr>
          <w:ilvl w:val="0"/>
          <w:numId w:val="1"/>
        </w:numPr>
        <w:tabs>
          <w:tab w:pos="848" w:val="left" w:leader="none"/>
          <w:tab w:pos="861" w:val="left" w:leader="none"/>
        </w:tabs>
        <w:spacing w:line="240" w:lineRule="auto" w:before="0" w:after="0"/>
        <w:ind w:left="861" w:right="49" w:hanging="360"/>
        <w:jc w:val="left"/>
        <w:rPr>
          <w:sz w:val="24"/>
        </w:rPr>
      </w:pPr>
      <w:r>
        <w:rPr>
          <w:sz w:val="24"/>
        </w:rPr>
        <w:t>Behandel alle kinderen met een Fontan circulatie in de postoperatieve fase (gedurende</w:t>
      </w:r>
      <w:r>
        <w:rPr>
          <w:spacing w:val="-5"/>
          <w:sz w:val="24"/>
        </w:rPr>
        <w:t> </w:t>
      </w:r>
      <w:r>
        <w:rPr>
          <w:sz w:val="24"/>
        </w:rPr>
        <w:t>3-12</w:t>
      </w:r>
      <w:r>
        <w:rPr>
          <w:spacing w:val="-2"/>
          <w:sz w:val="24"/>
        </w:rPr>
        <w:t> </w:t>
      </w:r>
      <w:r>
        <w:rPr>
          <w:sz w:val="24"/>
        </w:rPr>
        <w:t>maanden)</w:t>
      </w:r>
      <w:r>
        <w:rPr>
          <w:spacing w:val="-4"/>
          <w:sz w:val="24"/>
        </w:rPr>
        <w:t> </w:t>
      </w:r>
      <w:r>
        <w:rPr>
          <w:sz w:val="24"/>
        </w:rPr>
        <w:t>met</w:t>
      </w:r>
      <w:r>
        <w:rPr>
          <w:spacing w:val="-2"/>
          <w:sz w:val="24"/>
        </w:rPr>
        <w:t> </w:t>
      </w:r>
      <w:r>
        <w:rPr>
          <w:sz w:val="24"/>
        </w:rPr>
        <w:t>VKA,</w:t>
      </w:r>
      <w:r>
        <w:rPr>
          <w:spacing w:val="-5"/>
          <w:sz w:val="24"/>
        </w:rPr>
        <w:t> </w:t>
      </w:r>
      <w:r>
        <w:rPr>
          <w:sz w:val="24"/>
        </w:rPr>
        <w:t>waarbij</w:t>
      </w:r>
      <w:r>
        <w:rPr>
          <w:spacing w:val="-5"/>
          <w:sz w:val="24"/>
        </w:rPr>
        <w:t> </w:t>
      </w:r>
      <w:r>
        <w:rPr>
          <w:sz w:val="24"/>
        </w:rPr>
        <w:t>gestreefd</w:t>
      </w:r>
      <w:r>
        <w:rPr>
          <w:spacing w:val="-2"/>
          <w:sz w:val="24"/>
        </w:rPr>
        <w:t> </w:t>
      </w:r>
      <w:r>
        <w:rPr>
          <w:sz w:val="24"/>
        </w:rPr>
        <w:t>wordt</w:t>
      </w:r>
      <w:r>
        <w:rPr>
          <w:spacing w:val="-4"/>
          <w:sz w:val="24"/>
        </w:rPr>
        <w:t> </w:t>
      </w:r>
      <w:r>
        <w:rPr>
          <w:sz w:val="24"/>
        </w:rPr>
        <w:t>naar</w:t>
      </w:r>
      <w:r>
        <w:rPr>
          <w:spacing w:val="-4"/>
          <w:sz w:val="24"/>
        </w:rPr>
        <w:t> </w:t>
      </w:r>
      <w:r>
        <w:rPr>
          <w:sz w:val="24"/>
        </w:rPr>
        <w:t>een</w:t>
      </w:r>
      <w:r>
        <w:rPr>
          <w:spacing w:val="-2"/>
          <w:sz w:val="24"/>
        </w:rPr>
        <w:t> </w:t>
      </w:r>
      <w:r>
        <w:rPr>
          <w:sz w:val="24"/>
        </w:rPr>
        <w:t>INR</w:t>
      </w:r>
      <w:r>
        <w:rPr>
          <w:spacing w:val="-4"/>
          <w:sz w:val="24"/>
        </w:rPr>
        <w:t> </w:t>
      </w:r>
      <w:r>
        <w:rPr>
          <w:sz w:val="24"/>
        </w:rPr>
        <w:t>2.0 –</w:t>
      </w:r>
      <w:r>
        <w:rPr>
          <w:spacing w:val="-4"/>
          <w:sz w:val="24"/>
        </w:rPr>
        <w:t> </w:t>
      </w:r>
      <w:r>
        <w:rPr>
          <w:sz w:val="24"/>
        </w:rPr>
        <w:t>3.0. Start VKA op de 1</w:t>
      </w:r>
      <w:r>
        <w:rPr>
          <w:sz w:val="24"/>
          <w:vertAlign w:val="superscript"/>
        </w:rPr>
        <w:t>e</w:t>
      </w:r>
      <w:r>
        <w:rPr>
          <w:sz w:val="24"/>
          <w:vertAlign w:val="baseline"/>
        </w:rPr>
        <w:t> dag na de operatie, waarbij overbrugging plaats vindt met heparine (ongefractioneerde heparine of LMWH) vanaf 1 dag postoperatief totdat INR &gt; 2.0.</w:t>
      </w:r>
    </w:p>
    <w:p>
      <w:pPr>
        <w:pStyle w:val="ListParagraph"/>
        <w:numPr>
          <w:ilvl w:val="0"/>
          <w:numId w:val="1"/>
        </w:numPr>
        <w:tabs>
          <w:tab w:pos="847" w:val="left" w:leader="none"/>
          <w:tab w:pos="861" w:val="left" w:leader="none"/>
        </w:tabs>
        <w:spacing w:line="240" w:lineRule="auto" w:before="0" w:after="0"/>
        <w:ind w:left="861" w:right="97" w:hanging="360"/>
        <w:jc w:val="left"/>
        <w:rPr>
          <w:sz w:val="24"/>
        </w:rPr>
      </w:pPr>
      <w:r>
        <w:rPr>
          <w:sz w:val="24"/>
        </w:rPr>
        <w:t>Indien</w:t>
      </w:r>
      <w:r>
        <w:rPr>
          <w:spacing w:val="-4"/>
          <w:sz w:val="24"/>
        </w:rPr>
        <w:t> </w:t>
      </w:r>
      <w:r>
        <w:rPr>
          <w:sz w:val="24"/>
        </w:rPr>
        <w:t>adequate</w:t>
      </w:r>
      <w:r>
        <w:rPr>
          <w:spacing w:val="-5"/>
          <w:sz w:val="24"/>
        </w:rPr>
        <w:t> </w:t>
      </w:r>
      <w:r>
        <w:rPr>
          <w:sz w:val="24"/>
        </w:rPr>
        <w:t>INR</w:t>
      </w:r>
      <w:r>
        <w:rPr>
          <w:spacing w:val="-3"/>
          <w:sz w:val="24"/>
        </w:rPr>
        <w:t> </w:t>
      </w:r>
      <w:r>
        <w:rPr>
          <w:sz w:val="24"/>
        </w:rPr>
        <w:t>waarden</w:t>
      </w:r>
      <w:r>
        <w:rPr>
          <w:spacing w:val="-4"/>
          <w:sz w:val="24"/>
        </w:rPr>
        <w:t> </w:t>
      </w:r>
      <w:r>
        <w:rPr>
          <w:sz w:val="24"/>
        </w:rPr>
        <w:t>&gt;</w:t>
      </w:r>
      <w:r>
        <w:rPr>
          <w:spacing w:val="-4"/>
          <w:sz w:val="24"/>
        </w:rPr>
        <w:t> </w:t>
      </w:r>
      <w:r>
        <w:rPr>
          <w:sz w:val="24"/>
        </w:rPr>
        <w:t>2.0</w:t>
      </w:r>
      <w:r>
        <w:rPr>
          <w:spacing w:val="-2"/>
          <w:sz w:val="24"/>
        </w:rPr>
        <w:t> </w:t>
      </w:r>
      <w:r>
        <w:rPr>
          <w:sz w:val="24"/>
        </w:rPr>
        <w:t>niet</w:t>
      </w:r>
      <w:r>
        <w:rPr>
          <w:spacing w:val="-3"/>
          <w:sz w:val="24"/>
        </w:rPr>
        <w:t> </w:t>
      </w:r>
      <w:r>
        <w:rPr>
          <w:sz w:val="24"/>
        </w:rPr>
        <w:t>stabiel</w:t>
      </w:r>
      <w:r>
        <w:rPr>
          <w:spacing w:val="-4"/>
          <w:sz w:val="24"/>
        </w:rPr>
        <w:t> </w:t>
      </w:r>
      <w:r>
        <w:rPr>
          <w:sz w:val="24"/>
        </w:rPr>
        <w:t>te</w:t>
      </w:r>
      <w:r>
        <w:rPr>
          <w:spacing w:val="-4"/>
          <w:sz w:val="24"/>
        </w:rPr>
        <w:t> </w:t>
      </w:r>
      <w:r>
        <w:rPr>
          <w:sz w:val="24"/>
        </w:rPr>
        <w:t>bereiken</w:t>
      </w:r>
      <w:r>
        <w:rPr>
          <w:spacing w:val="-4"/>
          <w:sz w:val="24"/>
        </w:rPr>
        <w:t> </w:t>
      </w:r>
      <w:r>
        <w:rPr>
          <w:sz w:val="24"/>
        </w:rPr>
        <w:t>zijn</w:t>
      </w:r>
      <w:r>
        <w:rPr>
          <w:spacing w:val="-2"/>
          <w:sz w:val="24"/>
        </w:rPr>
        <w:t> </w:t>
      </w:r>
      <w:r>
        <w:rPr>
          <w:sz w:val="24"/>
        </w:rPr>
        <w:t>of</w:t>
      </w:r>
      <w:r>
        <w:rPr>
          <w:spacing w:val="-4"/>
          <w:sz w:val="24"/>
        </w:rPr>
        <w:t> </w:t>
      </w:r>
      <w:r>
        <w:rPr>
          <w:sz w:val="24"/>
        </w:rPr>
        <w:t>niet</w:t>
      </w:r>
      <w:r>
        <w:rPr>
          <w:spacing w:val="-2"/>
          <w:sz w:val="24"/>
        </w:rPr>
        <w:t> </w:t>
      </w:r>
      <w:r>
        <w:rPr>
          <w:sz w:val="24"/>
        </w:rPr>
        <w:t>te</w:t>
      </w:r>
      <w:r>
        <w:rPr>
          <w:spacing w:val="-2"/>
          <w:sz w:val="24"/>
        </w:rPr>
        <w:t> </w:t>
      </w:r>
      <w:r>
        <w:rPr>
          <w:sz w:val="24"/>
        </w:rPr>
        <w:t>controleren zijn, wordt geadviseerd om VKA te vervangen door TAR.</w:t>
      </w:r>
    </w:p>
    <w:p>
      <w:pPr>
        <w:pStyle w:val="ListParagraph"/>
        <w:numPr>
          <w:ilvl w:val="0"/>
          <w:numId w:val="1"/>
        </w:numPr>
        <w:tabs>
          <w:tab w:pos="847" w:val="left" w:leader="none"/>
          <w:tab w:pos="861" w:val="left" w:leader="none"/>
        </w:tabs>
        <w:spacing w:line="240" w:lineRule="auto" w:before="1" w:after="0"/>
        <w:ind w:left="861" w:right="90" w:hanging="360"/>
        <w:jc w:val="left"/>
        <w:rPr>
          <w:sz w:val="24"/>
        </w:rPr>
      </w:pPr>
      <w:r>
        <w:rPr>
          <w:sz w:val="24"/>
        </w:rPr>
        <w:t>Na de vroeg post-operatieve fase</w:t>
      </w:r>
      <w:r>
        <w:rPr>
          <w:spacing w:val="40"/>
          <w:sz w:val="24"/>
        </w:rPr>
        <w:t> </w:t>
      </w:r>
      <w:r>
        <w:rPr>
          <w:sz w:val="24"/>
        </w:rPr>
        <w:t>(dus na 3-12 maanden) wordt geadviseerd patiënten</w:t>
      </w:r>
      <w:r>
        <w:rPr>
          <w:spacing w:val="-5"/>
          <w:sz w:val="24"/>
        </w:rPr>
        <w:t> </w:t>
      </w:r>
      <w:r>
        <w:rPr>
          <w:sz w:val="24"/>
        </w:rPr>
        <w:t>met</w:t>
      </w:r>
      <w:r>
        <w:rPr>
          <w:spacing w:val="-3"/>
          <w:sz w:val="24"/>
        </w:rPr>
        <w:t> </w:t>
      </w:r>
      <w:r>
        <w:rPr>
          <w:sz w:val="24"/>
        </w:rPr>
        <w:t>Fontan</w:t>
      </w:r>
      <w:r>
        <w:rPr>
          <w:spacing w:val="-5"/>
          <w:sz w:val="24"/>
        </w:rPr>
        <w:t> </w:t>
      </w:r>
      <w:r>
        <w:rPr>
          <w:sz w:val="24"/>
        </w:rPr>
        <w:t>circulatie</w:t>
      </w:r>
      <w:r>
        <w:rPr>
          <w:spacing w:val="-5"/>
          <w:sz w:val="24"/>
        </w:rPr>
        <w:t> </w:t>
      </w:r>
      <w:r>
        <w:rPr>
          <w:sz w:val="24"/>
        </w:rPr>
        <w:t>te</w:t>
      </w:r>
      <w:r>
        <w:rPr>
          <w:spacing w:val="-6"/>
          <w:sz w:val="24"/>
        </w:rPr>
        <w:t> </w:t>
      </w:r>
      <w:r>
        <w:rPr>
          <w:sz w:val="24"/>
        </w:rPr>
        <w:t>behandelen</w:t>
      </w:r>
      <w:r>
        <w:rPr>
          <w:spacing w:val="-3"/>
          <w:sz w:val="24"/>
        </w:rPr>
        <w:t> </w:t>
      </w:r>
      <w:r>
        <w:rPr>
          <w:sz w:val="24"/>
        </w:rPr>
        <w:t>met</w:t>
      </w:r>
      <w:r>
        <w:rPr>
          <w:spacing w:val="-2"/>
          <w:sz w:val="24"/>
        </w:rPr>
        <w:t> </w:t>
      </w:r>
      <w:r>
        <w:rPr>
          <w:sz w:val="24"/>
        </w:rPr>
        <w:t>TAR.</w:t>
      </w:r>
      <w:r>
        <w:rPr>
          <w:spacing w:val="-5"/>
          <w:sz w:val="24"/>
        </w:rPr>
        <w:t> </w:t>
      </w:r>
      <w:r>
        <w:rPr>
          <w:sz w:val="24"/>
        </w:rPr>
        <w:t>De</w:t>
      </w:r>
      <w:r>
        <w:rPr>
          <w:spacing w:val="-5"/>
          <w:sz w:val="24"/>
        </w:rPr>
        <w:t> </w:t>
      </w:r>
      <w:r>
        <w:rPr>
          <w:sz w:val="24"/>
        </w:rPr>
        <w:t>doseringen</w:t>
      </w:r>
      <w:r>
        <w:rPr>
          <w:spacing w:val="-3"/>
          <w:sz w:val="24"/>
        </w:rPr>
        <w:t> </w:t>
      </w:r>
      <w:r>
        <w:rPr>
          <w:sz w:val="24"/>
        </w:rPr>
        <w:t>zijn</w:t>
      </w:r>
      <w:r>
        <w:rPr>
          <w:spacing w:val="-3"/>
          <w:sz w:val="24"/>
        </w:rPr>
        <w:t> </w:t>
      </w:r>
      <w:r>
        <w:rPr>
          <w:sz w:val="24"/>
        </w:rPr>
        <w:t>als</w:t>
      </w:r>
      <w:r>
        <w:rPr>
          <w:spacing w:val="-4"/>
          <w:sz w:val="24"/>
        </w:rPr>
        <w:t> </w:t>
      </w:r>
      <w:r>
        <w:rPr>
          <w:sz w:val="24"/>
        </w:rPr>
        <w:t>volgt:</w:t>
      </w:r>
    </w:p>
    <w:p>
      <w:pPr>
        <w:pStyle w:val="BodyText"/>
        <w:spacing w:line="293" w:lineRule="exact"/>
        <w:ind w:left="3682"/>
      </w:pPr>
      <w:r>
        <w:rPr/>
        <w:t>Acetylsalicylzuur</w:t>
      </w:r>
      <w:r>
        <w:rPr>
          <w:spacing w:val="-4"/>
        </w:rPr>
        <w:t> </w:t>
      </w:r>
      <w:r>
        <w:rPr/>
        <w:t>/</w:t>
      </w:r>
      <w:r>
        <w:rPr>
          <w:spacing w:val="-2"/>
        </w:rPr>
        <w:t> Carbasalaatcalcium:</w:t>
      </w:r>
    </w:p>
    <w:p>
      <w:pPr>
        <w:pStyle w:val="ListParagraph"/>
        <w:numPr>
          <w:ilvl w:val="1"/>
          <w:numId w:val="1"/>
        </w:numPr>
        <w:tabs>
          <w:tab w:pos="1221" w:val="left" w:leader="none"/>
          <w:tab w:pos="3681" w:val="left" w:leader="none"/>
        </w:tabs>
        <w:spacing w:line="240" w:lineRule="auto" w:before="0" w:after="0"/>
        <w:ind w:left="1221" w:right="0" w:hanging="360"/>
        <w:jc w:val="left"/>
        <w:rPr>
          <w:sz w:val="24"/>
        </w:rPr>
      </w:pPr>
      <w:r>
        <w:rPr>
          <w:sz w:val="24"/>
        </w:rPr>
        <w:t>gewicht 1 – 6</w:t>
      </w:r>
      <w:r>
        <w:rPr>
          <w:spacing w:val="-1"/>
          <w:sz w:val="24"/>
        </w:rPr>
        <w:t> </w:t>
      </w:r>
      <w:r>
        <w:rPr>
          <w:spacing w:val="-5"/>
          <w:sz w:val="24"/>
        </w:rPr>
        <w:t>kg</w:t>
      </w:r>
      <w:r>
        <w:rPr>
          <w:sz w:val="24"/>
        </w:rPr>
        <w:tab/>
        <w:t>15</w:t>
      </w:r>
      <w:r>
        <w:rPr>
          <w:spacing w:val="-1"/>
          <w:sz w:val="24"/>
        </w:rPr>
        <w:t> </w:t>
      </w:r>
      <w:r>
        <w:rPr>
          <w:sz w:val="24"/>
        </w:rPr>
        <w:t>mg/</w:t>
      </w:r>
      <w:r>
        <w:rPr>
          <w:spacing w:val="-1"/>
          <w:sz w:val="24"/>
        </w:rPr>
        <w:t> </w:t>
      </w:r>
      <w:r>
        <w:rPr>
          <w:sz w:val="24"/>
        </w:rPr>
        <w:t>19</w:t>
      </w:r>
      <w:r>
        <w:rPr>
          <w:spacing w:val="-1"/>
          <w:sz w:val="24"/>
        </w:rPr>
        <w:t> </w:t>
      </w:r>
      <w:r>
        <w:rPr>
          <w:spacing w:val="-5"/>
          <w:sz w:val="24"/>
        </w:rPr>
        <w:t>mg</w:t>
      </w:r>
    </w:p>
    <w:p>
      <w:pPr>
        <w:pStyle w:val="ListParagraph"/>
        <w:numPr>
          <w:ilvl w:val="1"/>
          <w:numId w:val="1"/>
        </w:numPr>
        <w:tabs>
          <w:tab w:pos="1221" w:val="left" w:leader="none"/>
          <w:tab w:pos="3681" w:val="left" w:leader="none"/>
        </w:tabs>
        <w:spacing w:line="240" w:lineRule="auto" w:before="0" w:after="0"/>
        <w:ind w:left="1221" w:right="0" w:hanging="360"/>
        <w:jc w:val="left"/>
        <w:rPr>
          <w:sz w:val="24"/>
        </w:rPr>
      </w:pPr>
      <w:r>
        <w:rPr>
          <w:sz w:val="24"/>
        </w:rPr>
        <w:t>gewicht</w:t>
      </w:r>
      <w:r>
        <w:rPr>
          <w:spacing w:val="-2"/>
          <w:sz w:val="24"/>
        </w:rPr>
        <w:t> </w:t>
      </w:r>
      <w:r>
        <w:rPr>
          <w:sz w:val="24"/>
        </w:rPr>
        <w:t>6</w:t>
      </w:r>
      <w:r>
        <w:rPr>
          <w:spacing w:val="-1"/>
          <w:sz w:val="24"/>
        </w:rPr>
        <w:t> </w:t>
      </w:r>
      <w:r>
        <w:rPr>
          <w:sz w:val="24"/>
        </w:rPr>
        <w:t>– 10 </w:t>
      </w:r>
      <w:r>
        <w:rPr>
          <w:spacing w:val="-5"/>
          <w:sz w:val="24"/>
        </w:rPr>
        <w:t>kg</w:t>
      </w:r>
      <w:r>
        <w:rPr>
          <w:sz w:val="24"/>
        </w:rPr>
        <w:tab/>
        <w:t>30</w:t>
      </w:r>
      <w:r>
        <w:rPr>
          <w:spacing w:val="-2"/>
          <w:sz w:val="24"/>
        </w:rPr>
        <w:t> </w:t>
      </w:r>
      <w:r>
        <w:rPr>
          <w:sz w:val="24"/>
        </w:rPr>
        <w:t>mg/</w:t>
      </w:r>
      <w:r>
        <w:rPr>
          <w:spacing w:val="-2"/>
          <w:sz w:val="24"/>
        </w:rPr>
        <w:t> </w:t>
      </w:r>
      <w:r>
        <w:rPr>
          <w:sz w:val="24"/>
        </w:rPr>
        <w:t>38</w:t>
      </w:r>
      <w:r>
        <w:rPr>
          <w:spacing w:val="-1"/>
          <w:sz w:val="24"/>
        </w:rPr>
        <w:t> </w:t>
      </w:r>
      <w:r>
        <w:rPr>
          <w:spacing w:val="-5"/>
          <w:sz w:val="24"/>
        </w:rPr>
        <w:t>mg</w:t>
      </w:r>
    </w:p>
    <w:p>
      <w:pPr>
        <w:pStyle w:val="ListParagraph"/>
        <w:numPr>
          <w:ilvl w:val="1"/>
          <w:numId w:val="1"/>
        </w:numPr>
        <w:tabs>
          <w:tab w:pos="1221" w:val="left" w:leader="none"/>
          <w:tab w:pos="3681" w:val="left" w:leader="none"/>
        </w:tabs>
        <w:spacing w:line="240" w:lineRule="auto" w:before="0" w:after="0"/>
        <w:ind w:left="1221" w:right="0" w:hanging="360"/>
        <w:jc w:val="left"/>
        <w:rPr>
          <w:sz w:val="24"/>
        </w:rPr>
      </w:pPr>
      <w:r>
        <w:rPr>
          <w:sz w:val="24"/>
        </w:rPr>
        <w:t>gewicht 10</w:t>
      </w:r>
      <w:r>
        <w:rPr>
          <w:spacing w:val="-1"/>
          <w:sz w:val="24"/>
        </w:rPr>
        <w:t> </w:t>
      </w:r>
      <w:r>
        <w:rPr>
          <w:sz w:val="24"/>
        </w:rPr>
        <w:t>-</w:t>
      </w:r>
      <w:r>
        <w:rPr>
          <w:spacing w:val="-1"/>
          <w:sz w:val="24"/>
        </w:rPr>
        <w:t> </w:t>
      </w:r>
      <w:r>
        <w:rPr>
          <w:sz w:val="24"/>
        </w:rPr>
        <w:t>20</w:t>
      </w:r>
      <w:r>
        <w:rPr>
          <w:spacing w:val="-1"/>
          <w:sz w:val="24"/>
        </w:rPr>
        <w:t> </w:t>
      </w:r>
      <w:r>
        <w:rPr>
          <w:spacing w:val="-5"/>
          <w:sz w:val="24"/>
        </w:rPr>
        <w:t>kg</w:t>
      </w:r>
      <w:r>
        <w:rPr>
          <w:sz w:val="24"/>
        </w:rPr>
        <w:tab/>
        <w:t>40</w:t>
      </w:r>
      <w:r>
        <w:rPr>
          <w:spacing w:val="-2"/>
          <w:sz w:val="24"/>
        </w:rPr>
        <w:t> </w:t>
      </w:r>
      <w:r>
        <w:rPr>
          <w:sz w:val="24"/>
        </w:rPr>
        <w:t>mg/</w:t>
      </w:r>
      <w:r>
        <w:rPr>
          <w:spacing w:val="-1"/>
          <w:sz w:val="24"/>
        </w:rPr>
        <w:t> </w:t>
      </w:r>
      <w:r>
        <w:rPr>
          <w:sz w:val="24"/>
        </w:rPr>
        <w:t>50</w:t>
      </w:r>
      <w:r>
        <w:rPr>
          <w:spacing w:val="-1"/>
          <w:sz w:val="24"/>
        </w:rPr>
        <w:t> </w:t>
      </w:r>
      <w:r>
        <w:rPr>
          <w:spacing w:val="-5"/>
          <w:sz w:val="24"/>
        </w:rPr>
        <w:t>mg</w:t>
      </w:r>
    </w:p>
    <w:p>
      <w:pPr>
        <w:pStyle w:val="ListParagraph"/>
        <w:numPr>
          <w:ilvl w:val="1"/>
          <w:numId w:val="1"/>
        </w:numPr>
        <w:tabs>
          <w:tab w:pos="1221" w:val="left" w:leader="none"/>
          <w:tab w:pos="3681" w:val="left" w:leader="none"/>
        </w:tabs>
        <w:spacing w:line="240" w:lineRule="auto" w:before="0" w:after="0"/>
        <w:ind w:left="1221" w:right="0" w:hanging="360"/>
        <w:jc w:val="left"/>
        <w:rPr>
          <w:sz w:val="24"/>
        </w:rPr>
      </w:pPr>
      <w:r>
        <w:rPr>
          <w:sz w:val="24"/>
        </w:rPr>
        <w:t>gewicht &gt;</w:t>
      </w:r>
      <w:r>
        <w:rPr>
          <w:spacing w:val="-2"/>
          <w:sz w:val="24"/>
        </w:rPr>
        <w:t> </w:t>
      </w:r>
      <w:r>
        <w:rPr>
          <w:sz w:val="24"/>
        </w:rPr>
        <w:t>20</w:t>
      </w:r>
      <w:r>
        <w:rPr>
          <w:spacing w:val="1"/>
          <w:sz w:val="24"/>
        </w:rPr>
        <w:t> </w:t>
      </w:r>
      <w:r>
        <w:rPr>
          <w:spacing w:val="-5"/>
          <w:sz w:val="24"/>
        </w:rPr>
        <w:t>kg</w:t>
      </w:r>
      <w:r>
        <w:rPr>
          <w:sz w:val="24"/>
        </w:rPr>
        <w:tab/>
        <w:t>80 mg/</w:t>
      </w:r>
      <w:r>
        <w:rPr>
          <w:spacing w:val="-1"/>
          <w:sz w:val="24"/>
        </w:rPr>
        <w:t> </w:t>
      </w:r>
      <w:r>
        <w:rPr>
          <w:sz w:val="24"/>
        </w:rPr>
        <w:t>100 </w:t>
      </w:r>
      <w:r>
        <w:rPr>
          <w:spacing w:val="-5"/>
          <w:sz w:val="24"/>
        </w:rPr>
        <w:t>mg</w:t>
      </w:r>
    </w:p>
    <w:p>
      <w:pPr>
        <w:pStyle w:val="ListParagraph"/>
        <w:numPr>
          <w:ilvl w:val="0"/>
          <w:numId w:val="1"/>
        </w:numPr>
        <w:tabs>
          <w:tab w:pos="847" w:val="left" w:leader="none"/>
          <w:tab w:pos="861" w:val="left" w:leader="none"/>
        </w:tabs>
        <w:spacing w:line="240" w:lineRule="auto" w:before="0" w:after="0"/>
        <w:ind w:left="861" w:right="141" w:hanging="360"/>
        <w:jc w:val="left"/>
        <w:rPr>
          <w:sz w:val="24"/>
        </w:rPr>
      </w:pPr>
      <w:r>
        <w:rPr>
          <w:sz w:val="24"/>
        </w:rPr>
        <w:t>Indien</w:t>
      </w:r>
      <w:r>
        <w:rPr>
          <w:spacing w:val="-4"/>
          <w:sz w:val="24"/>
        </w:rPr>
        <w:t> </w:t>
      </w:r>
      <w:r>
        <w:rPr>
          <w:sz w:val="24"/>
        </w:rPr>
        <w:t>risicofactoren</w:t>
      </w:r>
      <w:r>
        <w:rPr>
          <w:spacing w:val="-2"/>
          <w:sz w:val="24"/>
        </w:rPr>
        <w:t> </w:t>
      </w:r>
      <w:r>
        <w:rPr>
          <w:sz w:val="24"/>
        </w:rPr>
        <w:t>aanwezig</w:t>
      </w:r>
      <w:r>
        <w:rPr>
          <w:spacing w:val="-3"/>
          <w:sz w:val="24"/>
        </w:rPr>
        <w:t> </w:t>
      </w:r>
      <w:r>
        <w:rPr>
          <w:sz w:val="24"/>
        </w:rPr>
        <w:t>zijn</w:t>
      </w:r>
      <w:r>
        <w:rPr>
          <w:spacing w:val="-4"/>
          <w:sz w:val="24"/>
        </w:rPr>
        <w:t> </w:t>
      </w:r>
      <w:r>
        <w:rPr>
          <w:sz w:val="24"/>
        </w:rPr>
        <w:t>zoals</w:t>
      </w:r>
      <w:r>
        <w:rPr>
          <w:spacing w:val="-3"/>
          <w:sz w:val="24"/>
        </w:rPr>
        <w:t> </w:t>
      </w:r>
      <w:r>
        <w:rPr>
          <w:sz w:val="24"/>
        </w:rPr>
        <w:t>vermeld</w:t>
      </w:r>
      <w:r>
        <w:rPr>
          <w:spacing w:val="-4"/>
          <w:sz w:val="24"/>
        </w:rPr>
        <w:t> </w:t>
      </w:r>
      <w:r>
        <w:rPr>
          <w:sz w:val="24"/>
        </w:rPr>
        <w:t>in</w:t>
      </w:r>
      <w:r>
        <w:rPr>
          <w:spacing w:val="-2"/>
          <w:sz w:val="24"/>
        </w:rPr>
        <w:t> </w:t>
      </w:r>
      <w:r>
        <w:rPr>
          <w:sz w:val="24"/>
        </w:rPr>
        <w:t>tabel 2</w:t>
      </w:r>
      <w:r>
        <w:rPr>
          <w:spacing w:val="-4"/>
          <w:sz w:val="24"/>
        </w:rPr>
        <w:t> </w:t>
      </w:r>
      <w:r>
        <w:rPr>
          <w:sz w:val="24"/>
        </w:rPr>
        <w:t>of</w:t>
      </w:r>
      <w:r>
        <w:rPr>
          <w:spacing w:val="-4"/>
          <w:sz w:val="24"/>
        </w:rPr>
        <w:t> </w:t>
      </w:r>
      <w:r>
        <w:rPr>
          <w:sz w:val="24"/>
        </w:rPr>
        <w:t>bij</w:t>
      </w:r>
      <w:r>
        <w:rPr>
          <w:spacing w:val="-5"/>
          <w:sz w:val="24"/>
        </w:rPr>
        <w:t> </w:t>
      </w:r>
      <w:r>
        <w:rPr>
          <w:sz w:val="24"/>
        </w:rPr>
        <w:t>het</w:t>
      </w:r>
      <w:r>
        <w:rPr>
          <w:spacing w:val="-2"/>
          <w:sz w:val="24"/>
        </w:rPr>
        <w:t> </w:t>
      </w:r>
      <w:r>
        <w:rPr>
          <w:sz w:val="24"/>
        </w:rPr>
        <w:t>voorkomen</w:t>
      </w:r>
      <w:r>
        <w:rPr>
          <w:spacing w:val="-1"/>
          <w:sz w:val="24"/>
        </w:rPr>
        <w:t> </w:t>
      </w:r>
      <w:r>
        <w:rPr>
          <w:sz w:val="24"/>
        </w:rPr>
        <w:t>van trombose onder TAR, overweeg te switchen naar VKA, INR 2 – 3.</w:t>
      </w:r>
    </w:p>
    <w:p>
      <w:pPr>
        <w:pStyle w:val="ListParagraph"/>
        <w:numPr>
          <w:ilvl w:val="0"/>
          <w:numId w:val="1"/>
        </w:numPr>
        <w:tabs>
          <w:tab w:pos="847" w:val="left" w:leader="none"/>
          <w:tab w:pos="861" w:val="left" w:leader="none"/>
        </w:tabs>
        <w:spacing w:line="240" w:lineRule="auto" w:before="0" w:after="0"/>
        <w:ind w:left="861" w:right="262" w:hanging="360"/>
        <w:jc w:val="left"/>
        <w:rPr>
          <w:sz w:val="24"/>
        </w:rPr>
      </w:pPr>
      <w:r>
        <w:rPr>
          <w:sz w:val="24"/>
        </w:rPr>
        <w:t>Bij</w:t>
      </w:r>
      <w:r>
        <w:rPr>
          <w:spacing w:val="-4"/>
          <w:sz w:val="24"/>
        </w:rPr>
        <w:t> </w:t>
      </w:r>
      <w:r>
        <w:rPr>
          <w:sz w:val="24"/>
        </w:rPr>
        <w:t>alle</w:t>
      </w:r>
      <w:r>
        <w:rPr>
          <w:spacing w:val="-3"/>
          <w:sz w:val="24"/>
        </w:rPr>
        <w:t> </w:t>
      </w:r>
      <w:r>
        <w:rPr>
          <w:sz w:val="24"/>
        </w:rPr>
        <w:t>kinderen</w:t>
      </w:r>
      <w:r>
        <w:rPr>
          <w:spacing w:val="-3"/>
          <w:sz w:val="24"/>
        </w:rPr>
        <w:t> </w:t>
      </w:r>
      <w:r>
        <w:rPr>
          <w:sz w:val="24"/>
        </w:rPr>
        <w:t>met</w:t>
      </w:r>
      <w:r>
        <w:rPr>
          <w:spacing w:val="-3"/>
          <w:sz w:val="24"/>
        </w:rPr>
        <w:t> </w:t>
      </w:r>
      <w:r>
        <w:rPr>
          <w:sz w:val="24"/>
        </w:rPr>
        <w:t>een</w:t>
      </w:r>
      <w:r>
        <w:rPr>
          <w:spacing w:val="-5"/>
          <w:sz w:val="24"/>
        </w:rPr>
        <w:t> </w:t>
      </w:r>
      <w:r>
        <w:rPr>
          <w:sz w:val="24"/>
        </w:rPr>
        <w:t>cardiale</w:t>
      </w:r>
      <w:r>
        <w:rPr>
          <w:spacing w:val="-5"/>
          <w:sz w:val="24"/>
        </w:rPr>
        <w:t> </w:t>
      </w:r>
      <w:r>
        <w:rPr>
          <w:sz w:val="24"/>
        </w:rPr>
        <w:t>anomalie</w:t>
      </w:r>
      <w:r>
        <w:rPr>
          <w:spacing w:val="-5"/>
          <w:sz w:val="24"/>
        </w:rPr>
        <w:t> </w:t>
      </w:r>
      <w:r>
        <w:rPr>
          <w:sz w:val="24"/>
        </w:rPr>
        <w:t>die</w:t>
      </w:r>
      <w:r>
        <w:rPr>
          <w:spacing w:val="-6"/>
          <w:sz w:val="24"/>
        </w:rPr>
        <w:t> </w:t>
      </w:r>
      <w:r>
        <w:rPr>
          <w:sz w:val="24"/>
        </w:rPr>
        <w:t>een</w:t>
      </w:r>
      <w:r>
        <w:rPr>
          <w:spacing w:val="-3"/>
          <w:sz w:val="24"/>
        </w:rPr>
        <w:t> </w:t>
      </w:r>
      <w:r>
        <w:rPr>
          <w:sz w:val="24"/>
        </w:rPr>
        <w:t>cardiochirurgisch</w:t>
      </w:r>
      <w:r>
        <w:rPr>
          <w:spacing w:val="-3"/>
          <w:sz w:val="24"/>
        </w:rPr>
        <w:t> </w:t>
      </w:r>
      <w:r>
        <w:rPr>
          <w:sz w:val="24"/>
        </w:rPr>
        <w:t>traject</w:t>
      </w:r>
      <w:r>
        <w:rPr>
          <w:spacing w:val="-3"/>
          <w:sz w:val="24"/>
        </w:rPr>
        <w:t> </w:t>
      </w:r>
      <w:r>
        <w:rPr>
          <w:sz w:val="24"/>
        </w:rPr>
        <w:t>ingaan wordt in principe geen trombofilie onderzoek preoperatief verricht.</w:t>
      </w:r>
    </w:p>
    <w:p>
      <w:pPr>
        <w:pStyle w:val="BodyText"/>
        <w:spacing w:before="292"/>
      </w:pPr>
      <w:r>
        <w:rPr/>
        <w:t>Tabel</w:t>
      </w:r>
      <w:r>
        <w:rPr>
          <w:spacing w:val="-6"/>
        </w:rPr>
        <w:t> </w:t>
      </w:r>
      <w:r>
        <w:rPr/>
        <w:t>2.</w:t>
      </w:r>
      <w:r>
        <w:rPr>
          <w:spacing w:val="-4"/>
        </w:rPr>
        <w:t> </w:t>
      </w:r>
      <w:r>
        <w:rPr/>
        <w:t>Risiofactoren</w:t>
      </w:r>
      <w:r>
        <w:rPr>
          <w:spacing w:val="-3"/>
        </w:rPr>
        <w:t> </w:t>
      </w:r>
      <w:r>
        <w:rPr/>
        <w:t>voor</w:t>
      </w:r>
      <w:r>
        <w:rPr>
          <w:spacing w:val="-3"/>
        </w:rPr>
        <w:t> </w:t>
      </w:r>
      <w:r>
        <w:rPr/>
        <w:t>trombose</w:t>
      </w:r>
      <w:r>
        <w:rPr>
          <w:spacing w:val="-3"/>
        </w:rPr>
        <w:t> </w:t>
      </w:r>
      <w:r>
        <w:rPr/>
        <w:t>bij</w:t>
      </w:r>
      <w:r>
        <w:rPr>
          <w:spacing w:val="-4"/>
        </w:rPr>
        <w:t> </w:t>
      </w:r>
      <w:r>
        <w:rPr/>
        <w:t>Fontan</w:t>
      </w:r>
      <w:r>
        <w:rPr>
          <w:spacing w:val="-3"/>
        </w:rPr>
        <w:t> </w:t>
      </w:r>
      <w:r>
        <w:rPr>
          <w:spacing w:val="-2"/>
        </w:rPr>
        <w:t>circulatie</w:t>
      </w:r>
    </w:p>
    <w:p>
      <w:pPr>
        <w:pStyle w:val="BodyText"/>
        <w:spacing w:before="51"/>
        <w:ind w:left="0"/>
        <w:rPr>
          <w:sz w:val="20"/>
        </w:rPr>
      </w:pPr>
    </w:p>
    <w:tbl>
      <w:tblPr>
        <w:tblW w:w="0" w:type="auto"/>
        <w:jc w:val="left"/>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92"/>
      </w:tblGrid>
      <w:tr>
        <w:trPr>
          <w:trHeight w:val="314" w:hRule="atLeast"/>
        </w:trPr>
        <w:tc>
          <w:tcPr>
            <w:tcW w:w="6992" w:type="dxa"/>
            <w:tcBorders>
              <w:bottom w:val="nil"/>
            </w:tcBorders>
          </w:tcPr>
          <w:p>
            <w:pPr>
              <w:pStyle w:val="TableParagraph"/>
              <w:spacing w:line="292" w:lineRule="exact"/>
              <w:ind w:left="107"/>
              <w:rPr>
                <w:sz w:val="24"/>
              </w:rPr>
            </w:pPr>
            <w:r>
              <w:rPr>
                <w:spacing w:val="-2"/>
                <w:sz w:val="24"/>
              </w:rPr>
              <w:t>Ritmestoornissen</w:t>
            </w:r>
          </w:p>
        </w:tc>
      </w:tr>
      <w:tr>
        <w:trPr>
          <w:trHeight w:val="293" w:hRule="atLeast"/>
        </w:trPr>
        <w:tc>
          <w:tcPr>
            <w:tcW w:w="6992" w:type="dxa"/>
            <w:tcBorders>
              <w:top w:val="nil"/>
              <w:bottom w:val="nil"/>
            </w:tcBorders>
          </w:tcPr>
          <w:p>
            <w:pPr>
              <w:pStyle w:val="TableParagraph"/>
              <w:spacing w:line="271" w:lineRule="exact"/>
              <w:ind w:left="107"/>
              <w:rPr>
                <w:sz w:val="24"/>
              </w:rPr>
            </w:pPr>
            <w:r>
              <w:rPr>
                <w:sz w:val="24"/>
              </w:rPr>
              <w:t>Verminderde</w:t>
            </w:r>
            <w:r>
              <w:rPr>
                <w:spacing w:val="-6"/>
                <w:sz w:val="24"/>
              </w:rPr>
              <w:t> </w:t>
            </w:r>
            <w:r>
              <w:rPr>
                <w:sz w:val="24"/>
              </w:rPr>
              <w:t>of</w:t>
            </w:r>
            <w:r>
              <w:rPr>
                <w:spacing w:val="-3"/>
                <w:sz w:val="24"/>
              </w:rPr>
              <w:t> </w:t>
            </w:r>
            <w:r>
              <w:rPr>
                <w:sz w:val="24"/>
              </w:rPr>
              <w:t>afname</w:t>
            </w:r>
            <w:r>
              <w:rPr>
                <w:spacing w:val="-5"/>
                <w:sz w:val="24"/>
              </w:rPr>
              <w:t> </w:t>
            </w:r>
            <w:r>
              <w:rPr>
                <w:sz w:val="24"/>
              </w:rPr>
              <w:t>ventrikel</w:t>
            </w:r>
            <w:r>
              <w:rPr>
                <w:spacing w:val="-4"/>
                <w:sz w:val="24"/>
              </w:rPr>
              <w:t> </w:t>
            </w:r>
            <w:r>
              <w:rPr>
                <w:spacing w:val="-2"/>
                <w:sz w:val="24"/>
              </w:rPr>
              <w:t>functie</w:t>
            </w:r>
          </w:p>
        </w:tc>
      </w:tr>
      <w:tr>
        <w:trPr>
          <w:trHeight w:val="292" w:hRule="atLeast"/>
        </w:trPr>
        <w:tc>
          <w:tcPr>
            <w:tcW w:w="6992" w:type="dxa"/>
            <w:tcBorders>
              <w:top w:val="nil"/>
              <w:bottom w:val="nil"/>
            </w:tcBorders>
          </w:tcPr>
          <w:p>
            <w:pPr>
              <w:pStyle w:val="TableParagraph"/>
              <w:spacing w:line="271" w:lineRule="exact"/>
              <w:ind w:left="107"/>
              <w:rPr>
                <w:sz w:val="24"/>
              </w:rPr>
            </w:pPr>
            <w:r>
              <w:rPr>
                <w:sz w:val="24"/>
              </w:rPr>
              <w:t>Aanwezigheid</w:t>
            </w:r>
            <w:r>
              <w:rPr>
                <w:spacing w:val="-8"/>
                <w:sz w:val="24"/>
              </w:rPr>
              <w:t> </w:t>
            </w:r>
            <w:r>
              <w:rPr>
                <w:sz w:val="24"/>
              </w:rPr>
              <w:t>van</w:t>
            </w:r>
            <w:r>
              <w:rPr>
                <w:spacing w:val="-5"/>
                <w:sz w:val="24"/>
              </w:rPr>
              <w:t> </w:t>
            </w:r>
            <w:r>
              <w:rPr>
                <w:sz w:val="24"/>
              </w:rPr>
              <w:t>niet</w:t>
            </w:r>
            <w:r>
              <w:rPr>
                <w:spacing w:val="-4"/>
                <w:sz w:val="24"/>
              </w:rPr>
              <w:t> </w:t>
            </w:r>
            <w:r>
              <w:rPr>
                <w:sz w:val="24"/>
              </w:rPr>
              <w:t>afgesloten</w:t>
            </w:r>
            <w:r>
              <w:rPr>
                <w:spacing w:val="-3"/>
                <w:sz w:val="24"/>
              </w:rPr>
              <w:t> </w:t>
            </w:r>
            <w:r>
              <w:rPr>
                <w:sz w:val="24"/>
              </w:rPr>
              <w:t>blind-eindigende</w:t>
            </w:r>
            <w:r>
              <w:rPr>
                <w:spacing w:val="48"/>
                <w:sz w:val="24"/>
              </w:rPr>
              <w:t> </w:t>
            </w:r>
            <w:r>
              <w:rPr>
                <w:spacing w:val="-2"/>
                <w:sz w:val="24"/>
              </w:rPr>
              <w:t>pulmonalisstomp</w:t>
            </w:r>
          </w:p>
        </w:tc>
      </w:tr>
      <w:tr>
        <w:trPr>
          <w:trHeight w:val="292" w:hRule="atLeast"/>
        </w:trPr>
        <w:tc>
          <w:tcPr>
            <w:tcW w:w="6992" w:type="dxa"/>
            <w:tcBorders>
              <w:top w:val="nil"/>
              <w:bottom w:val="nil"/>
            </w:tcBorders>
          </w:tcPr>
          <w:p>
            <w:pPr>
              <w:pStyle w:val="TableParagraph"/>
              <w:spacing w:line="271" w:lineRule="exact"/>
              <w:ind w:left="107"/>
              <w:rPr>
                <w:sz w:val="24"/>
              </w:rPr>
            </w:pPr>
            <w:r>
              <w:rPr>
                <w:sz w:val="24"/>
              </w:rPr>
              <w:t>Protein</w:t>
            </w:r>
            <w:r>
              <w:rPr>
                <w:spacing w:val="-4"/>
                <w:sz w:val="24"/>
              </w:rPr>
              <w:t> </w:t>
            </w:r>
            <w:r>
              <w:rPr>
                <w:sz w:val="24"/>
              </w:rPr>
              <w:t>loosing</w:t>
            </w:r>
            <w:r>
              <w:rPr>
                <w:spacing w:val="-5"/>
                <w:sz w:val="24"/>
              </w:rPr>
              <w:t> </w:t>
            </w:r>
            <w:r>
              <w:rPr>
                <w:spacing w:val="-2"/>
                <w:sz w:val="24"/>
              </w:rPr>
              <w:t>enteropathie</w:t>
            </w:r>
          </w:p>
        </w:tc>
      </w:tr>
      <w:tr>
        <w:trPr>
          <w:trHeight w:val="271" w:hRule="atLeast"/>
        </w:trPr>
        <w:tc>
          <w:tcPr>
            <w:tcW w:w="6992" w:type="dxa"/>
            <w:tcBorders>
              <w:top w:val="nil"/>
            </w:tcBorders>
          </w:tcPr>
          <w:p>
            <w:pPr>
              <w:pStyle w:val="TableParagraph"/>
              <w:spacing w:line="251" w:lineRule="exact"/>
              <w:ind w:left="107"/>
              <w:rPr>
                <w:sz w:val="24"/>
              </w:rPr>
            </w:pPr>
            <w:r>
              <w:rPr>
                <w:sz w:val="24"/>
              </w:rPr>
              <w:t>Andere</w:t>
            </w:r>
            <w:r>
              <w:rPr>
                <w:spacing w:val="-2"/>
                <w:sz w:val="24"/>
              </w:rPr>
              <w:t> </w:t>
            </w:r>
            <w:r>
              <w:rPr>
                <w:sz w:val="24"/>
              </w:rPr>
              <w:t>redenen</w:t>
            </w:r>
            <w:r>
              <w:rPr>
                <w:spacing w:val="-4"/>
                <w:sz w:val="24"/>
              </w:rPr>
              <w:t> </w:t>
            </w:r>
            <w:r>
              <w:rPr>
                <w:sz w:val="24"/>
              </w:rPr>
              <w:t>ter</w:t>
            </w:r>
            <w:r>
              <w:rPr>
                <w:spacing w:val="-2"/>
                <w:sz w:val="24"/>
              </w:rPr>
              <w:t> </w:t>
            </w:r>
            <w:r>
              <w:rPr>
                <w:sz w:val="24"/>
              </w:rPr>
              <w:t>beoordeling</w:t>
            </w:r>
            <w:r>
              <w:rPr>
                <w:spacing w:val="-3"/>
                <w:sz w:val="24"/>
              </w:rPr>
              <w:t> </w:t>
            </w:r>
            <w:r>
              <w:rPr>
                <w:sz w:val="24"/>
              </w:rPr>
              <w:t>van</w:t>
            </w:r>
            <w:r>
              <w:rPr>
                <w:spacing w:val="-4"/>
                <w:sz w:val="24"/>
              </w:rPr>
              <w:t> </w:t>
            </w:r>
            <w:r>
              <w:rPr>
                <w:sz w:val="24"/>
              </w:rPr>
              <w:t>de</w:t>
            </w:r>
            <w:r>
              <w:rPr>
                <w:spacing w:val="-4"/>
                <w:sz w:val="24"/>
              </w:rPr>
              <w:t> </w:t>
            </w:r>
            <w:r>
              <w:rPr>
                <w:spacing w:val="-2"/>
                <w:sz w:val="24"/>
              </w:rPr>
              <w:t>behandelaar</w:t>
            </w:r>
          </w:p>
        </w:tc>
      </w:tr>
    </w:tbl>
    <w:p>
      <w:pPr>
        <w:pStyle w:val="BodyText"/>
        <w:ind w:left="0"/>
      </w:pPr>
    </w:p>
    <w:p>
      <w:pPr>
        <w:pStyle w:val="BodyText"/>
        <w:ind w:left="0"/>
      </w:pPr>
    </w:p>
    <w:p>
      <w:pPr>
        <w:pStyle w:val="Heading1"/>
        <w:spacing w:line="480" w:lineRule="auto" w:before="1"/>
        <w:ind w:right="4599"/>
      </w:pPr>
      <w:r>
        <w:rPr/>
        <w:t>Gedilateerde</w:t>
      </w:r>
      <w:r>
        <w:rPr>
          <w:spacing w:val="-14"/>
        </w:rPr>
        <w:t> </w:t>
      </w:r>
      <w:r>
        <w:rPr/>
        <w:t>cardiomyopathie </w:t>
      </w:r>
      <w:r>
        <w:rPr>
          <w:spacing w:val="-2"/>
        </w:rPr>
        <w:t>Aanbevelingen</w:t>
      </w:r>
    </w:p>
    <w:p>
      <w:pPr>
        <w:pStyle w:val="ListParagraph"/>
        <w:numPr>
          <w:ilvl w:val="0"/>
          <w:numId w:val="1"/>
        </w:numPr>
        <w:tabs>
          <w:tab w:pos="847" w:val="left" w:leader="none"/>
          <w:tab w:pos="861" w:val="left" w:leader="none"/>
        </w:tabs>
        <w:spacing w:line="240" w:lineRule="auto" w:before="2" w:after="0"/>
        <w:ind w:left="861" w:right="318" w:hanging="360"/>
        <w:jc w:val="left"/>
        <w:rPr>
          <w:sz w:val="24"/>
        </w:rPr>
      </w:pPr>
      <w:r>
        <w:rPr>
          <w:sz w:val="24"/>
        </w:rPr>
        <w:t>Bij</w:t>
      </w:r>
      <w:r>
        <w:rPr>
          <w:spacing w:val="-4"/>
          <w:sz w:val="24"/>
        </w:rPr>
        <w:t> </w:t>
      </w:r>
      <w:r>
        <w:rPr>
          <w:sz w:val="24"/>
        </w:rPr>
        <w:t>gedilateerde</w:t>
      </w:r>
      <w:r>
        <w:rPr>
          <w:spacing w:val="-3"/>
          <w:sz w:val="24"/>
        </w:rPr>
        <w:t> </w:t>
      </w:r>
      <w:r>
        <w:rPr>
          <w:sz w:val="24"/>
        </w:rPr>
        <w:t>cardiomyopathie</w:t>
      </w:r>
      <w:r>
        <w:rPr>
          <w:spacing w:val="-3"/>
          <w:sz w:val="24"/>
        </w:rPr>
        <w:t> </w:t>
      </w:r>
      <w:r>
        <w:rPr>
          <w:sz w:val="24"/>
        </w:rPr>
        <w:t>wordt</w:t>
      </w:r>
      <w:r>
        <w:rPr>
          <w:spacing w:val="-5"/>
          <w:sz w:val="24"/>
        </w:rPr>
        <w:t> </w:t>
      </w:r>
      <w:r>
        <w:rPr>
          <w:sz w:val="24"/>
        </w:rPr>
        <w:t>primaire</w:t>
      </w:r>
      <w:r>
        <w:rPr>
          <w:spacing w:val="-5"/>
          <w:sz w:val="24"/>
        </w:rPr>
        <w:t> </w:t>
      </w:r>
      <w:r>
        <w:rPr>
          <w:sz w:val="24"/>
        </w:rPr>
        <w:t>preventie</w:t>
      </w:r>
      <w:r>
        <w:rPr>
          <w:spacing w:val="-6"/>
          <w:sz w:val="24"/>
        </w:rPr>
        <w:t> </w:t>
      </w:r>
      <w:r>
        <w:rPr>
          <w:sz w:val="24"/>
        </w:rPr>
        <w:t>van</w:t>
      </w:r>
      <w:r>
        <w:rPr>
          <w:spacing w:val="-5"/>
          <w:sz w:val="24"/>
        </w:rPr>
        <w:t> </w:t>
      </w:r>
      <w:r>
        <w:rPr>
          <w:sz w:val="24"/>
        </w:rPr>
        <w:t>trombose</w:t>
      </w:r>
      <w:r>
        <w:rPr>
          <w:spacing w:val="-8"/>
          <w:sz w:val="24"/>
        </w:rPr>
        <w:t> </w:t>
      </w:r>
      <w:r>
        <w:rPr>
          <w:sz w:val="24"/>
        </w:rPr>
        <w:t>met</w:t>
      </w:r>
      <w:r>
        <w:rPr>
          <w:spacing w:val="-4"/>
          <w:sz w:val="24"/>
        </w:rPr>
        <w:t> </w:t>
      </w:r>
      <w:r>
        <w:rPr>
          <w:sz w:val="24"/>
        </w:rPr>
        <w:t>TAR sterk aanbevolen bij een verkortingsfractie &lt; 20%. Het risico op bloedingen moet altijd worden meegenomen in de beslissing.</w:t>
      </w:r>
    </w:p>
    <w:p>
      <w:pPr>
        <w:pStyle w:val="ListParagraph"/>
        <w:numPr>
          <w:ilvl w:val="0"/>
          <w:numId w:val="1"/>
        </w:numPr>
        <w:tabs>
          <w:tab w:pos="847" w:val="left" w:leader="none"/>
          <w:tab w:pos="861" w:val="left" w:leader="none"/>
        </w:tabs>
        <w:spacing w:line="240" w:lineRule="auto" w:before="0" w:after="0"/>
        <w:ind w:left="861" w:right="30" w:hanging="360"/>
        <w:jc w:val="left"/>
        <w:rPr>
          <w:sz w:val="24"/>
        </w:rPr>
      </w:pPr>
      <w:r>
        <w:rPr>
          <w:sz w:val="24"/>
        </w:rPr>
        <w:t>Een intra-cardiale trombus bij gedilateerde cardiomyopathie dient behandeld te worden</w:t>
      </w:r>
      <w:r>
        <w:rPr>
          <w:spacing w:val="-5"/>
          <w:sz w:val="24"/>
        </w:rPr>
        <w:t> </w:t>
      </w:r>
      <w:r>
        <w:rPr>
          <w:sz w:val="24"/>
        </w:rPr>
        <w:t>met</w:t>
      </w:r>
      <w:r>
        <w:rPr>
          <w:spacing w:val="-4"/>
          <w:sz w:val="24"/>
        </w:rPr>
        <w:t> </w:t>
      </w:r>
      <w:r>
        <w:rPr>
          <w:sz w:val="24"/>
        </w:rPr>
        <w:t>anticoagulantia</w:t>
      </w:r>
      <w:r>
        <w:rPr>
          <w:spacing w:val="-5"/>
          <w:sz w:val="24"/>
        </w:rPr>
        <w:t> </w:t>
      </w:r>
      <w:r>
        <w:rPr>
          <w:sz w:val="24"/>
        </w:rPr>
        <w:t>om</w:t>
      </w:r>
      <w:r>
        <w:rPr>
          <w:spacing w:val="-4"/>
          <w:sz w:val="24"/>
        </w:rPr>
        <w:t> </w:t>
      </w:r>
      <w:r>
        <w:rPr>
          <w:sz w:val="24"/>
        </w:rPr>
        <w:t>embolisatie</w:t>
      </w:r>
      <w:r>
        <w:rPr>
          <w:spacing w:val="-5"/>
          <w:sz w:val="24"/>
        </w:rPr>
        <w:t> </w:t>
      </w:r>
      <w:r>
        <w:rPr>
          <w:sz w:val="24"/>
        </w:rPr>
        <w:t>naar</w:t>
      </w:r>
      <w:r>
        <w:rPr>
          <w:spacing w:val="-5"/>
          <w:sz w:val="24"/>
        </w:rPr>
        <w:t> </w:t>
      </w:r>
      <w:r>
        <w:rPr>
          <w:sz w:val="24"/>
        </w:rPr>
        <w:t>longen</w:t>
      </w:r>
      <w:r>
        <w:rPr>
          <w:spacing w:val="-5"/>
          <w:sz w:val="24"/>
        </w:rPr>
        <w:t> </w:t>
      </w:r>
      <w:r>
        <w:rPr>
          <w:sz w:val="24"/>
        </w:rPr>
        <w:t>dan</w:t>
      </w:r>
      <w:r>
        <w:rPr>
          <w:spacing w:val="-5"/>
          <w:sz w:val="24"/>
        </w:rPr>
        <w:t> </w:t>
      </w:r>
      <w:r>
        <w:rPr>
          <w:sz w:val="24"/>
        </w:rPr>
        <w:t>wel</w:t>
      </w:r>
      <w:r>
        <w:rPr>
          <w:spacing w:val="-3"/>
          <w:sz w:val="24"/>
        </w:rPr>
        <w:t> </w:t>
      </w:r>
      <w:r>
        <w:rPr>
          <w:sz w:val="24"/>
        </w:rPr>
        <w:t>hersenen</w:t>
      </w:r>
      <w:r>
        <w:rPr>
          <w:spacing w:val="-3"/>
          <w:sz w:val="24"/>
        </w:rPr>
        <w:t> </w:t>
      </w:r>
      <w:r>
        <w:rPr>
          <w:sz w:val="24"/>
        </w:rPr>
        <w:t>of</w:t>
      </w:r>
      <w:r>
        <w:rPr>
          <w:spacing w:val="-3"/>
          <w:sz w:val="24"/>
        </w:rPr>
        <w:t> </w:t>
      </w:r>
      <w:r>
        <w:rPr>
          <w:sz w:val="24"/>
        </w:rPr>
        <w:t>andere lichaamsdelen te voorkomen.</w:t>
      </w:r>
    </w:p>
    <w:p>
      <w:pPr>
        <w:pStyle w:val="ListParagraph"/>
        <w:spacing w:after="0" w:line="240" w:lineRule="auto"/>
        <w:jc w:val="left"/>
        <w:rPr>
          <w:sz w:val="24"/>
        </w:rPr>
        <w:sectPr>
          <w:pgSz w:w="11910" w:h="16840"/>
          <w:pgMar w:header="0" w:footer="750" w:top="1360" w:bottom="940" w:left="1275" w:right="1417"/>
        </w:sectPr>
      </w:pPr>
    </w:p>
    <w:p>
      <w:pPr>
        <w:pStyle w:val="ListParagraph"/>
        <w:numPr>
          <w:ilvl w:val="0"/>
          <w:numId w:val="1"/>
        </w:numPr>
        <w:tabs>
          <w:tab w:pos="847" w:val="left" w:leader="none"/>
          <w:tab w:pos="861" w:val="left" w:leader="none"/>
        </w:tabs>
        <w:spacing w:line="240" w:lineRule="auto" w:before="37" w:after="0"/>
        <w:ind w:left="861" w:right="222" w:hanging="360"/>
        <w:jc w:val="both"/>
        <w:rPr>
          <w:sz w:val="24"/>
        </w:rPr>
      </w:pPr>
      <w:r>
        <w:rPr>
          <w:sz w:val="24"/>
        </w:rPr>
        <w:t>De</w:t>
      </w:r>
      <w:r>
        <w:rPr>
          <w:spacing w:val="-4"/>
          <w:sz w:val="24"/>
        </w:rPr>
        <w:t> </w:t>
      </w:r>
      <w:r>
        <w:rPr>
          <w:sz w:val="24"/>
        </w:rPr>
        <w:t>behandeling</w:t>
      </w:r>
      <w:r>
        <w:rPr>
          <w:spacing w:val="-3"/>
          <w:sz w:val="24"/>
        </w:rPr>
        <w:t> </w:t>
      </w:r>
      <w:r>
        <w:rPr>
          <w:sz w:val="24"/>
        </w:rPr>
        <w:t>van</w:t>
      </w:r>
      <w:r>
        <w:rPr>
          <w:spacing w:val="-2"/>
          <w:sz w:val="24"/>
        </w:rPr>
        <w:t> </w:t>
      </w:r>
      <w:r>
        <w:rPr>
          <w:sz w:val="24"/>
        </w:rPr>
        <w:t>een intra-cardiale</w:t>
      </w:r>
      <w:r>
        <w:rPr>
          <w:spacing w:val="-4"/>
          <w:sz w:val="24"/>
        </w:rPr>
        <w:t> </w:t>
      </w:r>
      <w:r>
        <w:rPr>
          <w:sz w:val="24"/>
        </w:rPr>
        <w:t>trombus</w:t>
      </w:r>
      <w:r>
        <w:rPr>
          <w:spacing w:val="-3"/>
          <w:sz w:val="24"/>
        </w:rPr>
        <w:t> </w:t>
      </w:r>
      <w:r>
        <w:rPr>
          <w:sz w:val="24"/>
        </w:rPr>
        <w:t>bestaat</w:t>
      </w:r>
      <w:r>
        <w:rPr>
          <w:spacing w:val="-3"/>
          <w:sz w:val="24"/>
        </w:rPr>
        <w:t> </w:t>
      </w:r>
      <w:r>
        <w:rPr>
          <w:sz w:val="24"/>
        </w:rPr>
        <w:t>uit</w:t>
      </w:r>
      <w:r>
        <w:rPr>
          <w:spacing w:val="-2"/>
          <w:sz w:val="24"/>
        </w:rPr>
        <w:t> </w:t>
      </w:r>
      <w:r>
        <w:rPr>
          <w:sz w:val="24"/>
        </w:rPr>
        <w:t>initieel</w:t>
      </w:r>
      <w:r>
        <w:rPr>
          <w:spacing w:val="-4"/>
          <w:sz w:val="24"/>
        </w:rPr>
        <w:t> </w:t>
      </w:r>
      <w:r>
        <w:rPr>
          <w:sz w:val="24"/>
        </w:rPr>
        <w:t>heparine</w:t>
      </w:r>
      <w:r>
        <w:rPr>
          <w:spacing w:val="-2"/>
          <w:sz w:val="24"/>
        </w:rPr>
        <w:t> </w:t>
      </w:r>
      <w:r>
        <w:rPr>
          <w:sz w:val="24"/>
        </w:rPr>
        <w:t>(LMWH of ongefractioneerde</w:t>
      </w:r>
      <w:r>
        <w:rPr>
          <w:spacing w:val="-2"/>
          <w:sz w:val="24"/>
        </w:rPr>
        <w:t> </w:t>
      </w:r>
      <w:r>
        <w:rPr>
          <w:sz w:val="24"/>
        </w:rPr>
        <w:t>heparine),</w:t>
      </w:r>
      <w:r>
        <w:rPr>
          <w:spacing w:val="-3"/>
          <w:sz w:val="24"/>
        </w:rPr>
        <w:t> </w:t>
      </w:r>
      <w:r>
        <w:rPr>
          <w:sz w:val="24"/>
        </w:rPr>
        <w:t>gevolgd</w:t>
      </w:r>
      <w:r>
        <w:rPr>
          <w:spacing w:val="-2"/>
          <w:sz w:val="24"/>
        </w:rPr>
        <w:t> </w:t>
      </w:r>
      <w:r>
        <w:rPr>
          <w:sz w:val="24"/>
        </w:rPr>
        <w:t>door LMWH</w:t>
      </w:r>
      <w:r>
        <w:rPr>
          <w:spacing w:val="-2"/>
          <w:sz w:val="24"/>
        </w:rPr>
        <w:t> </w:t>
      </w:r>
      <w:r>
        <w:rPr>
          <w:sz w:val="24"/>
        </w:rPr>
        <w:t>of VKA (INR</w:t>
      </w:r>
      <w:r>
        <w:rPr>
          <w:spacing w:val="-1"/>
          <w:sz w:val="24"/>
        </w:rPr>
        <w:t> </w:t>
      </w:r>
      <w:r>
        <w:rPr>
          <w:sz w:val="24"/>
        </w:rPr>
        <w:t>2-3)</w:t>
      </w:r>
      <w:r>
        <w:rPr>
          <w:spacing w:val="-1"/>
          <w:sz w:val="24"/>
        </w:rPr>
        <w:t> </w:t>
      </w:r>
      <w:r>
        <w:rPr>
          <w:sz w:val="24"/>
        </w:rPr>
        <w:t>gedurende</w:t>
      </w:r>
      <w:r>
        <w:rPr>
          <w:spacing w:val="-2"/>
          <w:sz w:val="24"/>
        </w:rPr>
        <w:t> </w:t>
      </w:r>
      <w:r>
        <w:rPr>
          <w:sz w:val="24"/>
        </w:rPr>
        <w:t>3 </w:t>
      </w:r>
      <w:r>
        <w:rPr>
          <w:spacing w:val="-2"/>
          <w:sz w:val="24"/>
        </w:rPr>
        <w:t>maanden.</w:t>
      </w:r>
    </w:p>
    <w:p>
      <w:pPr>
        <w:pStyle w:val="ListParagraph"/>
        <w:numPr>
          <w:ilvl w:val="0"/>
          <w:numId w:val="1"/>
        </w:numPr>
        <w:tabs>
          <w:tab w:pos="847" w:val="left" w:leader="none"/>
          <w:tab w:pos="861" w:val="left" w:leader="none"/>
        </w:tabs>
        <w:spacing w:line="240" w:lineRule="auto" w:before="2" w:after="0"/>
        <w:ind w:left="861" w:right="467" w:hanging="360"/>
        <w:jc w:val="left"/>
        <w:rPr>
          <w:sz w:val="24"/>
        </w:rPr>
      </w:pPr>
      <w:r>
        <w:rPr>
          <w:sz w:val="24"/>
        </w:rPr>
        <w:t>Na</w:t>
      </w:r>
      <w:r>
        <w:rPr>
          <w:spacing w:val="-4"/>
          <w:sz w:val="24"/>
        </w:rPr>
        <w:t> </w:t>
      </w:r>
      <w:r>
        <w:rPr>
          <w:sz w:val="24"/>
        </w:rPr>
        <w:t>behandeling</w:t>
      </w:r>
      <w:r>
        <w:rPr>
          <w:spacing w:val="-4"/>
          <w:sz w:val="24"/>
        </w:rPr>
        <w:t> </w:t>
      </w:r>
      <w:r>
        <w:rPr>
          <w:sz w:val="24"/>
        </w:rPr>
        <w:t>van</w:t>
      </w:r>
      <w:r>
        <w:rPr>
          <w:spacing w:val="-3"/>
          <w:sz w:val="24"/>
        </w:rPr>
        <w:t> </w:t>
      </w:r>
      <w:r>
        <w:rPr>
          <w:sz w:val="24"/>
        </w:rPr>
        <w:t>intra-cardiale</w:t>
      </w:r>
      <w:r>
        <w:rPr>
          <w:spacing w:val="-5"/>
          <w:sz w:val="24"/>
        </w:rPr>
        <w:t> </w:t>
      </w:r>
      <w:r>
        <w:rPr>
          <w:sz w:val="24"/>
        </w:rPr>
        <w:t>trombose</w:t>
      </w:r>
      <w:r>
        <w:rPr>
          <w:spacing w:val="-6"/>
          <w:sz w:val="24"/>
        </w:rPr>
        <w:t> </w:t>
      </w:r>
      <w:r>
        <w:rPr>
          <w:sz w:val="24"/>
        </w:rPr>
        <w:t>bestaat</w:t>
      </w:r>
      <w:r>
        <w:rPr>
          <w:spacing w:val="-3"/>
          <w:sz w:val="24"/>
        </w:rPr>
        <w:t> </w:t>
      </w:r>
      <w:r>
        <w:rPr>
          <w:sz w:val="24"/>
        </w:rPr>
        <w:t>de</w:t>
      </w:r>
      <w:r>
        <w:rPr>
          <w:spacing w:val="-3"/>
          <w:sz w:val="24"/>
        </w:rPr>
        <w:t> </w:t>
      </w:r>
      <w:r>
        <w:rPr>
          <w:sz w:val="24"/>
        </w:rPr>
        <w:t>secundaire</w:t>
      </w:r>
      <w:r>
        <w:rPr>
          <w:spacing w:val="-5"/>
          <w:sz w:val="24"/>
        </w:rPr>
        <w:t> </w:t>
      </w:r>
      <w:r>
        <w:rPr>
          <w:sz w:val="24"/>
        </w:rPr>
        <w:t>preventie</w:t>
      </w:r>
      <w:r>
        <w:rPr>
          <w:spacing w:val="-3"/>
          <w:sz w:val="24"/>
        </w:rPr>
        <w:t> </w:t>
      </w:r>
      <w:r>
        <w:rPr>
          <w:sz w:val="24"/>
        </w:rPr>
        <w:t>van trombose uit therapeutische antistolling met LMWH of VKA.</w:t>
      </w:r>
    </w:p>
    <w:p>
      <w:pPr>
        <w:pStyle w:val="ListParagraph"/>
        <w:numPr>
          <w:ilvl w:val="0"/>
          <w:numId w:val="1"/>
        </w:numPr>
        <w:tabs>
          <w:tab w:pos="847" w:val="left" w:leader="none"/>
          <w:tab w:pos="861" w:val="left" w:leader="none"/>
        </w:tabs>
        <w:spacing w:line="240" w:lineRule="auto" w:before="0" w:after="0"/>
        <w:ind w:left="861" w:right="667" w:hanging="360"/>
        <w:jc w:val="left"/>
        <w:rPr>
          <w:sz w:val="24"/>
        </w:rPr>
      </w:pPr>
      <w:r>
        <w:rPr>
          <w:sz w:val="24"/>
        </w:rPr>
        <w:t>Primaire</w:t>
      </w:r>
      <w:r>
        <w:rPr>
          <w:spacing w:val="-6"/>
          <w:sz w:val="24"/>
        </w:rPr>
        <w:t> </w:t>
      </w:r>
      <w:r>
        <w:rPr>
          <w:sz w:val="24"/>
        </w:rPr>
        <w:t>en</w:t>
      </w:r>
      <w:r>
        <w:rPr>
          <w:spacing w:val="-5"/>
          <w:sz w:val="24"/>
        </w:rPr>
        <w:t> </w:t>
      </w:r>
      <w:r>
        <w:rPr>
          <w:sz w:val="24"/>
        </w:rPr>
        <w:t>secundaire</w:t>
      </w:r>
      <w:r>
        <w:rPr>
          <w:spacing w:val="-5"/>
          <w:sz w:val="24"/>
        </w:rPr>
        <w:t> </w:t>
      </w:r>
      <w:r>
        <w:rPr>
          <w:sz w:val="24"/>
        </w:rPr>
        <w:t>preventie</w:t>
      </w:r>
      <w:r>
        <w:rPr>
          <w:spacing w:val="-3"/>
          <w:sz w:val="24"/>
        </w:rPr>
        <w:t> </w:t>
      </w:r>
      <w:r>
        <w:rPr>
          <w:sz w:val="24"/>
        </w:rPr>
        <w:t>van</w:t>
      </w:r>
      <w:r>
        <w:rPr>
          <w:spacing w:val="-5"/>
          <w:sz w:val="24"/>
        </w:rPr>
        <w:t> </w:t>
      </w:r>
      <w:r>
        <w:rPr>
          <w:sz w:val="24"/>
        </w:rPr>
        <w:t>trombose</w:t>
      </w:r>
      <w:r>
        <w:rPr>
          <w:spacing w:val="-3"/>
          <w:sz w:val="24"/>
        </w:rPr>
        <w:t> </w:t>
      </w:r>
      <w:r>
        <w:rPr>
          <w:sz w:val="24"/>
        </w:rPr>
        <w:t>kan</w:t>
      </w:r>
      <w:r>
        <w:rPr>
          <w:spacing w:val="-3"/>
          <w:sz w:val="24"/>
        </w:rPr>
        <w:t> </w:t>
      </w:r>
      <w:r>
        <w:rPr>
          <w:sz w:val="24"/>
        </w:rPr>
        <w:t>gestaakt</w:t>
      </w:r>
      <w:r>
        <w:rPr>
          <w:spacing w:val="-3"/>
          <w:sz w:val="24"/>
        </w:rPr>
        <w:t> </w:t>
      </w:r>
      <w:r>
        <w:rPr>
          <w:sz w:val="24"/>
        </w:rPr>
        <w:t>worden</w:t>
      </w:r>
      <w:r>
        <w:rPr>
          <w:spacing w:val="-5"/>
          <w:sz w:val="24"/>
        </w:rPr>
        <w:t> </w:t>
      </w:r>
      <w:r>
        <w:rPr>
          <w:sz w:val="24"/>
        </w:rPr>
        <w:t>indien</w:t>
      </w:r>
      <w:r>
        <w:rPr>
          <w:spacing w:val="-5"/>
          <w:sz w:val="24"/>
        </w:rPr>
        <w:t> </w:t>
      </w:r>
      <w:r>
        <w:rPr>
          <w:sz w:val="24"/>
        </w:rPr>
        <w:t>de verkortingsfractie gedurende 3 maanden stabiel &gt; 20% is.</w:t>
      </w:r>
    </w:p>
    <w:p>
      <w:pPr>
        <w:pStyle w:val="ListParagraph"/>
        <w:spacing w:after="0" w:line="240" w:lineRule="auto"/>
        <w:jc w:val="left"/>
        <w:rPr>
          <w:sz w:val="24"/>
        </w:rPr>
        <w:sectPr>
          <w:pgSz w:w="11910" w:h="16840"/>
          <w:pgMar w:header="0" w:footer="750" w:top="1360" w:bottom="940" w:left="1275" w:right="1417"/>
        </w:sectPr>
      </w:pPr>
    </w:p>
    <w:p>
      <w:pPr>
        <w:pStyle w:val="Heading1"/>
        <w:spacing w:before="36"/>
      </w:pPr>
      <w:r>
        <w:rPr>
          <w:spacing w:val="-2"/>
        </w:rPr>
        <w:t>Inleiding</w:t>
      </w:r>
    </w:p>
    <w:p>
      <w:pPr>
        <w:pStyle w:val="BodyText"/>
        <w:spacing w:before="45"/>
        <w:ind w:left="0"/>
        <w:rPr>
          <w:b/>
        </w:rPr>
      </w:pPr>
    </w:p>
    <w:p>
      <w:pPr>
        <w:spacing w:line="240" w:lineRule="auto" w:before="1"/>
        <w:ind w:left="141" w:right="78" w:firstLine="0"/>
        <w:jc w:val="left"/>
        <w:rPr>
          <w:sz w:val="24"/>
        </w:rPr>
      </w:pPr>
      <w:r>
        <w:rPr>
          <w:sz w:val="24"/>
        </w:rPr>
        <mc:AlternateContent>
          <mc:Choice Requires="wps">
            <w:drawing>
              <wp:anchor distT="0" distB="0" distL="0" distR="0" allowOverlap="1" layoutInCell="1" locked="0" behindDoc="1" simplePos="0" relativeHeight="487234560">
                <wp:simplePos x="0" y="0"/>
                <wp:positionH relativeFrom="page">
                  <wp:posOffset>4144645</wp:posOffset>
                </wp:positionH>
                <wp:positionV relativeFrom="paragraph">
                  <wp:posOffset>346876</wp:posOffset>
                </wp:positionV>
                <wp:extent cx="32384" cy="9525"/>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32384" cy="9525"/>
                        </a:xfrm>
                        <a:custGeom>
                          <a:avLst/>
                          <a:gdLst/>
                          <a:ahLst/>
                          <a:cxnLst/>
                          <a:rect l="l" t="t" r="r" b="b"/>
                          <a:pathLst>
                            <a:path w="32384" h="9525">
                              <a:moveTo>
                                <a:pt x="32003" y="0"/>
                              </a:moveTo>
                              <a:lnTo>
                                <a:pt x="0" y="0"/>
                              </a:lnTo>
                              <a:lnTo>
                                <a:pt x="0" y="9144"/>
                              </a:lnTo>
                              <a:lnTo>
                                <a:pt x="32003" y="9144"/>
                              </a:lnTo>
                              <a:lnTo>
                                <a:pt x="320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6.350006pt;margin-top:27.313126pt;width:2.52pt;height:.72pt;mso-position-horizontal-relative:page;mso-position-vertical-relative:paragraph;z-index:-16081920" id="docshape2" filled="true" fillcolor="#000000" stroked="false">
                <v:fill type="solid"/>
                <w10:wrap type="none"/>
              </v:rect>
            </w:pict>
          </mc:Fallback>
        </mc:AlternateContent>
      </w:r>
      <w:r>
        <w:rPr>
          <w:sz w:val="24"/>
        </w:rPr>
        <w:t>De </w:t>
      </w:r>
      <w:r>
        <w:rPr>
          <w:b/>
          <w:sz w:val="24"/>
        </w:rPr>
        <w:t>Werkgroep Anti-</w:t>
      </w:r>
      <w:r>
        <w:rPr>
          <w:b/>
          <w:color w:val="0000FF"/>
          <w:sz w:val="24"/>
        </w:rPr>
        <w:t>TR</w:t>
      </w:r>
      <w:r>
        <w:rPr>
          <w:b/>
          <w:sz w:val="24"/>
        </w:rPr>
        <w:t>o</w:t>
      </w:r>
      <w:r>
        <w:rPr>
          <w:b/>
          <w:color w:val="0000FF"/>
          <w:sz w:val="24"/>
        </w:rPr>
        <w:t>M</w:t>
      </w:r>
      <w:r>
        <w:rPr>
          <w:b/>
          <w:sz w:val="24"/>
        </w:rPr>
        <w:t>botische Thera</w:t>
      </w:r>
      <w:r>
        <w:rPr>
          <w:b/>
          <w:color w:val="0000FF"/>
          <w:sz w:val="24"/>
        </w:rPr>
        <w:t>P</w:t>
      </w:r>
      <w:r>
        <w:rPr>
          <w:b/>
          <w:sz w:val="24"/>
        </w:rPr>
        <w:t>ie bij kinderen met een </w:t>
      </w:r>
      <w:r>
        <w:rPr>
          <w:b/>
          <w:color w:val="0000FF"/>
          <w:sz w:val="24"/>
        </w:rPr>
        <w:t>C</w:t>
      </w:r>
      <w:r>
        <w:rPr>
          <w:b/>
          <w:sz w:val="24"/>
        </w:rPr>
        <w:t>ardi</w:t>
      </w:r>
      <w:r>
        <w:rPr>
          <w:b/>
          <w:color w:val="0000FF"/>
          <w:sz w:val="24"/>
        </w:rPr>
        <w:t>OL</w:t>
      </w:r>
      <w:r>
        <w:rPr>
          <w:b/>
          <w:sz w:val="24"/>
        </w:rPr>
        <w:t>og</w:t>
      </w:r>
      <w:r>
        <w:rPr>
          <w:b/>
          <w:color w:val="0000FF"/>
          <w:sz w:val="24"/>
        </w:rPr>
        <w:t>I</w:t>
      </w:r>
      <w:r>
        <w:rPr>
          <w:b/>
          <w:sz w:val="24"/>
        </w:rPr>
        <w:t>sche A</w:t>
      </w:r>
      <w:r>
        <w:rPr>
          <w:b/>
          <w:color w:val="0000FF"/>
          <w:sz w:val="24"/>
        </w:rPr>
        <w:t>N</w:t>
      </w:r>
      <w:r>
        <w:rPr>
          <w:b/>
          <w:sz w:val="24"/>
        </w:rPr>
        <w:t>omali</w:t>
      </w:r>
      <w:r>
        <w:rPr>
          <w:b/>
          <w:color w:val="0000FF"/>
          <w:sz w:val="24"/>
        </w:rPr>
        <w:t>E (“TRAMPOLINE”) </w:t>
      </w:r>
      <w:r>
        <w:rPr>
          <w:sz w:val="22"/>
        </w:rPr>
        <w:t>heeft zich tot doel gesteld </w:t>
      </w:r>
      <w:r>
        <w:rPr>
          <w:sz w:val="24"/>
        </w:rPr>
        <w:t>alle kinderen in Nederland met een cardiale anomalie en kinderen die cardiologische ingrepen ondergaan uniform te behandelen</w:t>
      </w:r>
      <w:r>
        <w:rPr>
          <w:spacing w:val="-5"/>
          <w:sz w:val="24"/>
        </w:rPr>
        <w:t> </w:t>
      </w:r>
      <w:r>
        <w:rPr>
          <w:sz w:val="24"/>
        </w:rPr>
        <w:t>met</w:t>
      </w:r>
      <w:r>
        <w:rPr>
          <w:spacing w:val="-4"/>
          <w:sz w:val="24"/>
        </w:rPr>
        <w:t> </w:t>
      </w:r>
      <w:r>
        <w:rPr>
          <w:sz w:val="24"/>
        </w:rPr>
        <w:t>betrekking</w:t>
      </w:r>
      <w:r>
        <w:rPr>
          <w:spacing w:val="-4"/>
          <w:sz w:val="24"/>
        </w:rPr>
        <w:t> </w:t>
      </w:r>
      <w:r>
        <w:rPr>
          <w:sz w:val="24"/>
        </w:rPr>
        <w:t>tot</w:t>
      </w:r>
      <w:r>
        <w:rPr>
          <w:spacing w:val="-5"/>
          <w:sz w:val="24"/>
        </w:rPr>
        <w:t> </w:t>
      </w:r>
      <w:r>
        <w:rPr>
          <w:sz w:val="24"/>
        </w:rPr>
        <w:t>anticoagulantia</w:t>
      </w:r>
      <w:r>
        <w:rPr>
          <w:spacing w:val="-6"/>
          <w:sz w:val="24"/>
        </w:rPr>
        <w:t> </w:t>
      </w:r>
      <w:r>
        <w:rPr>
          <w:sz w:val="24"/>
        </w:rPr>
        <w:t>om</w:t>
      </w:r>
      <w:r>
        <w:rPr>
          <w:spacing w:val="-4"/>
          <w:sz w:val="24"/>
        </w:rPr>
        <w:t> </w:t>
      </w:r>
      <w:r>
        <w:rPr>
          <w:sz w:val="24"/>
        </w:rPr>
        <w:t>trombotische</w:t>
      </w:r>
      <w:r>
        <w:rPr>
          <w:spacing w:val="-5"/>
          <w:sz w:val="24"/>
        </w:rPr>
        <w:t> </w:t>
      </w:r>
      <w:r>
        <w:rPr>
          <w:sz w:val="24"/>
        </w:rPr>
        <w:t>processen</w:t>
      </w:r>
      <w:r>
        <w:rPr>
          <w:spacing w:val="-5"/>
          <w:sz w:val="24"/>
        </w:rPr>
        <w:t> </w:t>
      </w:r>
      <w:r>
        <w:rPr>
          <w:sz w:val="24"/>
        </w:rPr>
        <w:t>te</w:t>
      </w:r>
      <w:r>
        <w:rPr>
          <w:spacing w:val="-3"/>
          <w:sz w:val="24"/>
        </w:rPr>
        <w:t> </w:t>
      </w:r>
      <w:r>
        <w:rPr>
          <w:sz w:val="24"/>
        </w:rPr>
        <w:t>voorkomen. Hierdoor</w:t>
      </w:r>
      <w:r>
        <w:rPr>
          <w:spacing w:val="-5"/>
          <w:sz w:val="24"/>
        </w:rPr>
        <w:t> </w:t>
      </w:r>
      <w:r>
        <w:rPr>
          <w:sz w:val="24"/>
        </w:rPr>
        <w:t>zal</w:t>
      </w:r>
      <w:r>
        <w:rPr>
          <w:spacing w:val="-5"/>
          <w:sz w:val="24"/>
        </w:rPr>
        <w:t> </w:t>
      </w:r>
      <w:r>
        <w:rPr>
          <w:sz w:val="24"/>
        </w:rPr>
        <w:t>op</w:t>
      </w:r>
      <w:r>
        <w:rPr>
          <w:spacing w:val="-4"/>
          <w:sz w:val="24"/>
        </w:rPr>
        <w:t> </w:t>
      </w:r>
      <w:r>
        <w:rPr>
          <w:sz w:val="24"/>
        </w:rPr>
        <w:t>den</w:t>
      </w:r>
      <w:r>
        <w:rPr>
          <w:spacing w:val="-4"/>
          <w:sz w:val="24"/>
        </w:rPr>
        <w:t> </w:t>
      </w:r>
      <w:r>
        <w:rPr>
          <w:sz w:val="24"/>
        </w:rPr>
        <w:t>duur</w:t>
      </w:r>
      <w:r>
        <w:rPr>
          <w:spacing w:val="-5"/>
          <w:sz w:val="24"/>
        </w:rPr>
        <w:t> </w:t>
      </w:r>
      <w:r>
        <w:rPr>
          <w:sz w:val="24"/>
        </w:rPr>
        <w:t>evidence-based</w:t>
      </w:r>
      <w:r>
        <w:rPr>
          <w:spacing w:val="-4"/>
          <w:sz w:val="24"/>
        </w:rPr>
        <w:t> </w:t>
      </w:r>
      <w:r>
        <w:rPr>
          <w:sz w:val="24"/>
        </w:rPr>
        <w:t>onderzoek</w:t>
      </w:r>
      <w:r>
        <w:rPr>
          <w:spacing w:val="-3"/>
          <w:sz w:val="24"/>
        </w:rPr>
        <w:t> </w:t>
      </w:r>
      <w:r>
        <w:rPr>
          <w:sz w:val="24"/>
        </w:rPr>
        <w:t>mogelijk</w:t>
      </w:r>
      <w:r>
        <w:rPr>
          <w:spacing w:val="-3"/>
          <w:sz w:val="24"/>
        </w:rPr>
        <w:t> </w:t>
      </w:r>
      <w:r>
        <w:rPr>
          <w:sz w:val="24"/>
        </w:rPr>
        <w:t>worden</w:t>
      </w:r>
      <w:r>
        <w:rPr>
          <w:spacing w:val="-4"/>
          <w:sz w:val="24"/>
        </w:rPr>
        <w:t> </w:t>
      </w:r>
      <w:r>
        <w:rPr>
          <w:sz w:val="24"/>
        </w:rPr>
        <w:t>naar</w:t>
      </w:r>
      <w:r>
        <w:rPr>
          <w:spacing w:val="-4"/>
          <w:sz w:val="24"/>
        </w:rPr>
        <w:t> </w:t>
      </w:r>
      <w:r>
        <w:rPr>
          <w:sz w:val="24"/>
        </w:rPr>
        <w:t>complicaties</w:t>
      </w:r>
      <w:r>
        <w:rPr>
          <w:spacing w:val="-3"/>
          <w:sz w:val="24"/>
        </w:rPr>
        <w:t> </w:t>
      </w:r>
      <w:r>
        <w:rPr>
          <w:sz w:val="24"/>
        </w:rPr>
        <w:t>en optimale behandelmethoden.</w:t>
      </w:r>
    </w:p>
    <w:p>
      <w:pPr>
        <w:pStyle w:val="BodyText"/>
        <w:spacing w:before="1"/>
        <w:ind w:left="0"/>
      </w:pPr>
    </w:p>
    <w:p>
      <w:pPr>
        <w:pStyle w:val="BodyText"/>
        <w:ind w:right="46"/>
      </w:pPr>
      <w:r>
        <w:rPr/>
        <w:t>In deze richtlijn wordt anticoagulantia gebruikt als verzamelnaam voor antistollingstherapie zoals: ongefractioneerde heparine, laag-moleculair-gewicht heparine (LMWH) of vitamine K antagonisten (VKA) (acenocoumarol, phenprocoumon, warfarine) óf trombocyten aggregatieremmers (o.a. acetylsalicylzuur (ASA) of aspirine en Carbasalaatcalcium of Ascal). Carbasalaatcalcium</w:t>
      </w:r>
      <w:r>
        <w:rPr>
          <w:spacing w:val="-6"/>
        </w:rPr>
        <w:t> </w:t>
      </w:r>
      <w:r>
        <w:rPr/>
        <w:t>is</w:t>
      </w:r>
      <w:r>
        <w:rPr>
          <w:spacing w:val="-6"/>
        </w:rPr>
        <w:t> </w:t>
      </w:r>
      <w:r>
        <w:rPr/>
        <w:t>het calciumureumzout</w:t>
      </w:r>
      <w:r>
        <w:rPr>
          <w:spacing w:val="-5"/>
        </w:rPr>
        <w:t> </w:t>
      </w:r>
      <w:r>
        <w:rPr/>
        <w:t>van</w:t>
      </w:r>
      <w:r>
        <w:rPr>
          <w:spacing w:val="-5"/>
        </w:rPr>
        <w:t> </w:t>
      </w:r>
      <w:r>
        <w:rPr/>
        <w:t>ASA.</w:t>
      </w:r>
      <w:r>
        <w:rPr>
          <w:spacing w:val="-5"/>
        </w:rPr>
        <w:t> </w:t>
      </w:r>
      <w:r>
        <w:rPr/>
        <w:t>Het</w:t>
      </w:r>
      <w:r>
        <w:rPr>
          <w:spacing w:val="-2"/>
        </w:rPr>
        <w:t> </w:t>
      </w:r>
      <w:r>
        <w:rPr/>
        <w:t>werkingsmechanisme</w:t>
      </w:r>
      <w:r>
        <w:rPr>
          <w:spacing w:val="-2"/>
        </w:rPr>
        <w:t> </w:t>
      </w:r>
      <w:r>
        <w:rPr/>
        <w:t>van</w:t>
      </w:r>
      <w:r>
        <w:rPr>
          <w:spacing w:val="-3"/>
        </w:rPr>
        <w:t> </w:t>
      </w:r>
      <w:r>
        <w:rPr/>
        <w:t>beide</w:t>
      </w:r>
      <w:r>
        <w:rPr>
          <w:spacing w:val="-6"/>
        </w:rPr>
        <w:t> </w:t>
      </w:r>
      <w:r>
        <w:rPr/>
        <w:t>is gelijk. De werkingsduur van Carbasalaatcalcium is langer dan die van ASA na staken van de therapie. (respectievelijk 7-10 dagen versus 4-6 dagen)</w:t>
      </w:r>
      <w:r>
        <w:rPr>
          <w:b/>
        </w:rPr>
        <w:t>. </w:t>
      </w:r>
      <w:r>
        <w:rPr/>
        <w:t>ASA 80 mg komt overeen met 100 mg Carbasalaatcalcium. Derhalve is er ook een doseringsverschil tussen beide: ASA 3-5 mg/kg/dg en Carbasalaatcalcium 4-6 mg/kg/dg (bron: kinderformularium.nl).</w:t>
      </w:r>
    </w:p>
    <w:p>
      <w:pPr>
        <w:pStyle w:val="BodyText"/>
        <w:spacing w:after="0"/>
        <w:sectPr>
          <w:pgSz w:w="11910" w:h="16840"/>
          <w:pgMar w:header="0" w:footer="750" w:top="1560" w:bottom="940" w:left="1275" w:right="1417"/>
        </w:sectPr>
      </w:pPr>
    </w:p>
    <w:p>
      <w:pPr>
        <w:pStyle w:val="Heading1"/>
        <w:spacing w:before="36"/>
      </w:pPr>
      <w:r>
        <w:rPr/>
        <w:t>Glenn</w:t>
      </w:r>
      <w:r>
        <w:rPr>
          <w:spacing w:val="-1"/>
        </w:rPr>
        <w:t> </w:t>
      </w:r>
      <w:r>
        <w:rPr>
          <w:spacing w:val="-2"/>
        </w:rPr>
        <w:t>shunt</w:t>
      </w:r>
    </w:p>
    <w:p>
      <w:pPr>
        <w:pStyle w:val="BodyText"/>
        <w:spacing w:before="45"/>
        <w:ind w:left="0"/>
        <w:rPr>
          <w:b/>
        </w:rPr>
      </w:pPr>
    </w:p>
    <w:p>
      <w:pPr>
        <w:pStyle w:val="BodyText"/>
        <w:spacing w:before="1"/>
      </w:pPr>
      <w:r>
        <w:rPr/>
        <w:t>M.</w:t>
      </w:r>
      <w:r>
        <w:rPr>
          <w:spacing w:val="-5"/>
        </w:rPr>
        <w:t> </w:t>
      </w:r>
      <w:r>
        <w:rPr/>
        <w:t>Rijlaarsdam,</w:t>
      </w:r>
      <w:r>
        <w:rPr>
          <w:spacing w:val="-6"/>
        </w:rPr>
        <w:t> </w:t>
      </w:r>
      <w:r>
        <w:rPr/>
        <w:t>kindercardioloog,</w:t>
      </w:r>
      <w:r>
        <w:rPr>
          <w:spacing w:val="-5"/>
        </w:rPr>
        <w:t> </w:t>
      </w:r>
      <w:r>
        <w:rPr>
          <w:spacing w:val="-4"/>
        </w:rPr>
        <w:t>LUMC</w:t>
      </w:r>
    </w:p>
    <w:p>
      <w:pPr>
        <w:pStyle w:val="Heading1"/>
        <w:spacing w:before="292"/>
      </w:pPr>
      <w:r>
        <w:rPr>
          <w:spacing w:val="-2"/>
        </w:rPr>
        <w:t>Inleiding</w:t>
      </w:r>
    </w:p>
    <w:p>
      <w:pPr>
        <w:pStyle w:val="BodyText"/>
        <w:ind w:right="46"/>
      </w:pPr>
      <w:r>
        <w:rPr/>
        <w:t>In de literatuur zijn weinig evidence-based gegevens te vinden over frequentie van en risicofactoren voor trombose na bidirectionele Glenn shunt (PCPC).(1) Over het algemeen wordt gesteld, dat trombose post-Glenn procedure weinig frequent is. Studies over preventie</w:t>
      </w:r>
      <w:r>
        <w:rPr>
          <w:spacing w:val="-4"/>
        </w:rPr>
        <w:t> </w:t>
      </w:r>
      <w:r>
        <w:rPr/>
        <w:t>van</w:t>
      </w:r>
      <w:r>
        <w:rPr>
          <w:spacing w:val="-3"/>
        </w:rPr>
        <w:t> </w:t>
      </w:r>
      <w:r>
        <w:rPr/>
        <w:t>trombose</w:t>
      </w:r>
      <w:r>
        <w:rPr>
          <w:spacing w:val="-6"/>
        </w:rPr>
        <w:t> </w:t>
      </w:r>
      <w:r>
        <w:rPr/>
        <w:t>post-Glenn</w:t>
      </w:r>
      <w:r>
        <w:rPr>
          <w:spacing w:val="-1"/>
        </w:rPr>
        <w:t> </w:t>
      </w:r>
      <w:r>
        <w:rPr/>
        <w:t>zijn</w:t>
      </w:r>
      <w:r>
        <w:rPr>
          <w:spacing w:val="-1"/>
        </w:rPr>
        <w:t> </w:t>
      </w:r>
      <w:r>
        <w:rPr/>
        <w:t>schaars.</w:t>
      </w:r>
      <w:r>
        <w:rPr>
          <w:spacing w:val="40"/>
        </w:rPr>
        <w:t> </w:t>
      </w:r>
      <w:r>
        <w:rPr/>
        <w:t>Dit</w:t>
      </w:r>
      <w:r>
        <w:rPr>
          <w:spacing w:val="-1"/>
        </w:rPr>
        <w:t> </w:t>
      </w:r>
      <w:r>
        <w:rPr/>
        <w:t>is</w:t>
      </w:r>
      <w:r>
        <w:rPr>
          <w:spacing w:val="-4"/>
        </w:rPr>
        <w:t> </w:t>
      </w:r>
      <w:r>
        <w:rPr/>
        <w:t>des</w:t>
      </w:r>
      <w:r>
        <w:rPr>
          <w:spacing w:val="-4"/>
        </w:rPr>
        <w:t> </w:t>
      </w:r>
      <w:r>
        <w:rPr/>
        <w:t>te</w:t>
      </w:r>
      <w:r>
        <w:rPr>
          <w:spacing w:val="-4"/>
        </w:rPr>
        <w:t> </w:t>
      </w:r>
      <w:r>
        <w:rPr/>
        <w:t>meer</w:t>
      </w:r>
      <w:r>
        <w:rPr>
          <w:spacing w:val="-1"/>
        </w:rPr>
        <w:t> </w:t>
      </w:r>
      <w:r>
        <w:rPr/>
        <w:t>opvallend,</w:t>
      </w:r>
      <w:r>
        <w:rPr>
          <w:spacing w:val="-4"/>
        </w:rPr>
        <w:t> </w:t>
      </w:r>
      <w:r>
        <w:rPr/>
        <w:t>daar</w:t>
      </w:r>
      <w:r>
        <w:rPr>
          <w:spacing w:val="-3"/>
        </w:rPr>
        <w:t> </w:t>
      </w:r>
      <w:r>
        <w:rPr/>
        <w:t>stuwing van de VCS in de direct postoperatieve fase niet ongebruikelijk is. Weliswaar is er geen interpositie van lichaamsvreemd materiaal, zoals bij Fontan chirurgie, maar er bestaat een verse chirurgische naad (lees: endotheel laesie) in een nu veneus stroomgebied.</w:t>
      </w:r>
    </w:p>
    <w:p>
      <w:pPr>
        <w:pStyle w:val="BodyText"/>
        <w:spacing w:before="2"/>
      </w:pPr>
      <w:r>
        <w:rPr/>
        <w:t>Longembolieën, hoe klein ook, kunnen de longvaatweerstand verhogen en daarmee de prognose van een toekomstige TCPC negatief beïnvloeden.(2) Bovenstaande is ook van toepassing</w:t>
      </w:r>
      <w:r>
        <w:rPr>
          <w:spacing w:val="-3"/>
        </w:rPr>
        <w:t> </w:t>
      </w:r>
      <w:r>
        <w:rPr/>
        <w:t>op</w:t>
      </w:r>
      <w:r>
        <w:rPr>
          <w:spacing w:val="-4"/>
        </w:rPr>
        <w:t> </w:t>
      </w:r>
      <w:r>
        <w:rPr/>
        <w:t>de</w:t>
      </w:r>
      <w:r>
        <w:rPr>
          <w:spacing w:val="-2"/>
        </w:rPr>
        <w:t> </w:t>
      </w:r>
      <w:r>
        <w:rPr/>
        <w:t>Kawashima</w:t>
      </w:r>
      <w:r>
        <w:rPr>
          <w:spacing w:val="-2"/>
        </w:rPr>
        <w:t> </w:t>
      </w:r>
      <w:r>
        <w:rPr/>
        <w:t>operatie.</w:t>
      </w:r>
      <w:r>
        <w:rPr>
          <w:spacing w:val="-5"/>
        </w:rPr>
        <w:t> </w:t>
      </w:r>
      <w:r>
        <w:rPr/>
        <w:t>De</w:t>
      </w:r>
      <w:r>
        <w:rPr>
          <w:spacing w:val="-4"/>
        </w:rPr>
        <w:t> </w:t>
      </w:r>
      <w:r>
        <w:rPr/>
        <w:t>blinde</w:t>
      </w:r>
      <w:r>
        <w:rPr>
          <w:spacing w:val="-5"/>
        </w:rPr>
        <w:t> </w:t>
      </w:r>
      <w:r>
        <w:rPr/>
        <w:t>pulmonalisstomp</w:t>
      </w:r>
      <w:r>
        <w:rPr>
          <w:spacing w:val="-4"/>
        </w:rPr>
        <w:t> </w:t>
      </w:r>
      <w:r>
        <w:rPr/>
        <w:t>na</w:t>
      </w:r>
      <w:r>
        <w:rPr>
          <w:spacing w:val="-5"/>
        </w:rPr>
        <w:t> </w:t>
      </w:r>
      <w:r>
        <w:rPr/>
        <w:t>het</w:t>
      </w:r>
      <w:r>
        <w:rPr>
          <w:spacing w:val="-3"/>
        </w:rPr>
        <w:t> </w:t>
      </w:r>
      <w:r>
        <w:rPr/>
        <w:t>doornemen</w:t>
      </w:r>
      <w:r>
        <w:rPr>
          <w:spacing w:val="-1"/>
        </w:rPr>
        <w:t> </w:t>
      </w:r>
      <w:r>
        <w:rPr/>
        <w:t>van</w:t>
      </w:r>
      <w:r>
        <w:rPr>
          <w:spacing w:val="-4"/>
        </w:rPr>
        <w:t> </w:t>
      </w:r>
      <w:r>
        <w:rPr/>
        <w:t>de pulmonalis in het kader van de PCPC procedure kan ook een bron zijn voor eventuele systeemembolieën als de pulmonaalklep niet chirurgisch gesloten wordt.(3) Stasis van bloed in een hypoplastische kamer met weinig in- en outflow</w:t>
      </w:r>
      <w:r>
        <w:rPr>
          <w:spacing w:val="40"/>
        </w:rPr>
        <w:t> </w:t>
      </w:r>
      <w:r>
        <w:rPr/>
        <w:t>kan leiden tot lokale trombose.(3) Gebrek aan evidence leidt tot beleid, dat per ziekenhuis verschilt. In grote kindercardio-chirurgische</w:t>
      </w:r>
      <w:r>
        <w:rPr>
          <w:spacing w:val="-3"/>
        </w:rPr>
        <w:t> </w:t>
      </w:r>
      <w:r>
        <w:rPr/>
        <w:t>centra wordt steeds</w:t>
      </w:r>
      <w:r>
        <w:rPr>
          <w:spacing w:val="-1"/>
        </w:rPr>
        <w:t> </w:t>
      </w:r>
      <w:r>
        <w:rPr/>
        <w:t>vaker</w:t>
      </w:r>
      <w:r>
        <w:rPr>
          <w:spacing w:val="-2"/>
        </w:rPr>
        <w:t> </w:t>
      </w:r>
      <w:r>
        <w:rPr/>
        <w:t>een actief</w:t>
      </w:r>
      <w:r>
        <w:rPr>
          <w:spacing w:val="-3"/>
        </w:rPr>
        <w:t> </w:t>
      </w:r>
      <w:r>
        <w:rPr/>
        <w:t>antistollingsbeleid</w:t>
      </w:r>
      <w:r>
        <w:rPr>
          <w:spacing w:val="-2"/>
        </w:rPr>
        <w:t> </w:t>
      </w:r>
      <w:r>
        <w:rPr/>
        <w:t>post</w:t>
      </w:r>
      <w:r>
        <w:rPr>
          <w:spacing w:val="-4"/>
        </w:rPr>
        <w:t> </w:t>
      </w:r>
      <w:r>
        <w:rPr/>
        <w:t>Glenn</w:t>
      </w:r>
      <w:r>
        <w:rPr>
          <w:spacing w:val="-2"/>
        </w:rPr>
        <w:t> </w:t>
      </w:r>
      <w:r>
        <w:rPr/>
        <w:t>geadviseerd.</w:t>
      </w:r>
    </w:p>
    <w:p>
      <w:pPr>
        <w:pStyle w:val="BodyText"/>
        <w:spacing w:before="1"/>
        <w:ind w:left="0"/>
      </w:pPr>
    </w:p>
    <w:p>
      <w:pPr>
        <w:pStyle w:val="Heading1"/>
      </w:pPr>
      <w:r>
        <w:rPr/>
        <w:t>Samenvatting</w:t>
      </w:r>
      <w:r>
        <w:rPr>
          <w:spacing w:val="-4"/>
        </w:rPr>
        <w:t> </w:t>
      </w:r>
      <w:r>
        <w:rPr>
          <w:spacing w:val="-2"/>
        </w:rPr>
        <w:t>literatuur</w:t>
      </w:r>
    </w:p>
    <w:p>
      <w:pPr>
        <w:pStyle w:val="BodyText"/>
      </w:pPr>
      <w:hyperlink r:id="rId7">
        <w:r>
          <w:rPr>
            <w:b/>
          </w:rPr>
          <w:t>Forbes TJ</w:t>
        </w:r>
      </w:hyperlink>
      <w:r>
        <w:rPr>
          <w:b/>
        </w:rPr>
        <w:t> </w:t>
      </w:r>
      <w:r>
        <w:rPr/>
        <w:t>et al beschrijven in 1997 in een case-control studie 6 patiënten met levensbedreigende VCS- of pulmonaaltaktrombose na PCPC.(1) Vergelijking van deze patiënten met 24 patiënten zonder trombose</w:t>
      </w:r>
      <w:r>
        <w:rPr>
          <w:spacing w:val="-1"/>
        </w:rPr>
        <w:t> </w:t>
      </w:r>
      <w:r>
        <w:rPr/>
        <w:t>liet de volgende risicofactoren zien: bilaterale VCS, vrouwelijk geslacht, hogere leeftijd, lagere McGoon ratio, en pre-operatief verhoogde rechter</w:t>
      </w:r>
      <w:r>
        <w:rPr>
          <w:spacing w:val="-5"/>
        </w:rPr>
        <w:t> </w:t>
      </w:r>
      <w:r>
        <w:rPr/>
        <w:t>atrium</w:t>
      </w:r>
      <w:r>
        <w:rPr>
          <w:spacing w:val="-6"/>
        </w:rPr>
        <w:t> </w:t>
      </w:r>
      <w:r>
        <w:rPr/>
        <w:t>druk</w:t>
      </w:r>
      <w:r>
        <w:rPr>
          <w:spacing w:val="-5"/>
        </w:rPr>
        <w:t> </w:t>
      </w:r>
      <w:r>
        <w:rPr/>
        <w:t>en</w:t>
      </w:r>
      <w:r>
        <w:rPr>
          <w:spacing w:val="-5"/>
        </w:rPr>
        <w:t> </w:t>
      </w:r>
      <w:r>
        <w:rPr/>
        <w:t>einddiastolische</w:t>
      </w:r>
      <w:r>
        <w:rPr>
          <w:spacing w:val="-3"/>
        </w:rPr>
        <w:t> </w:t>
      </w:r>
      <w:r>
        <w:rPr/>
        <w:t>ventrikeldruk,</w:t>
      </w:r>
      <w:r>
        <w:rPr>
          <w:spacing w:val="-4"/>
        </w:rPr>
        <w:t> </w:t>
      </w:r>
      <w:r>
        <w:rPr/>
        <w:t>lange</w:t>
      </w:r>
      <w:r>
        <w:rPr>
          <w:spacing w:val="-6"/>
        </w:rPr>
        <w:t> </w:t>
      </w:r>
      <w:r>
        <w:rPr/>
        <w:t>aortaklemtijd</w:t>
      </w:r>
      <w:r>
        <w:rPr>
          <w:spacing w:val="-5"/>
        </w:rPr>
        <w:t> </w:t>
      </w:r>
      <w:r>
        <w:rPr/>
        <w:t>en post-operatief verhoogde VCS druk en slechte ventrikelfunctie.</w:t>
      </w:r>
    </w:p>
    <w:p>
      <w:pPr>
        <w:pStyle w:val="BodyText"/>
      </w:pPr>
      <w:r>
        <w:rPr>
          <w:b/>
        </w:rPr>
        <w:t>Chowdhury </w:t>
      </w:r>
      <w:r>
        <w:rPr/>
        <w:t>onderzocht in een histo-morfometrische studie peroperatief afgenomen longbiopten</w:t>
      </w:r>
      <w:r>
        <w:rPr>
          <w:spacing w:val="-3"/>
        </w:rPr>
        <w:t> </w:t>
      </w:r>
      <w:r>
        <w:rPr/>
        <w:t>van</w:t>
      </w:r>
      <w:r>
        <w:rPr>
          <w:spacing w:val="-3"/>
        </w:rPr>
        <w:t> </w:t>
      </w:r>
      <w:r>
        <w:rPr/>
        <w:t>29</w:t>
      </w:r>
      <w:r>
        <w:rPr>
          <w:spacing w:val="-3"/>
        </w:rPr>
        <w:t> </w:t>
      </w:r>
      <w:r>
        <w:rPr/>
        <w:t>PCPC-</w:t>
      </w:r>
      <w:r>
        <w:rPr>
          <w:spacing w:val="-1"/>
        </w:rPr>
        <w:t> </w:t>
      </w:r>
      <w:r>
        <w:rPr/>
        <w:t>en</w:t>
      </w:r>
      <w:r>
        <w:rPr>
          <w:spacing w:val="-3"/>
        </w:rPr>
        <w:t> </w:t>
      </w:r>
      <w:r>
        <w:rPr/>
        <w:t>15</w:t>
      </w:r>
      <w:r>
        <w:rPr>
          <w:spacing w:val="-3"/>
        </w:rPr>
        <w:t> </w:t>
      </w:r>
      <w:r>
        <w:rPr/>
        <w:t>TCPC</w:t>
      </w:r>
      <w:r>
        <w:rPr>
          <w:spacing w:val="-5"/>
        </w:rPr>
        <w:t> </w:t>
      </w:r>
      <w:r>
        <w:rPr/>
        <w:t>patiënten.(2)</w:t>
      </w:r>
      <w:r>
        <w:rPr>
          <w:spacing w:val="-1"/>
        </w:rPr>
        <w:t> </w:t>
      </w:r>
      <w:r>
        <w:rPr/>
        <w:t>Bij</w:t>
      </w:r>
      <w:r>
        <w:rPr>
          <w:spacing w:val="-2"/>
        </w:rPr>
        <w:t> </w:t>
      </w:r>
      <w:r>
        <w:rPr/>
        <w:t>4</w:t>
      </w:r>
      <w:r>
        <w:rPr>
          <w:spacing w:val="-1"/>
        </w:rPr>
        <w:t> </w:t>
      </w:r>
      <w:r>
        <w:rPr/>
        <w:t>(9.1%)</w:t>
      </w:r>
      <w:r>
        <w:rPr>
          <w:spacing w:val="-3"/>
        </w:rPr>
        <w:t> </w:t>
      </w:r>
      <w:r>
        <w:rPr/>
        <w:t>patiënten</w:t>
      </w:r>
      <w:r>
        <w:rPr>
          <w:spacing w:val="-3"/>
        </w:rPr>
        <w:t> </w:t>
      </w:r>
      <w:r>
        <w:rPr/>
        <w:t>werden</w:t>
      </w:r>
      <w:r>
        <w:rPr>
          <w:spacing w:val="-3"/>
        </w:rPr>
        <w:t> </w:t>
      </w:r>
      <w:r>
        <w:rPr/>
        <w:t>trombi</w:t>
      </w:r>
      <w:r>
        <w:rPr>
          <w:spacing w:val="-2"/>
        </w:rPr>
        <w:t> </w:t>
      </w:r>
      <w:r>
        <w:rPr/>
        <w:t>in de intrapulmonale arteriën gevonden. Een lage Nakata index (&lt; 210 U/m2) was significant gerelateerd met een intrapulmonale arteriële trombus.</w:t>
      </w:r>
    </w:p>
    <w:p>
      <w:pPr>
        <w:pStyle w:val="BodyText"/>
        <w:spacing w:before="277"/>
        <w:ind w:right="78"/>
      </w:pPr>
      <w:r>
        <w:rPr/>
        <w:t>Het zijn vooral de publicaties van de groep van Toronto, die enig licht werpen op de trombotische complicaties na PCPC.(4-6) In 2000 berichten </w:t>
      </w:r>
      <w:r>
        <w:rPr>
          <w:b/>
        </w:rPr>
        <w:t>Iyer GK et al </w:t>
      </w:r>
      <w:r>
        <w:rPr/>
        <w:t>over de verhoogde frequentie</w:t>
      </w:r>
      <w:r>
        <w:rPr>
          <w:spacing w:val="-4"/>
        </w:rPr>
        <w:t> </w:t>
      </w:r>
      <w:r>
        <w:rPr/>
        <w:t>van</w:t>
      </w:r>
      <w:r>
        <w:rPr>
          <w:spacing w:val="-3"/>
        </w:rPr>
        <w:t> </w:t>
      </w:r>
      <w:r>
        <w:rPr/>
        <w:t>trombose</w:t>
      </w:r>
      <w:r>
        <w:rPr>
          <w:spacing w:val="-4"/>
        </w:rPr>
        <w:t> </w:t>
      </w:r>
      <w:r>
        <w:rPr/>
        <w:t>na bilaterale</w:t>
      </w:r>
      <w:r>
        <w:rPr>
          <w:spacing w:val="-2"/>
        </w:rPr>
        <w:t> </w:t>
      </w:r>
      <w:r>
        <w:rPr/>
        <w:t>PCPC</w:t>
      </w:r>
      <w:r>
        <w:rPr>
          <w:spacing w:val="-3"/>
        </w:rPr>
        <w:t> </w:t>
      </w:r>
      <w:r>
        <w:rPr/>
        <w:t>met</w:t>
      </w:r>
      <w:r>
        <w:rPr>
          <w:spacing w:val="-3"/>
        </w:rPr>
        <w:t> </w:t>
      </w:r>
      <w:r>
        <w:rPr/>
        <w:t>name</w:t>
      </w:r>
      <w:r>
        <w:rPr>
          <w:spacing w:val="-1"/>
        </w:rPr>
        <w:t> </w:t>
      </w:r>
      <w:r>
        <w:rPr/>
        <w:t>in</w:t>
      </w:r>
      <w:r>
        <w:rPr>
          <w:spacing w:val="-2"/>
        </w:rPr>
        <w:t> </w:t>
      </w:r>
      <w:r>
        <w:rPr/>
        <w:t>de</w:t>
      </w:r>
      <w:r>
        <w:rPr>
          <w:spacing w:val="-1"/>
        </w:rPr>
        <w:t> </w:t>
      </w:r>
      <w:r>
        <w:rPr/>
        <w:t>centrale</w:t>
      </w:r>
      <w:r>
        <w:rPr>
          <w:spacing w:val="-3"/>
        </w:rPr>
        <w:t> </w:t>
      </w:r>
      <w:r>
        <w:rPr/>
        <w:t>pulmonaal</w:t>
      </w:r>
      <w:r>
        <w:rPr>
          <w:spacing w:val="-3"/>
        </w:rPr>
        <w:t> </w:t>
      </w:r>
      <w:r>
        <w:rPr/>
        <w:t>arteriën.(4) De</w:t>
      </w:r>
      <w:r>
        <w:rPr>
          <w:spacing w:val="-3"/>
        </w:rPr>
        <w:t> </w:t>
      </w:r>
      <w:r>
        <w:rPr/>
        <w:t>follow-up</w:t>
      </w:r>
      <w:r>
        <w:rPr>
          <w:spacing w:val="-1"/>
        </w:rPr>
        <w:t> </w:t>
      </w:r>
      <w:r>
        <w:rPr/>
        <w:t>gegevens</w:t>
      </w:r>
      <w:r>
        <w:rPr>
          <w:spacing w:val="-4"/>
        </w:rPr>
        <w:t> </w:t>
      </w:r>
      <w:r>
        <w:rPr/>
        <w:t>van</w:t>
      </w:r>
      <w:r>
        <w:rPr>
          <w:spacing w:val="-1"/>
        </w:rPr>
        <w:t> </w:t>
      </w:r>
      <w:r>
        <w:rPr/>
        <w:t>39</w:t>
      </w:r>
      <w:r>
        <w:rPr>
          <w:spacing w:val="-1"/>
        </w:rPr>
        <w:t> </w:t>
      </w:r>
      <w:r>
        <w:rPr/>
        <w:t>kinderen</w:t>
      </w:r>
      <w:r>
        <w:rPr>
          <w:spacing w:val="-1"/>
        </w:rPr>
        <w:t> </w:t>
      </w:r>
      <w:r>
        <w:rPr/>
        <w:t>met bilaterale PCPC</w:t>
      </w:r>
      <w:r>
        <w:rPr>
          <w:spacing w:val="-5"/>
        </w:rPr>
        <w:t> </w:t>
      </w:r>
      <w:r>
        <w:rPr/>
        <w:t>werden</w:t>
      </w:r>
      <w:r>
        <w:rPr>
          <w:spacing w:val="-1"/>
        </w:rPr>
        <w:t> </w:t>
      </w:r>
      <w:r>
        <w:rPr/>
        <w:t>vergeleken</w:t>
      </w:r>
      <w:r>
        <w:rPr>
          <w:spacing w:val="-1"/>
        </w:rPr>
        <w:t> </w:t>
      </w:r>
      <w:r>
        <w:rPr/>
        <w:t>met</w:t>
      </w:r>
      <w:r>
        <w:rPr>
          <w:spacing w:val="-3"/>
        </w:rPr>
        <w:t> </w:t>
      </w:r>
      <w:r>
        <w:rPr/>
        <w:t>die</w:t>
      </w:r>
      <w:r>
        <w:rPr>
          <w:spacing w:val="-1"/>
        </w:rPr>
        <w:t> </w:t>
      </w:r>
      <w:r>
        <w:rPr/>
        <w:t>van 274 kinderen met unilaterale PCPC. Trombose werd aangetoond bij 9 van de 39 (23%) kinderen met bilaterale VCS. Significante risicofactoren voor trombose waren verschil in diameter van de beide venae cavae en lagere, direct postoperatieve saturaties. Het aantal trombi in de unilaterale groep wordt verrassenderwijs niet vermeld. De auteurs concluderen,</w:t>
      </w:r>
      <w:r>
        <w:rPr>
          <w:spacing w:val="-1"/>
        </w:rPr>
        <w:t> </w:t>
      </w:r>
      <w:r>
        <w:rPr/>
        <w:t>dat antistolling een belangrijke rol</w:t>
      </w:r>
      <w:r>
        <w:rPr>
          <w:spacing w:val="-1"/>
        </w:rPr>
        <w:t> </w:t>
      </w:r>
      <w:r>
        <w:rPr/>
        <w:t>kan spelen na</w:t>
      </w:r>
      <w:r>
        <w:rPr>
          <w:spacing w:val="-1"/>
        </w:rPr>
        <w:t> </w:t>
      </w:r>
      <w:r>
        <w:rPr/>
        <w:t>bilaterale PCPC. Verder werd op basis van deze bevindingen de operatie techniek veranderd naar een meer V-vormige bilaterale PCPC om stasis van bloed in centrale pulmonaal arteriën te voorkomen</w:t>
      </w:r>
    </w:p>
    <w:p>
      <w:pPr>
        <w:pStyle w:val="BodyText"/>
        <w:spacing w:before="282"/>
      </w:pPr>
      <w:r>
        <w:rPr/>
        <w:t>In een vergelijkende studie van 37 patiënten met conventionele bilaterale PCPC (&gt; 80% zonder</w:t>
      </w:r>
      <w:r>
        <w:rPr>
          <w:spacing w:val="-4"/>
        </w:rPr>
        <w:t> </w:t>
      </w:r>
      <w:r>
        <w:rPr/>
        <w:t>antistolling)</w:t>
      </w:r>
      <w:r>
        <w:rPr>
          <w:spacing w:val="-4"/>
        </w:rPr>
        <w:t> </w:t>
      </w:r>
      <w:r>
        <w:rPr/>
        <w:t>en</w:t>
      </w:r>
      <w:r>
        <w:rPr>
          <w:spacing w:val="-4"/>
        </w:rPr>
        <w:t> </w:t>
      </w:r>
      <w:r>
        <w:rPr/>
        <w:t>24</w:t>
      </w:r>
      <w:r>
        <w:rPr>
          <w:spacing w:val="-2"/>
        </w:rPr>
        <w:t> </w:t>
      </w:r>
      <w:r>
        <w:rPr/>
        <w:t>patiënten</w:t>
      </w:r>
      <w:r>
        <w:rPr>
          <w:spacing w:val="-2"/>
        </w:rPr>
        <w:t> </w:t>
      </w:r>
      <w:r>
        <w:rPr/>
        <w:t>met</w:t>
      </w:r>
      <w:r>
        <w:rPr>
          <w:spacing w:val="-4"/>
        </w:rPr>
        <w:t> </w:t>
      </w:r>
      <w:r>
        <w:rPr/>
        <w:t>V-vormige</w:t>
      </w:r>
      <w:r>
        <w:rPr>
          <w:spacing w:val="-2"/>
        </w:rPr>
        <w:t> </w:t>
      </w:r>
      <w:r>
        <w:rPr/>
        <w:t>bilaterale</w:t>
      </w:r>
      <w:r>
        <w:rPr>
          <w:spacing w:val="-5"/>
        </w:rPr>
        <w:t> </w:t>
      </w:r>
      <w:r>
        <w:rPr/>
        <w:t>PCPC</w:t>
      </w:r>
      <w:r>
        <w:rPr>
          <w:spacing w:val="-4"/>
        </w:rPr>
        <w:t> </w:t>
      </w:r>
      <w:r>
        <w:rPr/>
        <w:t>(allen</w:t>
      </w:r>
      <w:r>
        <w:rPr>
          <w:spacing w:val="-4"/>
        </w:rPr>
        <w:t> </w:t>
      </w:r>
      <w:r>
        <w:rPr/>
        <w:t>met</w:t>
      </w:r>
      <w:r>
        <w:rPr>
          <w:spacing w:val="-1"/>
        </w:rPr>
        <w:t> </w:t>
      </w:r>
      <w:r>
        <w:rPr/>
        <w:t>antistolling)</w:t>
      </w:r>
    </w:p>
    <w:p>
      <w:pPr>
        <w:pStyle w:val="BodyText"/>
        <w:spacing w:after="0"/>
        <w:sectPr>
          <w:pgSz w:w="11910" w:h="16840"/>
          <w:pgMar w:header="0" w:footer="750" w:top="1560" w:bottom="940" w:left="1275" w:right="1417"/>
        </w:sectPr>
      </w:pPr>
    </w:p>
    <w:p>
      <w:pPr>
        <w:pStyle w:val="BodyText"/>
        <w:spacing w:before="37"/>
      </w:pPr>
      <w:r>
        <w:rPr/>
        <w:t>beschrijven </w:t>
      </w:r>
      <w:r>
        <w:rPr>
          <w:b/>
        </w:rPr>
        <w:t>Honjo O et al </w:t>
      </w:r>
      <w:r>
        <w:rPr/>
        <w:t>in 2010 de resultaten van deze technische modificatie in combinatie met routinematige postoperatieve antistolling. (5) Ongefractioneerde heparine werd gestart binnen 24 uur postoperatief, wat vervolgens werd vervangen door LWMH ( 85%) of aspirine ( 15%). Antistollingsmedicatie werd gecontinueerd tot aan de Fontanoperatie. Univariate analyse liet een significante afname van trombose in SVC of pulmonaal arteriën zien in de V-vormige groep. De trombosevrije overleving na 1 jaar was 95% in de V-vormige groep tegenover 82% in de conventionele groep, een niet significante tendens. Onafhankelijke voorspellers voor trombose waren kleinere patiënten, kleinere SVC’s,</w:t>
      </w:r>
      <w:r>
        <w:rPr>
          <w:spacing w:val="-4"/>
        </w:rPr>
        <w:t> </w:t>
      </w:r>
      <w:r>
        <w:rPr/>
        <w:t>lagere</w:t>
      </w:r>
      <w:r>
        <w:rPr>
          <w:spacing w:val="-5"/>
        </w:rPr>
        <w:t> </w:t>
      </w:r>
      <w:r>
        <w:rPr/>
        <w:t>Nakata</w:t>
      </w:r>
      <w:r>
        <w:rPr>
          <w:spacing w:val="-6"/>
        </w:rPr>
        <w:t> </w:t>
      </w:r>
      <w:r>
        <w:rPr/>
        <w:t>index,</w:t>
      </w:r>
      <w:r>
        <w:rPr>
          <w:spacing w:val="-4"/>
        </w:rPr>
        <w:t> </w:t>
      </w:r>
      <w:r>
        <w:rPr/>
        <w:t>en</w:t>
      </w:r>
      <w:r>
        <w:rPr>
          <w:spacing w:val="-5"/>
        </w:rPr>
        <w:t> </w:t>
      </w:r>
      <w:r>
        <w:rPr/>
        <w:t>lagere</w:t>
      </w:r>
      <w:r>
        <w:rPr>
          <w:spacing w:val="-6"/>
        </w:rPr>
        <w:t> </w:t>
      </w:r>
      <w:r>
        <w:rPr/>
        <w:t>postoperatieve</w:t>
      </w:r>
      <w:r>
        <w:rPr>
          <w:spacing w:val="-3"/>
        </w:rPr>
        <w:t> </w:t>
      </w:r>
      <w:r>
        <w:rPr/>
        <w:t>saturatie.</w:t>
      </w:r>
      <w:r>
        <w:rPr>
          <w:spacing w:val="-4"/>
        </w:rPr>
        <w:t> </w:t>
      </w:r>
      <w:r>
        <w:rPr/>
        <w:t>De</w:t>
      </w:r>
      <w:r>
        <w:rPr>
          <w:spacing w:val="-3"/>
        </w:rPr>
        <w:t> </w:t>
      </w:r>
      <w:r>
        <w:rPr/>
        <w:t>auteurs</w:t>
      </w:r>
      <w:r>
        <w:rPr>
          <w:spacing w:val="-6"/>
        </w:rPr>
        <w:t> </w:t>
      </w:r>
      <w:r>
        <w:rPr/>
        <w:t>concluderen,</w:t>
      </w:r>
      <w:r>
        <w:rPr>
          <w:spacing w:val="-4"/>
        </w:rPr>
        <w:t> </w:t>
      </w:r>
      <w:r>
        <w:rPr/>
        <w:t>dat vooral bovenstaande patiënt-gerelateerde factoren belangrijk zijn als voorspellers voor trombose, meer dan de operatietechniek. Interessant is verder, dat een pulmonaaltak-plastiek tijdens de Glenn procedure geen negatieve of positieve correlatie had met </w:t>
      </w:r>
      <w:r>
        <w:rPr>
          <w:spacing w:val="-2"/>
        </w:rPr>
        <w:t>trombusvorming.</w:t>
      </w:r>
    </w:p>
    <w:p>
      <w:pPr>
        <w:pStyle w:val="BodyText"/>
        <w:spacing w:before="1"/>
        <w:ind w:left="0"/>
      </w:pPr>
    </w:p>
    <w:p>
      <w:pPr>
        <w:pStyle w:val="BodyText"/>
      </w:pPr>
      <w:r>
        <w:rPr/>
        <w:t>In de cross-sectionele studie van </w:t>
      </w:r>
      <w:r>
        <w:rPr>
          <w:b/>
        </w:rPr>
        <w:t>Manlhiot G et al 2012 </w:t>
      </w:r>
      <w:r>
        <w:rPr/>
        <w:t>worden de trombotische complicaties (veneus, arterieel of intracardiaal) en de rol van tromboseprofylaxe beschreven bij een grote groep patiënten in verschillende stadia van het univentriculaire palliatieve traject. (6) Van de 139 patiënten met PCPC (12% bilateraal) kreeg 54% geen profylaxe, 6% alleen aspirine, 4% aspirine met enoxaparine, en 35% warfarine +/-enoxaparine tijdens instellen. Van deze 139 patiënten had 28% één of meerdere trombotische complicaties, de meeste vroeg postoperatief, maar 9% pas na ontslag. Het betreft hier vooral perifeer veneuze trombi. Bij univariate analyse toonden alleen prematuriteit en postoperatieve</w:t>
      </w:r>
      <w:r>
        <w:rPr>
          <w:spacing w:val="40"/>
        </w:rPr>
        <w:t> </w:t>
      </w:r>
      <w:r>
        <w:rPr/>
        <w:t>ECMO een verhoogd risico op trombose post PCPC. Multivariate analyse liet een verlaagd laat tromboserisico zien bij gebruik van tromboseprofylaxe op postoperatieve dag 7. Zonder trombose profylaxe daalt de trombose vrije overleving post Glenn van 93% 1 week post OK naar 59% 3.5 jaar post OK (-34%). Met trombose profylaxe daalt de trombose vrije</w:t>
      </w:r>
      <w:r>
        <w:rPr>
          <w:spacing w:val="40"/>
        </w:rPr>
        <w:t> </w:t>
      </w:r>
      <w:r>
        <w:rPr/>
        <w:t>overleving</w:t>
      </w:r>
      <w:r>
        <w:rPr>
          <w:spacing w:val="-1"/>
        </w:rPr>
        <w:t> </w:t>
      </w:r>
      <w:r>
        <w:rPr/>
        <w:t>van</w:t>
      </w:r>
      <w:r>
        <w:rPr>
          <w:spacing w:val="-1"/>
        </w:rPr>
        <w:t> </w:t>
      </w:r>
      <w:r>
        <w:rPr/>
        <w:t>87%</w:t>
      </w:r>
      <w:r>
        <w:rPr>
          <w:spacing w:val="-1"/>
        </w:rPr>
        <w:t> </w:t>
      </w:r>
      <w:r>
        <w:rPr/>
        <w:t>1</w:t>
      </w:r>
      <w:r>
        <w:rPr>
          <w:spacing w:val="-1"/>
        </w:rPr>
        <w:t> </w:t>
      </w:r>
      <w:r>
        <w:rPr/>
        <w:t>week</w:t>
      </w:r>
      <w:r>
        <w:rPr>
          <w:spacing w:val="-2"/>
        </w:rPr>
        <w:t> </w:t>
      </w:r>
      <w:r>
        <w:rPr/>
        <w:t>post</w:t>
      </w:r>
      <w:r>
        <w:rPr>
          <w:spacing w:val="-3"/>
        </w:rPr>
        <w:t> </w:t>
      </w:r>
      <w:r>
        <w:rPr/>
        <w:t>OK</w:t>
      </w:r>
      <w:r>
        <w:rPr>
          <w:spacing w:val="-2"/>
        </w:rPr>
        <w:t> </w:t>
      </w:r>
      <w:r>
        <w:rPr/>
        <w:t>naar</w:t>
      </w:r>
      <w:r>
        <w:rPr>
          <w:spacing w:val="-1"/>
        </w:rPr>
        <w:t> </w:t>
      </w:r>
      <w:r>
        <w:rPr/>
        <w:t>68%</w:t>
      </w:r>
      <w:r>
        <w:rPr>
          <w:spacing w:val="-2"/>
        </w:rPr>
        <w:t> </w:t>
      </w:r>
      <w:r>
        <w:rPr/>
        <w:t>3.5</w:t>
      </w:r>
      <w:r>
        <w:rPr>
          <w:spacing w:val="-4"/>
        </w:rPr>
        <w:t> </w:t>
      </w:r>
      <w:r>
        <w:rPr/>
        <w:t>jaar</w:t>
      </w:r>
      <w:r>
        <w:rPr>
          <w:spacing w:val="-1"/>
        </w:rPr>
        <w:t> </w:t>
      </w:r>
      <w:r>
        <w:rPr/>
        <w:t>post</w:t>
      </w:r>
      <w:r>
        <w:rPr>
          <w:spacing w:val="-1"/>
        </w:rPr>
        <w:t> </w:t>
      </w:r>
      <w:r>
        <w:rPr/>
        <w:t>OK</w:t>
      </w:r>
      <w:r>
        <w:rPr>
          <w:spacing w:val="-1"/>
        </w:rPr>
        <w:t> </w:t>
      </w:r>
      <w:r>
        <w:rPr/>
        <w:t>(-18</w:t>
      </w:r>
      <w:r>
        <w:rPr>
          <w:spacing w:val="-3"/>
        </w:rPr>
        <w:t> </w:t>
      </w:r>
      <w:r>
        <w:rPr/>
        <w:t>%).</w:t>
      </w:r>
      <w:r>
        <w:rPr>
          <w:spacing w:val="-2"/>
        </w:rPr>
        <w:t> </w:t>
      </w:r>
      <w:r>
        <w:rPr/>
        <w:t>Vooral LMWH</w:t>
      </w:r>
      <w:r>
        <w:rPr>
          <w:spacing w:val="-4"/>
        </w:rPr>
        <w:t> </w:t>
      </w:r>
      <w:r>
        <w:rPr/>
        <w:t>zou</w:t>
      </w:r>
      <w:r>
        <w:rPr>
          <w:spacing w:val="-2"/>
        </w:rPr>
        <w:t> </w:t>
      </w:r>
      <w:r>
        <w:rPr/>
        <w:t>een gunstig effect hebben na PCPC. Het bijgevoegde antistollingsprotocol van de Toronto-groep vermeldt vroeg postoperatief starten van enoxiparine bij patienten met bilaterale PCPC of met eerdere trombotische complicaties. Bij bilaterale PCPC wordt LMWH gecontinueerd tot aan de Fontanoperatie. Bij eerdere trombotische complicatie als indicatie wordt de LMWH gestopt 3 maanden post</w:t>
      </w:r>
      <w:r>
        <w:rPr>
          <w:spacing w:val="-1"/>
        </w:rPr>
        <w:t> </w:t>
      </w:r>
      <w:r>
        <w:rPr/>
        <w:t>PCPC. Er zou alleen een indicatie zijn voor aspirine of clopidogrel bij LMWH-overgevoeligheid of als toevoeging aan LMWH bij sterk verhoogd trombose risico.</w:t>
      </w:r>
    </w:p>
    <w:p>
      <w:pPr>
        <w:pStyle w:val="BodyText"/>
        <w:spacing w:before="271"/>
      </w:pPr>
      <w:r>
        <w:rPr/>
        <w:t>In</w:t>
      </w:r>
      <w:r>
        <w:rPr>
          <w:spacing w:val="-4"/>
        </w:rPr>
        <w:t> </w:t>
      </w:r>
      <w:r>
        <w:rPr/>
        <w:t>de</w:t>
      </w:r>
      <w:r>
        <w:rPr>
          <w:spacing w:val="-4"/>
        </w:rPr>
        <w:t> </w:t>
      </w:r>
      <w:r>
        <w:rPr/>
        <w:t>in</w:t>
      </w:r>
      <w:r>
        <w:rPr>
          <w:spacing w:val="-3"/>
        </w:rPr>
        <w:t> </w:t>
      </w:r>
      <w:r>
        <w:rPr/>
        <w:t>2012</w:t>
      </w:r>
      <w:r>
        <w:rPr>
          <w:spacing w:val="-2"/>
        </w:rPr>
        <w:t> </w:t>
      </w:r>
      <w:r>
        <w:rPr/>
        <w:t>verschenen</w:t>
      </w:r>
      <w:r>
        <w:rPr>
          <w:spacing w:val="-3"/>
        </w:rPr>
        <w:t> </w:t>
      </w:r>
      <w:r>
        <w:rPr/>
        <w:t>Evidence-Based</w:t>
      </w:r>
      <w:r>
        <w:rPr>
          <w:spacing w:val="-4"/>
        </w:rPr>
        <w:t> </w:t>
      </w:r>
      <w:r>
        <w:rPr/>
        <w:t>Clinical</w:t>
      </w:r>
      <w:r>
        <w:rPr>
          <w:spacing w:val="-4"/>
        </w:rPr>
        <w:t> </w:t>
      </w:r>
      <w:r>
        <w:rPr/>
        <w:t>Practice</w:t>
      </w:r>
      <w:r>
        <w:rPr>
          <w:spacing w:val="-1"/>
        </w:rPr>
        <w:t> </w:t>
      </w:r>
      <w:r>
        <w:rPr/>
        <w:t>Guideline,</w:t>
      </w:r>
      <w:r>
        <w:rPr>
          <w:spacing w:val="-4"/>
        </w:rPr>
        <w:t> </w:t>
      </w:r>
      <w:r>
        <w:rPr>
          <w:spacing w:val="-2"/>
        </w:rPr>
        <w:t>getiteld</w:t>
      </w:r>
    </w:p>
    <w:p>
      <w:pPr>
        <w:pStyle w:val="BodyText"/>
        <w:ind w:right="33"/>
      </w:pPr>
      <w:r>
        <w:rPr/>
        <w:t>“Antithrombotic Therapy in Neonates and Children” van de American College of Chest Physicians olv </w:t>
      </w:r>
      <w:r>
        <w:rPr>
          <w:b/>
        </w:rPr>
        <w:t>Monagle </w:t>
      </w:r>
      <w:r>
        <w:rPr/>
        <w:t>wordt gesteld, dat trombotische complicaties na de Glenn shunt weinig frequent zijn en dat er geen gepubliceerde data zijn die routine trombose profylaxe post-Glenn steunen.(7)</w:t>
      </w:r>
      <w:r>
        <w:rPr>
          <w:spacing w:val="-3"/>
        </w:rPr>
        <w:t> </w:t>
      </w:r>
      <w:r>
        <w:rPr/>
        <w:t>Op theoretische</w:t>
      </w:r>
      <w:r>
        <w:rPr>
          <w:spacing w:val="-3"/>
        </w:rPr>
        <w:t> </w:t>
      </w:r>
      <w:r>
        <w:rPr/>
        <w:t>gronden</w:t>
      </w:r>
      <w:r>
        <w:rPr>
          <w:spacing w:val="-2"/>
        </w:rPr>
        <w:t> </w:t>
      </w:r>
      <w:r>
        <w:rPr/>
        <w:t>zou tromboseprofylaxe</w:t>
      </w:r>
      <w:r>
        <w:rPr>
          <w:spacing w:val="-3"/>
        </w:rPr>
        <w:t> </w:t>
      </w:r>
      <w:r>
        <w:rPr/>
        <w:t>echter</w:t>
      </w:r>
      <w:r>
        <w:rPr>
          <w:spacing w:val="-2"/>
        </w:rPr>
        <w:t> </w:t>
      </w:r>
      <w:r>
        <w:rPr/>
        <w:t>het risico</w:t>
      </w:r>
      <w:r>
        <w:rPr>
          <w:spacing w:val="-3"/>
        </w:rPr>
        <w:t> </w:t>
      </w:r>
      <w:r>
        <w:rPr/>
        <w:t>op vroeg</w:t>
      </w:r>
      <w:r>
        <w:rPr>
          <w:spacing w:val="-3"/>
        </w:rPr>
        <w:t> </w:t>
      </w:r>
      <w:r>
        <w:rPr/>
        <w:t>post-operatieve</w:t>
      </w:r>
      <w:r>
        <w:rPr>
          <w:spacing w:val="-5"/>
        </w:rPr>
        <w:t> </w:t>
      </w:r>
      <w:r>
        <w:rPr/>
        <w:t>trombose</w:t>
      </w:r>
      <w:r>
        <w:rPr>
          <w:spacing w:val="-5"/>
        </w:rPr>
        <w:t> </w:t>
      </w:r>
      <w:r>
        <w:rPr/>
        <w:t>in</w:t>
      </w:r>
      <w:r>
        <w:rPr>
          <w:spacing w:val="-4"/>
        </w:rPr>
        <w:t> </w:t>
      </w:r>
      <w:r>
        <w:rPr/>
        <w:t>het</w:t>
      </w:r>
      <w:r>
        <w:rPr>
          <w:spacing w:val="-4"/>
        </w:rPr>
        <w:t> </w:t>
      </w:r>
      <w:r>
        <w:rPr/>
        <w:t>pulmonale</w:t>
      </w:r>
      <w:r>
        <w:rPr>
          <w:spacing w:val="-2"/>
        </w:rPr>
        <w:t> </w:t>
      </w:r>
      <w:r>
        <w:rPr/>
        <w:t>vaatbed</w:t>
      </w:r>
      <w:r>
        <w:rPr>
          <w:spacing w:val="-4"/>
        </w:rPr>
        <w:t> </w:t>
      </w:r>
      <w:r>
        <w:rPr/>
        <w:t>kunnen</w:t>
      </w:r>
      <w:r>
        <w:rPr>
          <w:spacing w:val="-4"/>
        </w:rPr>
        <w:t> </w:t>
      </w:r>
      <w:r>
        <w:rPr/>
        <w:t>verminderen</w:t>
      </w:r>
      <w:r>
        <w:rPr>
          <w:spacing w:val="-4"/>
        </w:rPr>
        <w:t> </w:t>
      </w:r>
      <w:r>
        <w:rPr/>
        <w:t>en</w:t>
      </w:r>
      <w:r>
        <w:rPr>
          <w:spacing w:val="-4"/>
        </w:rPr>
        <w:t> </w:t>
      </w:r>
      <w:r>
        <w:rPr/>
        <w:t>daarmee de kans op latere succesvolle Fontan completering verhogen. De graad 2 C aanbeveling in bovengenoemde richtlijn luidt dan ook: voor kinderen met PCPC wordt post-operatieve ongefractioneerde heparine aanbevolen. Tav van interstage Glenn-Fontan antistolling is de aanbeveling geheel vrijblijvend: geen antistolling</w:t>
      </w:r>
      <w:r>
        <w:rPr>
          <w:spacing w:val="-4"/>
        </w:rPr>
        <w:t> </w:t>
      </w:r>
      <w:r>
        <w:rPr/>
        <w:t>of plaatjesremmers of antistolling met VKA met een</w:t>
      </w:r>
      <w:r>
        <w:rPr>
          <w:spacing w:val="-3"/>
        </w:rPr>
        <w:t> </w:t>
      </w:r>
      <w:r>
        <w:rPr/>
        <w:t>target</w:t>
      </w:r>
      <w:r>
        <w:rPr>
          <w:spacing w:val="-1"/>
        </w:rPr>
        <w:t> </w:t>
      </w:r>
      <w:r>
        <w:rPr/>
        <w:t>INR</w:t>
      </w:r>
      <w:r>
        <w:rPr>
          <w:spacing w:val="-3"/>
        </w:rPr>
        <w:t> </w:t>
      </w:r>
      <w:r>
        <w:rPr/>
        <w:t>van</w:t>
      </w:r>
      <w:r>
        <w:rPr>
          <w:spacing w:val="-1"/>
        </w:rPr>
        <w:t> </w:t>
      </w:r>
      <w:r>
        <w:rPr/>
        <w:t>2.5</w:t>
      </w:r>
      <w:r>
        <w:rPr>
          <w:spacing w:val="-2"/>
        </w:rPr>
        <w:t> </w:t>
      </w:r>
      <w:r>
        <w:rPr/>
        <w:t>(range,</w:t>
      </w:r>
      <w:r>
        <w:rPr>
          <w:spacing w:val="-4"/>
        </w:rPr>
        <w:t> </w:t>
      </w:r>
      <w:r>
        <w:rPr/>
        <w:t>2.0</w:t>
      </w:r>
      <w:r>
        <w:rPr>
          <w:spacing w:val="-3"/>
        </w:rPr>
        <w:t> </w:t>
      </w:r>
      <w:r>
        <w:rPr/>
        <w:t>tot</w:t>
      </w:r>
      <w:r>
        <w:rPr>
          <w:spacing w:val="-3"/>
        </w:rPr>
        <w:t> </w:t>
      </w:r>
      <w:r>
        <w:rPr/>
        <w:t>3.0).</w:t>
      </w:r>
      <w:r>
        <w:rPr>
          <w:spacing w:val="-2"/>
        </w:rPr>
        <w:t> </w:t>
      </w:r>
      <w:r>
        <w:rPr/>
        <w:t>Er</w:t>
      </w:r>
      <w:r>
        <w:rPr>
          <w:spacing w:val="-6"/>
        </w:rPr>
        <w:t> </w:t>
      </w:r>
      <w:r>
        <w:rPr/>
        <w:t>worden geen</w:t>
      </w:r>
      <w:r>
        <w:rPr>
          <w:spacing w:val="-2"/>
        </w:rPr>
        <w:t> </w:t>
      </w:r>
      <w:r>
        <w:rPr/>
        <w:t>risicofactoren </w:t>
      </w:r>
      <w:r>
        <w:rPr>
          <w:spacing w:val="-2"/>
        </w:rPr>
        <w:t>geformuleerd.</w:t>
      </w:r>
    </w:p>
    <w:p>
      <w:pPr>
        <w:pStyle w:val="BodyText"/>
        <w:spacing w:after="0"/>
        <w:sectPr>
          <w:pgSz w:w="11910" w:h="16840"/>
          <w:pgMar w:header="0" w:footer="750" w:top="1360" w:bottom="940" w:left="1275" w:right="1417"/>
        </w:sectPr>
      </w:pPr>
    </w:p>
    <w:p>
      <w:pPr>
        <w:pStyle w:val="BodyText"/>
        <w:spacing w:before="37"/>
        <w:ind w:right="78"/>
      </w:pPr>
      <w:r>
        <w:rPr/>
        <w:t>JP Cheatham meldt in zijn voordracht van mei 2013 voor de American Association of Thoracic Surgeons trombose bij 6 van 60 patiënten (10%), die na aanvankelijke hybride Norwood een comprehensive stage II (boogreconstructie met Glenn) ondergingen. De trombose was bij alle patiënten gelokaliseerd in de linkerpulmonaaltak. Drie van deze patiënten overleden in de direct postoperatieve fase.</w:t>
      </w:r>
      <w:r>
        <w:rPr>
          <w:spacing w:val="40"/>
        </w:rPr>
        <w:t> </w:t>
      </w:r>
      <w:r>
        <w:rPr/>
        <w:t>Nav deze bevindingen werd een postoperatief antistollingsprotocol opgesteld: volledige heparinisatie gedurende 6 weken, evt mbv LMWH, en prospectieve lab monitoring voor trombusvorming. In een recente publicatie</w:t>
      </w:r>
      <w:r>
        <w:rPr>
          <w:spacing w:val="-3"/>
        </w:rPr>
        <w:t> </w:t>
      </w:r>
      <w:r>
        <w:rPr/>
        <w:t>van</w:t>
      </w:r>
      <w:r>
        <w:rPr>
          <w:spacing w:val="-3"/>
        </w:rPr>
        <w:t> </w:t>
      </w:r>
      <w:r>
        <w:rPr>
          <w:b/>
        </w:rPr>
        <w:t>Galantowicz</w:t>
      </w:r>
      <w:r>
        <w:rPr>
          <w:b/>
          <w:spacing w:val="-3"/>
        </w:rPr>
        <w:t> </w:t>
      </w:r>
      <w:r>
        <w:rPr>
          <w:b/>
        </w:rPr>
        <w:t>et</w:t>
      </w:r>
      <w:r>
        <w:rPr>
          <w:b/>
          <w:spacing w:val="-3"/>
        </w:rPr>
        <w:t> </w:t>
      </w:r>
      <w:r>
        <w:rPr>
          <w:b/>
        </w:rPr>
        <w:t>al</w:t>
      </w:r>
      <w:r>
        <w:rPr>
          <w:b/>
          <w:spacing w:val="-3"/>
        </w:rPr>
        <w:t> </w:t>
      </w:r>
      <w:r>
        <w:rPr/>
        <w:t>wordt</w:t>
      </w:r>
      <w:r>
        <w:rPr>
          <w:spacing w:val="-5"/>
        </w:rPr>
        <w:t> </w:t>
      </w:r>
      <w:r>
        <w:rPr/>
        <w:t>de</w:t>
      </w:r>
      <w:r>
        <w:rPr>
          <w:spacing w:val="-3"/>
        </w:rPr>
        <w:t> </w:t>
      </w:r>
      <w:r>
        <w:rPr/>
        <w:t>preprotocol-groep</w:t>
      </w:r>
      <w:r>
        <w:rPr>
          <w:spacing w:val="-2"/>
        </w:rPr>
        <w:t> </w:t>
      </w:r>
      <w:r>
        <w:rPr/>
        <w:t>(64</w:t>
      </w:r>
      <w:r>
        <w:rPr>
          <w:spacing w:val="-5"/>
        </w:rPr>
        <w:t> </w:t>
      </w:r>
      <w:r>
        <w:rPr/>
        <w:t>patiënten)</w:t>
      </w:r>
      <w:r>
        <w:rPr>
          <w:spacing w:val="-5"/>
        </w:rPr>
        <w:t> </w:t>
      </w:r>
      <w:r>
        <w:rPr/>
        <w:t>vergeleken</w:t>
      </w:r>
      <w:r>
        <w:rPr>
          <w:spacing w:val="-2"/>
        </w:rPr>
        <w:t> </w:t>
      </w:r>
      <w:r>
        <w:rPr/>
        <w:t>met de post-protocolgroep (55 patiënten). Pre-protocol mortaliteit was 19% (12 van 64), waarvan 7 door pulmonalistak trombose. Chirurgisch-technische aanpassingen, vooral gericht op het uitstellen van de Glenn-chirurgie bij te kleine VCS of te kleine pulmonaaltakken in combinatie met postoperatieve antistolling deed de mortaliteit dalen naar 4%. In de post-protocolgroep van 55 patiënten werd geen pulmonalistaktrombose meer gezien. (8)</w:t>
      </w:r>
    </w:p>
    <w:p>
      <w:pPr>
        <w:pStyle w:val="Heading1"/>
        <w:spacing w:before="279"/>
      </w:pPr>
      <w:r>
        <w:rPr/>
        <w:t>Conclusies</w:t>
      </w:r>
      <w:r>
        <w:rPr>
          <w:spacing w:val="-3"/>
        </w:rPr>
        <w:t> </w:t>
      </w:r>
      <w:r>
        <w:rPr>
          <w:spacing w:val="-2"/>
        </w:rPr>
        <w:t>literatuur</w:t>
      </w:r>
    </w:p>
    <w:p>
      <w:pPr>
        <w:pStyle w:val="BodyText"/>
        <w:spacing w:before="39" w:after="1"/>
        <w:ind w:left="0"/>
        <w:rPr>
          <w:b/>
          <w:sz w:val="20"/>
        </w:rPr>
      </w:pPr>
    </w:p>
    <w:tbl>
      <w:tblPr>
        <w:tblW w:w="0" w:type="auto"/>
        <w:jc w:val="left"/>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6"/>
        <w:gridCol w:w="7088"/>
      </w:tblGrid>
      <w:tr>
        <w:trPr>
          <w:trHeight w:val="877" w:hRule="atLeast"/>
        </w:trPr>
        <w:tc>
          <w:tcPr>
            <w:tcW w:w="1346" w:type="dxa"/>
            <w:shd w:val="clear" w:color="auto" w:fill="C0C0C0"/>
          </w:tcPr>
          <w:p>
            <w:pPr>
              <w:pStyle w:val="TableParagraph"/>
              <w:spacing w:before="292"/>
              <w:rPr>
                <w:sz w:val="24"/>
              </w:rPr>
            </w:pPr>
            <w:r>
              <w:rPr>
                <w:sz w:val="24"/>
              </w:rPr>
              <w:t>Niveau</w:t>
            </w:r>
            <w:r>
              <w:rPr>
                <w:spacing w:val="-5"/>
                <w:sz w:val="24"/>
              </w:rPr>
              <w:t> </w:t>
            </w:r>
            <w:r>
              <w:rPr>
                <w:spacing w:val="-10"/>
                <w:sz w:val="24"/>
              </w:rPr>
              <w:t>3</w:t>
            </w:r>
          </w:p>
        </w:tc>
        <w:tc>
          <w:tcPr>
            <w:tcW w:w="7088" w:type="dxa"/>
          </w:tcPr>
          <w:p>
            <w:pPr>
              <w:pStyle w:val="TableParagraph"/>
              <w:ind w:right="85"/>
              <w:rPr>
                <w:sz w:val="24"/>
              </w:rPr>
            </w:pPr>
            <w:r>
              <w:rPr>
                <w:sz w:val="24"/>
              </w:rPr>
              <w:t>Bilaterale</w:t>
            </w:r>
            <w:r>
              <w:rPr>
                <w:spacing w:val="-5"/>
                <w:sz w:val="24"/>
              </w:rPr>
              <w:t> </w:t>
            </w:r>
            <w:r>
              <w:rPr>
                <w:sz w:val="24"/>
              </w:rPr>
              <w:t>PCPC</w:t>
            </w:r>
            <w:r>
              <w:rPr>
                <w:spacing w:val="-5"/>
                <w:sz w:val="24"/>
              </w:rPr>
              <w:t> </w:t>
            </w:r>
            <w:r>
              <w:rPr>
                <w:sz w:val="24"/>
              </w:rPr>
              <w:t>geeft</w:t>
            </w:r>
            <w:r>
              <w:rPr>
                <w:spacing w:val="-5"/>
                <w:sz w:val="24"/>
              </w:rPr>
              <w:t> </w:t>
            </w:r>
            <w:r>
              <w:rPr>
                <w:sz w:val="24"/>
              </w:rPr>
              <w:t>mogelijk</w:t>
            </w:r>
            <w:r>
              <w:rPr>
                <w:spacing w:val="-4"/>
                <w:sz w:val="24"/>
              </w:rPr>
              <w:t> </w:t>
            </w:r>
            <w:r>
              <w:rPr>
                <w:sz w:val="24"/>
              </w:rPr>
              <w:t>een</w:t>
            </w:r>
            <w:r>
              <w:rPr>
                <w:spacing w:val="-5"/>
                <w:sz w:val="24"/>
              </w:rPr>
              <w:t> </w:t>
            </w:r>
            <w:r>
              <w:rPr>
                <w:sz w:val="24"/>
              </w:rPr>
              <w:t>hoger</w:t>
            </w:r>
            <w:r>
              <w:rPr>
                <w:spacing w:val="-6"/>
                <w:sz w:val="24"/>
              </w:rPr>
              <w:t> </w:t>
            </w:r>
            <w:r>
              <w:rPr>
                <w:sz w:val="24"/>
              </w:rPr>
              <w:t>trombose</w:t>
            </w:r>
            <w:r>
              <w:rPr>
                <w:spacing w:val="-3"/>
                <w:sz w:val="24"/>
              </w:rPr>
              <w:t> </w:t>
            </w:r>
            <w:r>
              <w:rPr>
                <w:sz w:val="24"/>
              </w:rPr>
              <w:t>risico</w:t>
            </w:r>
            <w:r>
              <w:rPr>
                <w:spacing w:val="-6"/>
                <w:sz w:val="24"/>
              </w:rPr>
              <w:t> </w:t>
            </w:r>
            <w:r>
              <w:rPr>
                <w:sz w:val="24"/>
              </w:rPr>
              <w:t>dan unilaterale PCPC</w:t>
            </w:r>
          </w:p>
          <w:p>
            <w:pPr>
              <w:pStyle w:val="TableParagraph"/>
              <w:spacing w:line="273" w:lineRule="exact"/>
              <w:rPr>
                <w:sz w:val="24"/>
              </w:rPr>
            </w:pPr>
            <w:r>
              <w:rPr>
                <w:sz w:val="24"/>
              </w:rPr>
              <w:t>Iyer</w:t>
            </w:r>
            <w:r>
              <w:rPr>
                <w:spacing w:val="-1"/>
                <w:sz w:val="24"/>
              </w:rPr>
              <w:t> </w:t>
            </w:r>
            <w:r>
              <w:rPr>
                <w:sz w:val="24"/>
              </w:rPr>
              <w:t>2000</w:t>
            </w:r>
            <w:r>
              <w:rPr>
                <w:spacing w:val="1"/>
                <w:sz w:val="24"/>
              </w:rPr>
              <w:t> </w:t>
            </w:r>
            <w:r>
              <w:rPr>
                <w:spacing w:val="-5"/>
                <w:sz w:val="24"/>
              </w:rPr>
              <w:t>(B)</w:t>
            </w:r>
          </w:p>
        </w:tc>
      </w:tr>
      <w:tr>
        <w:trPr>
          <w:trHeight w:val="880" w:hRule="atLeast"/>
        </w:trPr>
        <w:tc>
          <w:tcPr>
            <w:tcW w:w="1346" w:type="dxa"/>
            <w:shd w:val="clear" w:color="auto" w:fill="C0C0C0"/>
          </w:tcPr>
          <w:p>
            <w:pPr>
              <w:pStyle w:val="TableParagraph"/>
              <w:spacing w:before="292"/>
              <w:rPr>
                <w:sz w:val="24"/>
              </w:rPr>
            </w:pPr>
            <w:r>
              <w:rPr>
                <w:sz w:val="24"/>
              </w:rPr>
              <w:t>Niveau</w:t>
            </w:r>
            <w:r>
              <w:rPr>
                <w:spacing w:val="-5"/>
                <w:sz w:val="24"/>
              </w:rPr>
              <w:t> </w:t>
            </w:r>
            <w:r>
              <w:rPr>
                <w:spacing w:val="-10"/>
                <w:sz w:val="24"/>
              </w:rPr>
              <w:t>3</w:t>
            </w:r>
          </w:p>
        </w:tc>
        <w:tc>
          <w:tcPr>
            <w:tcW w:w="7088" w:type="dxa"/>
          </w:tcPr>
          <w:p>
            <w:pPr>
              <w:pStyle w:val="TableParagraph"/>
              <w:spacing w:line="292" w:lineRule="exact"/>
              <w:rPr>
                <w:sz w:val="24"/>
              </w:rPr>
            </w:pPr>
            <w:r>
              <w:rPr>
                <w:sz w:val="24"/>
              </w:rPr>
              <w:t>Post</w:t>
            </w:r>
            <w:r>
              <w:rPr>
                <w:spacing w:val="-4"/>
                <w:sz w:val="24"/>
              </w:rPr>
              <w:t> </w:t>
            </w:r>
            <w:r>
              <w:rPr>
                <w:sz w:val="24"/>
              </w:rPr>
              <w:t>Glenn</w:t>
            </w:r>
            <w:r>
              <w:rPr>
                <w:spacing w:val="-3"/>
                <w:sz w:val="24"/>
              </w:rPr>
              <w:t> </w:t>
            </w:r>
            <w:r>
              <w:rPr>
                <w:sz w:val="24"/>
              </w:rPr>
              <w:t>geeft</w:t>
            </w:r>
            <w:r>
              <w:rPr>
                <w:spacing w:val="-4"/>
                <w:sz w:val="24"/>
              </w:rPr>
              <w:t> </w:t>
            </w:r>
            <w:r>
              <w:rPr>
                <w:sz w:val="24"/>
              </w:rPr>
              <w:t>tromboseprofylaxe</w:t>
            </w:r>
            <w:r>
              <w:rPr>
                <w:spacing w:val="-4"/>
                <w:sz w:val="24"/>
              </w:rPr>
              <w:t> </w:t>
            </w:r>
            <w:r>
              <w:rPr>
                <w:sz w:val="24"/>
              </w:rPr>
              <w:t>(LMWH</w:t>
            </w:r>
            <w:r>
              <w:rPr>
                <w:spacing w:val="-3"/>
                <w:sz w:val="24"/>
              </w:rPr>
              <w:t> </w:t>
            </w:r>
            <w:r>
              <w:rPr>
                <w:sz w:val="24"/>
              </w:rPr>
              <w:t>of</w:t>
            </w:r>
            <w:r>
              <w:rPr>
                <w:spacing w:val="-2"/>
                <w:sz w:val="24"/>
              </w:rPr>
              <w:t> </w:t>
            </w:r>
            <w:r>
              <w:rPr>
                <w:sz w:val="24"/>
              </w:rPr>
              <w:t>VKA</w:t>
            </w:r>
            <w:r>
              <w:rPr>
                <w:spacing w:val="-1"/>
                <w:sz w:val="24"/>
              </w:rPr>
              <w:t> </w:t>
            </w:r>
            <w:r>
              <w:rPr>
                <w:sz w:val="24"/>
              </w:rPr>
              <w:t>of</w:t>
            </w:r>
            <w:r>
              <w:rPr>
                <w:spacing w:val="-3"/>
                <w:sz w:val="24"/>
              </w:rPr>
              <w:t> </w:t>
            </w:r>
            <w:r>
              <w:rPr>
                <w:spacing w:val="-2"/>
                <w:sz w:val="24"/>
              </w:rPr>
              <w:t>aspirine)</w:t>
            </w:r>
          </w:p>
          <w:p>
            <w:pPr>
              <w:pStyle w:val="TableParagraph"/>
              <w:spacing w:line="290" w:lineRule="atLeast"/>
              <w:ind w:right="85"/>
              <w:rPr>
                <w:sz w:val="24"/>
              </w:rPr>
            </w:pPr>
            <w:r>
              <w:rPr>
                <w:sz w:val="24"/>
              </w:rPr>
              <w:t>mogelijk</w:t>
            </w:r>
            <w:r>
              <w:rPr>
                <w:spacing w:val="-5"/>
                <w:sz w:val="24"/>
              </w:rPr>
              <w:t> </w:t>
            </w:r>
            <w:r>
              <w:rPr>
                <w:sz w:val="24"/>
              </w:rPr>
              <w:t>een</w:t>
            </w:r>
            <w:r>
              <w:rPr>
                <w:spacing w:val="-4"/>
                <w:sz w:val="24"/>
              </w:rPr>
              <w:t> </w:t>
            </w:r>
            <w:r>
              <w:rPr>
                <w:sz w:val="24"/>
              </w:rPr>
              <w:t>minder</w:t>
            </w:r>
            <w:r>
              <w:rPr>
                <w:spacing w:val="-6"/>
                <w:sz w:val="24"/>
              </w:rPr>
              <w:t> </w:t>
            </w:r>
            <w:r>
              <w:rPr>
                <w:sz w:val="24"/>
              </w:rPr>
              <w:t>grote</w:t>
            </w:r>
            <w:r>
              <w:rPr>
                <w:spacing w:val="-6"/>
                <w:sz w:val="24"/>
              </w:rPr>
              <w:t> </w:t>
            </w:r>
            <w:r>
              <w:rPr>
                <w:sz w:val="24"/>
              </w:rPr>
              <w:t>daling</w:t>
            </w:r>
            <w:r>
              <w:rPr>
                <w:spacing w:val="-7"/>
                <w:sz w:val="24"/>
              </w:rPr>
              <w:t> </w:t>
            </w:r>
            <w:r>
              <w:rPr>
                <w:sz w:val="24"/>
              </w:rPr>
              <w:t>van</w:t>
            </w:r>
            <w:r>
              <w:rPr>
                <w:spacing w:val="-6"/>
                <w:sz w:val="24"/>
              </w:rPr>
              <w:t> </w:t>
            </w:r>
            <w:r>
              <w:rPr>
                <w:sz w:val="24"/>
              </w:rPr>
              <w:t>de</w:t>
            </w:r>
            <w:r>
              <w:rPr>
                <w:spacing w:val="-6"/>
                <w:sz w:val="24"/>
              </w:rPr>
              <w:t> </w:t>
            </w:r>
            <w:r>
              <w:rPr>
                <w:sz w:val="24"/>
              </w:rPr>
              <w:t>trombosevrije overleving Manlhiot 2012 (B)</w:t>
            </w:r>
          </w:p>
        </w:tc>
      </w:tr>
      <w:tr>
        <w:trPr>
          <w:trHeight w:val="878" w:hRule="atLeast"/>
        </w:trPr>
        <w:tc>
          <w:tcPr>
            <w:tcW w:w="1346" w:type="dxa"/>
            <w:shd w:val="clear" w:color="auto" w:fill="C0C0C0"/>
          </w:tcPr>
          <w:p>
            <w:pPr>
              <w:pStyle w:val="TableParagraph"/>
              <w:spacing w:before="292"/>
              <w:rPr>
                <w:sz w:val="24"/>
              </w:rPr>
            </w:pPr>
            <w:r>
              <w:rPr>
                <w:sz w:val="24"/>
              </w:rPr>
              <w:t>Niveau</w:t>
            </w:r>
            <w:r>
              <w:rPr>
                <w:spacing w:val="-5"/>
                <w:sz w:val="24"/>
              </w:rPr>
              <w:t> </w:t>
            </w:r>
            <w:r>
              <w:rPr>
                <w:spacing w:val="-10"/>
                <w:sz w:val="24"/>
              </w:rPr>
              <w:t>3</w:t>
            </w:r>
          </w:p>
        </w:tc>
        <w:tc>
          <w:tcPr>
            <w:tcW w:w="7088" w:type="dxa"/>
          </w:tcPr>
          <w:p>
            <w:pPr>
              <w:pStyle w:val="TableParagraph"/>
              <w:spacing w:line="292" w:lineRule="exact"/>
              <w:rPr>
                <w:sz w:val="24"/>
              </w:rPr>
            </w:pPr>
            <w:r>
              <w:rPr>
                <w:sz w:val="24"/>
              </w:rPr>
              <w:t>Gebruik</w:t>
            </w:r>
            <w:r>
              <w:rPr>
                <w:spacing w:val="-4"/>
                <w:sz w:val="24"/>
              </w:rPr>
              <w:t> </w:t>
            </w:r>
            <w:r>
              <w:rPr>
                <w:sz w:val="24"/>
              </w:rPr>
              <w:t>van</w:t>
            </w:r>
            <w:r>
              <w:rPr>
                <w:spacing w:val="-2"/>
                <w:sz w:val="24"/>
              </w:rPr>
              <w:t> </w:t>
            </w:r>
            <w:r>
              <w:rPr>
                <w:sz w:val="24"/>
              </w:rPr>
              <w:t>tromboseprofylaxe</w:t>
            </w:r>
            <w:r>
              <w:rPr>
                <w:spacing w:val="-3"/>
                <w:sz w:val="24"/>
              </w:rPr>
              <w:t> </w:t>
            </w:r>
            <w:r>
              <w:rPr>
                <w:sz w:val="24"/>
              </w:rPr>
              <w:t>(LMWH</w:t>
            </w:r>
            <w:r>
              <w:rPr>
                <w:spacing w:val="-4"/>
                <w:sz w:val="24"/>
              </w:rPr>
              <w:t> </w:t>
            </w:r>
            <w:r>
              <w:rPr>
                <w:sz w:val="24"/>
              </w:rPr>
              <w:t>of</w:t>
            </w:r>
            <w:r>
              <w:rPr>
                <w:spacing w:val="-3"/>
                <w:sz w:val="24"/>
              </w:rPr>
              <w:t> </w:t>
            </w:r>
            <w:r>
              <w:rPr>
                <w:sz w:val="24"/>
              </w:rPr>
              <w:t>VKA</w:t>
            </w:r>
            <w:r>
              <w:rPr>
                <w:spacing w:val="-2"/>
                <w:sz w:val="24"/>
              </w:rPr>
              <w:t> </w:t>
            </w:r>
            <w:r>
              <w:rPr>
                <w:sz w:val="24"/>
              </w:rPr>
              <w:t>of</w:t>
            </w:r>
            <w:r>
              <w:rPr>
                <w:spacing w:val="-2"/>
                <w:sz w:val="24"/>
              </w:rPr>
              <w:t> </w:t>
            </w:r>
            <w:r>
              <w:rPr>
                <w:sz w:val="24"/>
              </w:rPr>
              <w:t>aspirine)</w:t>
            </w:r>
            <w:r>
              <w:rPr>
                <w:spacing w:val="-5"/>
                <w:sz w:val="24"/>
              </w:rPr>
              <w:t> </w:t>
            </w:r>
            <w:r>
              <w:rPr>
                <w:sz w:val="24"/>
              </w:rPr>
              <w:t>op</w:t>
            </w:r>
            <w:r>
              <w:rPr>
                <w:spacing w:val="4"/>
                <w:sz w:val="24"/>
              </w:rPr>
              <w:t> </w:t>
            </w:r>
            <w:r>
              <w:rPr>
                <w:sz w:val="24"/>
              </w:rPr>
              <w:t>dag</w:t>
            </w:r>
            <w:r>
              <w:rPr>
                <w:spacing w:val="-4"/>
                <w:sz w:val="24"/>
              </w:rPr>
              <w:t> </w:t>
            </w:r>
            <w:r>
              <w:rPr>
                <w:spacing w:val="-10"/>
                <w:sz w:val="24"/>
              </w:rPr>
              <w:t>7</w:t>
            </w:r>
          </w:p>
          <w:p>
            <w:pPr>
              <w:pStyle w:val="TableParagraph"/>
              <w:spacing w:line="290" w:lineRule="atLeast"/>
              <w:ind w:right="85"/>
              <w:rPr>
                <w:sz w:val="24"/>
              </w:rPr>
            </w:pPr>
            <w:r>
              <w:rPr>
                <w:sz w:val="24"/>
              </w:rPr>
              <w:t>post</w:t>
            </w:r>
            <w:r>
              <w:rPr>
                <w:spacing w:val="-5"/>
                <w:sz w:val="24"/>
              </w:rPr>
              <w:t> </w:t>
            </w:r>
            <w:r>
              <w:rPr>
                <w:sz w:val="24"/>
              </w:rPr>
              <w:t>Glenn</w:t>
            </w:r>
            <w:r>
              <w:rPr>
                <w:spacing w:val="-5"/>
                <w:sz w:val="24"/>
              </w:rPr>
              <w:t> </w:t>
            </w:r>
            <w:r>
              <w:rPr>
                <w:sz w:val="24"/>
              </w:rPr>
              <w:t>verlaagt</w:t>
            </w:r>
            <w:r>
              <w:rPr>
                <w:spacing w:val="-5"/>
                <w:sz w:val="24"/>
              </w:rPr>
              <w:t> </w:t>
            </w:r>
            <w:r>
              <w:rPr>
                <w:sz w:val="24"/>
              </w:rPr>
              <w:t>mogelijk</w:t>
            </w:r>
            <w:r>
              <w:rPr>
                <w:spacing w:val="-6"/>
                <w:sz w:val="24"/>
              </w:rPr>
              <w:t> </w:t>
            </w:r>
            <w:r>
              <w:rPr>
                <w:sz w:val="24"/>
              </w:rPr>
              <w:t>het</w:t>
            </w:r>
            <w:r>
              <w:rPr>
                <w:spacing w:val="-5"/>
                <w:sz w:val="24"/>
              </w:rPr>
              <w:t> </w:t>
            </w:r>
            <w:r>
              <w:rPr>
                <w:sz w:val="24"/>
              </w:rPr>
              <w:t>late</w:t>
            </w:r>
            <w:r>
              <w:rPr>
                <w:spacing w:val="-6"/>
                <w:sz w:val="24"/>
              </w:rPr>
              <w:t> </w:t>
            </w:r>
            <w:r>
              <w:rPr>
                <w:sz w:val="24"/>
              </w:rPr>
              <w:t>trombose</w:t>
            </w:r>
            <w:r>
              <w:rPr>
                <w:spacing w:val="-7"/>
                <w:sz w:val="24"/>
              </w:rPr>
              <w:t> </w:t>
            </w:r>
            <w:r>
              <w:rPr>
                <w:sz w:val="24"/>
              </w:rPr>
              <w:t>risico</w:t>
            </w:r>
            <w:r>
              <w:rPr>
                <w:spacing w:val="-5"/>
                <w:sz w:val="24"/>
              </w:rPr>
              <w:t> </w:t>
            </w:r>
            <w:r>
              <w:rPr>
                <w:sz w:val="24"/>
              </w:rPr>
              <w:t>post</w:t>
            </w:r>
            <w:r>
              <w:rPr>
                <w:spacing w:val="-6"/>
                <w:sz w:val="24"/>
              </w:rPr>
              <w:t> </w:t>
            </w:r>
            <w:r>
              <w:rPr>
                <w:sz w:val="24"/>
              </w:rPr>
              <w:t>Glenn Manlhiot 2012 (B)</w:t>
            </w:r>
          </w:p>
        </w:tc>
      </w:tr>
      <w:tr>
        <w:trPr>
          <w:trHeight w:val="1173" w:hRule="atLeast"/>
        </w:trPr>
        <w:tc>
          <w:tcPr>
            <w:tcW w:w="1346" w:type="dxa"/>
            <w:shd w:val="clear" w:color="auto" w:fill="C0C0C0"/>
          </w:tcPr>
          <w:p>
            <w:pPr>
              <w:pStyle w:val="TableParagraph"/>
              <w:spacing w:before="145"/>
              <w:ind w:left="0"/>
              <w:rPr>
                <w:b/>
                <w:sz w:val="24"/>
              </w:rPr>
            </w:pPr>
          </w:p>
          <w:p>
            <w:pPr>
              <w:pStyle w:val="TableParagraph"/>
              <w:rPr>
                <w:sz w:val="24"/>
              </w:rPr>
            </w:pPr>
            <w:r>
              <w:rPr>
                <w:sz w:val="24"/>
              </w:rPr>
              <w:t>Niveau</w:t>
            </w:r>
            <w:r>
              <w:rPr>
                <w:spacing w:val="-5"/>
                <w:sz w:val="24"/>
              </w:rPr>
              <w:t> </w:t>
            </w:r>
            <w:r>
              <w:rPr>
                <w:spacing w:val="-10"/>
                <w:sz w:val="24"/>
              </w:rPr>
              <w:t>3</w:t>
            </w:r>
          </w:p>
        </w:tc>
        <w:tc>
          <w:tcPr>
            <w:tcW w:w="7088" w:type="dxa"/>
          </w:tcPr>
          <w:p>
            <w:pPr>
              <w:pStyle w:val="TableParagraph"/>
              <w:ind w:right="216"/>
              <w:jc w:val="both"/>
              <w:rPr>
                <w:sz w:val="24"/>
              </w:rPr>
            </w:pPr>
            <w:r>
              <w:rPr>
                <w:sz w:val="24"/>
              </w:rPr>
              <w:t>Postoperatieve</w:t>
            </w:r>
            <w:r>
              <w:rPr>
                <w:spacing w:val="-4"/>
                <w:sz w:val="24"/>
              </w:rPr>
              <w:t> </w:t>
            </w:r>
            <w:r>
              <w:rPr>
                <w:sz w:val="24"/>
              </w:rPr>
              <w:t>LMWH</w:t>
            </w:r>
            <w:r>
              <w:rPr>
                <w:spacing w:val="-6"/>
                <w:sz w:val="24"/>
              </w:rPr>
              <w:t> </w:t>
            </w:r>
            <w:r>
              <w:rPr>
                <w:sz w:val="24"/>
              </w:rPr>
              <w:t>gedurende</w:t>
            </w:r>
            <w:r>
              <w:rPr>
                <w:spacing w:val="-4"/>
                <w:sz w:val="24"/>
              </w:rPr>
              <w:t> </w:t>
            </w:r>
            <w:r>
              <w:rPr>
                <w:sz w:val="24"/>
              </w:rPr>
              <w:t>6</w:t>
            </w:r>
            <w:r>
              <w:rPr>
                <w:spacing w:val="-6"/>
                <w:sz w:val="24"/>
              </w:rPr>
              <w:t> </w:t>
            </w:r>
            <w:r>
              <w:rPr>
                <w:sz w:val="24"/>
              </w:rPr>
              <w:t>weken</w:t>
            </w:r>
            <w:r>
              <w:rPr>
                <w:spacing w:val="-1"/>
                <w:sz w:val="24"/>
              </w:rPr>
              <w:t> </w:t>
            </w:r>
            <w:r>
              <w:rPr>
                <w:sz w:val="24"/>
              </w:rPr>
              <w:t>na</w:t>
            </w:r>
            <w:r>
              <w:rPr>
                <w:spacing w:val="-5"/>
                <w:sz w:val="24"/>
              </w:rPr>
              <w:t> </w:t>
            </w:r>
            <w:r>
              <w:rPr>
                <w:sz w:val="24"/>
              </w:rPr>
              <w:t>comprehensive</w:t>
            </w:r>
            <w:r>
              <w:rPr>
                <w:spacing w:val="-5"/>
                <w:sz w:val="24"/>
              </w:rPr>
              <w:t> </w:t>
            </w:r>
            <w:r>
              <w:rPr>
                <w:sz w:val="24"/>
              </w:rPr>
              <w:t>stage</w:t>
            </w:r>
            <w:r>
              <w:rPr>
                <w:spacing w:val="-7"/>
                <w:sz w:val="24"/>
              </w:rPr>
              <w:t> </w:t>
            </w:r>
            <w:r>
              <w:rPr>
                <w:sz w:val="24"/>
              </w:rPr>
              <w:t>II na hybride Norwood draagt mogelijk bij tot daling van mortaliteit tgv </w:t>
            </w:r>
            <w:r>
              <w:rPr>
                <w:spacing w:val="-2"/>
                <w:sz w:val="24"/>
              </w:rPr>
              <w:t>trombose.</w:t>
            </w:r>
          </w:p>
          <w:p>
            <w:pPr>
              <w:pStyle w:val="TableParagraph"/>
              <w:spacing w:line="275" w:lineRule="exact"/>
              <w:jc w:val="both"/>
              <w:rPr>
                <w:sz w:val="24"/>
              </w:rPr>
            </w:pPr>
            <w:r>
              <w:rPr>
                <w:sz w:val="24"/>
              </w:rPr>
              <w:t>Galantowicz</w:t>
            </w:r>
            <w:r>
              <w:rPr>
                <w:spacing w:val="-3"/>
                <w:sz w:val="24"/>
              </w:rPr>
              <w:t> </w:t>
            </w:r>
            <w:r>
              <w:rPr>
                <w:sz w:val="24"/>
              </w:rPr>
              <w:t>2016</w:t>
            </w:r>
            <w:r>
              <w:rPr>
                <w:spacing w:val="-2"/>
                <w:sz w:val="24"/>
              </w:rPr>
              <w:t> </w:t>
            </w:r>
            <w:r>
              <w:rPr>
                <w:spacing w:val="-5"/>
                <w:sz w:val="24"/>
              </w:rPr>
              <w:t>(B)</w:t>
            </w:r>
          </w:p>
        </w:tc>
      </w:tr>
    </w:tbl>
    <w:p>
      <w:pPr>
        <w:pStyle w:val="BodyText"/>
        <w:ind w:left="0"/>
        <w:rPr>
          <w:b/>
        </w:rPr>
      </w:pPr>
    </w:p>
    <w:p>
      <w:pPr>
        <w:pStyle w:val="BodyText"/>
        <w:spacing w:before="265"/>
        <w:ind w:left="0"/>
        <w:rPr>
          <w:b/>
        </w:rPr>
      </w:pPr>
    </w:p>
    <w:p>
      <w:pPr>
        <w:spacing w:before="0"/>
        <w:ind w:left="141" w:right="0" w:firstLine="0"/>
        <w:jc w:val="left"/>
        <w:rPr>
          <w:b/>
          <w:sz w:val="24"/>
        </w:rPr>
      </w:pPr>
      <w:r>
        <w:rPr>
          <w:b/>
          <w:spacing w:val="-2"/>
          <w:sz w:val="24"/>
        </w:rPr>
        <w:t>Overwegingen</w:t>
      </w:r>
    </w:p>
    <w:p>
      <w:pPr>
        <w:pStyle w:val="BodyText"/>
        <w:spacing w:before="283"/>
        <w:ind w:right="129"/>
        <w:rPr>
          <w:rFonts w:ascii="Times New Roman" w:hAnsi="Times New Roman"/>
        </w:rPr>
      </w:pPr>
      <w:r>
        <w:rPr/>
        <w:t>Trombotische</w:t>
      </w:r>
      <w:r>
        <w:rPr>
          <w:spacing w:val="-4"/>
        </w:rPr>
        <w:t> </w:t>
      </w:r>
      <w:r>
        <w:rPr/>
        <w:t>complicaties</w:t>
      </w:r>
      <w:r>
        <w:rPr>
          <w:spacing w:val="-2"/>
        </w:rPr>
        <w:t> </w:t>
      </w:r>
      <w:r>
        <w:rPr/>
        <w:t>na</w:t>
      </w:r>
      <w:r>
        <w:rPr>
          <w:spacing w:val="-4"/>
        </w:rPr>
        <w:t> </w:t>
      </w:r>
      <w:r>
        <w:rPr/>
        <w:t>PCPC</w:t>
      </w:r>
      <w:r>
        <w:rPr>
          <w:spacing w:val="-3"/>
        </w:rPr>
        <w:t> </w:t>
      </w:r>
      <w:r>
        <w:rPr/>
        <w:t>worden</w:t>
      </w:r>
      <w:r>
        <w:rPr>
          <w:spacing w:val="-3"/>
        </w:rPr>
        <w:t> </w:t>
      </w:r>
      <w:r>
        <w:rPr/>
        <w:t>nog</w:t>
      </w:r>
      <w:r>
        <w:rPr>
          <w:spacing w:val="-2"/>
        </w:rPr>
        <w:t> </w:t>
      </w:r>
      <w:r>
        <w:rPr/>
        <w:t>steeds</w:t>
      </w:r>
      <w:r>
        <w:rPr>
          <w:spacing w:val="-4"/>
        </w:rPr>
        <w:t> </w:t>
      </w:r>
      <w:r>
        <w:rPr/>
        <w:t>als</w:t>
      </w:r>
      <w:r>
        <w:rPr>
          <w:spacing w:val="-4"/>
        </w:rPr>
        <w:t> </w:t>
      </w:r>
      <w:r>
        <w:rPr/>
        <w:t>zeldzaam</w:t>
      </w:r>
      <w:r>
        <w:rPr>
          <w:spacing w:val="-3"/>
        </w:rPr>
        <w:t> </w:t>
      </w:r>
      <w:r>
        <w:rPr/>
        <w:t>beschouwd.</w:t>
      </w:r>
      <w:r>
        <w:rPr>
          <w:spacing w:val="-3"/>
        </w:rPr>
        <w:t> </w:t>
      </w:r>
      <w:r>
        <w:rPr/>
        <w:t>Er</w:t>
      </w:r>
      <w:r>
        <w:rPr>
          <w:spacing w:val="-4"/>
        </w:rPr>
        <w:t> </w:t>
      </w:r>
      <w:r>
        <w:rPr/>
        <w:t>is</w:t>
      </w:r>
      <w:r>
        <w:rPr>
          <w:spacing w:val="-2"/>
        </w:rPr>
        <w:t> </w:t>
      </w:r>
      <w:r>
        <w:rPr/>
        <w:t>in</w:t>
      </w:r>
      <w:r>
        <w:rPr>
          <w:spacing w:val="-3"/>
        </w:rPr>
        <w:t> </w:t>
      </w:r>
      <w:r>
        <w:rPr/>
        <w:t>de literatuur geen harde evidence te vinden voor routinematige antistolling. Wel zijn er in de loop der jaren risicofactoren geformuleerd voor trombotische complicaties post Glenn, die speciale aandacht behoeven, zoals bilaterale VCS, kleine VCS bij jonge kinderen, kleine pulmonaaltakken, en stents in pulmonaaltakken. Ook Glenn in het kader van een comprehensive stage II is recent bestempeld als risicofactor voor post-operatieve pulmonaaltak trombose. Vroeg postoperatieve tromboseprofylaxe met ongefractioneerde heparine of LMWH zou in deze risicogroepen geïndiceerd kunnen zijn. LMWH heeft hierbij de voorkeur ivm betere effectiviteit en veiligheid, makkelijkere toediening en monitoring. Ongefractioneerde heparine kan echter eenvoudiger gecoupeerd worden in geval van een </w:t>
      </w:r>
      <w:r>
        <w:rPr>
          <w:spacing w:val="-2"/>
        </w:rPr>
        <w:t>nabloeding</w:t>
      </w:r>
      <w:r>
        <w:rPr>
          <w:rFonts w:ascii="Times New Roman" w:hAnsi="Times New Roman"/>
          <w:spacing w:val="-2"/>
        </w:rPr>
        <w:t>.</w:t>
      </w:r>
    </w:p>
    <w:p>
      <w:pPr>
        <w:pStyle w:val="BodyText"/>
        <w:spacing w:after="0"/>
        <w:rPr>
          <w:rFonts w:ascii="Times New Roman" w:hAnsi="Times New Roman"/>
        </w:rPr>
        <w:sectPr>
          <w:pgSz w:w="11910" w:h="16840"/>
          <w:pgMar w:header="0" w:footer="750" w:top="1360" w:bottom="940" w:left="1275" w:right="1417"/>
        </w:sectPr>
      </w:pPr>
    </w:p>
    <w:p>
      <w:pPr>
        <w:pStyle w:val="BodyText"/>
        <w:spacing w:before="37"/>
      </w:pPr>
      <w:r>
        <w:rPr/>
        <w:t>Embolisatie (veneus of arteriëel) na PCPC blijkt niet zeldzaam te zijn en dit gegeven zou betrokken</w:t>
      </w:r>
      <w:r>
        <w:rPr>
          <w:spacing w:val="-1"/>
        </w:rPr>
        <w:t> </w:t>
      </w:r>
      <w:r>
        <w:rPr/>
        <w:t>moeten</w:t>
      </w:r>
      <w:r>
        <w:rPr>
          <w:spacing w:val="-2"/>
        </w:rPr>
        <w:t> </w:t>
      </w:r>
      <w:r>
        <w:rPr/>
        <w:t>worden</w:t>
      </w:r>
      <w:r>
        <w:rPr>
          <w:spacing w:val="-1"/>
        </w:rPr>
        <w:t> </w:t>
      </w:r>
      <w:r>
        <w:rPr/>
        <w:t>in</w:t>
      </w:r>
      <w:r>
        <w:rPr>
          <w:spacing w:val="-2"/>
        </w:rPr>
        <w:t> </w:t>
      </w:r>
      <w:r>
        <w:rPr/>
        <w:t>de</w:t>
      </w:r>
      <w:r>
        <w:rPr>
          <w:spacing w:val="-2"/>
        </w:rPr>
        <w:t> </w:t>
      </w:r>
      <w:r>
        <w:rPr/>
        <w:t>overweging</w:t>
      </w:r>
      <w:r>
        <w:rPr>
          <w:spacing w:val="-3"/>
        </w:rPr>
        <w:t> </w:t>
      </w:r>
      <w:r>
        <w:rPr/>
        <w:t>wel</w:t>
      </w:r>
      <w:r>
        <w:rPr>
          <w:spacing w:val="-4"/>
        </w:rPr>
        <w:t> </w:t>
      </w:r>
      <w:r>
        <w:rPr/>
        <w:t>of</w:t>
      </w:r>
      <w:r>
        <w:rPr>
          <w:spacing w:val="-4"/>
        </w:rPr>
        <w:t> </w:t>
      </w:r>
      <w:r>
        <w:rPr/>
        <w:t>niet</w:t>
      </w:r>
      <w:r>
        <w:rPr>
          <w:spacing w:val="-3"/>
        </w:rPr>
        <w:t> </w:t>
      </w:r>
      <w:r>
        <w:rPr/>
        <w:t>tromboseprofylaxe</w:t>
      </w:r>
      <w:r>
        <w:rPr>
          <w:spacing w:val="-2"/>
        </w:rPr>
        <w:t> </w:t>
      </w:r>
      <w:r>
        <w:rPr/>
        <w:t>te</w:t>
      </w:r>
      <w:r>
        <w:rPr>
          <w:spacing w:val="-5"/>
        </w:rPr>
        <w:t> </w:t>
      </w:r>
      <w:r>
        <w:rPr/>
        <w:t>geven.</w:t>
      </w:r>
      <w:r>
        <w:rPr>
          <w:spacing w:val="-6"/>
        </w:rPr>
        <w:t> </w:t>
      </w:r>
      <w:r>
        <w:rPr/>
        <w:t>Ook</w:t>
      </w:r>
      <w:r>
        <w:rPr>
          <w:spacing w:val="-4"/>
        </w:rPr>
        <w:t> </w:t>
      </w:r>
      <w:r>
        <w:rPr/>
        <w:t>de mogelijkheid van subklinische microtrombi in de intrapulmonale arteriën in de vroeg postoperatieve</w:t>
      </w:r>
      <w:r>
        <w:rPr>
          <w:spacing w:val="-1"/>
        </w:rPr>
        <w:t> </w:t>
      </w:r>
      <w:r>
        <w:rPr/>
        <w:t>periode</w:t>
      </w:r>
      <w:r>
        <w:rPr>
          <w:spacing w:val="-3"/>
        </w:rPr>
        <w:t> </w:t>
      </w:r>
      <w:r>
        <w:rPr/>
        <w:t>en de invloed daarvan op de lange</w:t>
      </w:r>
      <w:r>
        <w:rPr>
          <w:spacing w:val="-1"/>
        </w:rPr>
        <w:t> </w:t>
      </w:r>
      <w:r>
        <w:rPr/>
        <w:t>termijn prognose zou de drempel voor het geven</w:t>
      </w:r>
      <w:r>
        <w:rPr>
          <w:spacing w:val="-2"/>
        </w:rPr>
        <w:t> </w:t>
      </w:r>
      <w:r>
        <w:rPr/>
        <w:t>van antistolling</w:t>
      </w:r>
      <w:r>
        <w:rPr>
          <w:spacing w:val="-3"/>
        </w:rPr>
        <w:t> </w:t>
      </w:r>
      <w:r>
        <w:rPr/>
        <w:t>lager</w:t>
      </w:r>
      <w:r>
        <w:rPr>
          <w:spacing w:val="-2"/>
        </w:rPr>
        <w:t> </w:t>
      </w:r>
      <w:r>
        <w:rPr/>
        <w:t>moeten</w:t>
      </w:r>
      <w:r>
        <w:rPr>
          <w:spacing w:val="-2"/>
        </w:rPr>
        <w:t> </w:t>
      </w:r>
      <w:r>
        <w:rPr/>
        <w:t>maken.</w:t>
      </w:r>
      <w:r>
        <w:rPr>
          <w:spacing w:val="-2"/>
        </w:rPr>
        <w:t> </w:t>
      </w:r>
      <w:r>
        <w:rPr/>
        <w:t>In</w:t>
      </w:r>
      <w:r>
        <w:rPr>
          <w:spacing w:val="-2"/>
        </w:rPr>
        <w:t> </w:t>
      </w:r>
      <w:r>
        <w:rPr/>
        <w:t>dit</w:t>
      </w:r>
      <w:r>
        <w:rPr>
          <w:spacing w:val="-2"/>
        </w:rPr>
        <w:t> </w:t>
      </w:r>
      <w:r>
        <w:rPr/>
        <w:t>kader</w:t>
      </w:r>
      <w:r>
        <w:rPr>
          <w:spacing w:val="-2"/>
        </w:rPr>
        <w:t> </w:t>
      </w:r>
      <w:r>
        <w:rPr/>
        <w:t>dient</w:t>
      </w:r>
      <w:r>
        <w:rPr>
          <w:spacing w:val="-2"/>
        </w:rPr>
        <w:t> </w:t>
      </w:r>
      <w:r>
        <w:rPr/>
        <w:t>ook</w:t>
      </w:r>
      <w:r>
        <w:rPr>
          <w:spacing w:val="-4"/>
        </w:rPr>
        <w:t> </w:t>
      </w:r>
      <w:r>
        <w:rPr/>
        <w:t>het postoperatief zo snel mogelijk verwijderen van eventuele centraal veneuze lijnen in de bovenste lichaamshelft genoemd te worden.</w:t>
      </w:r>
    </w:p>
    <w:p>
      <w:pPr>
        <w:pStyle w:val="BodyText"/>
        <w:spacing w:before="282"/>
        <w:ind w:right="33"/>
      </w:pPr>
      <w:r>
        <w:rPr/>
        <w:t>Verder adviseren antistollingsprotocollen van de grote kinderhartchirurgische centra (Boston, Toronto, Philadelphia, Melbourne) antistolling post Glenn, ondanks gebrek aan bewijs.</w:t>
      </w:r>
      <w:r>
        <w:rPr>
          <w:spacing w:val="-5"/>
        </w:rPr>
        <w:t> </w:t>
      </w:r>
      <w:r>
        <w:rPr/>
        <w:t>Zij</w:t>
      </w:r>
      <w:r>
        <w:rPr>
          <w:spacing w:val="-3"/>
        </w:rPr>
        <w:t> </w:t>
      </w:r>
      <w:r>
        <w:rPr/>
        <w:t>adviseren</w:t>
      </w:r>
      <w:r>
        <w:rPr>
          <w:spacing w:val="-5"/>
        </w:rPr>
        <w:t> </w:t>
      </w:r>
      <w:r>
        <w:rPr/>
        <w:t>niet</w:t>
      </w:r>
      <w:r>
        <w:rPr>
          <w:spacing w:val="-4"/>
        </w:rPr>
        <w:t> </w:t>
      </w:r>
      <w:r>
        <w:rPr/>
        <w:t>alleen</w:t>
      </w:r>
      <w:r>
        <w:rPr>
          <w:spacing w:val="-3"/>
        </w:rPr>
        <w:t> </w:t>
      </w:r>
      <w:r>
        <w:rPr/>
        <w:t>antistolling</w:t>
      </w:r>
      <w:r>
        <w:rPr>
          <w:spacing w:val="-3"/>
        </w:rPr>
        <w:t> </w:t>
      </w:r>
      <w:r>
        <w:rPr/>
        <w:t>vroeg</w:t>
      </w:r>
      <w:r>
        <w:rPr>
          <w:spacing w:val="-6"/>
        </w:rPr>
        <w:t> </w:t>
      </w:r>
      <w:r>
        <w:rPr/>
        <w:t>postoperatief te</w:t>
      </w:r>
      <w:r>
        <w:rPr>
          <w:spacing w:val="-3"/>
        </w:rPr>
        <w:t> </w:t>
      </w:r>
      <w:r>
        <w:rPr/>
        <w:t>geven</w:t>
      </w:r>
      <w:r>
        <w:rPr>
          <w:spacing w:val="-3"/>
        </w:rPr>
        <w:t> </w:t>
      </w:r>
      <w:r>
        <w:rPr/>
        <w:t>(ongefractioneerde heparine</w:t>
      </w:r>
      <w:r>
        <w:rPr>
          <w:spacing w:val="-3"/>
        </w:rPr>
        <w:t> </w:t>
      </w:r>
      <w:r>
        <w:rPr/>
        <w:t>of</w:t>
      </w:r>
      <w:r>
        <w:rPr>
          <w:spacing w:val="-1"/>
        </w:rPr>
        <w:t> </w:t>
      </w:r>
      <w:r>
        <w:rPr/>
        <w:t>LMWH),</w:t>
      </w:r>
      <w:r>
        <w:rPr>
          <w:spacing w:val="-1"/>
        </w:rPr>
        <w:t> </w:t>
      </w:r>
      <w:r>
        <w:rPr/>
        <w:t>maar ook</w:t>
      </w:r>
      <w:r>
        <w:rPr>
          <w:spacing w:val="-2"/>
        </w:rPr>
        <w:t> </w:t>
      </w:r>
      <w:r>
        <w:rPr/>
        <w:t>interstage Glenn-Fontan (TAR</w:t>
      </w:r>
      <w:r>
        <w:rPr>
          <w:spacing w:val="-3"/>
        </w:rPr>
        <w:t> </w:t>
      </w:r>
      <w:r>
        <w:rPr/>
        <w:t>of</w:t>
      </w:r>
      <w:r>
        <w:rPr>
          <w:spacing w:val="-2"/>
        </w:rPr>
        <w:t> </w:t>
      </w:r>
      <w:r>
        <w:rPr/>
        <w:t>soms</w:t>
      </w:r>
      <w:r>
        <w:rPr>
          <w:spacing w:val="-1"/>
        </w:rPr>
        <w:t> </w:t>
      </w:r>
      <w:r>
        <w:rPr/>
        <w:t>ook</w:t>
      </w:r>
      <w:r>
        <w:rPr>
          <w:spacing w:val="-2"/>
        </w:rPr>
        <w:t> </w:t>
      </w:r>
      <w:r>
        <w:rPr/>
        <w:t>LMWH).</w:t>
      </w:r>
      <w:r>
        <w:rPr>
          <w:spacing w:val="-1"/>
        </w:rPr>
        <w:t> </w:t>
      </w:r>
      <w:r>
        <w:rPr/>
        <w:t>Vooral</w:t>
      </w:r>
      <w:r>
        <w:rPr>
          <w:spacing w:val="-3"/>
        </w:rPr>
        <w:t> </w:t>
      </w:r>
      <w:r>
        <w:rPr/>
        <w:t>bij een niet afgesloten blind-eindigende pulmonalisstomp valt LMWH of VKA te overwegen in navolging van het advies bij Fontan.</w:t>
      </w:r>
    </w:p>
    <w:p>
      <w:pPr>
        <w:pStyle w:val="BodyText"/>
        <w:spacing w:before="281"/>
      </w:pPr>
      <w:r>
        <w:rPr>
          <w:u w:val="single"/>
        </w:rPr>
        <w:t>Tabel</w:t>
      </w:r>
      <w:r>
        <w:rPr>
          <w:spacing w:val="-5"/>
          <w:u w:val="single"/>
        </w:rPr>
        <w:t> </w:t>
      </w:r>
      <w:r>
        <w:rPr>
          <w:u w:val="single"/>
        </w:rPr>
        <w:t>1</w:t>
      </w:r>
      <w:r>
        <w:rPr>
          <w:spacing w:val="-1"/>
          <w:u w:val="single"/>
        </w:rPr>
        <w:t> </w:t>
      </w:r>
      <w:r>
        <w:rPr>
          <w:u w:val="single"/>
        </w:rPr>
        <w:t>:</w:t>
      </w:r>
      <w:r>
        <w:rPr>
          <w:spacing w:val="-4"/>
          <w:u w:val="single"/>
        </w:rPr>
        <w:t> </w:t>
      </w:r>
      <w:r>
        <w:rPr>
          <w:u w:val="single"/>
        </w:rPr>
        <w:t>Risicofactoren</w:t>
      </w:r>
      <w:r>
        <w:rPr>
          <w:spacing w:val="-3"/>
          <w:u w:val="single"/>
        </w:rPr>
        <w:t> </w:t>
      </w:r>
      <w:r>
        <w:rPr>
          <w:u w:val="single"/>
        </w:rPr>
        <w:t>voor</w:t>
      </w:r>
      <w:r>
        <w:rPr>
          <w:spacing w:val="-4"/>
          <w:u w:val="single"/>
        </w:rPr>
        <w:t> </w:t>
      </w:r>
      <w:r>
        <w:rPr>
          <w:u w:val="single"/>
        </w:rPr>
        <w:t>trombose</w:t>
      </w:r>
      <w:r>
        <w:rPr>
          <w:spacing w:val="-4"/>
          <w:u w:val="single"/>
        </w:rPr>
        <w:t> </w:t>
      </w:r>
      <w:r>
        <w:rPr>
          <w:u w:val="single"/>
        </w:rPr>
        <w:t>post</w:t>
      </w:r>
      <w:r>
        <w:rPr>
          <w:spacing w:val="-2"/>
          <w:u w:val="single"/>
        </w:rPr>
        <w:t> Glenn</w:t>
      </w:r>
    </w:p>
    <w:p>
      <w:pPr>
        <w:pStyle w:val="BodyText"/>
        <w:ind w:left="0"/>
        <w:rPr>
          <w:sz w:val="20"/>
        </w:rPr>
      </w:pPr>
    </w:p>
    <w:p>
      <w:pPr>
        <w:pStyle w:val="BodyText"/>
        <w:spacing w:before="23"/>
        <w:ind w:left="0"/>
        <w:rPr>
          <w:sz w:val="20"/>
        </w:rPr>
      </w:pPr>
    </w:p>
    <w:tbl>
      <w:tblPr>
        <w:tblW w:w="0" w:type="auto"/>
        <w:jc w:val="left"/>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97"/>
      </w:tblGrid>
      <w:tr>
        <w:trPr>
          <w:trHeight w:val="316" w:hRule="atLeast"/>
        </w:trPr>
        <w:tc>
          <w:tcPr>
            <w:tcW w:w="5497" w:type="dxa"/>
            <w:tcBorders>
              <w:bottom w:val="nil"/>
            </w:tcBorders>
          </w:tcPr>
          <w:p>
            <w:pPr>
              <w:pStyle w:val="TableParagraph"/>
              <w:spacing w:before="1"/>
              <w:ind w:left="107"/>
              <w:rPr>
                <w:sz w:val="24"/>
              </w:rPr>
            </w:pPr>
            <w:r>
              <w:rPr>
                <w:sz w:val="24"/>
              </w:rPr>
              <w:t>Bilaterale</w:t>
            </w:r>
            <w:r>
              <w:rPr>
                <w:spacing w:val="-1"/>
                <w:sz w:val="24"/>
              </w:rPr>
              <w:t> </w:t>
            </w:r>
            <w:r>
              <w:rPr>
                <w:sz w:val="24"/>
              </w:rPr>
              <w:t>venae</w:t>
            </w:r>
            <w:r>
              <w:rPr>
                <w:spacing w:val="-2"/>
                <w:sz w:val="24"/>
              </w:rPr>
              <w:t> </w:t>
            </w:r>
            <w:r>
              <w:rPr>
                <w:sz w:val="24"/>
              </w:rPr>
              <w:t>cavae </w:t>
            </w:r>
            <w:r>
              <w:rPr>
                <w:spacing w:val="-2"/>
                <w:sz w:val="24"/>
              </w:rPr>
              <w:t>superiores</w:t>
            </w:r>
          </w:p>
        </w:tc>
      </w:tr>
      <w:tr>
        <w:trPr>
          <w:trHeight w:val="292" w:hRule="atLeast"/>
        </w:trPr>
        <w:tc>
          <w:tcPr>
            <w:tcW w:w="5497" w:type="dxa"/>
            <w:tcBorders>
              <w:top w:val="nil"/>
              <w:bottom w:val="nil"/>
            </w:tcBorders>
          </w:tcPr>
          <w:p>
            <w:pPr>
              <w:pStyle w:val="TableParagraph"/>
              <w:spacing w:line="271" w:lineRule="exact"/>
              <w:ind w:left="107"/>
              <w:rPr>
                <w:sz w:val="24"/>
              </w:rPr>
            </w:pPr>
            <w:r>
              <w:rPr>
                <w:sz w:val="24"/>
              </w:rPr>
              <w:t>Kleine</w:t>
            </w:r>
            <w:r>
              <w:rPr>
                <w:spacing w:val="-4"/>
                <w:sz w:val="24"/>
              </w:rPr>
              <w:t> </w:t>
            </w:r>
            <w:r>
              <w:rPr>
                <w:spacing w:val="-2"/>
                <w:sz w:val="24"/>
              </w:rPr>
              <w:t>pulmonaaltakken</w:t>
            </w:r>
          </w:p>
        </w:tc>
      </w:tr>
      <w:tr>
        <w:trPr>
          <w:trHeight w:val="292" w:hRule="atLeast"/>
        </w:trPr>
        <w:tc>
          <w:tcPr>
            <w:tcW w:w="5497" w:type="dxa"/>
            <w:tcBorders>
              <w:top w:val="nil"/>
              <w:bottom w:val="nil"/>
            </w:tcBorders>
          </w:tcPr>
          <w:p>
            <w:pPr>
              <w:pStyle w:val="TableParagraph"/>
              <w:spacing w:line="271" w:lineRule="exact"/>
              <w:ind w:left="107"/>
              <w:rPr>
                <w:sz w:val="24"/>
              </w:rPr>
            </w:pPr>
            <w:r>
              <w:rPr>
                <w:sz w:val="24"/>
              </w:rPr>
              <w:t>Stent</w:t>
            </w:r>
            <w:r>
              <w:rPr>
                <w:spacing w:val="-1"/>
                <w:sz w:val="24"/>
              </w:rPr>
              <w:t> </w:t>
            </w:r>
            <w:r>
              <w:rPr>
                <w:sz w:val="24"/>
              </w:rPr>
              <w:t>in</w:t>
            </w:r>
            <w:r>
              <w:rPr>
                <w:spacing w:val="-1"/>
                <w:sz w:val="24"/>
              </w:rPr>
              <w:t> </w:t>
            </w:r>
            <w:r>
              <w:rPr>
                <w:spacing w:val="-2"/>
                <w:sz w:val="24"/>
              </w:rPr>
              <w:t>pulmonaaltak</w:t>
            </w:r>
          </w:p>
        </w:tc>
      </w:tr>
      <w:tr>
        <w:trPr>
          <w:trHeight w:val="292" w:hRule="atLeast"/>
        </w:trPr>
        <w:tc>
          <w:tcPr>
            <w:tcW w:w="5497" w:type="dxa"/>
            <w:tcBorders>
              <w:top w:val="nil"/>
              <w:bottom w:val="nil"/>
            </w:tcBorders>
          </w:tcPr>
          <w:p>
            <w:pPr>
              <w:pStyle w:val="TableParagraph"/>
              <w:spacing w:line="271" w:lineRule="exact"/>
              <w:ind w:left="107"/>
              <w:rPr>
                <w:sz w:val="24"/>
              </w:rPr>
            </w:pPr>
            <w:r>
              <w:rPr>
                <w:sz w:val="24"/>
              </w:rPr>
              <w:t>Niet</w:t>
            </w:r>
            <w:r>
              <w:rPr>
                <w:spacing w:val="-8"/>
                <w:sz w:val="24"/>
              </w:rPr>
              <w:t> </w:t>
            </w:r>
            <w:r>
              <w:rPr>
                <w:sz w:val="24"/>
              </w:rPr>
              <w:t>afgesloten</w:t>
            </w:r>
            <w:r>
              <w:rPr>
                <w:spacing w:val="-6"/>
                <w:sz w:val="24"/>
              </w:rPr>
              <w:t> </w:t>
            </w:r>
            <w:r>
              <w:rPr>
                <w:sz w:val="24"/>
              </w:rPr>
              <w:t>blind-eindigende</w:t>
            </w:r>
            <w:r>
              <w:rPr>
                <w:spacing w:val="-5"/>
                <w:sz w:val="24"/>
              </w:rPr>
              <w:t> </w:t>
            </w:r>
            <w:r>
              <w:rPr>
                <w:spacing w:val="-2"/>
                <w:sz w:val="24"/>
              </w:rPr>
              <w:t>pulmonalisstomp</w:t>
            </w:r>
          </w:p>
        </w:tc>
      </w:tr>
      <w:tr>
        <w:trPr>
          <w:trHeight w:val="292" w:hRule="atLeast"/>
        </w:trPr>
        <w:tc>
          <w:tcPr>
            <w:tcW w:w="5497" w:type="dxa"/>
            <w:tcBorders>
              <w:top w:val="nil"/>
              <w:bottom w:val="nil"/>
            </w:tcBorders>
          </w:tcPr>
          <w:p>
            <w:pPr>
              <w:pStyle w:val="TableParagraph"/>
              <w:spacing w:line="271" w:lineRule="exact"/>
              <w:ind w:left="107"/>
              <w:rPr>
                <w:sz w:val="24"/>
              </w:rPr>
            </w:pPr>
            <w:r>
              <w:rPr>
                <w:sz w:val="24"/>
              </w:rPr>
              <w:t>Stasis</w:t>
            </w:r>
            <w:r>
              <w:rPr>
                <w:spacing w:val="-3"/>
                <w:sz w:val="24"/>
              </w:rPr>
              <w:t> </w:t>
            </w:r>
            <w:r>
              <w:rPr>
                <w:sz w:val="24"/>
              </w:rPr>
              <w:t>van</w:t>
            </w:r>
            <w:r>
              <w:rPr>
                <w:spacing w:val="-4"/>
                <w:sz w:val="24"/>
              </w:rPr>
              <w:t> </w:t>
            </w:r>
            <w:r>
              <w:rPr>
                <w:sz w:val="24"/>
              </w:rPr>
              <w:t>bloed</w:t>
            </w:r>
            <w:r>
              <w:rPr>
                <w:spacing w:val="-4"/>
                <w:sz w:val="24"/>
              </w:rPr>
              <w:t> </w:t>
            </w:r>
            <w:r>
              <w:rPr>
                <w:sz w:val="24"/>
              </w:rPr>
              <w:t>in</w:t>
            </w:r>
            <w:r>
              <w:rPr>
                <w:spacing w:val="-4"/>
                <w:sz w:val="24"/>
              </w:rPr>
              <w:t> </w:t>
            </w:r>
            <w:r>
              <w:rPr>
                <w:sz w:val="24"/>
              </w:rPr>
              <w:t>hypoplastische</w:t>
            </w:r>
            <w:r>
              <w:rPr>
                <w:spacing w:val="-4"/>
                <w:sz w:val="24"/>
              </w:rPr>
              <w:t> </w:t>
            </w:r>
            <w:r>
              <w:rPr>
                <w:spacing w:val="-2"/>
                <w:sz w:val="24"/>
              </w:rPr>
              <w:t>ventrikel</w:t>
            </w:r>
          </w:p>
        </w:tc>
      </w:tr>
      <w:tr>
        <w:trPr>
          <w:trHeight w:val="270" w:hRule="atLeast"/>
        </w:trPr>
        <w:tc>
          <w:tcPr>
            <w:tcW w:w="5497" w:type="dxa"/>
            <w:tcBorders>
              <w:top w:val="nil"/>
            </w:tcBorders>
          </w:tcPr>
          <w:p>
            <w:pPr>
              <w:pStyle w:val="TableParagraph"/>
              <w:spacing w:line="251" w:lineRule="exact"/>
              <w:ind w:left="107"/>
              <w:rPr>
                <w:sz w:val="24"/>
              </w:rPr>
            </w:pPr>
            <w:r>
              <w:rPr>
                <w:sz w:val="24"/>
              </w:rPr>
              <w:t>Na</w:t>
            </w:r>
            <w:r>
              <w:rPr>
                <w:spacing w:val="-3"/>
                <w:sz w:val="24"/>
              </w:rPr>
              <w:t> </w:t>
            </w:r>
            <w:r>
              <w:rPr>
                <w:sz w:val="24"/>
              </w:rPr>
              <w:t>comprehensive</w:t>
            </w:r>
            <w:r>
              <w:rPr>
                <w:spacing w:val="-3"/>
                <w:sz w:val="24"/>
              </w:rPr>
              <w:t> </w:t>
            </w:r>
            <w:r>
              <w:rPr>
                <w:sz w:val="24"/>
              </w:rPr>
              <w:t>stage</w:t>
            </w:r>
            <w:r>
              <w:rPr>
                <w:spacing w:val="-3"/>
                <w:sz w:val="24"/>
              </w:rPr>
              <w:t> </w:t>
            </w:r>
            <w:r>
              <w:rPr>
                <w:sz w:val="24"/>
              </w:rPr>
              <w:t>II</w:t>
            </w:r>
            <w:r>
              <w:rPr>
                <w:spacing w:val="-3"/>
                <w:sz w:val="24"/>
              </w:rPr>
              <w:t> </w:t>
            </w:r>
            <w:r>
              <w:rPr>
                <w:sz w:val="24"/>
              </w:rPr>
              <w:t>(boogrepair-</w:t>
            </w:r>
            <w:r>
              <w:rPr>
                <w:spacing w:val="-2"/>
                <w:sz w:val="24"/>
              </w:rPr>
              <w:t>Glenn)</w:t>
            </w:r>
          </w:p>
        </w:tc>
      </w:tr>
    </w:tbl>
    <w:p>
      <w:pPr>
        <w:pStyle w:val="Heading1"/>
        <w:spacing w:before="282"/>
      </w:pPr>
      <w:r>
        <w:rPr>
          <w:spacing w:val="-2"/>
        </w:rPr>
        <w:t>Aanbevelingen</w:t>
      </w:r>
    </w:p>
    <w:p>
      <w:pPr>
        <w:pStyle w:val="ListParagraph"/>
        <w:numPr>
          <w:ilvl w:val="0"/>
          <w:numId w:val="2"/>
        </w:numPr>
        <w:tabs>
          <w:tab w:pos="848" w:val="left" w:leader="none"/>
          <w:tab w:pos="861" w:val="left" w:leader="none"/>
        </w:tabs>
        <w:spacing w:line="240" w:lineRule="auto" w:before="283" w:after="0"/>
        <w:ind w:left="861" w:right="219" w:hanging="360"/>
        <w:jc w:val="left"/>
        <w:rPr>
          <w:sz w:val="24"/>
        </w:rPr>
      </w:pPr>
      <w:r>
        <w:rPr>
          <w:sz w:val="24"/>
        </w:rPr>
        <w:t>Postoperatief</w:t>
      </w:r>
      <w:r>
        <w:rPr>
          <w:spacing w:val="-3"/>
          <w:sz w:val="24"/>
        </w:rPr>
        <w:t> </w:t>
      </w:r>
      <w:r>
        <w:rPr>
          <w:sz w:val="24"/>
        </w:rPr>
        <w:t>wordt</w:t>
      </w:r>
      <w:r>
        <w:rPr>
          <w:spacing w:val="-1"/>
          <w:sz w:val="24"/>
        </w:rPr>
        <w:t> </w:t>
      </w:r>
      <w:r>
        <w:rPr>
          <w:sz w:val="24"/>
        </w:rPr>
        <w:t>geadviseerd</w:t>
      </w:r>
      <w:r>
        <w:rPr>
          <w:spacing w:val="-3"/>
          <w:sz w:val="24"/>
        </w:rPr>
        <w:t> </w:t>
      </w:r>
      <w:r>
        <w:rPr>
          <w:sz w:val="24"/>
        </w:rPr>
        <w:t>om</w:t>
      </w:r>
      <w:r>
        <w:rPr>
          <w:spacing w:val="-4"/>
          <w:sz w:val="24"/>
        </w:rPr>
        <w:t> </w:t>
      </w:r>
      <w:r>
        <w:rPr>
          <w:sz w:val="24"/>
        </w:rPr>
        <w:t>alle</w:t>
      </w:r>
      <w:r>
        <w:rPr>
          <w:spacing w:val="-1"/>
          <w:sz w:val="24"/>
        </w:rPr>
        <w:t> </w:t>
      </w:r>
      <w:r>
        <w:rPr>
          <w:sz w:val="24"/>
        </w:rPr>
        <w:t>centraal</w:t>
      </w:r>
      <w:r>
        <w:rPr>
          <w:spacing w:val="-4"/>
          <w:sz w:val="24"/>
        </w:rPr>
        <w:t> </w:t>
      </w:r>
      <w:r>
        <w:rPr>
          <w:sz w:val="24"/>
        </w:rPr>
        <w:t>veneuze</w:t>
      </w:r>
      <w:r>
        <w:rPr>
          <w:spacing w:val="-4"/>
          <w:sz w:val="24"/>
        </w:rPr>
        <w:t> </w:t>
      </w:r>
      <w:r>
        <w:rPr>
          <w:sz w:val="24"/>
        </w:rPr>
        <w:t>lijnen</w:t>
      </w:r>
      <w:r>
        <w:rPr>
          <w:spacing w:val="-3"/>
          <w:sz w:val="24"/>
        </w:rPr>
        <w:t> </w:t>
      </w:r>
      <w:r>
        <w:rPr>
          <w:sz w:val="24"/>
        </w:rPr>
        <w:t>zo</w:t>
      </w:r>
      <w:r>
        <w:rPr>
          <w:spacing w:val="-4"/>
          <w:sz w:val="24"/>
        </w:rPr>
        <w:t> </w:t>
      </w:r>
      <w:r>
        <w:rPr>
          <w:sz w:val="24"/>
        </w:rPr>
        <w:t>snel</w:t>
      </w:r>
      <w:r>
        <w:rPr>
          <w:spacing w:val="-4"/>
          <w:sz w:val="24"/>
        </w:rPr>
        <w:t> </w:t>
      </w:r>
      <w:r>
        <w:rPr>
          <w:sz w:val="24"/>
        </w:rPr>
        <w:t>mogelijk</w:t>
      </w:r>
      <w:r>
        <w:rPr>
          <w:spacing w:val="-2"/>
          <w:sz w:val="24"/>
        </w:rPr>
        <w:t> </w:t>
      </w:r>
      <w:r>
        <w:rPr>
          <w:sz w:val="24"/>
        </w:rPr>
        <w:t>te verwijderen uit het Glenn stroomgebied</w:t>
      </w:r>
    </w:p>
    <w:p>
      <w:pPr>
        <w:pStyle w:val="ListParagraph"/>
        <w:numPr>
          <w:ilvl w:val="0"/>
          <w:numId w:val="2"/>
        </w:numPr>
        <w:tabs>
          <w:tab w:pos="848" w:val="left" w:leader="none"/>
          <w:tab w:pos="861" w:val="left" w:leader="none"/>
        </w:tabs>
        <w:spacing w:line="240" w:lineRule="auto" w:before="0" w:after="0"/>
        <w:ind w:left="861" w:right="230" w:hanging="360"/>
        <w:jc w:val="left"/>
        <w:rPr>
          <w:sz w:val="24"/>
        </w:rPr>
      </w:pPr>
      <w:r>
        <w:rPr>
          <w:sz w:val="24"/>
        </w:rPr>
        <w:t>In de direct post-operatieve fase van de Glenn operatie wordt een actief antistollingsbeleid</w:t>
      </w:r>
      <w:r>
        <w:rPr>
          <w:spacing w:val="-4"/>
          <w:sz w:val="24"/>
        </w:rPr>
        <w:t> </w:t>
      </w:r>
      <w:r>
        <w:rPr>
          <w:sz w:val="24"/>
        </w:rPr>
        <w:t>met</w:t>
      </w:r>
      <w:r>
        <w:rPr>
          <w:spacing w:val="-6"/>
          <w:sz w:val="24"/>
        </w:rPr>
        <w:t> </w:t>
      </w:r>
      <w:r>
        <w:rPr>
          <w:sz w:val="24"/>
        </w:rPr>
        <w:t>ongefractioneerde</w:t>
      </w:r>
      <w:r>
        <w:rPr>
          <w:spacing w:val="-5"/>
          <w:sz w:val="24"/>
        </w:rPr>
        <w:t> </w:t>
      </w:r>
      <w:r>
        <w:rPr>
          <w:sz w:val="24"/>
        </w:rPr>
        <w:t>heparine</w:t>
      </w:r>
      <w:r>
        <w:rPr>
          <w:spacing w:val="-4"/>
          <w:sz w:val="24"/>
        </w:rPr>
        <w:t> </w:t>
      </w:r>
      <w:r>
        <w:rPr>
          <w:sz w:val="24"/>
        </w:rPr>
        <w:t>of</w:t>
      </w:r>
      <w:r>
        <w:rPr>
          <w:spacing w:val="-4"/>
          <w:sz w:val="24"/>
        </w:rPr>
        <w:t> </w:t>
      </w:r>
      <w:r>
        <w:rPr>
          <w:sz w:val="24"/>
        </w:rPr>
        <w:t>LMWH</w:t>
      </w:r>
      <w:r>
        <w:rPr>
          <w:spacing w:val="-6"/>
          <w:sz w:val="24"/>
        </w:rPr>
        <w:t> </w:t>
      </w:r>
      <w:r>
        <w:rPr>
          <w:sz w:val="24"/>
        </w:rPr>
        <w:t>geadviseerd</w:t>
      </w:r>
      <w:r>
        <w:rPr>
          <w:spacing w:val="-4"/>
          <w:sz w:val="24"/>
        </w:rPr>
        <w:t> </w:t>
      </w:r>
      <w:r>
        <w:rPr>
          <w:sz w:val="24"/>
        </w:rPr>
        <w:t>voor</w:t>
      </w:r>
      <w:r>
        <w:rPr>
          <w:spacing w:val="-7"/>
          <w:sz w:val="24"/>
        </w:rPr>
        <w:t> </w:t>
      </w:r>
      <w:r>
        <w:rPr>
          <w:sz w:val="24"/>
        </w:rPr>
        <w:t>alle patiënten, maar in ieder geval voor patiënten met risicofactoren (zie tabel 1)</w:t>
      </w:r>
    </w:p>
    <w:p>
      <w:pPr>
        <w:pStyle w:val="ListParagraph"/>
        <w:numPr>
          <w:ilvl w:val="0"/>
          <w:numId w:val="2"/>
        </w:numPr>
        <w:tabs>
          <w:tab w:pos="848" w:val="left" w:leader="none"/>
          <w:tab w:pos="861" w:val="left" w:leader="none"/>
        </w:tabs>
        <w:spacing w:line="240" w:lineRule="auto" w:before="0" w:after="0"/>
        <w:ind w:left="861" w:right="469" w:hanging="360"/>
        <w:jc w:val="left"/>
        <w:rPr>
          <w:sz w:val="24"/>
        </w:rPr>
      </w:pPr>
      <w:r>
        <w:rPr>
          <w:sz w:val="24"/>
        </w:rPr>
        <w:t>Na</w:t>
      </w:r>
      <w:r>
        <w:rPr>
          <w:spacing w:val="-3"/>
          <w:sz w:val="24"/>
        </w:rPr>
        <w:t> </w:t>
      </w:r>
      <w:r>
        <w:rPr>
          <w:sz w:val="24"/>
        </w:rPr>
        <w:t>het</w:t>
      </w:r>
      <w:r>
        <w:rPr>
          <w:spacing w:val="-3"/>
          <w:sz w:val="24"/>
        </w:rPr>
        <w:t> </w:t>
      </w:r>
      <w:r>
        <w:rPr>
          <w:sz w:val="24"/>
        </w:rPr>
        <w:t>op</w:t>
      </w:r>
      <w:r>
        <w:rPr>
          <w:spacing w:val="-4"/>
          <w:sz w:val="24"/>
        </w:rPr>
        <w:t> </w:t>
      </w:r>
      <w:r>
        <w:rPr>
          <w:sz w:val="24"/>
        </w:rPr>
        <w:t>gang</w:t>
      </w:r>
      <w:r>
        <w:rPr>
          <w:spacing w:val="-3"/>
          <w:sz w:val="24"/>
        </w:rPr>
        <w:t> </w:t>
      </w:r>
      <w:r>
        <w:rPr>
          <w:sz w:val="24"/>
        </w:rPr>
        <w:t>komen</w:t>
      </w:r>
      <w:r>
        <w:rPr>
          <w:spacing w:val="-2"/>
          <w:sz w:val="24"/>
        </w:rPr>
        <w:t> </w:t>
      </w:r>
      <w:r>
        <w:rPr>
          <w:sz w:val="24"/>
        </w:rPr>
        <w:t>van</w:t>
      </w:r>
      <w:r>
        <w:rPr>
          <w:spacing w:val="-3"/>
          <w:sz w:val="24"/>
        </w:rPr>
        <w:t> </w:t>
      </w:r>
      <w:r>
        <w:rPr>
          <w:sz w:val="24"/>
        </w:rPr>
        <w:t>de</w:t>
      </w:r>
      <w:r>
        <w:rPr>
          <w:spacing w:val="-3"/>
          <w:sz w:val="24"/>
        </w:rPr>
        <w:t> </w:t>
      </w:r>
      <w:r>
        <w:rPr>
          <w:sz w:val="24"/>
        </w:rPr>
        <w:t>orale</w:t>
      </w:r>
      <w:r>
        <w:rPr>
          <w:spacing w:val="-3"/>
          <w:sz w:val="24"/>
        </w:rPr>
        <w:t> </w:t>
      </w:r>
      <w:r>
        <w:rPr>
          <w:sz w:val="24"/>
        </w:rPr>
        <w:t>intake</w:t>
      </w:r>
      <w:r>
        <w:rPr>
          <w:spacing w:val="-3"/>
          <w:sz w:val="24"/>
        </w:rPr>
        <w:t> </w:t>
      </w:r>
      <w:r>
        <w:rPr>
          <w:sz w:val="24"/>
        </w:rPr>
        <w:t>kan</w:t>
      </w:r>
      <w:r>
        <w:rPr>
          <w:spacing w:val="-3"/>
          <w:sz w:val="24"/>
        </w:rPr>
        <w:t> </w:t>
      </w:r>
      <w:r>
        <w:rPr>
          <w:sz w:val="24"/>
        </w:rPr>
        <w:t>in</w:t>
      </w:r>
      <w:r>
        <w:rPr>
          <w:spacing w:val="-6"/>
          <w:sz w:val="24"/>
        </w:rPr>
        <w:t> </w:t>
      </w:r>
      <w:r>
        <w:rPr>
          <w:sz w:val="24"/>
        </w:rPr>
        <w:t>de</w:t>
      </w:r>
      <w:r>
        <w:rPr>
          <w:spacing w:val="-3"/>
          <w:sz w:val="24"/>
        </w:rPr>
        <w:t> </w:t>
      </w:r>
      <w:r>
        <w:rPr>
          <w:sz w:val="24"/>
        </w:rPr>
        <w:t>meeste</w:t>
      </w:r>
      <w:r>
        <w:rPr>
          <w:spacing w:val="-5"/>
          <w:sz w:val="24"/>
        </w:rPr>
        <w:t> </w:t>
      </w:r>
      <w:r>
        <w:rPr>
          <w:sz w:val="24"/>
        </w:rPr>
        <w:t>gevallen</w:t>
      </w:r>
      <w:r>
        <w:rPr>
          <w:spacing w:val="-3"/>
          <w:sz w:val="24"/>
        </w:rPr>
        <w:t> </w:t>
      </w:r>
      <w:r>
        <w:rPr>
          <w:sz w:val="24"/>
        </w:rPr>
        <w:t>overgegaan worden op trombocytenaggregatie remming</w:t>
      </w:r>
    </w:p>
    <w:p>
      <w:pPr>
        <w:pStyle w:val="ListParagraph"/>
        <w:numPr>
          <w:ilvl w:val="0"/>
          <w:numId w:val="2"/>
        </w:numPr>
        <w:tabs>
          <w:tab w:pos="848" w:val="left" w:leader="none"/>
          <w:tab w:pos="861" w:val="left" w:leader="none"/>
        </w:tabs>
        <w:spacing w:line="240" w:lineRule="auto" w:before="0" w:after="0"/>
        <w:ind w:left="861" w:right="351" w:hanging="360"/>
        <w:jc w:val="left"/>
        <w:rPr>
          <w:sz w:val="24"/>
        </w:rPr>
      </w:pPr>
      <w:r>
        <w:rPr>
          <w:sz w:val="24"/>
        </w:rPr>
        <w:t>Het</w:t>
      </w:r>
      <w:r>
        <w:rPr>
          <w:spacing w:val="-2"/>
          <w:sz w:val="24"/>
        </w:rPr>
        <w:t> </w:t>
      </w:r>
      <w:r>
        <w:rPr>
          <w:sz w:val="24"/>
        </w:rPr>
        <w:t>valt</w:t>
      </w:r>
      <w:r>
        <w:rPr>
          <w:spacing w:val="-5"/>
          <w:sz w:val="24"/>
        </w:rPr>
        <w:t> </w:t>
      </w:r>
      <w:r>
        <w:rPr>
          <w:sz w:val="24"/>
        </w:rPr>
        <w:t>te</w:t>
      </w:r>
      <w:r>
        <w:rPr>
          <w:spacing w:val="-6"/>
          <w:sz w:val="24"/>
        </w:rPr>
        <w:t> </w:t>
      </w:r>
      <w:r>
        <w:rPr>
          <w:sz w:val="24"/>
        </w:rPr>
        <w:t>overwegen</w:t>
      </w:r>
      <w:r>
        <w:rPr>
          <w:spacing w:val="-5"/>
          <w:sz w:val="24"/>
        </w:rPr>
        <w:t> </w:t>
      </w:r>
      <w:r>
        <w:rPr>
          <w:sz w:val="24"/>
        </w:rPr>
        <w:t>de</w:t>
      </w:r>
      <w:r>
        <w:rPr>
          <w:spacing w:val="-3"/>
          <w:sz w:val="24"/>
        </w:rPr>
        <w:t> </w:t>
      </w:r>
      <w:r>
        <w:rPr>
          <w:sz w:val="24"/>
        </w:rPr>
        <w:t>behandeling</w:t>
      </w:r>
      <w:r>
        <w:rPr>
          <w:spacing w:val="-4"/>
          <w:sz w:val="24"/>
        </w:rPr>
        <w:t> </w:t>
      </w:r>
      <w:r>
        <w:rPr>
          <w:sz w:val="24"/>
        </w:rPr>
        <w:t>met</w:t>
      </w:r>
      <w:r>
        <w:rPr>
          <w:spacing w:val="-5"/>
          <w:sz w:val="24"/>
        </w:rPr>
        <w:t> </w:t>
      </w:r>
      <w:r>
        <w:rPr>
          <w:sz w:val="24"/>
        </w:rPr>
        <w:t>heparine</w:t>
      </w:r>
      <w:r>
        <w:rPr>
          <w:spacing w:val="-3"/>
          <w:sz w:val="24"/>
        </w:rPr>
        <w:t> </w:t>
      </w:r>
      <w:r>
        <w:rPr>
          <w:sz w:val="24"/>
        </w:rPr>
        <w:t>gedurende</w:t>
      </w:r>
      <w:r>
        <w:rPr>
          <w:spacing w:val="-3"/>
          <w:sz w:val="24"/>
        </w:rPr>
        <w:t> </w:t>
      </w:r>
      <w:r>
        <w:rPr>
          <w:sz w:val="24"/>
        </w:rPr>
        <w:t>minstens</w:t>
      </w:r>
      <w:r>
        <w:rPr>
          <w:spacing w:val="-6"/>
          <w:sz w:val="24"/>
        </w:rPr>
        <w:t> </w:t>
      </w:r>
      <w:r>
        <w:rPr>
          <w:sz w:val="24"/>
        </w:rPr>
        <w:t>6</w:t>
      </w:r>
      <w:r>
        <w:rPr>
          <w:spacing w:val="-3"/>
          <w:sz w:val="24"/>
        </w:rPr>
        <w:t> </w:t>
      </w:r>
      <w:r>
        <w:rPr>
          <w:sz w:val="24"/>
        </w:rPr>
        <w:t>weken voort te zetten bij patiënten met bilaterale Glenn of Glenn in het kader van een comprehensive stage II (Norwood-Glenn)</w:t>
      </w:r>
    </w:p>
    <w:p>
      <w:pPr>
        <w:pStyle w:val="ListParagraph"/>
        <w:numPr>
          <w:ilvl w:val="0"/>
          <w:numId w:val="2"/>
        </w:numPr>
        <w:tabs>
          <w:tab w:pos="848" w:val="left" w:leader="none"/>
          <w:tab w:pos="861" w:val="left" w:leader="none"/>
        </w:tabs>
        <w:spacing w:line="240" w:lineRule="auto" w:before="0" w:after="0"/>
        <w:ind w:left="861" w:right="1057" w:hanging="360"/>
        <w:jc w:val="left"/>
        <w:rPr>
          <w:sz w:val="24"/>
        </w:rPr>
      </w:pPr>
      <w:r>
        <w:rPr>
          <w:sz w:val="24"/>
        </w:rPr>
        <w:t>Lange</w:t>
      </w:r>
      <w:r>
        <w:rPr>
          <w:spacing w:val="-6"/>
          <w:sz w:val="24"/>
        </w:rPr>
        <w:t> </w:t>
      </w:r>
      <w:r>
        <w:rPr>
          <w:sz w:val="24"/>
        </w:rPr>
        <w:t>termijn</w:t>
      </w:r>
      <w:r>
        <w:rPr>
          <w:spacing w:val="-3"/>
          <w:sz w:val="24"/>
        </w:rPr>
        <w:t> </w:t>
      </w:r>
      <w:r>
        <w:rPr>
          <w:sz w:val="24"/>
        </w:rPr>
        <w:t>behandeling</w:t>
      </w:r>
      <w:r>
        <w:rPr>
          <w:spacing w:val="-4"/>
          <w:sz w:val="24"/>
        </w:rPr>
        <w:t> </w:t>
      </w:r>
      <w:r>
        <w:rPr>
          <w:sz w:val="24"/>
        </w:rPr>
        <w:t>met</w:t>
      </w:r>
      <w:r>
        <w:rPr>
          <w:spacing w:val="-3"/>
          <w:sz w:val="24"/>
        </w:rPr>
        <w:t> </w:t>
      </w:r>
      <w:r>
        <w:rPr>
          <w:sz w:val="24"/>
        </w:rPr>
        <w:t>TAR</w:t>
      </w:r>
      <w:r>
        <w:rPr>
          <w:spacing w:val="-7"/>
          <w:sz w:val="24"/>
        </w:rPr>
        <w:t> </w:t>
      </w:r>
      <w:r>
        <w:rPr>
          <w:sz w:val="24"/>
        </w:rPr>
        <w:t>wordt</w:t>
      </w:r>
      <w:r>
        <w:rPr>
          <w:spacing w:val="-5"/>
          <w:sz w:val="24"/>
        </w:rPr>
        <w:t> </w:t>
      </w:r>
      <w:r>
        <w:rPr>
          <w:sz w:val="24"/>
        </w:rPr>
        <w:t>geadviseerd</w:t>
      </w:r>
      <w:r>
        <w:rPr>
          <w:spacing w:val="-3"/>
          <w:sz w:val="24"/>
        </w:rPr>
        <w:t> </w:t>
      </w:r>
      <w:r>
        <w:rPr>
          <w:sz w:val="24"/>
        </w:rPr>
        <w:t>voor</w:t>
      </w:r>
      <w:r>
        <w:rPr>
          <w:spacing w:val="-6"/>
          <w:sz w:val="24"/>
        </w:rPr>
        <w:t> </w:t>
      </w:r>
      <w:r>
        <w:rPr>
          <w:sz w:val="24"/>
        </w:rPr>
        <w:t>patiënten</w:t>
      </w:r>
      <w:r>
        <w:rPr>
          <w:spacing w:val="-5"/>
          <w:sz w:val="24"/>
        </w:rPr>
        <w:t> </w:t>
      </w:r>
      <w:r>
        <w:rPr>
          <w:sz w:val="24"/>
        </w:rPr>
        <w:t>met risicofactoren en valt te overwegen voor alle Glenn-patiënten</w:t>
      </w:r>
    </w:p>
    <w:p>
      <w:pPr>
        <w:pStyle w:val="ListParagraph"/>
        <w:numPr>
          <w:ilvl w:val="0"/>
          <w:numId w:val="2"/>
        </w:numPr>
        <w:tabs>
          <w:tab w:pos="848" w:val="left" w:leader="none"/>
          <w:tab w:pos="861" w:val="left" w:leader="none"/>
        </w:tabs>
        <w:spacing w:line="237" w:lineRule="auto" w:before="1" w:after="0"/>
        <w:ind w:left="861" w:right="75" w:hanging="360"/>
        <w:jc w:val="left"/>
        <w:rPr>
          <w:sz w:val="24"/>
        </w:rPr>
      </w:pPr>
      <w:r>
        <w:rPr>
          <w:sz w:val="24"/>
        </w:rPr>
        <w:t>Bij</w:t>
      </w:r>
      <w:r>
        <w:rPr>
          <w:spacing w:val="-3"/>
          <w:sz w:val="24"/>
        </w:rPr>
        <w:t> </w:t>
      </w:r>
      <w:r>
        <w:rPr>
          <w:sz w:val="24"/>
        </w:rPr>
        <w:t>niet</w:t>
      </w:r>
      <w:r>
        <w:rPr>
          <w:spacing w:val="-3"/>
          <w:sz w:val="24"/>
        </w:rPr>
        <w:t> </w:t>
      </w:r>
      <w:r>
        <w:rPr>
          <w:sz w:val="24"/>
        </w:rPr>
        <w:t>afgesloten</w:t>
      </w:r>
      <w:r>
        <w:rPr>
          <w:spacing w:val="-4"/>
          <w:sz w:val="24"/>
        </w:rPr>
        <w:t> </w:t>
      </w:r>
      <w:r>
        <w:rPr>
          <w:sz w:val="24"/>
        </w:rPr>
        <w:t>blind-</w:t>
      </w:r>
      <w:r>
        <w:rPr>
          <w:spacing w:val="-6"/>
          <w:sz w:val="24"/>
        </w:rPr>
        <w:t> </w:t>
      </w:r>
      <w:r>
        <w:rPr>
          <w:sz w:val="24"/>
        </w:rPr>
        <w:t>eindigende</w:t>
      </w:r>
      <w:r>
        <w:rPr>
          <w:spacing w:val="-2"/>
          <w:sz w:val="24"/>
        </w:rPr>
        <w:t> </w:t>
      </w:r>
      <w:r>
        <w:rPr>
          <w:sz w:val="24"/>
        </w:rPr>
        <w:t>pulmonalis</w:t>
      </w:r>
      <w:r>
        <w:rPr>
          <w:spacing w:val="-3"/>
          <w:sz w:val="24"/>
        </w:rPr>
        <w:t> </w:t>
      </w:r>
      <w:r>
        <w:rPr>
          <w:sz w:val="24"/>
        </w:rPr>
        <w:t>stomp</w:t>
      </w:r>
      <w:r>
        <w:rPr>
          <w:spacing w:val="-2"/>
          <w:sz w:val="24"/>
        </w:rPr>
        <w:t> </w:t>
      </w:r>
      <w:r>
        <w:rPr>
          <w:sz w:val="24"/>
        </w:rPr>
        <w:t>kan</w:t>
      </w:r>
      <w:r>
        <w:rPr>
          <w:spacing w:val="-4"/>
          <w:sz w:val="24"/>
        </w:rPr>
        <w:t> </w:t>
      </w:r>
      <w:r>
        <w:rPr>
          <w:sz w:val="24"/>
        </w:rPr>
        <w:t>LMWH</w:t>
      </w:r>
      <w:r>
        <w:rPr>
          <w:spacing w:val="-6"/>
          <w:sz w:val="24"/>
        </w:rPr>
        <w:t> </w:t>
      </w:r>
      <w:r>
        <w:rPr>
          <w:sz w:val="24"/>
        </w:rPr>
        <w:t>of</w:t>
      </w:r>
      <w:r>
        <w:rPr>
          <w:spacing w:val="-4"/>
          <w:sz w:val="24"/>
        </w:rPr>
        <w:t> </w:t>
      </w:r>
      <w:r>
        <w:rPr>
          <w:sz w:val="24"/>
        </w:rPr>
        <w:t>VKA</w:t>
      </w:r>
      <w:r>
        <w:rPr>
          <w:spacing w:val="-5"/>
          <w:sz w:val="24"/>
        </w:rPr>
        <w:t> </w:t>
      </w:r>
      <w:r>
        <w:rPr>
          <w:sz w:val="24"/>
        </w:rPr>
        <w:t>overwogen </w:t>
      </w:r>
      <w:r>
        <w:rPr>
          <w:spacing w:val="-2"/>
          <w:sz w:val="24"/>
        </w:rPr>
        <w:t>worden.</w:t>
      </w:r>
    </w:p>
    <w:p>
      <w:pPr>
        <w:pStyle w:val="ListParagraph"/>
        <w:spacing w:after="0" w:line="237" w:lineRule="auto"/>
        <w:jc w:val="left"/>
        <w:rPr>
          <w:sz w:val="24"/>
        </w:rPr>
        <w:sectPr>
          <w:pgSz w:w="11910" w:h="16840"/>
          <w:pgMar w:header="0" w:footer="750" w:top="1360" w:bottom="940" w:left="1275" w:right="1417"/>
        </w:sectPr>
      </w:pPr>
    </w:p>
    <w:p>
      <w:pPr>
        <w:pStyle w:val="Heading1"/>
        <w:spacing w:before="37"/>
      </w:pPr>
      <w:r>
        <w:rPr/>
        <w:t>Aorto-pulmonale</w:t>
      </w:r>
      <w:r>
        <w:rPr>
          <w:spacing w:val="-7"/>
        </w:rPr>
        <w:t> </w:t>
      </w:r>
      <w:r>
        <w:rPr/>
        <w:t>en</w:t>
      </w:r>
      <w:r>
        <w:rPr>
          <w:spacing w:val="-5"/>
        </w:rPr>
        <w:t> </w:t>
      </w:r>
      <w:r>
        <w:rPr/>
        <w:t>rechter</w:t>
      </w:r>
      <w:r>
        <w:rPr>
          <w:spacing w:val="-5"/>
        </w:rPr>
        <w:t> </w:t>
      </w:r>
      <w:r>
        <w:rPr/>
        <w:t>ventrikel-pulmonale</w:t>
      </w:r>
      <w:r>
        <w:rPr>
          <w:spacing w:val="-6"/>
        </w:rPr>
        <w:t> </w:t>
      </w:r>
      <w:r>
        <w:rPr>
          <w:spacing w:val="-2"/>
        </w:rPr>
        <w:t>shunts</w:t>
      </w:r>
    </w:p>
    <w:p>
      <w:pPr>
        <w:pStyle w:val="BodyText"/>
        <w:spacing w:before="2"/>
        <w:ind w:left="0"/>
        <w:rPr>
          <w:b/>
        </w:rPr>
      </w:pPr>
    </w:p>
    <w:p>
      <w:pPr>
        <w:pStyle w:val="BodyText"/>
      </w:pPr>
      <w:r>
        <w:rPr/>
        <w:t>J.A.E.</w:t>
      </w:r>
      <w:r>
        <w:rPr>
          <w:spacing w:val="-10"/>
        </w:rPr>
        <w:t> </w:t>
      </w:r>
      <w:r>
        <w:rPr/>
        <w:t>Kammeraad,</w:t>
      </w:r>
      <w:r>
        <w:rPr>
          <w:spacing w:val="-8"/>
        </w:rPr>
        <w:t> </w:t>
      </w:r>
      <w:r>
        <w:rPr/>
        <w:t>kinderarts-kindercardioloog,</w:t>
      </w:r>
      <w:r>
        <w:rPr>
          <w:spacing w:val="-9"/>
        </w:rPr>
        <w:t> </w:t>
      </w:r>
      <w:r>
        <w:rPr/>
        <w:t>Sophia</w:t>
      </w:r>
      <w:r>
        <w:rPr>
          <w:spacing w:val="-8"/>
        </w:rPr>
        <w:t> </w:t>
      </w:r>
      <w:r>
        <w:rPr/>
        <w:t>kinderziekenhuis,</w:t>
      </w:r>
      <w:r>
        <w:rPr>
          <w:spacing w:val="-8"/>
        </w:rPr>
        <w:t> </w:t>
      </w:r>
      <w:r>
        <w:rPr/>
        <w:t>Erasmus</w:t>
      </w:r>
      <w:r>
        <w:rPr>
          <w:spacing w:val="-8"/>
        </w:rPr>
        <w:t> </w:t>
      </w:r>
      <w:r>
        <w:rPr>
          <w:spacing w:val="-5"/>
        </w:rPr>
        <w:t>MC</w:t>
      </w:r>
    </w:p>
    <w:p>
      <w:pPr>
        <w:pStyle w:val="BodyText"/>
        <w:ind w:left="0"/>
      </w:pPr>
    </w:p>
    <w:p>
      <w:pPr>
        <w:pStyle w:val="Heading1"/>
      </w:pPr>
      <w:r>
        <w:rPr>
          <w:spacing w:val="-2"/>
        </w:rPr>
        <w:t>Inleiding</w:t>
      </w:r>
    </w:p>
    <w:p>
      <w:pPr>
        <w:pStyle w:val="BodyText"/>
        <w:ind w:right="55"/>
      </w:pPr>
      <w:r>
        <w:rPr/>
        <w:t>Shunt dysfunctie wordt gerapporteerd tussen 1 en 18% (9-16) en is een belangrijke oorzaak voor interim mortaliteit. Shuntdysfunctie kan ontstaan ten gevolge van shunt-trombose, - fibrose (15) en een kaliberverschil tussen aan- en/of afvoerende vat ten opzichte van de shunt(13). Kleinere shunts (3-3.5 mm) (11, 15, 17), jongere leeftijd (10, 17), een lager gewicht (10, 12, 18)</w:t>
      </w:r>
      <w:r>
        <w:rPr>
          <w:spacing w:val="-1"/>
        </w:rPr>
        <w:t> </w:t>
      </w:r>
      <w:r>
        <w:rPr/>
        <w:t>en een preoperatief verhoogd hemoglobinegetal(12),</w:t>
      </w:r>
      <w:r>
        <w:rPr>
          <w:spacing w:val="-2"/>
        </w:rPr>
        <w:t> </w:t>
      </w:r>
      <w:r>
        <w:rPr/>
        <w:t>zijn risicofactoren voor shunt occlusie en/of vroege mortaliteit. Fenton et al. evalueerden de oorzaken van interim</w:t>
      </w:r>
      <w:r>
        <w:rPr>
          <w:spacing w:val="-3"/>
        </w:rPr>
        <w:t> </w:t>
      </w:r>
      <w:r>
        <w:rPr/>
        <w:t>mortaliteit</w:t>
      </w:r>
      <w:r>
        <w:rPr>
          <w:spacing w:val="-3"/>
        </w:rPr>
        <w:t> </w:t>
      </w:r>
      <w:r>
        <w:rPr/>
        <w:t>van</w:t>
      </w:r>
      <w:r>
        <w:rPr>
          <w:spacing w:val="-4"/>
        </w:rPr>
        <w:t> </w:t>
      </w:r>
      <w:r>
        <w:rPr/>
        <w:t>21/146</w:t>
      </w:r>
      <w:r>
        <w:rPr>
          <w:spacing w:val="-4"/>
        </w:rPr>
        <w:t> </w:t>
      </w:r>
      <w:r>
        <w:rPr/>
        <w:t>zuigelingen</w:t>
      </w:r>
      <w:r>
        <w:rPr>
          <w:spacing w:val="-4"/>
        </w:rPr>
        <w:t> </w:t>
      </w:r>
      <w:r>
        <w:rPr/>
        <w:t>met</w:t>
      </w:r>
      <w:r>
        <w:rPr>
          <w:spacing w:val="-3"/>
        </w:rPr>
        <w:t> </w:t>
      </w:r>
      <w:r>
        <w:rPr/>
        <w:t>aorta-pulmonale</w:t>
      </w:r>
      <w:r>
        <w:rPr>
          <w:spacing w:val="-3"/>
        </w:rPr>
        <w:t> </w:t>
      </w:r>
      <w:r>
        <w:rPr/>
        <w:t>shunts(11).</w:t>
      </w:r>
      <w:r>
        <w:rPr>
          <w:spacing w:val="-4"/>
        </w:rPr>
        <w:t> </w:t>
      </w:r>
      <w:r>
        <w:rPr/>
        <w:t>Bij</w:t>
      </w:r>
      <w:r>
        <w:rPr>
          <w:spacing w:val="-3"/>
        </w:rPr>
        <w:t> </w:t>
      </w:r>
      <w:r>
        <w:rPr/>
        <w:t>autopsie</w:t>
      </w:r>
      <w:r>
        <w:rPr>
          <w:spacing w:val="-5"/>
        </w:rPr>
        <w:t> </w:t>
      </w:r>
      <w:r>
        <w:rPr/>
        <w:t>van 15/21 Patiënten werd bij 5/15 (33%) een shunt trombose gevonden en bij 2/15 (13%) een myocard infarct. Trombose van de shunt is dus een belangrijke oorzaak van mortaliteit.</w:t>
      </w:r>
    </w:p>
    <w:p>
      <w:pPr>
        <w:pStyle w:val="BodyText"/>
        <w:spacing w:before="292"/>
        <w:ind w:right="294"/>
      </w:pPr>
      <w:r>
        <w:rPr/>
        <w:t>De beschikbare literatuur concentreert zich met name op het gebruik van TARs bij aorta-pulmonale shunts. Er bestaan geen publicaties van gerandomiseerd, gecontroleerde trials naar de effectiviteit van antistollingstherapie bij patiënten met aorta-pulmonale shunts.</w:t>
      </w:r>
      <w:r>
        <w:rPr>
          <w:spacing w:val="40"/>
        </w:rPr>
        <w:t> </w:t>
      </w:r>
      <w:r>
        <w:rPr/>
        <w:t>Er zijn daarnaast geen studies gedaan die de effectiviteit van antistollingstherapie bij de verschillende typen shunts evalueren. In beschreven studies, worden alle shunts (aorto-pulmonale shunt (Modified Blalock-Taussig [MBT] of centraal) en rechter ventrikel-pulmonale</w:t>
      </w:r>
      <w:r>
        <w:rPr>
          <w:spacing w:val="-4"/>
        </w:rPr>
        <w:t> </w:t>
      </w:r>
      <w:r>
        <w:rPr/>
        <w:t>shunt</w:t>
      </w:r>
      <w:r>
        <w:rPr>
          <w:spacing w:val="-4"/>
        </w:rPr>
        <w:t> </w:t>
      </w:r>
      <w:r>
        <w:rPr/>
        <w:t>[Sano])</w:t>
      </w:r>
      <w:r>
        <w:rPr>
          <w:spacing w:val="-6"/>
        </w:rPr>
        <w:t> </w:t>
      </w:r>
      <w:r>
        <w:rPr/>
        <w:t>gezamenlijk</w:t>
      </w:r>
      <w:r>
        <w:rPr>
          <w:spacing w:val="-4"/>
        </w:rPr>
        <w:t> </w:t>
      </w:r>
      <w:r>
        <w:rPr/>
        <w:t>geëvalueerd.</w:t>
      </w:r>
      <w:r>
        <w:rPr>
          <w:spacing w:val="-4"/>
        </w:rPr>
        <w:t> </w:t>
      </w:r>
      <w:r>
        <w:rPr/>
        <w:t>Zodoende</w:t>
      </w:r>
      <w:r>
        <w:rPr>
          <w:spacing w:val="-4"/>
        </w:rPr>
        <w:t> </w:t>
      </w:r>
      <w:r>
        <w:rPr/>
        <w:t>zal</w:t>
      </w:r>
      <w:r>
        <w:rPr>
          <w:spacing w:val="-5"/>
        </w:rPr>
        <w:t> </w:t>
      </w:r>
      <w:r>
        <w:rPr/>
        <w:t>de</w:t>
      </w:r>
      <w:r>
        <w:rPr>
          <w:spacing w:val="-2"/>
        </w:rPr>
        <w:t> </w:t>
      </w:r>
      <w:r>
        <w:rPr/>
        <w:t>werkgroep</w:t>
      </w:r>
      <w:r>
        <w:rPr>
          <w:spacing w:val="-4"/>
        </w:rPr>
        <w:t> </w:t>
      </w:r>
      <w:r>
        <w:rPr/>
        <w:t>een</w:t>
      </w:r>
      <w:r>
        <w:rPr>
          <w:spacing w:val="-4"/>
        </w:rPr>
        <w:t> </w:t>
      </w:r>
      <w:r>
        <w:rPr/>
        <w:t>advies suggereren voor alle aorto-pulmonale shunts tezamen.</w:t>
      </w:r>
    </w:p>
    <w:p>
      <w:pPr>
        <w:pStyle w:val="BodyText"/>
        <w:spacing w:before="1"/>
        <w:ind w:left="0"/>
      </w:pPr>
    </w:p>
    <w:p>
      <w:pPr>
        <w:pStyle w:val="Heading1"/>
      </w:pPr>
      <w:r>
        <w:rPr/>
        <w:t>Samenvatting</w:t>
      </w:r>
      <w:r>
        <w:rPr>
          <w:spacing w:val="-4"/>
        </w:rPr>
        <w:t> </w:t>
      </w:r>
      <w:r>
        <w:rPr>
          <w:spacing w:val="-2"/>
        </w:rPr>
        <w:t>literatuur</w:t>
      </w:r>
    </w:p>
    <w:p>
      <w:pPr>
        <w:pStyle w:val="BodyText"/>
      </w:pPr>
      <w:r>
        <w:rPr/>
        <w:t>De</w:t>
      </w:r>
      <w:r>
        <w:rPr>
          <w:spacing w:val="-3"/>
        </w:rPr>
        <w:t> </w:t>
      </w:r>
      <w:r>
        <w:rPr/>
        <w:t>volgende</w:t>
      </w:r>
      <w:r>
        <w:rPr>
          <w:spacing w:val="-3"/>
        </w:rPr>
        <w:t> </w:t>
      </w:r>
      <w:r>
        <w:rPr/>
        <w:t>studies</w:t>
      </w:r>
      <w:r>
        <w:rPr>
          <w:spacing w:val="-3"/>
        </w:rPr>
        <w:t> </w:t>
      </w:r>
      <w:r>
        <w:rPr/>
        <w:t>tonen</w:t>
      </w:r>
      <w:r>
        <w:rPr>
          <w:spacing w:val="-1"/>
        </w:rPr>
        <w:t> </w:t>
      </w:r>
      <w:r>
        <w:rPr/>
        <w:t>geen</w:t>
      </w:r>
      <w:r>
        <w:rPr>
          <w:spacing w:val="-5"/>
        </w:rPr>
        <w:t> </w:t>
      </w:r>
      <w:r>
        <w:rPr/>
        <w:t>effect</w:t>
      </w:r>
      <w:r>
        <w:rPr>
          <w:spacing w:val="-3"/>
        </w:rPr>
        <w:t> </w:t>
      </w:r>
      <w:r>
        <w:rPr/>
        <w:t>van</w:t>
      </w:r>
      <w:r>
        <w:rPr>
          <w:spacing w:val="-3"/>
        </w:rPr>
        <w:t> </w:t>
      </w:r>
      <w:r>
        <w:rPr/>
        <w:t>antistollingstherapie.</w:t>
      </w:r>
      <w:r>
        <w:rPr>
          <w:spacing w:val="-4"/>
        </w:rPr>
        <w:t> </w:t>
      </w:r>
      <w:r>
        <w:rPr>
          <w:b/>
        </w:rPr>
        <w:t>Fenton</w:t>
      </w:r>
      <w:r>
        <w:rPr>
          <w:b/>
          <w:spacing w:val="-3"/>
        </w:rPr>
        <w:t> </w:t>
      </w:r>
      <w:r>
        <w:rPr>
          <w:b/>
        </w:rPr>
        <w:t>et</w:t>
      </w:r>
      <w:r>
        <w:rPr>
          <w:b/>
          <w:spacing w:val="-3"/>
        </w:rPr>
        <w:t> </w:t>
      </w:r>
      <w:r>
        <w:rPr>
          <w:b/>
        </w:rPr>
        <w:t>a</w:t>
      </w:r>
      <w:r>
        <w:rPr/>
        <w:t>l.</w:t>
      </w:r>
      <w:r>
        <w:rPr>
          <w:spacing w:val="-5"/>
        </w:rPr>
        <w:t> </w:t>
      </w:r>
      <w:r>
        <w:rPr/>
        <w:t>beschrijven</w:t>
      </w:r>
      <w:r>
        <w:rPr>
          <w:spacing w:val="-5"/>
        </w:rPr>
        <w:t> </w:t>
      </w:r>
      <w:r>
        <w:rPr/>
        <w:t>de follow up van 146 zuigelingen met een aorta-pulmonale shunt. Zij vinden in totaal 10 shunt tromboses (6.8%) met hogere incidentie in de kleinere shunts (3-3.5 mm). De incidentie van trombose was</w:t>
      </w:r>
      <w:r>
        <w:rPr>
          <w:spacing w:val="-3"/>
        </w:rPr>
        <w:t> </w:t>
      </w:r>
      <w:r>
        <w:rPr/>
        <w:t>hoger</w:t>
      </w:r>
      <w:r>
        <w:rPr>
          <w:spacing w:val="-3"/>
        </w:rPr>
        <w:t> </w:t>
      </w:r>
      <w:r>
        <w:rPr/>
        <w:t>in</w:t>
      </w:r>
      <w:r>
        <w:rPr>
          <w:spacing w:val="-2"/>
        </w:rPr>
        <w:t> </w:t>
      </w:r>
      <w:r>
        <w:rPr/>
        <w:t>de groep die TAR</w:t>
      </w:r>
      <w:r>
        <w:rPr>
          <w:spacing w:val="-2"/>
        </w:rPr>
        <w:t> </w:t>
      </w:r>
      <w:r>
        <w:rPr/>
        <w:t>kregen,</w:t>
      </w:r>
      <w:r>
        <w:rPr>
          <w:spacing w:val="-5"/>
        </w:rPr>
        <w:t> </w:t>
      </w:r>
      <w:r>
        <w:rPr/>
        <w:t>maar patiënten met kleinere shunts</w:t>
      </w:r>
      <w:r>
        <w:rPr>
          <w:spacing w:val="-1"/>
        </w:rPr>
        <w:t> </w:t>
      </w:r>
      <w:r>
        <w:rPr/>
        <w:t>kregen ook vaker TAR(11).</w:t>
      </w:r>
    </w:p>
    <w:p>
      <w:pPr>
        <w:pStyle w:val="BodyText"/>
        <w:spacing w:before="2"/>
        <w:ind w:left="0"/>
      </w:pPr>
    </w:p>
    <w:p>
      <w:pPr>
        <w:pStyle w:val="BodyText"/>
        <w:ind w:right="46"/>
      </w:pPr>
      <w:r>
        <w:rPr>
          <w:b/>
        </w:rPr>
        <w:t>Wells et al</w:t>
      </w:r>
      <w:r>
        <w:rPr/>
        <w:t>. beschreven de histopathologie van 155 electief verwijderde MBT shunts op de leeftijd van 8 maanden(15).</w:t>
      </w:r>
      <w:r>
        <w:rPr>
          <w:spacing w:val="40"/>
        </w:rPr>
        <w:t> </w:t>
      </w:r>
      <w:r>
        <w:rPr/>
        <w:t>Zij vonden &gt;50% occlusie bij 21% van de patiënten. Onduidelijk blijft hoeveel stenose ontstaat ten gevolge van trombose dan wel ten gevolge van (myo)fibrotische</w:t>
      </w:r>
      <w:r>
        <w:rPr>
          <w:spacing w:val="-4"/>
        </w:rPr>
        <w:t> </w:t>
      </w:r>
      <w:r>
        <w:rPr/>
        <w:t>proliferatie.</w:t>
      </w:r>
      <w:r>
        <w:rPr>
          <w:spacing w:val="-3"/>
        </w:rPr>
        <w:t> </w:t>
      </w:r>
      <w:r>
        <w:rPr/>
        <w:t>Alle</w:t>
      </w:r>
      <w:r>
        <w:rPr>
          <w:spacing w:val="-2"/>
        </w:rPr>
        <w:t> </w:t>
      </w:r>
      <w:r>
        <w:rPr/>
        <w:t>155</w:t>
      </w:r>
      <w:r>
        <w:rPr>
          <w:spacing w:val="-4"/>
        </w:rPr>
        <w:t> </w:t>
      </w:r>
      <w:r>
        <w:rPr/>
        <w:t>patiënten</w:t>
      </w:r>
      <w:r>
        <w:rPr>
          <w:spacing w:val="-5"/>
        </w:rPr>
        <w:t> </w:t>
      </w:r>
      <w:r>
        <w:rPr/>
        <w:t>werden</w:t>
      </w:r>
      <w:r>
        <w:rPr>
          <w:spacing w:val="-4"/>
        </w:rPr>
        <w:t> </w:t>
      </w:r>
      <w:r>
        <w:rPr/>
        <w:t>behandeld</w:t>
      </w:r>
      <w:r>
        <w:rPr>
          <w:spacing w:val="-4"/>
        </w:rPr>
        <w:t> </w:t>
      </w:r>
      <w:r>
        <w:rPr/>
        <w:t>met</w:t>
      </w:r>
      <w:r>
        <w:rPr>
          <w:spacing w:val="-4"/>
        </w:rPr>
        <w:t> </w:t>
      </w:r>
      <w:r>
        <w:rPr/>
        <w:t>TAR.</w:t>
      </w:r>
      <w:r>
        <w:rPr>
          <w:spacing w:val="-4"/>
        </w:rPr>
        <w:t> </w:t>
      </w:r>
      <w:r>
        <w:rPr/>
        <w:t>TAR</w:t>
      </w:r>
      <w:r>
        <w:rPr>
          <w:spacing w:val="-4"/>
        </w:rPr>
        <w:t> </w:t>
      </w:r>
      <w:r>
        <w:rPr/>
        <w:t>is</w:t>
      </w:r>
      <w:r>
        <w:rPr>
          <w:spacing w:val="-4"/>
        </w:rPr>
        <w:t> </w:t>
      </w:r>
      <w:r>
        <w:rPr/>
        <w:t>dus</w:t>
      </w:r>
      <w:r>
        <w:rPr>
          <w:spacing w:val="-4"/>
        </w:rPr>
        <w:t> </w:t>
      </w:r>
      <w:r>
        <w:rPr/>
        <w:t>niet voldoende om shunt occlusie volledig te voorkomen.</w:t>
      </w:r>
    </w:p>
    <w:p>
      <w:pPr>
        <w:pStyle w:val="BodyText"/>
        <w:spacing w:before="292"/>
        <w:ind w:right="22"/>
      </w:pPr>
      <w:r>
        <w:rPr/>
        <w:t>De volgende studies tonen wel effect aan van antistollingstherapie. </w:t>
      </w:r>
      <w:r>
        <w:rPr>
          <w:b/>
        </w:rPr>
        <w:t>Manlhiot et al</w:t>
      </w:r>
      <w:r>
        <w:rPr/>
        <w:t>.</w:t>
      </w:r>
      <w:r>
        <w:rPr>
          <w:spacing w:val="40"/>
        </w:rPr>
        <w:t> </w:t>
      </w:r>
      <w:r>
        <w:rPr/>
        <w:t>evalueren</w:t>
      </w:r>
      <w:r>
        <w:rPr>
          <w:spacing w:val="-5"/>
        </w:rPr>
        <w:t> </w:t>
      </w:r>
      <w:r>
        <w:rPr/>
        <w:t>de</w:t>
      </w:r>
      <w:r>
        <w:rPr>
          <w:spacing w:val="-5"/>
        </w:rPr>
        <w:t> </w:t>
      </w:r>
      <w:r>
        <w:rPr/>
        <w:t>trombotische</w:t>
      </w:r>
      <w:r>
        <w:rPr>
          <w:spacing w:val="-3"/>
        </w:rPr>
        <w:t> </w:t>
      </w:r>
      <w:r>
        <w:rPr/>
        <w:t>complicaties</w:t>
      </w:r>
      <w:r>
        <w:rPr>
          <w:spacing w:val="-6"/>
        </w:rPr>
        <w:t> </w:t>
      </w:r>
      <w:r>
        <w:rPr/>
        <w:t>en</w:t>
      </w:r>
      <w:r>
        <w:rPr>
          <w:spacing w:val="-5"/>
        </w:rPr>
        <w:t> </w:t>
      </w:r>
      <w:r>
        <w:rPr/>
        <w:t>tromboseprofylaxe</w:t>
      </w:r>
      <w:r>
        <w:rPr>
          <w:spacing w:val="-4"/>
        </w:rPr>
        <w:t> </w:t>
      </w:r>
      <w:r>
        <w:rPr/>
        <w:t>van</w:t>
      </w:r>
      <w:r>
        <w:rPr>
          <w:spacing w:val="-3"/>
        </w:rPr>
        <w:t> </w:t>
      </w:r>
      <w:r>
        <w:rPr/>
        <w:t>145</w:t>
      </w:r>
      <w:r>
        <w:rPr>
          <w:spacing w:val="-3"/>
        </w:rPr>
        <w:t> </w:t>
      </w:r>
      <w:r>
        <w:rPr/>
        <w:t>patiënten</w:t>
      </w:r>
      <w:r>
        <w:rPr>
          <w:spacing w:val="-2"/>
        </w:rPr>
        <w:t> </w:t>
      </w:r>
      <w:r>
        <w:rPr/>
        <w:t>gedurende de verschillende stadia van een één-kamer palliatie traject (6). 136/145 Patiënten kregen</w:t>
      </w:r>
      <w:r>
        <w:rPr>
          <w:spacing w:val="40"/>
        </w:rPr>
        <w:t> </w:t>
      </w:r>
      <w:r>
        <w:rPr/>
        <w:t>een vorm van aorto-pulmonale shunt; MBT shunt (n=80), Sano shunt (n=16), hybride procedure (n=40), anders (n=9). Hiervan kregen 101 (70%) patiënten antistollingstherapie (Enoxaparine (n=95, 66%), ASA (n=3, 2%) of ASA met Enoxaparine (n=3, 2%)) en 44 (30%) geen antistollingstherapie. Shunt trombose werd beschreven bij 4 (3%) van de patiënten.</w:t>
      </w:r>
    </w:p>
    <w:p>
      <w:pPr>
        <w:pStyle w:val="BodyText"/>
        <w:spacing w:before="1"/>
        <w:ind w:right="78"/>
      </w:pPr>
      <w:r>
        <w:rPr/>
        <w:t>Klinisch manifeste trombose op andere plaatsen (vb vena femoralis trombose op het moment</w:t>
      </w:r>
      <w:r>
        <w:rPr>
          <w:spacing w:val="-2"/>
        </w:rPr>
        <w:t> </w:t>
      </w:r>
      <w:r>
        <w:rPr/>
        <w:t>van</w:t>
      </w:r>
      <w:r>
        <w:rPr>
          <w:spacing w:val="-4"/>
        </w:rPr>
        <w:t> </w:t>
      </w:r>
      <w:r>
        <w:rPr/>
        <w:t>lijnplaatsing</w:t>
      </w:r>
      <w:r>
        <w:rPr>
          <w:spacing w:val="-3"/>
        </w:rPr>
        <w:t> </w:t>
      </w:r>
      <w:r>
        <w:rPr/>
        <w:t>en</w:t>
      </w:r>
      <w:r>
        <w:rPr>
          <w:spacing w:val="-4"/>
        </w:rPr>
        <w:t> </w:t>
      </w:r>
      <w:r>
        <w:rPr/>
        <w:t>andere</w:t>
      </w:r>
      <w:r>
        <w:rPr>
          <w:spacing w:val="-2"/>
        </w:rPr>
        <w:t> </w:t>
      </w:r>
      <w:r>
        <w:rPr/>
        <w:t>veneuze</w:t>
      </w:r>
      <w:r>
        <w:rPr>
          <w:spacing w:val="-5"/>
        </w:rPr>
        <w:t> </w:t>
      </w:r>
      <w:r>
        <w:rPr/>
        <w:t>en</w:t>
      </w:r>
      <w:r>
        <w:rPr>
          <w:spacing w:val="-6"/>
        </w:rPr>
        <w:t> </w:t>
      </w:r>
      <w:r>
        <w:rPr/>
        <w:t>arteriële</w:t>
      </w:r>
      <w:r>
        <w:rPr>
          <w:spacing w:val="-4"/>
        </w:rPr>
        <w:t> </w:t>
      </w:r>
      <w:r>
        <w:rPr/>
        <w:t>tromboses)</w:t>
      </w:r>
      <w:r>
        <w:rPr>
          <w:spacing w:val="-4"/>
        </w:rPr>
        <w:t> </w:t>
      </w:r>
      <w:r>
        <w:rPr/>
        <w:t>werd</w:t>
      </w:r>
      <w:r>
        <w:rPr>
          <w:spacing w:val="-2"/>
        </w:rPr>
        <w:t> </w:t>
      </w:r>
      <w:r>
        <w:rPr/>
        <w:t>beschreven</w:t>
      </w:r>
      <w:r>
        <w:rPr>
          <w:spacing w:val="-2"/>
        </w:rPr>
        <w:t> </w:t>
      </w:r>
      <w:r>
        <w:rPr/>
        <w:t>bij 58/145 (40%). Multivariate analyse toont een beschermend effect aan van</w:t>
      </w:r>
    </w:p>
    <w:p>
      <w:pPr>
        <w:pStyle w:val="BodyText"/>
        <w:spacing w:after="0"/>
        <w:sectPr>
          <w:pgSz w:w="11910" w:h="16840"/>
          <w:pgMar w:header="0" w:footer="750" w:top="1360" w:bottom="940" w:left="1275" w:right="1417"/>
        </w:sectPr>
      </w:pPr>
    </w:p>
    <w:p>
      <w:pPr>
        <w:pStyle w:val="BodyText"/>
        <w:spacing w:before="37"/>
        <w:ind w:right="78"/>
      </w:pPr>
      <w:r>
        <w:rPr/>
        <w:t>antistollingstherapie in het voorkomen van (alle) trombotische complicaties bij 145 patiënten na initiële palliatie. Er kan geen vergelijking gemaakt worden tussen effectiviteit ASA</w:t>
      </w:r>
      <w:r>
        <w:rPr>
          <w:spacing w:val="-3"/>
        </w:rPr>
        <w:t> </w:t>
      </w:r>
      <w:r>
        <w:rPr/>
        <w:t>ten</w:t>
      </w:r>
      <w:r>
        <w:rPr>
          <w:spacing w:val="-5"/>
        </w:rPr>
        <w:t> </w:t>
      </w:r>
      <w:r>
        <w:rPr/>
        <w:t>opzichte</w:t>
      </w:r>
      <w:r>
        <w:rPr>
          <w:spacing w:val="-6"/>
        </w:rPr>
        <w:t> </w:t>
      </w:r>
      <w:r>
        <w:rPr/>
        <w:t>van</w:t>
      </w:r>
      <w:r>
        <w:rPr>
          <w:spacing w:val="-3"/>
        </w:rPr>
        <w:t> </w:t>
      </w:r>
      <w:r>
        <w:rPr/>
        <w:t>geen</w:t>
      </w:r>
      <w:r>
        <w:rPr>
          <w:spacing w:val="-2"/>
        </w:rPr>
        <w:t> </w:t>
      </w:r>
      <w:r>
        <w:rPr/>
        <w:t>antistollingstherapie</w:t>
      </w:r>
      <w:r>
        <w:rPr>
          <w:spacing w:val="-3"/>
        </w:rPr>
        <w:t> </w:t>
      </w:r>
      <w:r>
        <w:rPr/>
        <w:t>vanwege</w:t>
      </w:r>
      <w:r>
        <w:rPr>
          <w:spacing w:val="-3"/>
        </w:rPr>
        <w:t> </w:t>
      </w:r>
      <w:r>
        <w:rPr/>
        <w:t>kleine</w:t>
      </w:r>
      <w:r>
        <w:rPr>
          <w:spacing w:val="-6"/>
        </w:rPr>
        <w:t> </w:t>
      </w:r>
      <w:r>
        <w:rPr/>
        <w:t>aantallen en</w:t>
      </w:r>
      <w:r>
        <w:rPr>
          <w:spacing w:val="-3"/>
        </w:rPr>
        <w:t> </w:t>
      </w:r>
      <w:r>
        <w:rPr/>
        <w:t>er</w:t>
      </w:r>
      <w:r>
        <w:rPr>
          <w:spacing w:val="-5"/>
        </w:rPr>
        <w:t> </w:t>
      </w:r>
      <w:r>
        <w:rPr/>
        <w:t>wordt</w:t>
      </w:r>
      <w:r>
        <w:rPr>
          <w:spacing w:val="-3"/>
        </w:rPr>
        <w:t> </w:t>
      </w:r>
      <w:r>
        <w:rPr/>
        <w:t>geen vergelijking gemaakt voor solitair shunt occlusie</w:t>
      </w:r>
      <w:r>
        <w:rPr>
          <w:spacing w:val="-1"/>
        </w:rPr>
        <w:t> </w:t>
      </w:r>
      <w:r>
        <w:rPr/>
        <w:t>los van andere trombotische complicaties.</w:t>
      </w:r>
    </w:p>
    <w:p>
      <w:pPr>
        <w:pStyle w:val="BodyText"/>
        <w:spacing w:before="2"/>
        <w:ind w:left="0"/>
      </w:pPr>
    </w:p>
    <w:p>
      <w:pPr>
        <w:pStyle w:val="BodyText"/>
        <w:ind w:right="78"/>
      </w:pPr>
      <w:r>
        <w:rPr>
          <w:b/>
        </w:rPr>
        <w:t>Motz et al</w:t>
      </w:r>
      <w:r>
        <w:rPr/>
        <w:t>. publiceerden de retrospectieve follow up van 37 patiënten met een Aorto-pulmonale shunt tussen 1989 en 1996 waarbij het effect van TAR op shunt occlusie werd geëvalueerd.</w:t>
      </w:r>
      <w:r>
        <w:rPr>
          <w:spacing w:val="-6"/>
        </w:rPr>
        <w:t> </w:t>
      </w:r>
      <w:r>
        <w:rPr/>
        <w:t>Met</w:t>
      </w:r>
      <w:r>
        <w:rPr>
          <w:spacing w:val="-3"/>
        </w:rPr>
        <w:t> </w:t>
      </w:r>
      <w:r>
        <w:rPr/>
        <w:t>een</w:t>
      </w:r>
      <w:r>
        <w:rPr>
          <w:spacing w:val="-2"/>
        </w:rPr>
        <w:t> </w:t>
      </w:r>
      <w:r>
        <w:rPr/>
        <w:t>shuntocclusie</w:t>
      </w:r>
      <w:r>
        <w:rPr>
          <w:spacing w:val="-5"/>
        </w:rPr>
        <w:t> </w:t>
      </w:r>
      <w:r>
        <w:rPr/>
        <w:t>bij</w:t>
      </w:r>
      <w:r>
        <w:rPr>
          <w:spacing w:val="-3"/>
        </w:rPr>
        <w:t> </w:t>
      </w:r>
      <w:r>
        <w:rPr/>
        <w:t>12/22</w:t>
      </w:r>
      <w:r>
        <w:rPr>
          <w:spacing w:val="-2"/>
        </w:rPr>
        <w:t> </w:t>
      </w:r>
      <w:r>
        <w:rPr/>
        <w:t>(54%)</w:t>
      </w:r>
      <w:r>
        <w:rPr>
          <w:spacing w:val="-4"/>
        </w:rPr>
        <w:t> </w:t>
      </w:r>
      <w:r>
        <w:rPr/>
        <w:t>van</w:t>
      </w:r>
      <w:r>
        <w:rPr>
          <w:spacing w:val="-2"/>
        </w:rPr>
        <w:t> </w:t>
      </w:r>
      <w:r>
        <w:rPr/>
        <w:t>de</w:t>
      </w:r>
      <w:r>
        <w:rPr>
          <w:spacing w:val="-4"/>
        </w:rPr>
        <w:t> </w:t>
      </w:r>
      <w:r>
        <w:rPr/>
        <w:t>zuigelingen</w:t>
      </w:r>
      <w:r>
        <w:rPr>
          <w:spacing w:val="-4"/>
        </w:rPr>
        <w:t> </w:t>
      </w:r>
      <w:r>
        <w:rPr/>
        <w:t>zonder</w:t>
      </w:r>
      <w:r>
        <w:rPr>
          <w:spacing w:val="-4"/>
        </w:rPr>
        <w:t> </w:t>
      </w:r>
      <w:r>
        <w:rPr/>
        <w:t>TAR</w:t>
      </w:r>
      <w:r>
        <w:rPr>
          <w:spacing w:val="-4"/>
        </w:rPr>
        <w:t> </w:t>
      </w:r>
      <w:r>
        <w:rPr/>
        <w:t>en</w:t>
      </w:r>
      <w:r>
        <w:rPr>
          <w:spacing w:val="-4"/>
        </w:rPr>
        <w:t> </w:t>
      </w:r>
      <w:r>
        <w:rPr/>
        <w:t>2/15 (13%) van de zuigelingen met TAR, concluderen zij dat TAR het voorkomen van shunt occlusie reduceert.(19)</w:t>
      </w:r>
    </w:p>
    <w:p>
      <w:pPr>
        <w:pStyle w:val="BodyText"/>
        <w:spacing w:before="292"/>
        <w:ind w:right="24"/>
      </w:pPr>
      <w:r>
        <w:rPr/>
        <w:t>Er is één prospectieve multicenter studie van </w:t>
      </w:r>
      <w:r>
        <w:rPr>
          <w:b/>
        </w:rPr>
        <w:t>Li et al</w:t>
      </w:r>
      <w:r>
        <w:rPr/>
        <w:t>. die 1004 patiënten met shunts (aorta-pulmonale</w:t>
      </w:r>
      <w:r>
        <w:rPr>
          <w:spacing w:val="-5"/>
        </w:rPr>
        <w:t> </w:t>
      </w:r>
      <w:r>
        <w:rPr/>
        <w:t>shunt</w:t>
      </w:r>
      <w:r>
        <w:rPr>
          <w:spacing w:val="-4"/>
        </w:rPr>
        <w:t> </w:t>
      </w:r>
      <w:r>
        <w:rPr/>
        <w:t>n=</w:t>
      </w:r>
      <w:r>
        <w:rPr>
          <w:spacing w:val="-5"/>
        </w:rPr>
        <w:t> </w:t>
      </w:r>
      <w:r>
        <w:rPr/>
        <w:t>954,</w:t>
      </w:r>
      <w:r>
        <w:rPr>
          <w:spacing w:val="-4"/>
        </w:rPr>
        <w:t> </w:t>
      </w:r>
      <w:r>
        <w:rPr/>
        <w:t>Sano</w:t>
      </w:r>
      <w:r>
        <w:rPr>
          <w:spacing w:val="-5"/>
        </w:rPr>
        <w:t> </w:t>
      </w:r>
      <w:r>
        <w:rPr/>
        <w:t>shunt</w:t>
      </w:r>
      <w:r>
        <w:rPr>
          <w:spacing w:val="-4"/>
        </w:rPr>
        <w:t> </w:t>
      </w:r>
      <w:r>
        <w:rPr/>
        <w:t>n=50)</w:t>
      </w:r>
      <w:r>
        <w:rPr>
          <w:spacing w:val="-4"/>
        </w:rPr>
        <w:t> </w:t>
      </w:r>
      <w:r>
        <w:rPr/>
        <w:t>en</w:t>
      </w:r>
      <w:r>
        <w:rPr>
          <w:spacing w:val="-4"/>
        </w:rPr>
        <w:t> </w:t>
      </w:r>
      <w:r>
        <w:rPr/>
        <w:t>het</w:t>
      </w:r>
      <w:r>
        <w:rPr>
          <w:spacing w:val="-3"/>
        </w:rPr>
        <w:t> </w:t>
      </w:r>
      <w:r>
        <w:rPr/>
        <w:t>gebruik</w:t>
      </w:r>
      <w:r>
        <w:rPr>
          <w:spacing w:val="-4"/>
        </w:rPr>
        <w:t> </w:t>
      </w:r>
      <w:r>
        <w:rPr/>
        <w:t>van</w:t>
      </w:r>
      <w:r>
        <w:rPr>
          <w:spacing w:val="-2"/>
        </w:rPr>
        <w:t> </w:t>
      </w:r>
      <w:r>
        <w:rPr/>
        <w:t>Aspirine</w:t>
      </w:r>
      <w:r>
        <w:rPr>
          <w:spacing w:val="-2"/>
        </w:rPr>
        <w:t> </w:t>
      </w:r>
      <w:r>
        <w:rPr/>
        <w:t>(806/1002</w:t>
      </w:r>
      <w:r>
        <w:rPr>
          <w:spacing w:val="-4"/>
        </w:rPr>
        <w:t> </w:t>
      </w:r>
      <w:r>
        <w:rPr/>
        <w:t>patiënten) evalueert. De incidentie van shunttrombose is 12% (99/1004). Zij tonen een significant beschermend effect van Aspirine aan op zowel shunt trombose (Hazard ratio 0.13; 95% CI 0.03-0.59; P=0.08) als mortaliteit. (14)</w:t>
      </w:r>
    </w:p>
    <w:p>
      <w:pPr>
        <w:pStyle w:val="BodyText"/>
        <w:spacing w:before="1"/>
        <w:ind w:left="0"/>
      </w:pPr>
    </w:p>
    <w:p>
      <w:pPr>
        <w:pStyle w:val="BodyText"/>
        <w:spacing w:before="1"/>
        <w:ind w:right="20"/>
      </w:pPr>
      <w:r>
        <w:rPr>
          <w:b/>
        </w:rPr>
        <w:t>Wessel et al</w:t>
      </w:r>
      <w:r>
        <w:rPr/>
        <w:t>. publiceerden een grote multicenter studie die in een gerandomiseerd, geblindeerd en placebo-gecontroleerde opzet de veiligheid en effectiviteit van Clopidogrel</w:t>
      </w:r>
      <w:r>
        <w:rPr>
          <w:spacing w:val="40"/>
        </w:rPr>
        <w:t> </w:t>
      </w:r>
      <w:r>
        <w:rPr/>
        <w:t>bij 906 kinderen met een aorta-pulmonale shunt evalueert (MBT shunt n=622; Sano shunt n=121; Centrale shunt n=78; Stent in ductus arteriosus n=84)(20). Primaire eindpunten waren: overlijden of harttransplantatie, shunt trombose waarvoor een interventie noodzakelijk was of een cardiale procedure verricht binnen de eerste 120 levensdagen ten gevolge van een event dat trombotisch geweest zou kunnen zijn. Hierbij werd geen toegevoegde waarde aangetoond van het gebruik van Clopidogrel (0.2 mg/kg/dg) naast de gangbare</w:t>
      </w:r>
      <w:r>
        <w:rPr>
          <w:spacing w:val="-5"/>
        </w:rPr>
        <w:t> </w:t>
      </w:r>
      <w:r>
        <w:rPr/>
        <w:t>therapie</w:t>
      </w:r>
      <w:r>
        <w:rPr>
          <w:spacing w:val="-3"/>
        </w:rPr>
        <w:t> </w:t>
      </w:r>
      <w:r>
        <w:rPr/>
        <w:t>(Aspirine</w:t>
      </w:r>
      <w:r>
        <w:rPr>
          <w:spacing w:val="-3"/>
        </w:rPr>
        <w:t> </w:t>
      </w:r>
      <w:r>
        <w:rPr/>
        <w:t>84%,</w:t>
      </w:r>
      <w:r>
        <w:rPr>
          <w:spacing w:val="-4"/>
        </w:rPr>
        <w:t> </w:t>
      </w:r>
      <w:r>
        <w:rPr/>
        <w:t>geen</w:t>
      </w:r>
      <w:r>
        <w:rPr>
          <w:spacing w:val="-3"/>
        </w:rPr>
        <w:t> </w:t>
      </w:r>
      <w:r>
        <w:rPr/>
        <w:t>antistolling</w:t>
      </w:r>
      <w:r>
        <w:rPr>
          <w:spacing w:val="-4"/>
        </w:rPr>
        <w:t> </w:t>
      </w:r>
      <w:r>
        <w:rPr/>
        <w:t>16%),</w:t>
      </w:r>
      <w:r>
        <w:rPr>
          <w:spacing w:val="-4"/>
        </w:rPr>
        <w:t> </w:t>
      </w:r>
      <w:r>
        <w:rPr/>
        <w:t>ten</w:t>
      </w:r>
      <w:r>
        <w:rPr>
          <w:spacing w:val="-3"/>
        </w:rPr>
        <w:t> </w:t>
      </w:r>
      <w:r>
        <w:rPr/>
        <w:t>opzichte</w:t>
      </w:r>
      <w:r>
        <w:rPr>
          <w:spacing w:val="-6"/>
        </w:rPr>
        <w:t> </w:t>
      </w:r>
      <w:r>
        <w:rPr/>
        <w:t>van</w:t>
      </w:r>
      <w:r>
        <w:rPr>
          <w:spacing w:val="-5"/>
        </w:rPr>
        <w:t> </w:t>
      </w:r>
      <w:r>
        <w:rPr/>
        <w:t>placebo.</w:t>
      </w:r>
      <w:r>
        <w:rPr>
          <w:spacing w:val="-5"/>
        </w:rPr>
        <w:t> </w:t>
      </w:r>
      <w:r>
        <w:rPr/>
        <w:t>Wel</w:t>
      </w:r>
      <w:r>
        <w:rPr>
          <w:spacing w:val="-3"/>
        </w:rPr>
        <w:t> </w:t>
      </w:r>
      <w:r>
        <w:rPr/>
        <w:t>werd een significant beschermend effect van Aspirine gezien; 18.6% van de kinderen die aspirine kregen tegenover 28.2% van de kinderen die geen aspirine kregen, bereikten een primair eindpunt. Aspirine zorgde voor een relatieve risicoreductie van 40.1%.(20)</w:t>
      </w:r>
    </w:p>
    <w:p>
      <w:pPr>
        <w:pStyle w:val="BodyText"/>
        <w:ind w:left="0"/>
      </w:pPr>
    </w:p>
    <w:p>
      <w:pPr>
        <w:spacing w:before="0"/>
        <w:ind w:left="141" w:right="0" w:firstLine="0"/>
        <w:jc w:val="left"/>
        <w:rPr>
          <w:i/>
          <w:sz w:val="24"/>
        </w:rPr>
      </w:pPr>
      <w:r>
        <w:rPr>
          <w:i/>
          <w:sz w:val="24"/>
        </w:rPr>
        <w:t>Bestaande</w:t>
      </w:r>
      <w:r>
        <w:rPr>
          <w:i/>
          <w:spacing w:val="-5"/>
          <w:sz w:val="24"/>
        </w:rPr>
        <w:t> </w:t>
      </w:r>
      <w:r>
        <w:rPr>
          <w:i/>
          <w:spacing w:val="-2"/>
          <w:sz w:val="24"/>
        </w:rPr>
        <w:t>richtlijnen</w:t>
      </w:r>
    </w:p>
    <w:p>
      <w:pPr>
        <w:pStyle w:val="BodyText"/>
        <w:spacing w:before="1"/>
      </w:pPr>
      <w:r>
        <w:rPr/>
        <w:t>De American College of Chest Physicians zijn in hun guidelines betreffende tromboseprofylaxe</w:t>
      </w:r>
      <w:r>
        <w:rPr>
          <w:spacing w:val="-5"/>
        </w:rPr>
        <w:t> </w:t>
      </w:r>
      <w:r>
        <w:rPr/>
        <w:t>bij</w:t>
      </w:r>
      <w:r>
        <w:rPr>
          <w:spacing w:val="-3"/>
        </w:rPr>
        <w:t> </w:t>
      </w:r>
      <w:r>
        <w:rPr/>
        <w:t>kinderen</w:t>
      </w:r>
      <w:r>
        <w:rPr>
          <w:spacing w:val="-1"/>
        </w:rPr>
        <w:t> </w:t>
      </w:r>
      <w:r>
        <w:rPr/>
        <w:t>met</w:t>
      </w:r>
      <w:r>
        <w:rPr>
          <w:spacing w:val="-3"/>
        </w:rPr>
        <w:t> </w:t>
      </w:r>
      <w:r>
        <w:rPr/>
        <w:t>een</w:t>
      </w:r>
      <w:r>
        <w:rPr>
          <w:spacing w:val="-2"/>
        </w:rPr>
        <w:t> </w:t>
      </w:r>
      <w:r>
        <w:rPr/>
        <w:t>(M)BT</w:t>
      </w:r>
      <w:r>
        <w:rPr>
          <w:spacing w:val="-2"/>
        </w:rPr>
        <w:t> </w:t>
      </w:r>
      <w:r>
        <w:rPr/>
        <w:t>shunt</w:t>
      </w:r>
      <w:r>
        <w:rPr>
          <w:spacing w:val="-4"/>
        </w:rPr>
        <w:t> </w:t>
      </w:r>
      <w:r>
        <w:rPr/>
        <w:t>niet</w:t>
      </w:r>
      <w:r>
        <w:rPr>
          <w:spacing w:val="-2"/>
        </w:rPr>
        <w:t> </w:t>
      </w:r>
      <w:r>
        <w:rPr/>
        <w:t>eenduidig</w:t>
      </w:r>
      <w:r>
        <w:rPr>
          <w:spacing w:val="-5"/>
        </w:rPr>
        <w:t> </w:t>
      </w:r>
      <w:r>
        <w:rPr/>
        <w:t>en</w:t>
      </w:r>
      <w:r>
        <w:rPr>
          <w:spacing w:val="-4"/>
        </w:rPr>
        <w:t> </w:t>
      </w:r>
      <w:r>
        <w:rPr/>
        <w:t>adviseren</w:t>
      </w:r>
      <w:r>
        <w:rPr>
          <w:spacing w:val="-4"/>
        </w:rPr>
        <w:t> </w:t>
      </w:r>
      <w:r>
        <w:rPr/>
        <w:t>of</w:t>
      </w:r>
      <w:r>
        <w:rPr>
          <w:spacing w:val="-4"/>
        </w:rPr>
        <w:t> </w:t>
      </w:r>
      <w:r>
        <w:rPr/>
        <w:t>TAR</w:t>
      </w:r>
      <w:r>
        <w:rPr>
          <w:spacing w:val="-5"/>
        </w:rPr>
        <w:t> </w:t>
      </w:r>
      <w:r>
        <w:rPr/>
        <w:t>of geen anti-trombotische therapie te gebruiken.(21)</w:t>
      </w:r>
    </w:p>
    <w:p>
      <w:pPr>
        <w:pStyle w:val="BodyText"/>
      </w:pPr>
      <w:r>
        <w:rPr/>
        <w:t>De</w:t>
      </w:r>
      <w:r>
        <w:rPr>
          <w:spacing w:val="-3"/>
        </w:rPr>
        <w:t> </w:t>
      </w:r>
      <w:r>
        <w:rPr/>
        <w:t>American</w:t>
      </w:r>
      <w:r>
        <w:rPr>
          <w:spacing w:val="-3"/>
        </w:rPr>
        <w:t> </w:t>
      </w:r>
      <w:r>
        <w:rPr/>
        <w:t>Heart</w:t>
      </w:r>
      <w:r>
        <w:rPr>
          <w:spacing w:val="-5"/>
        </w:rPr>
        <w:t> </w:t>
      </w:r>
      <w:r>
        <w:rPr/>
        <w:t>Association</w:t>
      </w:r>
      <w:r>
        <w:rPr>
          <w:spacing w:val="-5"/>
        </w:rPr>
        <w:t> </w:t>
      </w:r>
      <w:r>
        <w:rPr/>
        <w:t>adviseert TAR</w:t>
      </w:r>
      <w:r>
        <w:rPr>
          <w:spacing w:val="-4"/>
        </w:rPr>
        <w:t> </w:t>
      </w:r>
      <w:r>
        <w:rPr/>
        <w:t>bij</w:t>
      </w:r>
      <w:r>
        <w:rPr>
          <w:spacing w:val="-7"/>
        </w:rPr>
        <w:t> </w:t>
      </w:r>
      <w:r>
        <w:rPr/>
        <w:t>alle</w:t>
      </w:r>
      <w:r>
        <w:rPr>
          <w:spacing w:val="-3"/>
        </w:rPr>
        <w:t> </w:t>
      </w:r>
      <w:r>
        <w:rPr/>
        <w:t>kinderen</w:t>
      </w:r>
      <w:r>
        <w:rPr>
          <w:spacing w:val="-5"/>
        </w:rPr>
        <w:t> </w:t>
      </w:r>
      <w:r>
        <w:rPr/>
        <w:t>met</w:t>
      </w:r>
      <w:r>
        <w:rPr>
          <w:spacing w:val="-3"/>
        </w:rPr>
        <w:t> </w:t>
      </w:r>
      <w:r>
        <w:rPr/>
        <w:t>een</w:t>
      </w:r>
      <w:r>
        <w:rPr>
          <w:spacing w:val="-2"/>
        </w:rPr>
        <w:t> </w:t>
      </w:r>
      <w:r>
        <w:rPr/>
        <w:t>aorta-pulmonale </w:t>
      </w:r>
      <w:r>
        <w:rPr>
          <w:spacing w:val="-2"/>
        </w:rPr>
        <w:t>shunt.(22)</w:t>
      </w:r>
    </w:p>
    <w:p>
      <w:pPr>
        <w:spacing w:before="292"/>
        <w:ind w:left="141" w:right="0" w:firstLine="0"/>
        <w:jc w:val="left"/>
        <w:rPr>
          <w:i/>
          <w:sz w:val="24"/>
        </w:rPr>
      </w:pPr>
      <w:r>
        <w:rPr>
          <w:i/>
          <w:sz w:val="24"/>
        </w:rPr>
        <w:t>Overbruggingstherapie</w:t>
      </w:r>
      <w:r>
        <w:rPr>
          <w:i/>
          <w:spacing w:val="-10"/>
          <w:sz w:val="24"/>
        </w:rPr>
        <w:t> </w:t>
      </w:r>
      <w:r>
        <w:rPr>
          <w:i/>
          <w:sz w:val="24"/>
        </w:rPr>
        <w:t>post-</w:t>
      </w:r>
      <w:r>
        <w:rPr>
          <w:i/>
          <w:spacing w:val="-2"/>
          <w:sz w:val="24"/>
        </w:rPr>
        <w:t>operatief</w:t>
      </w:r>
    </w:p>
    <w:p>
      <w:pPr>
        <w:pStyle w:val="BodyText"/>
        <w:ind w:right="78"/>
      </w:pPr>
      <w:r>
        <w:rPr/>
        <w:t>Ten aanzien van intra-operatieve en direct post-operatieve antistollingstherapie na aanleggen van een aorta-pulmonale shunt is geen specifieke literatuur beschikbaar. In bovenstaande literatuur worden patiënten met een shunt aangelegd onder cardio-pulmonale bypass hierbij uiteraard gehepariniseerd. In de meeste centra wordt deze heparinisatie aan het eind van de operatie bij goede hemostase niet gecoupeerd met protamine.</w:t>
      </w:r>
      <w:r>
        <w:rPr>
          <w:spacing w:val="-4"/>
        </w:rPr>
        <w:t> </w:t>
      </w:r>
      <w:r>
        <w:rPr/>
        <w:t>Indien</w:t>
      </w:r>
      <w:r>
        <w:rPr>
          <w:spacing w:val="-5"/>
        </w:rPr>
        <w:t> </w:t>
      </w:r>
      <w:r>
        <w:rPr/>
        <w:t>de</w:t>
      </w:r>
      <w:r>
        <w:rPr>
          <w:spacing w:val="-3"/>
        </w:rPr>
        <w:t> </w:t>
      </w:r>
      <w:r>
        <w:rPr/>
        <w:t>shunt</w:t>
      </w:r>
      <w:r>
        <w:rPr>
          <w:spacing w:val="-3"/>
        </w:rPr>
        <w:t> </w:t>
      </w:r>
      <w:r>
        <w:rPr/>
        <w:t>wordt</w:t>
      </w:r>
      <w:r>
        <w:rPr>
          <w:spacing w:val="-5"/>
        </w:rPr>
        <w:t> </w:t>
      </w:r>
      <w:r>
        <w:rPr/>
        <w:t>aangelegd</w:t>
      </w:r>
      <w:r>
        <w:rPr>
          <w:spacing w:val="-5"/>
        </w:rPr>
        <w:t> </w:t>
      </w:r>
      <w:r>
        <w:rPr/>
        <w:t>zonder cardiopulmonale</w:t>
      </w:r>
      <w:r>
        <w:rPr>
          <w:spacing w:val="-3"/>
        </w:rPr>
        <w:t> </w:t>
      </w:r>
      <w:r>
        <w:rPr/>
        <w:t>bypass,</w:t>
      </w:r>
      <w:r>
        <w:rPr>
          <w:spacing w:val="-4"/>
        </w:rPr>
        <w:t> </w:t>
      </w:r>
      <w:r>
        <w:rPr/>
        <w:t>worden</w:t>
      </w:r>
      <w:r>
        <w:rPr>
          <w:spacing w:val="-5"/>
        </w:rPr>
        <w:t> </w:t>
      </w:r>
      <w:r>
        <w:rPr/>
        <w:t>de meeste kinderen opgeladen met heparine juist voorafgaand aan het verwijderen van de klemmen. (9,13)</w:t>
      </w:r>
    </w:p>
    <w:p>
      <w:pPr>
        <w:pStyle w:val="BodyText"/>
        <w:spacing w:after="0"/>
        <w:sectPr>
          <w:pgSz w:w="11910" w:h="16840"/>
          <w:pgMar w:header="0" w:footer="750" w:top="1360" w:bottom="940" w:left="1275" w:right="1417"/>
        </w:sectPr>
      </w:pPr>
    </w:p>
    <w:p>
      <w:pPr>
        <w:pStyle w:val="BodyText"/>
        <w:spacing w:before="37"/>
        <w:ind w:right="78"/>
      </w:pPr>
      <w:r>
        <w:rPr/>
        <w:t>Er</w:t>
      </w:r>
      <w:r>
        <w:rPr>
          <w:spacing w:val="-2"/>
        </w:rPr>
        <w:t> </w:t>
      </w:r>
      <w:r>
        <w:rPr/>
        <w:t>zijn</w:t>
      </w:r>
      <w:r>
        <w:rPr>
          <w:spacing w:val="-2"/>
        </w:rPr>
        <w:t> </w:t>
      </w:r>
      <w:r>
        <w:rPr/>
        <w:t>eveneens</w:t>
      </w:r>
      <w:r>
        <w:rPr>
          <w:spacing w:val="-3"/>
        </w:rPr>
        <w:t> </w:t>
      </w:r>
      <w:r>
        <w:rPr/>
        <w:t>verschillende</w:t>
      </w:r>
      <w:r>
        <w:rPr>
          <w:spacing w:val="-5"/>
        </w:rPr>
        <w:t> </w:t>
      </w:r>
      <w:r>
        <w:rPr/>
        <w:t>centra</w:t>
      </w:r>
      <w:r>
        <w:rPr>
          <w:spacing w:val="-4"/>
        </w:rPr>
        <w:t> </w:t>
      </w:r>
      <w:r>
        <w:rPr/>
        <w:t>die,</w:t>
      </w:r>
      <w:r>
        <w:rPr>
          <w:spacing w:val="-4"/>
        </w:rPr>
        <w:t> </w:t>
      </w:r>
      <w:r>
        <w:rPr/>
        <w:t>zodra</w:t>
      </w:r>
      <w:r>
        <w:rPr>
          <w:spacing w:val="-2"/>
        </w:rPr>
        <w:t> </w:t>
      </w:r>
      <w:r>
        <w:rPr/>
        <w:t>goede</w:t>
      </w:r>
      <w:r>
        <w:rPr>
          <w:spacing w:val="-5"/>
        </w:rPr>
        <w:t> </w:t>
      </w:r>
      <w:r>
        <w:rPr/>
        <w:t>hemostase</w:t>
      </w:r>
      <w:r>
        <w:rPr>
          <w:spacing w:val="-5"/>
        </w:rPr>
        <w:t> </w:t>
      </w:r>
      <w:r>
        <w:rPr/>
        <w:t>is</w:t>
      </w:r>
      <w:r>
        <w:rPr>
          <w:spacing w:val="-3"/>
        </w:rPr>
        <w:t> </w:t>
      </w:r>
      <w:r>
        <w:rPr/>
        <w:t>bereikt,</w:t>
      </w:r>
      <w:r>
        <w:rPr>
          <w:spacing w:val="-3"/>
        </w:rPr>
        <w:t> </w:t>
      </w:r>
      <w:r>
        <w:rPr/>
        <w:t>overbruggen met heparine of LMWH totdat de permanente antistollingstherapie gestart kan worden.(9,13) De meeste centra in Nederland hebben dit niet als standaard beleid.</w:t>
      </w:r>
    </w:p>
    <w:p>
      <w:pPr>
        <w:pStyle w:val="BodyText"/>
        <w:spacing w:before="2"/>
        <w:ind w:left="0"/>
      </w:pPr>
    </w:p>
    <w:p>
      <w:pPr>
        <w:spacing w:before="0"/>
        <w:ind w:left="141" w:right="0" w:firstLine="0"/>
        <w:jc w:val="left"/>
        <w:rPr>
          <w:i/>
          <w:sz w:val="24"/>
        </w:rPr>
      </w:pPr>
      <w:r>
        <w:rPr>
          <w:i/>
          <w:spacing w:val="-2"/>
          <w:sz w:val="24"/>
        </w:rPr>
        <w:t>Shunt-trombose</w:t>
      </w:r>
    </w:p>
    <w:p>
      <w:pPr>
        <w:pStyle w:val="BodyText"/>
      </w:pPr>
      <w:r>
        <w:rPr/>
        <w:t>Indien een shunt trombose optreedt geeft de literatuur geen eenduidig advies ten aanzien van</w:t>
      </w:r>
      <w:r>
        <w:rPr>
          <w:spacing w:val="-1"/>
        </w:rPr>
        <w:t> </w:t>
      </w:r>
      <w:r>
        <w:rPr/>
        <w:t>het</w:t>
      </w:r>
      <w:r>
        <w:rPr>
          <w:spacing w:val="-3"/>
        </w:rPr>
        <w:t> </w:t>
      </w:r>
      <w:r>
        <w:rPr/>
        <w:t>te</w:t>
      </w:r>
      <w:r>
        <w:rPr>
          <w:spacing w:val="-1"/>
        </w:rPr>
        <w:t> </w:t>
      </w:r>
      <w:r>
        <w:rPr/>
        <w:t>volgen</w:t>
      </w:r>
      <w:r>
        <w:rPr>
          <w:spacing w:val="-3"/>
        </w:rPr>
        <w:t> </w:t>
      </w:r>
      <w:r>
        <w:rPr/>
        <w:t>beleid.</w:t>
      </w:r>
      <w:r>
        <w:rPr>
          <w:spacing w:val="-5"/>
        </w:rPr>
        <w:t> </w:t>
      </w:r>
      <w:r>
        <w:rPr/>
        <w:t>De</w:t>
      </w:r>
      <w:r>
        <w:rPr>
          <w:spacing w:val="-1"/>
        </w:rPr>
        <w:t> </w:t>
      </w:r>
      <w:r>
        <w:rPr/>
        <w:t>verschillende</w:t>
      </w:r>
      <w:r>
        <w:rPr>
          <w:spacing w:val="-4"/>
        </w:rPr>
        <w:t> </w:t>
      </w:r>
      <w:r>
        <w:rPr/>
        <w:t>opties</w:t>
      </w:r>
      <w:r>
        <w:rPr>
          <w:spacing w:val="-4"/>
        </w:rPr>
        <w:t> </w:t>
      </w:r>
      <w:r>
        <w:rPr/>
        <w:t>bestaan</w:t>
      </w:r>
      <w:r>
        <w:rPr>
          <w:spacing w:val="-3"/>
        </w:rPr>
        <w:t> </w:t>
      </w:r>
      <w:r>
        <w:rPr/>
        <w:t>uit</w:t>
      </w:r>
      <w:r>
        <w:rPr>
          <w:spacing w:val="-3"/>
        </w:rPr>
        <w:t> </w:t>
      </w:r>
      <w:r>
        <w:rPr/>
        <w:t>re-operatie</w:t>
      </w:r>
      <w:r>
        <w:rPr>
          <w:spacing w:val="-6"/>
        </w:rPr>
        <w:t> </w:t>
      </w:r>
      <w:r>
        <w:rPr/>
        <w:t>met revisie</w:t>
      </w:r>
      <w:r>
        <w:rPr>
          <w:spacing w:val="-1"/>
        </w:rPr>
        <w:t> </w:t>
      </w:r>
      <w:r>
        <w:rPr/>
        <w:t>van</w:t>
      </w:r>
      <w:r>
        <w:rPr>
          <w:spacing w:val="-3"/>
        </w:rPr>
        <w:t> </w:t>
      </w:r>
      <w:r>
        <w:rPr/>
        <w:t>de shunt, trombolyse of ballonangioplastiek al dan niet met percutane transcatheter trombectomie of anticoagulantia.</w:t>
      </w:r>
    </w:p>
    <w:p>
      <w:pPr>
        <w:pStyle w:val="Heading1"/>
        <w:spacing w:before="292"/>
      </w:pPr>
      <w:r>
        <w:rPr/>
        <w:t>Conclusies</w:t>
      </w:r>
      <w:r>
        <w:rPr>
          <w:spacing w:val="-3"/>
        </w:rPr>
        <w:t> </w:t>
      </w:r>
      <w:r>
        <w:rPr>
          <w:spacing w:val="-2"/>
        </w:rPr>
        <w:t>literatuur</w:t>
      </w:r>
    </w:p>
    <w:p>
      <w:pPr>
        <w:pStyle w:val="BodyText"/>
        <w:spacing w:before="49"/>
        <w:ind w:left="0"/>
        <w:rPr>
          <w:b/>
          <w:sz w:val="20"/>
        </w:rPr>
      </w:pPr>
    </w:p>
    <w:tbl>
      <w:tblPr>
        <w:tblW w:w="0" w:type="auto"/>
        <w:jc w:val="left"/>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6"/>
        <w:gridCol w:w="7088"/>
      </w:tblGrid>
      <w:tr>
        <w:trPr>
          <w:trHeight w:val="1173" w:hRule="atLeast"/>
        </w:trPr>
        <w:tc>
          <w:tcPr>
            <w:tcW w:w="1346" w:type="dxa"/>
            <w:shd w:val="clear" w:color="auto" w:fill="C0C0C0"/>
          </w:tcPr>
          <w:p>
            <w:pPr>
              <w:pStyle w:val="TableParagraph"/>
              <w:spacing w:before="147"/>
              <w:ind w:left="0"/>
              <w:rPr>
                <w:b/>
                <w:sz w:val="24"/>
              </w:rPr>
            </w:pPr>
          </w:p>
          <w:p>
            <w:pPr>
              <w:pStyle w:val="TableParagraph"/>
              <w:spacing w:before="1"/>
              <w:rPr>
                <w:sz w:val="24"/>
              </w:rPr>
            </w:pPr>
            <w:r>
              <w:rPr>
                <w:sz w:val="24"/>
              </w:rPr>
              <w:t>Niveau</w:t>
            </w:r>
            <w:r>
              <w:rPr>
                <w:spacing w:val="-4"/>
                <w:sz w:val="24"/>
              </w:rPr>
              <w:t> </w:t>
            </w:r>
            <w:r>
              <w:rPr>
                <w:spacing w:val="-10"/>
                <w:sz w:val="24"/>
              </w:rPr>
              <w:t>2</w:t>
            </w:r>
          </w:p>
        </w:tc>
        <w:tc>
          <w:tcPr>
            <w:tcW w:w="7088" w:type="dxa"/>
          </w:tcPr>
          <w:p>
            <w:pPr>
              <w:pStyle w:val="TableParagraph"/>
              <w:ind w:right="85"/>
              <w:rPr>
                <w:sz w:val="24"/>
              </w:rPr>
            </w:pPr>
            <w:r>
              <w:rPr>
                <w:sz w:val="24"/>
              </w:rPr>
              <w:t>Aspirine heeft waarschijnlijk een beschermend effect op shunt trombose</w:t>
            </w:r>
            <w:r>
              <w:rPr>
                <w:spacing w:val="-4"/>
                <w:sz w:val="24"/>
              </w:rPr>
              <w:t> </w:t>
            </w:r>
            <w:r>
              <w:rPr>
                <w:sz w:val="24"/>
              </w:rPr>
              <w:t>en</w:t>
            </w:r>
            <w:r>
              <w:rPr>
                <w:spacing w:val="-4"/>
                <w:sz w:val="24"/>
              </w:rPr>
              <w:t> </w:t>
            </w:r>
            <w:r>
              <w:rPr>
                <w:sz w:val="24"/>
              </w:rPr>
              <w:t>mortaliteit</w:t>
            </w:r>
            <w:r>
              <w:rPr>
                <w:spacing w:val="-6"/>
                <w:sz w:val="24"/>
              </w:rPr>
              <w:t> </w:t>
            </w:r>
            <w:r>
              <w:rPr>
                <w:sz w:val="24"/>
              </w:rPr>
              <w:t>bij</w:t>
            </w:r>
            <w:r>
              <w:rPr>
                <w:spacing w:val="-5"/>
                <w:sz w:val="24"/>
              </w:rPr>
              <w:t> </w:t>
            </w:r>
            <w:r>
              <w:rPr>
                <w:sz w:val="24"/>
              </w:rPr>
              <w:t>kinderen</w:t>
            </w:r>
            <w:r>
              <w:rPr>
                <w:spacing w:val="-4"/>
                <w:sz w:val="24"/>
              </w:rPr>
              <w:t> </w:t>
            </w:r>
            <w:r>
              <w:rPr>
                <w:sz w:val="24"/>
              </w:rPr>
              <w:t>met</w:t>
            </w:r>
            <w:r>
              <w:rPr>
                <w:spacing w:val="-4"/>
                <w:sz w:val="24"/>
              </w:rPr>
              <w:t> </w:t>
            </w:r>
            <w:r>
              <w:rPr>
                <w:sz w:val="24"/>
              </w:rPr>
              <w:t>een</w:t>
            </w:r>
            <w:r>
              <w:rPr>
                <w:spacing w:val="-6"/>
                <w:sz w:val="24"/>
              </w:rPr>
              <w:t> </w:t>
            </w:r>
            <w:r>
              <w:rPr>
                <w:sz w:val="24"/>
              </w:rPr>
              <w:t>aorto-pulmonale</w:t>
            </w:r>
            <w:r>
              <w:rPr>
                <w:spacing w:val="-6"/>
                <w:sz w:val="24"/>
              </w:rPr>
              <w:t> </w:t>
            </w:r>
            <w:r>
              <w:rPr>
                <w:sz w:val="24"/>
              </w:rPr>
              <w:t>of rechter ventrikel-pulmonale shunt of stent in ductus arteriosus</w:t>
            </w:r>
          </w:p>
          <w:p>
            <w:pPr>
              <w:pStyle w:val="TableParagraph"/>
              <w:spacing w:line="273" w:lineRule="exact" w:before="1"/>
              <w:rPr>
                <w:sz w:val="24"/>
              </w:rPr>
            </w:pPr>
            <w:r>
              <w:rPr>
                <w:sz w:val="24"/>
              </w:rPr>
              <w:t>Wessel</w:t>
            </w:r>
            <w:r>
              <w:rPr>
                <w:spacing w:val="-1"/>
                <w:sz w:val="24"/>
              </w:rPr>
              <w:t> </w:t>
            </w:r>
            <w:r>
              <w:rPr>
                <w:sz w:val="24"/>
              </w:rPr>
              <w:t>2013</w:t>
            </w:r>
            <w:r>
              <w:rPr>
                <w:spacing w:val="1"/>
                <w:sz w:val="24"/>
              </w:rPr>
              <w:t> </w:t>
            </w:r>
            <w:r>
              <w:rPr>
                <w:sz w:val="24"/>
              </w:rPr>
              <w:t>(A2),</w:t>
            </w:r>
            <w:r>
              <w:rPr>
                <w:spacing w:val="-4"/>
                <w:sz w:val="24"/>
              </w:rPr>
              <w:t> </w:t>
            </w:r>
            <w:r>
              <w:rPr>
                <w:sz w:val="24"/>
              </w:rPr>
              <w:t>Li</w:t>
            </w:r>
            <w:r>
              <w:rPr>
                <w:spacing w:val="-1"/>
                <w:sz w:val="24"/>
              </w:rPr>
              <w:t> </w:t>
            </w:r>
            <w:r>
              <w:rPr>
                <w:sz w:val="24"/>
              </w:rPr>
              <w:t>2007 (B),</w:t>
            </w:r>
            <w:r>
              <w:rPr>
                <w:spacing w:val="-2"/>
                <w:sz w:val="24"/>
              </w:rPr>
              <w:t> </w:t>
            </w:r>
            <w:r>
              <w:rPr>
                <w:sz w:val="24"/>
              </w:rPr>
              <w:t>Motz</w:t>
            </w:r>
            <w:r>
              <w:rPr>
                <w:spacing w:val="-2"/>
                <w:sz w:val="24"/>
              </w:rPr>
              <w:t> </w:t>
            </w:r>
            <w:r>
              <w:rPr>
                <w:sz w:val="24"/>
              </w:rPr>
              <w:t>1999 </w:t>
            </w:r>
            <w:r>
              <w:rPr>
                <w:spacing w:val="-5"/>
                <w:sz w:val="24"/>
              </w:rPr>
              <w:t>(B)</w:t>
            </w:r>
          </w:p>
        </w:tc>
      </w:tr>
      <w:tr>
        <w:trPr>
          <w:trHeight w:val="1464" w:hRule="atLeast"/>
        </w:trPr>
        <w:tc>
          <w:tcPr>
            <w:tcW w:w="1346" w:type="dxa"/>
            <w:shd w:val="clear" w:color="auto" w:fill="C0C0C0"/>
          </w:tcPr>
          <w:p>
            <w:pPr>
              <w:pStyle w:val="TableParagraph"/>
              <w:spacing w:before="291"/>
              <w:ind w:left="0"/>
              <w:rPr>
                <w:b/>
                <w:sz w:val="24"/>
              </w:rPr>
            </w:pPr>
          </w:p>
          <w:p>
            <w:pPr>
              <w:pStyle w:val="TableParagraph"/>
              <w:spacing w:before="1"/>
              <w:rPr>
                <w:sz w:val="24"/>
              </w:rPr>
            </w:pPr>
            <w:r>
              <w:rPr>
                <w:sz w:val="24"/>
              </w:rPr>
              <w:t>Niveau</w:t>
            </w:r>
            <w:r>
              <w:rPr>
                <w:spacing w:val="-5"/>
                <w:sz w:val="24"/>
              </w:rPr>
              <w:t> </w:t>
            </w:r>
            <w:r>
              <w:rPr>
                <w:spacing w:val="-10"/>
                <w:sz w:val="24"/>
              </w:rPr>
              <w:t>2</w:t>
            </w:r>
          </w:p>
        </w:tc>
        <w:tc>
          <w:tcPr>
            <w:tcW w:w="7088" w:type="dxa"/>
          </w:tcPr>
          <w:p>
            <w:pPr>
              <w:pStyle w:val="TableParagraph"/>
              <w:ind w:right="85"/>
              <w:rPr>
                <w:sz w:val="24"/>
              </w:rPr>
            </w:pPr>
            <w:r>
              <w:rPr>
                <w:sz w:val="24"/>
              </w:rPr>
              <w:t>Clopidogrel heeft waarschijnlijk geen toegevoegde waarde bij het gebruik</w:t>
            </w:r>
            <w:r>
              <w:rPr>
                <w:spacing w:val="-6"/>
                <w:sz w:val="24"/>
              </w:rPr>
              <w:t> </w:t>
            </w:r>
            <w:r>
              <w:rPr>
                <w:sz w:val="24"/>
              </w:rPr>
              <w:t>van</w:t>
            </w:r>
            <w:r>
              <w:rPr>
                <w:spacing w:val="-4"/>
                <w:sz w:val="24"/>
              </w:rPr>
              <w:t> </w:t>
            </w:r>
            <w:r>
              <w:rPr>
                <w:sz w:val="24"/>
              </w:rPr>
              <w:t>aspirine</w:t>
            </w:r>
            <w:r>
              <w:rPr>
                <w:spacing w:val="-7"/>
                <w:sz w:val="24"/>
              </w:rPr>
              <w:t> </w:t>
            </w:r>
            <w:r>
              <w:rPr>
                <w:sz w:val="24"/>
              </w:rPr>
              <w:t>voor</w:t>
            </w:r>
            <w:r>
              <w:rPr>
                <w:spacing w:val="-4"/>
                <w:sz w:val="24"/>
              </w:rPr>
              <w:t> </w:t>
            </w:r>
            <w:r>
              <w:rPr>
                <w:sz w:val="24"/>
              </w:rPr>
              <w:t>preventie</w:t>
            </w:r>
            <w:r>
              <w:rPr>
                <w:spacing w:val="-4"/>
                <w:sz w:val="24"/>
              </w:rPr>
              <w:t> </w:t>
            </w:r>
            <w:r>
              <w:rPr>
                <w:sz w:val="24"/>
              </w:rPr>
              <w:t>van</w:t>
            </w:r>
            <w:r>
              <w:rPr>
                <w:spacing w:val="-6"/>
                <w:sz w:val="24"/>
              </w:rPr>
              <w:t> </w:t>
            </w:r>
            <w:r>
              <w:rPr>
                <w:sz w:val="24"/>
              </w:rPr>
              <w:t>shunt</w:t>
            </w:r>
            <w:r>
              <w:rPr>
                <w:spacing w:val="-4"/>
                <w:sz w:val="24"/>
              </w:rPr>
              <w:t> </w:t>
            </w:r>
            <w:r>
              <w:rPr>
                <w:sz w:val="24"/>
              </w:rPr>
              <w:t>trombose,</w:t>
            </w:r>
            <w:r>
              <w:rPr>
                <w:spacing w:val="-7"/>
                <w:sz w:val="24"/>
              </w:rPr>
              <w:t> </w:t>
            </w:r>
            <w:r>
              <w:rPr>
                <w:sz w:val="24"/>
              </w:rPr>
              <w:t>trombotisch event of mortaliteit bij bij kinderen met een aorto-pulmonale of rechter ventrikel-pulmonale shunt of stent in ductus arteriosus</w:t>
            </w:r>
          </w:p>
          <w:p>
            <w:pPr>
              <w:pStyle w:val="TableParagraph"/>
              <w:spacing w:line="273" w:lineRule="exact"/>
              <w:rPr>
                <w:sz w:val="24"/>
              </w:rPr>
            </w:pPr>
            <w:r>
              <w:rPr>
                <w:sz w:val="24"/>
              </w:rPr>
              <w:t>Wessel</w:t>
            </w:r>
            <w:r>
              <w:rPr>
                <w:spacing w:val="-2"/>
                <w:sz w:val="24"/>
              </w:rPr>
              <w:t> </w:t>
            </w:r>
            <w:r>
              <w:rPr>
                <w:sz w:val="24"/>
              </w:rPr>
              <w:t>2013</w:t>
            </w:r>
            <w:r>
              <w:rPr>
                <w:spacing w:val="2"/>
                <w:sz w:val="24"/>
              </w:rPr>
              <w:t> </w:t>
            </w:r>
            <w:r>
              <w:rPr>
                <w:spacing w:val="-4"/>
                <w:sz w:val="24"/>
              </w:rPr>
              <w:t>(A2)</w:t>
            </w:r>
          </w:p>
        </w:tc>
      </w:tr>
    </w:tbl>
    <w:p>
      <w:pPr>
        <w:spacing w:before="292"/>
        <w:ind w:left="141" w:right="0" w:firstLine="0"/>
        <w:jc w:val="left"/>
        <w:rPr>
          <w:b/>
          <w:sz w:val="24"/>
        </w:rPr>
      </w:pPr>
      <w:r>
        <w:rPr>
          <w:b/>
          <w:spacing w:val="-2"/>
          <w:sz w:val="24"/>
        </w:rPr>
        <w:t>Overwegingen</w:t>
      </w:r>
    </w:p>
    <w:p>
      <w:pPr>
        <w:pStyle w:val="BodyText"/>
        <w:spacing w:before="2"/>
        <w:ind w:right="153"/>
      </w:pPr>
      <w:r>
        <w:rPr/>
        <w:t>Er</w:t>
      </w:r>
      <w:r>
        <w:rPr>
          <w:spacing w:val="-2"/>
        </w:rPr>
        <w:t> </w:t>
      </w:r>
      <w:r>
        <w:rPr/>
        <w:t>zijn</w:t>
      </w:r>
      <w:r>
        <w:rPr>
          <w:spacing w:val="-2"/>
        </w:rPr>
        <w:t> </w:t>
      </w:r>
      <w:r>
        <w:rPr/>
        <w:t>geen</w:t>
      </w:r>
      <w:r>
        <w:rPr>
          <w:spacing w:val="-1"/>
        </w:rPr>
        <w:t> </w:t>
      </w:r>
      <w:r>
        <w:rPr/>
        <w:t>gerandomiseerde</w:t>
      </w:r>
      <w:r>
        <w:rPr>
          <w:spacing w:val="-2"/>
        </w:rPr>
        <w:t> </w:t>
      </w:r>
      <w:r>
        <w:rPr/>
        <w:t>studies</w:t>
      </w:r>
      <w:r>
        <w:rPr>
          <w:spacing w:val="-5"/>
        </w:rPr>
        <w:t> </w:t>
      </w:r>
      <w:r>
        <w:rPr/>
        <w:t>die</w:t>
      </w:r>
      <w:r>
        <w:rPr>
          <w:spacing w:val="-4"/>
        </w:rPr>
        <w:t> </w:t>
      </w:r>
      <w:r>
        <w:rPr/>
        <w:t>het</w:t>
      </w:r>
      <w:r>
        <w:rPr>
          <w:spacing w:val="-2"/>
        </w:rPr>
        <w:t> </w:t>
      </w:r>
      <w:r>
        <w:rPr/>
        <w:t>effect</w:t>
      </w:r>
      <w:r>
        <w:rPr>
          <w:spacing w:val="-2"/>
        </w:rPr>
        <w:t> </w:t>
      </w:r>
      <w:r>
        <w:rPr/>
        <w:t>van</w:t>
      </w:r>
      <w:r>
        <w:rPr>
          <w:spacing w:val="-4"/>
        </w:rPr>
        <w:t> </w:t>
      </w:r>
      <w:r>
        <w:rPr/>
        <w:t>TAR</w:t>
      </w:r>
      <w:r>
        <w:rPr>
          <w:spacing w:val="-4"/>
        </w:rPr>
        <w:t> </w:t>
      </w:r>
      <w:r>
        <w:rPr/>
        <w:t>onderzoeken</w:t>
      </w:r>
      <w:r>
        <w:rPr>
          <w:spacing w:val="-4"/>
        </w:rPr>
        <w:t> </w:t>
      </w:r>
      <w:r>
        <w:rPr/>
        <w:t>bij</w:t>
      </w:r>
      <w:r>
        <w:rPr>
          <w:spacing w:val="-3"/>
        </w:rPr>
        <w:t> </w:t>
      </w:r>
      <w:r>
        <w:rPr/>
        <w:t>patiënten</w:t>
      </w:r>
      <w:r>
        <w:rPr>
          <w:spacing w:val="-1"/>
        </w:rPr>
        <w:t> </w:t>
      </w:r>
      <w:r>
        <w:rPr/>
        <w:t>met aorto-pulmonale shunts. Uit de beschikbare case-series lijkt antistollingstherapie(11) en specifiek TAR(14, 21) zinvol in het voorkomen van trombotische complicaties van aorto-pulmonale shunts. Clopidogrel in een dosering van 0.2 mg/kg/dag heeft hierbij geen toegevoegde waarde.(20)</w:t>
      </w:r>
    </w:p>
    <w:p>
      <w:pPr>
        <w:pStyle w:val="BodyText"/>
      </w:pPr>
      <w:r>
        <w:rPr/>
        <w:t>De</w:t>
      </w:r>
      <w:r>
        <w:rPr>
          <w:spacing w:val="-1"/>
        </w:rPr>
        <w:t> </w:t>
      </w:r>
      <w:r>
        <w:rPr/>
        <w:t>aantallen</w:t>
      </w:r>
      <w:r>
        <w:rPr>
          <w:spacing w:val="-3"/>
        </w:rPr>
        <w:t> </w:t>
      </w:r>
      <w:r>
        <w:rPr/>
        <w:t>studie</w:t>
      </w:r>
      <w:r>
        <w:rPr>
          <w:spacing w:val="-4"/>
        </w:rPr>
        <w:t> </w:t>
      </w:r>
      <w:r>
        <w:rPr/>
        <w:t>patiënten zijn</w:t>
      </w:r>
      <w:r>
        <w:rPr>
          <w:spacing w:val="-3"/>
        </w:rPr>
        <w:t> </w:t>
      </w:r>
      <w:r>
        <w:rPr/>
        <w:t>te</w:t>
      </w:r>
      <w:r>
        <w:rPr>
          <w:spacing w:val="-4"/>
        </w:rPr>
        <w:t> </w:t>
      </w:r>
      <w:r>
        <w:rPr/>
        <w:t>klein</w:t>
      </w:r>
      <w:r>
        <w:rPr>
          <w:spacing w:val="-3"/>
        </w:rPr>
        <w:t> </w:t>
      </w:r>
      <w:r>
        <w:rPr/>
        <w:t>om</w:t>
      </w:r>
      <w:r>
        <w:rPr>
          <w:spacing w:val="-4"/>
        </w:rPr>
        <w:t> </w:t>
      </w:r>
      <w:r>
        <w:rPr/>
        <w:t>de</w:t>
      </w:r>
      <w:r>
        <w:rPr>
          <w:spacing w:val="-3"/>
        </w:rPr>
        <w:t> </w:t>
      </w:r>
      <w:r>
        <w:rPr/>
        <w:t>effectiviteit</w:t>
      </w:r>
      <w:r>
        <w:rPr>
          <w:spacing w:val="-1"/>
        </w:rPr>
        <w:t> </w:t>
      </w:r>
      <w:r>
        <w:rPr/>
        <w:t>van</w:t>
      </w:r>
      <w:r>
        <w:rPr>
          <w:spacing w:val="-1"/>
        </w:rPr>
        <w:t> </w:t>
      </w:r>
      <w:r>
        <w:rPr/>
        <w:t>TAR</w:t>
      </w:r>
      <w:r>
        <w:rPr>
          <w:spacing w:val="-5"/>
        </w:rPr>
        <w:t> </w:t>
      </w:r>
      <w:r>
        <w:rPr/>
        <w:t>te</w:t>
      </w:r>
      <w:r>
        <w:rPr>
          <w:spacing w:val="-4"/>
        </w:rPr>
        <w:t> </w:t>
      </w:r>
      <w:r>
        <w:rPr/>
        <w:t>beoordelen</w:t>
      </w:r>
      <w:r>
        <w:rPr>
          <w:spacing w:val="-3"/>
        </w:rPr>
        <w:t> </w:t>
      </w:r>
      <w:r>
        <w:rPr/>
        <w:t>voor</w:t>
      </w:r>
      <w:r>
        <w:rPr>
          <w:spacing w:val="-4"/>
        </w:rPr>
        <w:t> </w:t>
      </w:r>
      <w:r>
        <w:rPr/>
        <w:t>de verschillende typen aorto-pulmonale shunts. Net als in bestaande literatuur doet de werkgroep derhalve 1 advies voor alle aorto-pulmonale shunts gezamenlijk.</w:t>
      </w:r>
    </w:p>
    <w:p>
      <w:pPr>
        <w:pStyle w:val="BodyText"/>
      </w:pPr>
      <w:r>
        <w:rPr/>
        <w:t>Er zijn geen gerandomiseerde studies beschikbaar die het effect van heparine durante en aansluitend op de operatie na aanleggen van de shunt evalueren, alvorens met de permanente antistollingstherapie wordt gestart. De meeste centra in Nederland gebruiken geen</w:t>
      </w:r>
      <w:r>
        <w:rPr>
          <w:spacing w:val="-4"/>
        </w:rPr>
        <w:t> </w:t>
      </w:r>
      <w:r>
        <w:rPr/>
        <w:t>overbruggingstherapie.</w:t>
      </w:r>
      <w:r>
        <w:rPr>
          <w:spacing w:val="-3"/>
        </w:rPr>
        <w:t> </w:t>
      </w:r>
      <w:r>
        <w:rPr/>
        <w:t>In</w:t>
      </w:r>
      <w:r>
        <w:rPr>
          <w:spacing w:val="-5"/>
        </w:rPr>
        <w:t> </w:t>
      </w:r>
      <w:r>
        <w:rPr/>
        <w:t>combinatie</w:t>
      </w:r>
      <w:r>
        <w:rPr>
          <w:spacing w:val="-5"/>
        </w:rPr>
        <w:t> </w:t>
      </w:r>
      <w:r>
        <w:rPr/>
        <w:t>met</w:t>
      </w:r>
      <w:r>
        <w:rPr>
          <w:spacing w:val="-4"/>
        </w:rPr>
        <w:t> </w:t>
      </w:r>
      <w:r>
        <w:rPr/>
        <w:t>het</w:t>
      </w:r>
      <w:r>
        <w:rPr>
          <w:spacing w:val="-3"/>
        </w:rPr>
        <w:t> </w:t>
      </w:r>
      <w:r>
        <w:rPr/>
        <w:t>bloedingsrisico</w:t>
      </w:r>
      <w:r>
        <w:rPr>
          <w:spacing w:val="-5"/>
        </w:rPr>
        <w:t> </w:t>
      </w:r>
      <w:r>
        <w:rPr/>
        <w:t>post-operatief,</w:t>
      </w:r>
      <w:r>
        <w:rPr>
          <w:spacing w:val="-5"/>
        </w:rPr>
        <w:t> </w:t>
      </w:r>
      <w:r>
        <w:rPr/>
        <w:t>heeft</w:t>
      </w:r>
      <w:r>
        <w:rPr>
          <w:spacing w:val="-2"/>
        </w:rPr>
        <w:t> </w:t>
      </w:r>
      <w:r>
        <w:rPr/>
        <w:t>dit de werkgroep doen besluiten om (vooralsnog) geen overbruggingstherapie in de vorm van heparine te adviseren.</w:t>
      </w:r>
    </w:p>
    <w:p>
      <w:pPr>
        <w:pStyle w:val="BodyText"/>
        <w:ind w:left="0"/>
      </w:pPr>
    </w:p>
    <w:p>
      <w:pPr>
        <w:pStyle w:val="Heading1"/>
      </w:pPr>
      <w:r>
        <w:rPr>
          <w:spacing w:val="-2"/>
        </w:rPr>
        <w:t>Aanbevelingen</w:t>
      </w:r>
    </w:p>
    <w:p>
      <w:pPr>
        <w:pStyle w:val="ListParagraph"/>
        <w:numPr>
          <w:ilvl w:val="0"/>
          <w:numId w:val="2"/>
        </w:numPr>
        <w:tabs>
          <w:tab w:pos="847" w:val="left" w:leader="none"/>
          <w:tab w:pos="861" w:val="left" w:leader="none"/>
        </w:tabs>
        <w:spacing w:line="240" w:lineRule="auto" w:before="291" w:after="0"/>
        <w:ind w:left="861" w:right="426" w:hanging="360"/>
        <w:jc w:val="left"/>
        <w:rPr>
          <w:sz w:val="22"/>
        </w:rPr>
      </w:pPr>
      <w:r>
        <w:rPr>
          <w:sz w:val="22"/>
        </w:rPr>
        <w:t>Er</w:t>
      </w:r>
      <w:r>
        <w:rPr>
          <w:spacing w:val="-2"/>
          <w:sz w:val="22"/>
        </w:rPr>
        <w:t> </w:t>
      </w:r>
      <w:r>
        <w:rPr>
          <w:sz w:val="22"/>
        </w:rPr>
        <w:t>wordt</w:t>
      </w:r>
      <w:r>
        <w:rPr>
          <w:spacing w:val="-2"/>
          <w:sz w:val="22"/>
        </w:rPr>
        <w:t> </w:t>
      </w:r>
      <w:r>
        <w:rPr>
          <w:sz w:val="22"/>
        </w:rPr>
        <w:t>geadviseerd</w:t>
      </w:r>
      <w:r>
        <w:rPr>
          <w:spacing w:val="-5"/>
          <w:sz w:val="22"/>
        </w:rPr>
        <w:t> </w:t>
      </w:r>
      <w:r>
        <w:rPr>
          <w:sz w:val="22"/>
        </w:rPr>
        <w:t>om</w:t>
      </w:r>
      <w:r>
        <w:rPr>
          <w:spacing w:val="-4"/>
          <w:sz w:val="22"/>
        </w:rPr>
        <w:t> </w:t>
      </w:r>
      <w:r>
        <w:rPr>
          <w:sz w:val="22"/>
        </w:rPr>
        <w:t>kinderen</w:t>
      </w:r>
      <w:r>
        <w:rPr>
          <w:spacing w:val="-2"/>
          <w:sz w:val="22"/>
        </w:rPr>
        <w:t> </w:t>
      </w:r>
      <w:r>
        <w:rPr>
          <w:sz w:val="22"/>
        </w:rPr>
        <w:t>met</w:t>
      </w:r>
      <w:r>
        <w:rPr>
          <w:spacing w:val="-2"/>
          <w:sz w:val="22"/>
        </w:rPr>
        <w:t> </w:t>
      </w:r>
      <w:r>
        <w:rPr>
          <w:sz w:val="22"/>
        </w:rPr>
        <w:t>aorto-pulmonale</w:t>
      </w:r>
      <w:r>
        <w:rPr>
          <w:spacing w:val="-2"/>
          <w:sz w:val="22"/>
        </w:rPr>
        <w:t> </w:t>
      </w:r>
      <w:r>
        <w:rPr>
          <w:sz w:val="22"/>
        </w:rPr>
        <w:t>shunt</w:t>
      </w:r>
      <w:r>
        <w:rPr>
          <w:spacing w:val="-2"/>
          <w:sz w:val="22"/>
        </w:rPr>
        <w:t> </w:t>
      </w:r>
      <w:r>
        <w:rPr>
          <w:sz w:val="22"/>
        </w:rPr>
        <w:t>(MBT</w:t>
      </w:r>
      <w:r>
        <w:rPr>
          <w:spacing w:val="-4"/>
          <w:sz w:val="22"/>
        </w:rPr>
        <w:t> </w:t>
      </w:r>
      <w:r>
        <w:rPr>
          <w:sz w:val="22"/>
        </w:rPr>
        <w:t>of</w:t>
      </w:r>
      <w:r>
        <w:rPr>
          <w:spacing w:val="-4"/>
          <w:sz w:val="22"/>
        </w:rPr>
        <w:t> </w:t>
      </w:r>
      <w:r>
        <w:rPr>
          <w:sz w:val="22"/>
        </w:rPr>
        <w:t>centraal,</w:t>
      </w:r>
      <w:r>
        <w:rPr>
          <w:spacing w:val="-7"/>
          <w:sz w:val="22"/>
        </w:rPr>
        <w:t> </w:t>
      </w:r>
      <w:r>
        <w:rPr>
          <w:sz w:val="22"/>
        </w:rPr>
        <w:t>Sano</w:t>
      </w:r>
      <w:r>
        <w:rPr>
          <w:spacing w:val="-1"/>
          <w:sz w:val="22"/>
        </w:rPr>
        <w:t> </w:t>
      </w:r>
      <w:r>
        <w:rPr>
          <w:sz w:val="22"/>
        </w:rPr>
        <w:t>of stent in ductus arteriosus) te behandelen met TAR. De geadviseerde dosis is als volgt:</w:t>
      </w:r>
    </w:p>
    <w:p>
      <w:pPr>
        <w:spacing w:before="0"/>
        <w:ind w:left="3682" w:right="0" w:firstLine="0"/>
        <w:jc w:val="left"/>
        <w:rPr>
          <w:sz w:val="22"/>
        </w:rPr>
      </w:pPr>
      <w:r>
        <w:rPr>
          <w:sz w:val="22"/>
        </w:rPr>
        <w:t>Acetylsalicylzuur</w:t>
      </w:r>
      <w:r>
        <w:rPr>
          <w:spacing w:val="-7"/>
          <w:sz w:val="22"/>
        </w:rPr>
        <w:t> </w:t>
      </w:r>
      <w:r>
        <w:rPr>
          <w:sz w:val="22"/>
        </w:rPr>
        <w:t>/</w:t>
      </w:r>
      <w:r>
        <w:rPr>
          <w:spacing w:val="-3"/>
          <w:sz w:val="22"/>
        </w:rPr>
        <w:t> </w:t>
      </w:r>
      <w:r>
        <w:rPr>
          <w:spacing w:val="-2"/>
          <w:sz w:val="22"/>
        </w:rPr>
        <w:t>Carbasalaatcalcium:</w:t>
      </w:r>
    </w:p>
    <w:p>
      <w:pPr>
        <w:pStyle w:val="ListParagraph"/>
        <w:numPr>
          <w:ilvl w:val="1"/>
          <w:numId w:val="2"/>
        </w:numPr>
        <w:tabs>
          <w:tab w:pos="1221" w:val="left" w:leader="none"/>
          <w:tab w:pos="3681" w:val="left" w:leader="none"/>
        </w:tabs>
        <w:spacing w:line="240" w:lineRule="auto" w:before="1" w:after="0"/>
        <w:ind w:left="1221" w:right="0" w:hanging="360"/>
        <w:jc w:val="left"/>
        <w:rPr>
          <w:sz w:val="24"/>
        </w:rPr>
      </w:pPr>
      <w:r>
        <w:rPr>
          <w:sz w:val="24"/>
        </w:rPr>
        <w:t>gewicht 1 – 6</w:t>
      </w:r>
      <w:r>
        <w:rPr>
          <w:spacing w:val="-1"/>
          <w:sz w:val="24"/>
        </w:rPr>
        <w:t> </w:t>
      </w:r>
      <w:r>
        <w:rPr>
          <w:spacing w:val="-5"/>
          <w:sz w:val="24"/>
        </w:rPr>
        <w:t>kg</w:t>
      </w:r>
      <w:r>
        <w:rPr>
          <w:sz w:val="24"/>
        </w:rPr>
        <w:tab/>
        <w:t>15</w:t>
      </w:r>
      <w:r>
        <w:rPr>
          <w:spacing w:val="-2"/>
          <w:sz w:val="24"/>
        </w:rPr>
        <w:t> </w:t>
      </w:r>
      <w:r>
        <w:rPr>
          <w:sz w:val="24"/>
        </w:rPr>
        <w:t>mg/</w:t>
      </w:r>
      <w:r>
        <w:rPr>
          <w:spacing w:val="-2"/>
          <w:sz w:val="24"/>
        </w:rPr>
        <w:t> </w:t>
      </w:r>
      <w:r>
        <w:rPr>
          <w:sz w:val="24"/>
        </w:rPr>
        <w:t>19</w:t>
      </w:r>
      <w:r>
        <w:rPr>
          <w:spacing w:val="-1"/>
          <w:sz w:val="24"/>
        </w:rPr>
        <w:t> </w:t>
      </w:r>
      <w:r>
        <w:rPr>
          <w:spacing w:val="-5"/>
          <w:sz w:val="24"/>
        </w:rPr>
        <w:t>mg</w:t>
      </w:r>
    </w:p>
    <w:p>
      <w:pPr>
        <w:pStyle w:val="ListParagraph"/>
        <w:numPr>
          <w:ilvl w:val="1"/>
          <w:numId w:val="2"/>
        </w:numPr>
        <w:tabs>
          <w:tab w:pos="1221" w:val="left" w:leader="none"/>
          <w:tab w:pos="3681" w:val="left" w:leader="none"/>
        </w:tabs>
        <w:spacing w:line="240" w:lineRule="auto" w:before="0" w:after="0"/>
        <w:ind w:left="1221" w:right="0" w:hanging="360"/>
        <w:jc w:val="left"/>
        <w:rPr>
          <w:sz w:val="24"/>
        </w:rPr>
      </w:pPr>
      <w:r>
        <w:rPr>
          <w:sz w:val="24"/>
        </w:rPr>
        <w:t>gewicht</w:t>
      </w:r>
      <w:r>
        <w:rPr>
          <w:spacing w:val="-2"/>
          <w:sz w:val="24"/>
        </w:rPr>
        <w:t> </w:t>
      </w:r>
      <w:r>
        <w:rPr>
          <w:sz w:val="24"/>
        </w:rPr>
        <w:t>6</w:t>
      </w:r>
      <w:r>
        <w:rPr>
          <w:spacing w:val="-1"/>
          <w:sz w:val="24"/>
        </w:rPr>
        <w:t> </w:t>
      </w:r>
      <w:r>
        <w:rPr>
          <w:sz w:val="24"/>
        </w:rPr>
        <w:t>– 10 </w:t>
      </w:r>
      <w:r>
        <w:rPr>
          <w:spacing w:val="-5"/>
          <w:sz w:val="24"/>
        </w:rPr>
        <w:t>kg</w:t>
      </w:r>
      <w:r>
        <w:rPr>
          <w:sz w:val="24"/>
        </w:rPr>
        <w:tab/>
        <w:t>30</w:t>
      </w:r>
      <w:r>
        <w:rPr>
          <w:spacing w:val="-2"/>
          <w:sz w:val="24"/>
        </w:rPr>
        <w:t> </w:t>
      </w:r>
      <w:r>
        <w:rPr>
          <w:sz w:val="24"/>
        </w:rPr>
        <w:t>mg/</w:t>
      </w:r>
      <w:r>
        <w:rPr>
          <w:spacing w:val="-2"/>
          <w:sz w:val="24"/>
        </w:rPr>
        <w:t> </w:t>
      </w:r>
      <w:r>
        <w:rPr>
          <w:sz w:val="24"/>
        </w:rPr>
        <w:t>38</w:t>
      </w:r>
      <w:r>
        <w:rPr>
          <w:spacing w:val="-1"/>
          <w:sz w:val="24"/>
        </w:rPr>
        <w:t> </w:t>
      </w:r>
      <w:r>
        <w:rPr>
          <w:spacing w:val="-5"/>
          <w:sz w:val="24"/>
        </w:rPr>
        <w:t>mg</w:t>
      </w:r>
    </w:p>
    <w:p>
      <w:pPr>
        <w:pStyle w:val="ListParagraph"/>
        <w:numPr>
          <w:ilvl w:val="1"/>
          <w:numId w:val="2"/>
        </w:numPr>
        <w:tabs>
          <w:tab w:pos="1221" w:val="left" w:leader="none"/>
          <w:tab w:pos="3681" w:val="left" w:leader="none"/>
        </w:tabs>
        <w:spacing w:line="240" w:lineRule="auto" w:before="2" w:after="0"/>
        <w:ind w:left="1221" w:right="0" w:hanging="360"/>
        <w:jc w:val="left"/>
        <w:rPr>
          <w:sz w:val="24"/>
        </w:rPr>
      </w:pPr>
      <w:r>
        <w:rPr>
          <w:sz w:val="24"/>
        </w:rPr>
        <w:t>gewicht 10</w:t>
      </w:r>
      <w:r>
        <w:rPr>
          <w:spacing w:val="-1"/>
          <w:sz w:val="24"/>
        </w:rPr>
        <w:t> </w:t>
      </w:r>
      <w:r>
        <w:rPr>
          <w:sz w:val="24"/>
        </w:rPr>
        <w:t>-</w:t>
      </w:r>
      <w:r>
        <w:rPr>
          <w:spacing w:val="-1"/>
          <w:sz w:val="24"/>
        </w:rPr>
        <w:t> </w:t>
      </w:r>
      <w:r>
        <w:rPr>
          <w:sz w:val="24"/>
        </w:rPr>
        <w:t>20</w:t>
      </w:r>
      <w:r>
        <w:rPr>
          <w:spacing w:val="-1"/>
          <w:sz w:val="24"/>
        </w:rPr>
        <w:t> </w:t>
      </w:r>
      <w:r>
        <w:rPr>
          <w:spacing w:val="-5"/>
          <w:sz w:val="24"/>
        </w:rPr>
        <w:t>kg</w:t>
      </w:r>
      <w:r>
        <w:rPr>
          <w:sz w:val="24"/>
        </w:rPr>
        <w:tab/>
        <w:t>40</w:t>
      </w:r>
      <w:r>
        <w:rPr>
          <w:spacing w:val="-2"/>
          <w:sz w:val="24"/>
        </w:rPr>
        <w:t> </w:t>
      </w:r>
      <w:r>
        <w:rPr>
          <w:sz w:val="24"/>
        </w:rPr>
        <w:t>mg/</w:t>
      </w:r>
      <w:r>
        <w:rPr>
          <w:spacing w:val="-2"/>
          <w:sz w:val="24"/>
        </w:rPr>
        <w:t> </w:t>
      </w:r>
      <w:r>
        <w:rPr>
          <w:sz w:val="24"/>
        </w:rPr>
        <w:t>50</w:t>
      </w:r>
      <w:r>
        <w:rPr>
          <w:spacing w:val="-1"/>
          <w:sz w:val="24"/>
        </w:rPr>
        <w:t> </w:t>
      </w:r>
      <w:r>
        <w:rPr>
          <w:spacing w:val="-5"/>
          <w:sz w:val="24"/>
        </w:rPr>
        <w:t>mg</w:t>
      </w:r>
    </w:p>
    <w:p>
      <w:pPr>
        <w:pStyle w:val="ListParagraph"/>
        <w:numPr>
          <w:ilvl w:val="1"/>
          <w:numId w:val="2"/>
        </w:numPr>
        <w:tabs>
          <w:tab w:pos="1221" w:val="left" w:leader="none"/>
          <w:tab w:pos="3681" w:val="left" w:leader="none"/>
        </w:tabs>
        <w:spacing w:line="240" w:lineRule="auto" w:before="0" w:after="0"/>
        <w:ind w:left="1221" w:right="0" w:hanging="360"/>
        <w:jc w:val="left"/>
        <w:rPr>
          <w:sz w:val="24"/>
        </w:rPr>
      </w:pPr>
      <w:r>
        <w:rPr>
          <w:sz w:val="24"/>
        </w:rPr>
        <w:t>gewicht &gt;</w:t>
      </w:r>
      <w:r>
        <w:rPr>
          <w:spacing w:val="-2"/>
          <w:sz w:val="24"/>
        </w:rPr>
        <w:t> </w:t>
      </w:r>
      <w:r>
        <w:rPr>
          <w:sz w:val="24"/>
        </w:rPr>
        <w:t>20</w:t>
      </w:r>
      <w:r>
        <w:rPr>
          <w:spacing w:val="1"/>
          <w:sz w:val="24"/>
        </w:rPr>
        <w:t> </w:t>
      </w:r>
      <w:r>
        <w:rPr>
          <w:spacing w:val="-5"/>
          <w:sz w:val="24"/>
        </w:rPr>
        <w:t>kg</w:t>
      </w:r>
      <w:r>
        <w:rPr>
          <w:sz w:val="24"/>
        </w:rPr>
        <w:tab/>
        <w:t>80</w:t>
      </w:r>
      <w:r>
        <w:rPr>
          <w:spacing w:val="-3"/>
          <w:sz w:val="24"/>
        </w:rPr>
        <w:t> </w:t>
      </w:r>
      <w:r>
        <w:rPr>
          <w:sz w:val="24"/>
        </w:rPr>
        <w:t>mg/</w:t>
      </w:r>
      <w:r>
        <w:rPr>
          <w:spacing w:val="-1"/>
          <w:sz w:val="24"/>
        </w:rPr>
        <w:t> </w:t>
      </w:r>
      <w:r>
        <w:rPr>
          <w:sz w:val="24"/>
        </w:rPr>
        <w:t>100 </w:t>
      </w:r>
      <w:r>
        <w:rPr>
          <w:spacing w:val="-5"/>
          <w:sz w:val="24"/>
        </w:rPr>
        <w:t>mg</w:t>
      </w:r>
    </w:p>
    <w:p>
      <w:pPr>
        <w:pStyle w:val="ListParagraph"/>
        <w:spacing w:after="0" w:line="240" w:lineRule="auto"/>
        <w:jc w:val="left"/>
        <w:rPr>
          <w:sz w:val="24"/>
        </w:rPr>
        <w:sectPr>
          <w:pgSz w:w="11910" w:h="16840"/>
          <w:pgMar w:header="0" w:footer="750" w:top="1360" w:bottom="940" w:left="1275" w:right="1417"/>
        </w:sectPr>
      </w:pPr>
    </w:p>
    <w:p>
      <w:pPr>
        <w:pStyle w:val="BodyText"/>
        <w:spacing w:before="37"/>
        <w:ind w:left="849"/>
      </w:pPr>
      <w:r>
        <w:rPr/>
        <w:t>Start</w:t>
      </w:r>
      <w:r>
        <w:rPr>
          <w:spacing w:val="-3"/>
        </w:rPr>
        <w:t> </w:t>
      </w:r>
      <w:r>
        <w:rPr/>
        <w:t>TAR</w:t>
      </w:r>
      <w:r>
        <w:rPr>
          <w:spacing w:val="-5"/>
        </w:rPr>
        <w:t> </w:t>
      </w:r>
      <w:r>
        <w:rPr/>
        <w:t>direct</w:t>
      </w:r>
      <w:r>
        <w:rPr>
          <w:spacing w:val="-4"/>
        </w:rPr>
        <w:t> </w:t>
      </w:r>
      <w:r>
        <w:rPr/>
        <w:t>postoperatief bij</w:t>
      </w:r>
      <w:r>
        <w:rPr>
          <w:spacing w:val="-5"/>
        </w:rPr>
        <w:t> </w:t>
      </w:r>
      <w:r>
        <w:rPr/>
        <w:t>hervatting</w:t>
      </w:r>
      <w:r>
        <w:rPr>
          <w:spacing w:val="-5"/>
        </w:rPr>
        <w:t> </w:t>
      </w:r>
      <w:r>
        <w:rPr/>
        <w:t>orale</w:t>
      </w:r>
      <w:r>
        <w:rPr>
          <w:spacing w:val="-4"/>
        </w:rPr>
        <w:t> </w:t>
      </w:r>
      <w:r>
        <w:rPr/>
        <w:t>voeding en</w:t>
      </w:r>
      <w:r>
        <w:rPr>
          <w:spacing w:val="-2"/>
        </w:rPr>
        <w:t> </w:t>
      </w:r>
      <w:r>
        <w:rPr/>
        <w:t>geeft</w:t>
      </w:r>
      <w:r>
        <w:rPr>
          <w:spacing w:val="-4"/>
        </w:rPr>
        <w:t> </w:t>
      </w:r>
      <w:r>
        <w:rPr/>
        <w:t>TAR</w:t>
      </w:r>
      <w:r>
        <w:rPr>
          <w:spacing w:val="-1"/>
        </w:rPr>
        <w:t> </w:t>
      </w:r>
      <w:r>
        <w:rPr/>
        <w:t>gedurende</w:t>
      </w:r>
      <w:r>
        <w:rPr>
          <w:spacing w:val="-5"/>
        </w:rPr>
        <w:t> </w:t>
      </w:r>
      <w:r>
        <w:rPr/>
        <w:t>de tijd dat er een shuntafhankelijke circulatie is.</w:t>
      </w:r>
    </w:p>
    <w:p>
      <w:pPr>
        <w:pStyle w:val="ListParagraph"/>
        <w:numPr>
          <w:ilvl w:val="0"/>
          <w:numId w:val="2"/>
        </w:numPr>
        <w:tabs>
          <w:tab w:pos="848" w:val="left" w:leader="none"/>
          <w:tab w:pos="861" w:val="left" w:leader="none"/>
        </w:tabs>
        <w:spacing w:line="240" w:lineRule="auto" w:before="2" w:after="0"/>
        <w:ind w:left="861" w:right="675" w:hanging="360"/>
        <w:jc w:val="left"/>
        <w:rPr>
          <w:sz w:val="24"/>
        </w:rPr>
      </w:pPr>
      <w:r>
        <w:rPr>
          <w:sz w:val="24"/>
        </w:rPr>
        <w:t>Overbruggingstherapie</w:t>
      </w:r>
      <w:r>
        <w:rPr>
          <w:spacing w:val="-5"/>
          <w:sz w:val="24"/>
        </w:rPr>
        <w:t> </w:t>
      </w:r>
      <w:r>
        <w:rPr>
          <w:sz w:val="24"/>
        </w:rPr>
        <w:t>per-</w:t>
      </w:r>
      <w:r>
        <w:rPr>
          <w:spacing w:val="-3"/>
          <w:sz w:val="24"/>
        </w:rPr>
        <w:t> </w:t>
      </w:r>
      <w:r>
        <w:rPr>
          <w:sz w:val="24"/>
        </w:rPr>
        <w:t>en</w:t>
      </w:r>
      <w:r>
        <w:rPr>
          <w:spacing w:val="-5"/>
          <w:sz w:val="24"/>
        </w:rPr>
        <w:t> </w:t>
      </w:r>
      <w:r>
        <w:rPr>
          <w:sz w:val="24"/>
        </w:rPr>
        <w:t>direct</w:t>
      </w:r>
      <w:r>
        <w:rPr>
          <w:spacing w:val="-5"/>
          <w:sz w:val="24"/>
        </w:rPr>
        <w:t> </w:t>
      </w:r>
      <w:r>
        <w:rPr>
          <w:sz w:val="24"/>
        </w:rPr>
        <w:t>postoperatief</w:t>
      </w:r>
      <w:r>
        <w:rPr>
          <w:spacing w:val="-2"/>
          <w:sz w:val="24"/>
        </w:rPr>
        <w:t> </w:t>
      </w:r>
      <w:r>
        <w:rPr>
          <w:sz w:val="24"/>
        </w:rPr>
        <w:t>in</w:t>
      </w:r>
      <w:r>
        <w:rPr>
          <w:spacing w:val="-3"/>
          <w:sz w:val="24"/>
        </w:rPr>
        <w:t> </w:t>
      </w:r>
      <w:r>
        <w:rPr>
          <w:sz w:val="24"/>
        </w:rPr>
        <w:t>de</w:t>
      </w:r>
      <w:r>
        <w:rPr>
          <w:spacing w:val="-3"/>
          <w:sz w:val="24"/>
        </w:rPr>
        <w:t> </w:t>
      </w:r>
      <w:r>
        <w:rPr>
          <w:sz w:val="24"/>
        </w:rPr>
        <w:t>vorm</w:t>
      </w:r>
      <w:r>
        <w:rPr>
          <w:spacing w:val="-5"/>
          <w:sz w:val="24"/>
        </w:rPr>
        <w:t> </w:t>
      </w:r>
      <w:r>
        <w:rPr>
          <w:sz w:val="24"/>
        </w:rPr>
        <w:t>van</w:t>
      </w:r>
      <w:r>
        <w:rPr>
          <w:spacing w:val="-5"/>
          <w:sz w:val="24"/>
        </w:rPr>
        <w:t> </w:t>
      </w:r>
      <w:r>
        <w:rPr>
          <w:sz w:val="24"/>
        </w:rPr>
        <w:t>heparine</w:t>
      </w:r>
      <w:r>
        <w:rPr>
          <w:spacing w:val="-2"/>
          <w:sz w:val="24"/>
        </w:rPr>
        <w:t> </w:t>
      </w:r>
      <w:r>
        <w:rPr>
          <w:sz w:val="24"/>
        </w:rPr>
        <w:t>of LMWH tot aan start van TAR wordt niet geadviseerd.</w:t>
      </w:r>
    </w:p>
    <w:p>
      <w:pPr>
        <w:pStyle w:val="ListParagraph"/>
        <w:spacing w:after="0" w:line="240" w:lineRule="auto"/>
        <w:jc w:val="left"/>
        <w:rPr>
          <w:sz w:val="24"/>
        </w:rPr>
        <w:sectPr>
          <w:pgSz w:w="11910" w:h="16840"/>
          <w:pgMar w:header="0" w:footer="750" w:top="1360" w:bottom="940" w:left="1275" w:right="1417"/>
        </w:sectPr>
      </w:pPr>
    </w:p>
    <w:p>
      <w:pPr>
        <w:pStyle w:val="Heading1"/>
        <w:spacing w:before="37"/>
      </w:pPr>
      <w:r>
        <w:rPr/>
        <w:t>Fontan</w:t>
      </w:r>
      <w:r>
        <w:rPr>
          <w:spacing w:val="-1"/>
        </w:rPr>
        <w:t> </w:t>
      </w:r>
      <w:r>
        <w:rPr>
          <w:spacing w:val="-2"/>
        </w:rPr>
        <w:t>circulatie</w:t>
      </w:r>
    </w:p>
    <w:p>
      <w:pPr>
        <w:pStyle w:val="BodyText"/>
        <w:spacing w:before="2"/>
        <w:ind w:left="0"/>
        <w:rPr>
          <w:b/>
        </w:rPr>
      </w:pPr>
    </w:p>
    <w:p>
      <w:pPr>
        <w:pStyle w:val="BodyText"/>
      </w:pPr>
      <w:r>
        <w:rPr/>
        <w:t>J.</w:t>
      </w:r>
      <w:r>
        <w:rPr>
          <w:spacing w:val="-7"/>
        </w:rPr>
        <w:t> </w:t>
      </w:r>
      <w:r>
        <w:rPr/>
        <w:t>Kammeraad,</w:t>
      </w:r>
      <w:r>
        <w:rPr>
          <w:spacing w:val="-5"/>
        </w:rPr>
        <w:t> </w:t>
      </w:r>
      <w:r>
        <w:rPr/>
        <w:t>kinderarts-cardioloog,</w:t>
      </w:r>
      <w:r>
        <w:rPr>
          <w:spacing w:val="-4"/>
        </w:rPr>
        <w:t> </w:t>
      </w:r>
      <w:r>
        <w:rPr/>
        <w:t>Erasmus</w:t>
      </w:r>
      <w:r>
        <w:rPr>
          <w:spacing w:val="-7"/>
        </w:rPr>
        <w:t> </w:t>
      </w:r>
      <w:r>
        <w:rPr/>
        <w:t>MC-Sophia</w:t>
      </w:r>
      <w:r>
        <w:rPr>
          <w:spacing w:val="-6"/>
        </w:rPr>
        <w:t> </w:t>
      </w:r>
      <w:r>
        <w:rPr>
          <w:spacing w:val="-2"/>
        </w:rPr>
        <w:t>Kinderziekenhuis</w:t>
      </w:r>
    </w:p>
    <w:p>
      <w:pPr>
        <w:pStyle w:val="BodyText"/>
      </w:pPr>
      <w:r>
        <w:rPr/>
        <w:t>M.</w:t>
      </w:r>
      <w:r>
        <w:rPr>
          <w:spacing w:val="-6"/>
        </w:rPr>
        <w:t> </w:t>
      </w:r>
      <w:r>
        <w:rPr/>
        <w:t>Rijlaarsdam,</w:t>
      </w:r>
      <w:r>
        <w:rPr>
          <w:spacing w:val="-7"/>
        </w:rPr>
        <w:t> </w:t>
      </w:r>
      <w:r>
        <w:rPr/>
        <w:t>kinderarts-cardioloog,</w:t>
      </w:r>
      <w:r>
        <w:rPr>
          <w:spacing w:val="-4"/>
        </w:rPr>
        <w:t> LUMC</w:t>
      </w:r>
    </w:p>
    <w:p>
      <w:pPr>
        <w:pStyle w:val="BodyText"/>
      </w:pPr>
      <w:r>
        <w:rPr/>
        <w:t>P.</w:t>
      </w:r>
      <w:r>
        <w:rPr>
          <w:spacing w:val="-6"/>
        </w:rPr>
        <w:t> </w:t>
      </w:r>
      <w:r>
        <w:rPr/>
        <w:t>van</w:t>
      </w:r>
      <w:r>
        <w:rPr>
          <w:spacing w:val="-4"/>
        </w:rPr>
        <w:t> </w:t>
      </w:r>
      <w:r>
        <w:rPr/>
        <w:t>de</w:t>
      </w:r>
      <w:r>
        <w:rPr>
          <w:spacing w:val="-2"/>
        </w:rPr>
        <w:t> </w:t>
      </w:r>
      <w:r>
        <w:rPr/>
        <w:t>Woestijne,</w:t>
      </w:r>
      <w:r>
        <w:rPr>
          <w:spacing w:val="-5"/>
        </w:rPr>
        <w:t> </w:t>
      </w:r>
      <w:r>
        <w:rPr/>
        <w:t>cardiothoracaal</w:t>
      </w:r>
      <w:r>
        <w:rPr>
          <w:spacing w:val="-5"/>
        </w:rPr>
        <w:t> </w:t>
      </w:r>
      <w:r>
        <w:rPr/>
        <w:t>chirurg</w:t>
      </w:r>
      <w:r>
        <w:rPr>
          <w:spacing w:val="-3"/>
        </w:rPr>
        <w:t> </w:t>
      </w:r>
      <w:r>
        <w:rPr/>
        <w:t>Erasmus</w:t>
      </w:r>
      <w:r>
        <w:rPr>
          <w:spacing w:val="-3"/>
        </w:rPr>
        <w:t> </w:t>
      </w:r>
      <w:r>
        <w:rPr>
          <w:spacing w:val="-5"/>
        </w:rPr>
        <w:t>MC</w:t>
      </w:r>
    </w:p>
    <w:p>
      <w:pPr>
        <w:pStyle w:val="BodyText"/>
      </w:pPr>
      <w:r>
        <w:rPr/>
        <w:t>N.</w:t>
      </w:r>
      <w:r>
        <w:rPr>
          <w:spacing w:val="-6"/>
        </w:rPr>
        <w:t> </w:t>
      </w:r>
      <w:r>
        <w:rPr/>
        <w:t>Ketharanathan,</w:t>
      </w:r>
      <w:r>
        <w:rPr>
          <w:spacing w:val="-4"/>
        </w:rPr>
        <w:t> </w:t>
      </w:r>
      <w:r>
        <w:rPr/>
        <w:t>kinderarts –</w:t>
      </w:r>
      <w:r>
        <w:rPr>
          <w:spacing w:val="-4"/>
        </w:rPr>
        <w:t> </w:t>
      </w:r>
      <w:r>
        <w:rPr/>
        <w:t>fellow</w:t>
      </w:r>
      <w:r>
        <w:rPr>
          <w:spacing w:val="-3"/>
        </w:rPr>
        <w:t> </w:t>
      </w:r>
      <w:r>
        <w:rPr/>
        <w:t>kinder</w:t>
      </w:r>
      <w:r>
        <w:rPr>
          <w:spacing w:val="-3"/>
        </w:rPr>
        <w:t> </w:t>
      </w:r>
      <w:r>
        <w:rPr/>
        <w:t>IC,</w:t>
      </w:r>
      <w:r>
        <w:rPr>
          <w:spacing w:val="-2"/>
        </w:rPr>
        <w:t> </w:t>
      </w:r>
      <w:r>
        <w:rPr/>
        <w:t>Erasmus</w:t>
      </w:r>
      <w:r>
        <w:rPr>
          <w:spacing w:val="-3"/>
        </w:rPr>
        <w:t> </w:t>
      </w:r>
      <w:r>
        <w:rPr/>
        <w:t>MC</w:t>
      </w:r>
      <w:r>
        <w:rPr>
          <w:spacing w:val="-2"/>
        </w:rPr>
        <w:t> </w:t>
      </w:r>
      <w:r>
        <w:rPr/>
        <w:t>–</w:t>
      </w:r>
      <w:r>
        <w:rPr>
          <w:spacing w:val="-1"/>
        </w:rPr>
        <w:t> </w:t>
      </w:r>
      <w:r>
        <w:rPr/>
        <w:t>Sophia</w:t>
      </w:r>
      <w:r>
        <w:rPr>
          <w:spacing w:val="-4"/>
        </w:rPr>
        <w:t> </w:t>
      </w:r>
      <w:r>
        <w:rPr>
          <w:spacing w:val="-2"/>
        </w:rPr>
        <w:t>kinderziekenhuis</w:t>
      </w:r>
    </w:p>
    <w:p>
      <w:pPr>
        <w:pStyle w:val="Heading1"/>
        <w:spacing w:before="292"/>
      </w:pPr>
      <w:r>
        <w:rPr>
          <w:spacing w:val="-2"/>
        </w:rPr>
        <w:t>Inleiding</w:t>
      </w:r>
    </w:p>
    <w:p>
      <w:pPr>
        <w:pStyle w:val="BodyText"/>
        <w:ind w:right="129"/>
      </w:pPr>
      <w:r>
        <w:rPr/>
        <w:t>Trombo-embolische complicaties vormen een belangrijke oorzaak van mortaliteit en morbiditeit na een Fontan operatie(23). De prevalentie wordt gerapporteerd tussen de 2.7 en</w:t>
      </w:r>
      <w:r>
        <w:rPr>
          <w:spacing w:val="-1"/>
        </w:rPr>
        <w:t> </w:t>
      </w:r>
      <w:r>
        <w:rPr/>
        <w:t>33%</w:t>
      </w:r>
      <w:r>
        <w:rPr>
          <w:spacing w:val="-2"/>
        </w:rPr>
        <w:t> </w:t>
      </w:r>
      <w:r>
        <w:rPr/>
        <w:t>(24-27).</w:t>
      </w:r>
      <w:r>
        <w:rPr>
          <w:spacing w:val="-4"/>
        </w:rPr>
        <w:t> </w:t>
      </w:r>
      <w:r>
        <w:rPr/>
        <w:t>Dit</w:t>
      </w:r>
      <w:r>
        <w:rPr>
          <w:spacing w:val="-2"/>
        </w:rPr>
        <w:t> </w:t>
      </w:r>
      <w:r>
        <w:rPr/>
        <w:t>risico</w:t>
      </w:r>
      <w:r>
        <w:rPr>
          <w:spacing w:val="-5"/>
        </w:rPr>
        <w:t> </w:t>
      </w:r>
      <w:r>
        <w:rPr/>
        <w:t>voor</w:t>
      </w:r>
      <w:r>
        <w:rPr>
          <w:spacing w:val="-5"/>
        </w:rPr>
        <w:t> </w:t>
      </w:r>
      <w:r>
        <w:rPr/>
        <w:t>trombose</w:t>
      </w:r>
      <w:r>
        <w:rPr>
          <w:spacing w:val="-5"/>
        </w:rPr>
        <w:t> </w:t>
      </w:r>
      <w:r>
        <w:rPr/>
        <w:t>wordt</w:t>
      </w:r>
      <w:r>
        <w:rPr>
          <w:spacing w:val="-4"/>
        </w:rPr>
        <w:t> </w:t>
      </w:r>
      <w:r>
        <w:rPr/>
        <w:t>enerzijds</w:t>
      </w:r>
      <w:r>
        <w:rPr>
          <w:spacing w:val="-5"/>
        </w:rPr>
        <w:t> </w:t>
      </w:r>
      <w:r>
        <w:rPr/>
        <w:t>gerapporteerd</w:t>
      </w:r>
      <w:r>
        <w:rPr>
          <w:spacing w:val="-4"/>
        </w:rPr>
        <w:t> </w:t>
      </w:r>
      <w:r>
        <w:rPr/>
        <w:t>direct</w:t>
      </w:r>
      <w:r>
        <w:rPr>
          <w:spacing w:val="-2"/>
        </w:rPr>
        <w:t> </w:t>
      </w:r>
      <w:r>
        <w:rPr/>
        <w:t>na</w:t>
      </w:r>
      <w:r>
        <w:rPr>
          <w:spacing w:val="-5"/>
        </w:rPr>
        <w:t> </w:t>
      </w:r>
      <w:r>
        <w:rPr/>
        <w:t>de</w:t>
      </w:r>
      <w:r>
        <w:rPr>
          <w:spacing w:val="-5"/>
        </w:rPr>
        <w:t> </w:t>
      </w:r>
      <w:r>
        <w:rPr/>
        <w:t>Fontan procedure, maar anderzijds bestaat er ook een toegenomen risico tijdens de lange termijn follow</w:t>
      </w:r>
      <w:r>
        <w:rPr>
          <w:spacing w:val="-2"/>
        </w:rPr>
        <w:t> </w:t>
      </w:r>
      <w:r>
        <w:rPr/>
        <w:t>up</w:t>
      </w:r>
      <w:r>
        <w:rPr>
          <w:spacing w:val="-2"/>
        </w:rPr>
        <w:t> </w:t>
      </w:r>
      <w:r>
        <w:rPr/>
        <w:t>na</w:t>
      </w:r>
      <w:r>
        <w:rPr>
          <w:spacing w:val="-3"/>
        </w:rPr>
        <w:t> </w:t>
      </w:r>
      <w:r>
        <w:rPr/>
        <w:t>de Fontan</w:t>
      </w:r>
      <w:r>
        <w:rPr>
          <w:spacing w:val="-2"/>
        </w:rPr>
        <w:t> </w:t>
      </w:r>
      <w:r>
        <w:rPr/>
        <w:t>procedure.</w:t>
      </w:r>
      <w:r>
        <w:rPr>
          <w:spacing w:val="-1"/>
        </w:rPr>
        <w:t> </w:t>
      </w:r>
      <w:r>
        <w:rPr/>
        <w:t>Bij</w:t>
      </w:r>
      <w:r>
        <w:rPr>
          <w:spacing w:val="-1"/>
        </w:rPr>
        <w:t> </w:t>
      </w:r>
      <w:r>
        <w:rPr/>
        <w:t>mortaliteit</w:t>
      </w:r>
      <w:r>
        <w:rPr>
          <w:spacing w:val="-1"/>
        </w:rPr>
        <w:t> </w:t>
      </w:r>
      <w:r>
        <w:rPr/>
        <w:t>is</w:t>
      </w:r>
      <w:r>
        <w:rPr>
          <w:spacing w:val="-1"/>
        </w:rPr>
        <w:t> </w:t>
      </w:r>
      <w:r>
        <w:rPr/>
        <w:t>er in 25%</w:t>
      </w:r>
      <w:r>
        <w:rPr>
          <w:spacing w:val="-1"/>
        </w:rPr>
        <w:t> </w:t>
      </w:r>
      <w:r>
        <w:rPr/>
        <w:t>sprake</w:t>
      </w:r>
      <w:r>
        <w:rPr>
          <w:spacing w:val="-1"/>
        </w:rPr>
        <w:t> </w:t>
      </w:r>
      <w:r>
        <w:rPr/>
        <w:t>van een associatie met trombo-embolische processen (28).</w:t>
      </w:r>
      <w:r>
        <w:rPr>
          <w:spacing w:val="40"/>
        </w:rPr>
        <w:t> </w:t>
      </w:r>
      <w:r>
        <w:rPr/>
        <w:t>De kans op overlijden geassocieerd aan een trombo-embolisch proces is groot (8/11 patiënten). Veertien jaar na Fontan chirurgie wordt gerapporteerd dat 17% van de patiënten asymptomatische “silent” pulmonale embolieën heeft (29).</w:t>
      </w:r>
    </w:p>
    <w:p>
      <w:pPr>
        <w:pStyle w:val="BodyText"/>
        <w:spacing w:before="1"/>
        <w:ind w:left="0"/>
      </w:pPr>
    </w:p>
    <w:p>
      <w:pPr>
        <w:pStyle w:val="Heading1"/>
        <w:spacing w:before="1"/>
        <w:jc w:val="both"/>
      </w:pPr>
      <w:r>
        <w:rPr/>
        <w:t>Samenvatting</w:t>
      </w:r>
      <w:r>
        <w:rPr>
          <w:spacing w:val="-3"/>
        </w:rPr>
        <w:t> </w:t>
      </w:r>
      <w:r>
        <w:rPr/>
        <w:t>van</w:t>
      </w:r>
      <w:r>
        <w:rPr>
          <w:spacing w:val="-1"/>
        </w:rPr>
        <w:t> </w:t>
      </w:r>
      <w:r>
        <w:rPr/>
        <w:t>de</w:t>
      </w:r>
      <w:r>
        <w:rPr>
          <w:spacing w:val="-4"/>
        </w:rPr>
        <w:t> </w:t>
      </w:r>
      <w:r>
        <w:rPr>
          <w:spacing w:val="-2"/>
        </w:rPr>
        <w:t>literatuur</w:t>
      </w:r>
    </w:p>
    <w:p>
      <w:pPr>
        <w:pStyle w:val="BodyText"/>
        <w:ind w:right="60"/>
        <w:jc w:val="both"/>
      </w:pPr>
      <w:r>
        <w:rPr/>
        <w:t>Twee studies</w:t>
      </w:r>
      <w:r>
        <w:rPr>
          <w:spacing w:val="-2"/>
        </w:rPr>
        <w:t> </w:t>
      </w:r>
      <w:r>
        <w:rPr/>
        <w:t>met echter</w:t>
      </w:r>
      <w:r>
        <w:rPr>
          <w:spacing w:val="-1"/>
        </w:rPr>
        <w:t> </w:t>
      </w:r>
      <w:r>
        <w:rPr/>
        <w:t>weinig</w:t>
      </w:r>
      <w:r>
        <w:rPr>
          <w:spacing w:val="-2"/>
        </w:rPr>
        <w:t> </w:t>
      </w:r>
      <w:r>
        <w:rPr/>
        <w:t>trombotische events,</w:t>
      </w:r>
      <w:r>
        <w:rPr>
          <w:spacing w:val="-2"/>
        </w:rPr>
        <w:t> </w:t>
      </w:r>
      <w:r>
        <w:rPr/>
        <w:t>concluderen</w:t>
      </w:r>
      <w:r>
        <w:rPr>
          <w:spacing w:val="-1"/>
        </w:rPr>
        <w:t> </w:t>
      </w:r>
      <w:r>
        <w:rPr/>
        <w:t>dat</w:t>
      </w:r>
      <w:r>
        <w:rPr>
          <w:spacing w:val="-1"/>
        </w:rPr>
        <w:t> </w:t>
      </w:r>
      <w:r>
        <w:rPr/>
        <w:t>er</w:t>
      </w:r>
      <w:r>
        <w:rPr>
          <w:spacing w:val="-1"/>
        </w:rPr>
        <w:t> </w:t>
      </w:r>
      <w:r>
        <w:rPr/>
        <w:t>geen</w:t>
      </w:r>
      <w:r>
        <w:rPr>
          <w:spacing w:val="-1"/>
        </w:rPr>
        <w:t> </w:t>
      </w:r>
      <w:r>
        <w:rPr/>
        <w:t>toegevoegde waarde</w:t>
      </w:r>
      <w:r>
        <w:rPr>
          <w:spacing w:val="-3"/>
        </w:rPr>
        <w:t> </w:t>
      </w:r>
      <w:r>
        <w:rPr/>
        <w:t>bestaat</w:t>
      </w:r>
      <w:r>
        <w:rPr>
          <w:spacing w:val="-3"/>
        </w:rPr>
        <w:t> </w:t>
      </w:r>
      <w:r>
        <w:rPr/>
        <w:t>voor</w:t>
      </w:r>
      <w:r>
        <w:rPr>
          <w:spacing w:val="-3"/>
        </w:rPr>
        <w:t> </w:t>
      </w:r>
      <w:r>
        <w:rPr/>
        <w:t>het</w:t>
      </w:r>
      <w:r>
        <w:rPr>
          <w:spacing w:val="-7"/>
        </w:rPr>
        <w:t> </w:t>
      </w:r>
      <w:r>
        <w:rPr/>
        <w:t>standaard</w:t>
      </w:r>
      <w:r>
        <w:rPr>
          <w:spacing w:val="-5"/>
        </w:rPr>
        <w:t> </w:t>
      </w:r>
      <w:r>
        <w:rPr/>
        <w:t>toedienen</w:t>
      </w:r>
      <w:r>
        <w:rPr>
          <w:spacing w:val="-5"/>
        </w:rPr>
        <w:t> </w:t>
      </w:r>
      <w:r>
        <w:rPr/>
        <w:t>van</w:t>
      </w:r>
      <w:r>
        <w:rPr>
          <w:spacing w:val="-5"/>
        </w:rPr>
        <w:t> </w:t>
      </w:r>
      <w:r>
        <w:rPr/>
        <w:t>antistollingstherapie</w:t>
      </w:r>
      <w:r>
        <w:rPr>
          <w:spacing w:val="-5"/>
        </w:rPr>
        <w:t> </w:t>
      </w:r>
      <w:r>
        <w:rPr/>
        <w:t>bij</w:t>
      </w:r>
      <w:r>
        <w:rPr>
          <w:spacing w:val="-6"/>
        </w:rPr>
        <w:t> </w:t>
      </w:r>
      <w:r>
        <w:rPr/>
        <w:t>kinderen</w:t>
      </w:r>
      <w:r>
        <w:rPr>
          <w:spacing w:val="-3"/>
        </w:rPr>
        <w:t> </w:t>
      </w:r>
      <w:r>
        <w:rPr/>
        <w:t>met</w:t>
      </w:r>
      <w:r>
        <w:rPr>
          <w:spacing w:val="-3"/>
        </w:rPr>
        <w:t> </w:t>
      </w:r>
      <w:r>
        <w:rPr/>
        <w:t>een Fontan circulatie (30,31);</w:t>
      </w:r>
    </w:p>
    <w:p>
      <w:pPr>
        <w:pStyle w:val="BodyText"/>
        <w:ind w:right="124"/>
      </w:pPr>
      <w:r>
        <w:rPr>
          <w:b/>
        </w:rPr>
        <w:t>Cheung</w:t>
      </w:r>
      <w:r>
        <w:rPr>
          <w:b/>
          <w:spacing w:val="-1"/>
        </w:rPr>
        <w:t> </w:t>
      </w:r>
      <w:r>
        <w:rPr>
          <w:b/>
        </w:rPr>
        <w:t>et al. </w:t>
      </w:r>
      <w:r>
        <w:rPr/>
        <w:t>(30) verrichtten</w:t>
      </w:r>
      <w:r>
        <w:rPr>
          <w:spacing w:val="-1"/>
        </w:rPr>
        <w:t> </w:t>
      </w:r>
      <w:r>
        <w:rPr/>
        <w:t>een</w:t>
      </w:r>
      <w:r>
        <w:rPr>
          <w:spacing w:val="-1"/>
        </w:rPr>
        <w:t> </w:t>
      </w:r>
      <w:r>
        <w:rPr/>
        <w:t>retrospectief onderzoek</w:t>
      </w:r>
      <w:r>
        <w:rPr>
          <w:spacing w:val="-3"/>
        </w:rPr>
        <w:t> </w:t>
      </w:r>
      <w:r>
        <w:rPr/>
        <w:t>bij 102</w:t>
      </w:r>
      <w:r>
        <w:rPr>
          <w:spacing w:val="-1"/>
        </w:rPr>
        <w:t> </w:t>
      </w:r>
      <w:r>
        <w:rPr/>
        <w:t>etnisch</w:t>
      </w:r>
      <w:r>
        <w:rPr>
          <w:spacing w:val="-1"/>
        </w:rPr>
        <w:t> </w:t>
      </w:r>
      <w:r>
        <w:rPr/>
        <w:t>Chinese kinderen die</w:t>
      </w:r>
      <w:r>
        <w:rPr>
          <w:spacing w:val="-3"/>
        </w:rPr>
        <w:t> </w:t>
      </w:r>
      <w:r>
        <w:rPr/>
        <w:t>een</w:t>
      </w:r>
      <w:r>
        <w:rPr>
          <w:spacing w:val="-5"/>
        </w:rPr>
        <w:t> </w:t>
      </w:r>
      <w:r>
        <w:rPr/>
        <w:t>Fontan</w:t>
      </w:r>
      <w:r>
        <w:rPr>
          <w:spacing w:val="-5"/>
        </w:rPr>
        <w:t> </w:t>
      </w:r>
      <w:r>
        <w:rPr/>
        <w:t>operatie</w:t>
      </w:r>
      <w:r>
        <w:rPr>
          <w:spacing w:val="-5"/>
        </w:rPr>
        <w:t> </w:t>
      </w:r>
      <w:r>
        <w:rPr/>
        <w:t>ondergingen</w:t>
      </w:r>
      <w:r>
        <w:rPr>
          <w:spacing w:val="-3"/>
        </w:rPr>
        <w:t> </w:t>
      </w:r>
      <w:r>
        <w:rPr/>
        <w:t>tussen</w:t>
      </w:r>
      <w:r>
        <w:rPr>
          <w:spacing w:val="-5"/>
        </w:rPr>
        <w:t> </w:t>
      </w:r>
      <w:r>
        <w:rPr/>
        <w:t>1980</w:t>
      </w:r>
      <w:r>
        <w:rPr>
          <w:spacing w:val="-3"/>
        </w:rPr>
        <w:t> </w:t>
      </w:r>
      <w:r>
        <w:rPr/>
        <w:t>en</w:t>
      </w:r>
      <w:r>
        <w:rPr>
          <w:spacing w:val="-5"/>
        </w:rPr>
        <w:t> </w:t>
      </w:r>
      <w:r>
        <w:rPr/>
        <w:t>2002.</w:t>
      </w:r>
      <w:r>
        <w:rPr>
          <w:spacing w:val="-7"/>
        </w:rPr>
        <w:t> </w:t>
      </w:r>
      <w:r>
        <w:rPr/>
        <w:t>Patiënten</w:t>
      </w:r>
      <w:r>
        <w:rPr>
          <w:spacing w:val="-5"/>
        </w:rPr>
        <w:t> </w:t>
      </w:r>
      <w:r>
        <w:rPr/>
        <w:t>met</w:t>
      </w:r>
      <w:r>
        <w:rPr>
          <w:spacing w:val="-3"/>
        </w:rPr>
        <w:t> </w:t>
      </w:r>
      <w:r>
        <w:rPr/>
        <w:t>een</w:t>
      </w:r>
      <w:r>
        <w:rPr>
          <w:spacing w:val="-3"/>
        </w:rPr>
        <w:t> </w:t>
      </w:r>
      <w:r>
        <w:rPr/>
        <w:t>extracardiale tunnel kregen allemaal Warfarine therapie, de overige patiënten Warfarine (met streef INR 1.5-2.5), Aspirine of geen antistollingstherapie afhankelijk van de voorkeur van de kinderarts-cardioloog. Vijftien kinderen overleden; bij deze kinderen werden bij obductie geen trombi gevonden. Vier van de 85 overlevende kinderen (4.7%) ontwikkelden een trombo-embolische complicatie variërend in ernst. Er werd geen significant verschil gevonden tussen de prevalentie van trombo-embolische complicaties in kinderen met Warfarine (n=46) versus kinderen zonder antistollingstherapie (n=31). Er werden geen trombo-embolische processen vastgesteld bij de kinderen die Aspirine kregen (n= 8). Er werden geen significante bloedingscomplicaties gemeld bij de kinderen met Warfarine therapie. De trombo-embolische processen werden driemaal gevonden bij klinische verdenking (uitval) en eenmaal werd bij routinematige controle een trombus in een blinde</w:t>
      </w:r>
    </w:p>
    <w:p>
      <w:pPr>
        <w:pStyle w:val="BodyText"/>
      </w:pPr>
      <w:r>
        <w:rPr/>
        <w:t>pulmonalisstomp</w:t>
      </w:r>
      <w:r>
        <w:rPr>
          <w:spacing w:val="-4"/>
        </w:rPr>
        <w:t> </w:t>
      </w:r>
      <w:r>
        <w:rPr/>
        <w:t>gevonden.</w:t>
      </w:r>
      <w:r>
        <w:rPr>
          <w:spacing w:val="-7"/>
        </w:rPr>
        <w:t> </w:t>
      </w:r>
      <w:r>
        <w:rPr/>
        <w:t>De</w:t>
      </w:r>
      <w:r>
        <w:rPr>
          <w:spacing w:val="-4"/>
        </w:rPr>
        <w:t> </w:t>
      </w:r>
      <w:r>
        <w:rPr/>
        <w:t>kleine</w:t>
      </w:r>
      <w:r>
        <w:rPr>
          <w:spacing w:val="-5"/>
        </w:rPr>
        <w:t> </w:t>
      </w:r>
      <w:r>
        <w:rPr/>
        <w:t>patiëntengroepen</w:t>
      </w:r>
      <w:r>
        <w:rPr>
          <w:spacing w:val="-4"/>
        </w:rPr>
        <w:t> </w:t>
      </w:r>
      <w:r>
        <w:rPr/>
        <w:t>maakten</w:t>
      </w:r>
      <w:r>
        <w:rPr>
          <w:spacing w:val="-5"/>
        </w:rPr>
        <w:t> </w:t>
      </w:r>
      <w:r>
        <w:rPr/>
        <w:t>een</w:t>
      </w:r>
      <w:r>
        <w:rPr>
          <w:spacing w:val="-5"/>
        </w:rPr>
        <w:t> </w:t>
      </w:r>
      <w:r>
        <w:rPr/>
        <w:t>statististische</w:t>
      </w:r>
      <w:r>
        <w:rPr>
          <w:spacing w:val="-4"/>
        </w:rPr>
        <w:t> </w:t>
      </w:r>
      <w:r>
        <w:rPr/>
        <w:t>analyse voor verschillen tussen de types Fontan circulatie en al of geen fenestratie, niet mogelijk.</w:t>
      </w:r>
    </w:p>
    <w:p>
      <w:pPr>
        <w:pStyle w:val="BodyText"/>
        <w:spacing w:before="293"/>
        <w:ind w:right="78"/>
      </w:pPr>
      <w:r>
        <w:rPr>
          <w:b/>
        </w:rPr>
        <w:t>Kaulitz et al. </w:t>
      </w:r>
      <w:r>
        <w:rPr/>
        <w:t>(31) onderzochten retrospectief 142 kinderen met een TCPC</w:t>
      </w:r>
      <w:r>
        <w:rPr>
          <w:spacing w:val="-2"/>
        </w:rPr>
        <w:t> </w:t>
      </w:r>
      <w:r>
        <w:rPr/>
        <w:t>met een laterale tunnel (n=121) of extracardiale tunnel (n=21) geopereerd tussen 1988 en 2002. Het antistollingsbeleid werd gekozen aan de hand van risicostratificatie. De mediane follow up was</w:t>
      </w:r>
      <w:r>
        <w:rPr>
          <w:spacing w:val="-3"/>
        </w:rPr>
        <w:t> </w:t>
      </w:r>
      <w:r>
        <w:rPr/>
        <w:t>7.6</w:t>
      </w:r>
      <w:r>
        <w:rPr>
          <w:spacing w:val="-2"/>
        </w:rPr>
        <w:t> </w:t>
      </w:r>
      <w:r>
        <w:rPr/>
        <w:t>jaar.</w:t>
      </w:r>
      <w:r>
        <w:rPr>
          <w:spacing w:val="-2"/>
        </w:rPr>
        <w:t> </w:t>
      </w:r>
      <w:r>
        <w:rPr/>
        <w:t>In</w:t>
      </w:r>
      <w:r>
        <w:rPr>
          <w:spacing w:val="-5"/>
        </w:rPr>
        <w:t> </w:t>
      </w:r>
      <w:r>
        <w:rPr/>
        <w:t>de</w:t>
      </w:r>
      <w:r>
        <w:rPr>
          <w:spacing w:val="-2"/>
        </w:rPr>
        <w:t> </w:t>
      </w:r>
      <w:r>
        <w:rPr/>
        <w:t>vroeg</w:t>
      </w:r>
      <w:r>
        <w:rPr>
          <w:spacing w:val="-8"/>
        </w:rPr>
        <w:t> </w:t>
      </w:r>
      <w:r>
        <w:rPr/>
        <w:t>post-operatieve</w:t>
      </w:r>
      <w:r>
        <w:rPr>
          <w:spacing w:val="-2"/>
        </w:rPr>
        <w:t> </w:t>
      </w:r>
      <w:r>
        <w:rPr/>
        <w:t>periode</w:t>
      </w:r>
      <w:r>
        <w:rPr>
          <w:spacing w:val="-4"/>
        </w:rPr>
        <w:t> </w:t>
      </w:r>
      <w:r>
        <w:rPr/>
        <w:t>overleed</w:t>
      </w:r>
      <w:r>
        <w:rPr>
          <w:spacing w:val="-4"/>
        </w:rPr>
        <w:t> </w:t>
      </w:r>
      <w:r>
        <w:rPr/>
        <w:t>geen</w:t>
      </w:r>
      <w:r>
        <w:rPr>
          <w:spacing w:val="-2"/>
        </w:rPr>
        <w:t> </w:t>
      </w:r>
      <w:r>
        <w:rPr/>
        <w:t>enkele</w:t>
      </w:r>
      <w:r>
        <w:rPr>
          <w:spacing w:val="-4"/>
        </w:rPr>
        <w:t> </w:t>
      </w:r>
      <w:r>
        <w:rPr/>
        <w:t>patiënt</w:t>
      </w:r>
      <w:r>
        <w:rPr>
          <w:spacing w:val="-4"/>
        </w:rPr>
        <w:t> </w:t>
      </w:r>
      <w:r>
        <w:rPr/>
        <w:t>ten</w:t>
      </w:r>
      <w:r>
        <w:rPr>
          <w:spacing w:val="-4"/>
        </w:rPr>
        <w:t> </w:t>
      </w:r>
      <w:r>
        <w:rPr/>
        <w:t>gevolge van</w:t>
      </w:r>
      <w:r>
        <w:rPr>
          <w:spacing w:val="-1"/>
        </w:rPr>
        <w:t> </w:t>
      </w:r>
      <w:r>
        <w:rPr/>
        <w:t>trombo-embolische</w:t>
      </w:r>
      <w:r>
        <w:rPr>
          <w:spacing w:val="-6"/>
        </w:rPr>
        <w:t> </w:t>
      </w:r>
      <w:r>
        <w:rPr/>
        <w:t>complicaties.</w:t>
      </w:r>
      <w:r>
        <w:rPr>
          <w:spacing w:val="-4"/>
        </w:rPr>
        <w:t> </w:t>
      </w:r>
      <w:r>
        <w:rPr/>
        <w:t>Trombose</w:t>
      </w:r>
      <w:r>
        <w:rPr>
          <w:spacing w:val="-4"/>
        </w:rPr>
        <w:t> </w:t>
      </w:r>
      <w:r>
        <w:rPr/>
        <w:t>trad op</w:t>
      </w:r>
      <w:r>
        <w:rPr>
          <w:spacing w:val="-3"/>
        </w:rPr>
        <w:t> </w:t>
      </w:r>
      <w:r>
        <w:rPr/>
        <w:t>bij</w:t>
      </w:r>
      <w:r>
        <w:rPr>
          <w:spacing w:val="-4"/>
        </w:rPr>
        <w:t> </w:t>
      </w:r>
      <w:r>
        <w:rPr/>
        <w:t>tien</w:t>
      </w:r>
      <w:r>
        <w:rPr>
          <w:spacing w:val="-3"/>
        </w:rPr>
        <w:t> </w:t>
      </w:r>
      <w:r>
        <w:rPr/>
        <w:t>van</w:t>
      </w:r>
      <w:r>
        <w:rPr>
          <w:spacing w:val="-3"/>
        </w:rPr>
        <w:t> </w:t>
      </w:r>
      <w:r>
        <w:rPr/>
        <w:t>de</w:t>
      </w:r>
      <w:r>
        <w:rPr>
          <w:spacing w:val="-4"/>
        </w:rPr>
        <w:t> </w:t>
      </w:r>
      <w:r>
        <w:rPr/>
        <w:t>142</w:t>
      </w:r>
      <w:r>
        <w:rPr>
          <w:spacing w:val="-1"/>
        </w:rPr>
        <w:t> </w:t>
      </w:r>
      <w:r>
        <w:rPr/>
        <w:t>(7%)</w:t>
      </w:r>
      <w:r>
        <w:rPr>
          <w:spacing w:val="-3"/>
        </w:rPr>
        <w:t> </w:t>
      </w:r>
      <w:r>
        <w:rPr/>
        <w:t>patiënten; in acht van de tien was dit direct in de post-operatieve fase onder ongefractioneerde heparine behandeling. Bij de overige twee patiënten trad bij de een trombose op onder behandeling met VKA, en bij een ander die geen antistollingstherapie voorgeschreven had gekregen. Vanwege het kleine aantal trombi, was een statistische analyse van de effecten</w:t>
      </w:r>
    </w:p>
    <w:p>
      <w:pPr>
        <w:pStyle w:val="BodyText"/>
        <w:spacing w:after="0"/>
        <w:sectPr>
          <w:pgSz w:w="11910" w:h="16840"/>
          <w:pgMar w:header="0" w:footer="750" w:top="1360" w:bottom="940" w:left="1275" w:right="1417"/>
        </w:sectPr>
      </w:pPr>
    </w:p>
    <w:p>
      <w:pPr>
        <w:pStyle w:val="BodyText"/>
        <w:spacing w:before="37"/>
        <w:ind w:right="28"/>
      </w:pPr>
      <w:r>
        <w:rPr/>
        <w:t>van de strategieën op het trombose risico niet mogelijk. Ook werd de analyse bemoeilijkt doordat gedurende de studie, de patiënten tussen verschillende behandelingsgroepen wisselden</w:t>
      </w:r>
      <w:r>
        <w:rPr>
          <w:spacing w:val="-3"/>
        </w:rPr>
        <w:t> </w:t>
      </w:r>
      <w:r>
        <w:rPr/>
        <w:t>afhankelijk</w:t>
      </w:r>
      <w:r>
        <w:rPr>
          <w:spacing w:val="-5"/>
        </w:rPr>
        <w:t> </w:t>
      </w:r>
      <w:r>
        <w:rPr/>
        <w:t>van</w:t>
      </w:r>
      <w:r>
        <w:rPr>
          <w:spacing w:val="-4"/>
        </w:rPr>
        <w:t> </w:t>
      </w:r>
      <w:r>
        <w:rPr/>
        <w:t>het</w:t>
      </w:r>
      <w:r>
        <w:rPr>
          <w:spacing w:val="-3"/>
        </w:rPr>
        <w:t> </w:t>
      </w:r>
      <w:r>
        <w:rPr/>
        <w:t>klinisch</w:t>
      </w:r>
      <w:r>
        <w:rPr>
          <w:spacing w:val="-4"/>
        </w:rPr>
        <w:t> </w:t>
      </w:r>
      <w:r>
        <w:rPr/>
        <w:t>beeld</w:t>
      </w:r>
      <w:r>
        <w:rPr>
          <w:spacing w:val="-5"/>
        </w:rPr>
        <w:t> </w:t>
      </w:r>
      <w:r>
        <w:rPr/>
        <w:t>of</w:t>
      </w:r>
      <w:r>
        <w:rPr>
          <w:spacing w:val="-4"/>
        </w:rPr>
        <w:t> </w:t>
      </w:r>
      <w:r>
        <w:rPr/>
        <w:t>diverse</w:t>
      </w:r>
      <w:r>
        <w:rPr>
          <w:spacing w:val="-4"/>
        </w:rPr>
        <w:t> </w:t>
      </w:r>
      <w:r>
        <w:rPr/>
        <w:t>bevindingen.</w:t>
      </w:r>
      <w:r>
        <w:rPr>
          <w:spacing w:val="-5"/>
        </w:rPr>
        <w:t> </w:t>
      </w:r>
      <w:r>
        <w:rPr/>
        <w:t>Opvallenderwijs,</w:t>
      </w:r>
      <w:r>
        <w:rPr>
          <w:spacing w:val="-4"/>
        </w:rPr>
        <w:t> </w:t>
      </w:r>
      <w:r>
        <w:rPr/>
        <w:t>hadden vier van de tien patiënten met trombus vorming een protein losing enteropathy (PLE) ontwikkeld. Bij trombofilie onderzoek naar protrombotische stollingsafwijkingen werden geen eenduidige overeenkomsten in deze groep gevonden. De auteurs concluderen dat standaard antistollingstherapie bij patiënten met een Fontan circulatie niet noodzakelijk is, maar beperkt moet worden tot de groep die risicofactoren voor trombose vertoont. Vroege risicofactoren waren de operatiemethode, pre-operatieve parameters en het vroege post-operatieve resultaat (alle niet nader gespecificeerd). Als late risico’s werden beschouwd: trombo-embolische complicaties, atriale tachycardieën, symptomatische PLE, polycythemie en ventriculaire dysfunctie.</w:t>
      </w:r>
    </w:p>
    <w:p>
      <w:pPr>
        <w:pStyle w:val="BodyText"/>
        <w:spacing w:before="1"/>
        <w:ind w:left="0"/>
      </w:pPr>
    </w:p>
    <w:p>
      <w:pPr>
        <w:pStyle w:val="BodyText"/>
      </w:pPr>
      <w:r>
        <w:rPr/>
        <w:t>Andere</w:t>
      </w:r>
      <w:r>
        <w:rPr>
          <w:spacing w:val="-4"/>
        </w:rPr>
        <w:t> </w:t>
      </w:r>
      <w:r>
        <w:rPr/>
        <w:t>studies</w:t>
      </w:r>
      <w:r>
        <w:rPr>
          <w:spacing w:val="-5"/>
        </w:rPr>
        <w:t> </w:t>
      </w:r>
      <w:r>
        <w:rPr/>
        <w:t>tonen</w:t>
      </w:r>
      <w:r>
        <w:rPr>
          <w:spacing w:val="-4"/>
        </w:rPr>
        <w:t> </w:t>
      </w:r>
      <w:r>
        <w:rPr/>
        <w:t>wel</w:t>
      </w:r>
      <w:r>
        <w:rPr>
          <w:spacing w:val="-4"/>
        </w:rPr>
        <w:t> </w:t>
      </w:r>
      <w:r>
        <w:rPr/>
        <w:t>toegevoegde</w:t>
      </w:r>
      <w:r>
        <w:rPr>
          <w:spacing w:val="-5"/>
        </w:rPr>
        <w:t> </w:t>
      </w:r>
      <w:r>
        <w:rPr/>
        <w:t>waarde</w:t>
      </w:r>
      <w:r>
        <w:rPr>
          <w:spacing w:val="-7"/>
        </w:rPr>
        <w:t> </w:t>
      </w:r>
      <w:r>
        <w:rPr/>
        <w:t>van</w:t>
      </w:r>
      <w:r>
        <w:rPr>
          <w:spacing w:val="-5"/>
        </w:rPr>
        <w:t> </w:t>
      </w:r>
      <w:r>
        <w:rPr/>
        <w:t>antistollingstherapie</w:t>
      </w:r>
      <w:r>
        <w:rPr>
          <w:spacing w:val="-1"/>
        </w:rPr>
        <w:t> </w:t>
      </w:r>
      <w:r>
        <w:rPr>
          <w:spacing w:val="-4"/>
        </w:rPr>
        <w:t>aan.</w:t>
      </w:r>
    </w:p>
    <w:p>
      <w:pPr>
        <w:pStyle w:val="BodyText"/>
        <w:ind w:right="31"/>
      </w:pPr>
      <w:r>
        <w:rPr/>
        <w:t>In</w:t>
      </w:r>
      <w:r>
        <w:rPr>
          <w:spacing w:val="-2"/>
        </w:rPr>
        <w:t> </w:t>
      </w:r>
      <w:r>
        <w:rPr/>
        <w:t>2008</w:t>
      </w:r>
      <w:r>
        <w:rPr>
          <w:spacing w:val="-4"/>
        </w:rPr>
        <w:t> </w:t>
      </w:r>
      <w:r>
        <w:rPr/>
        <w:t>beschreven</w:t>
      </w:r>
      <w:r>
        <w:rPr>
          <w:spacing w:val="-3"/>
        </w:rPr>
        <w:t> </w:t>
      </w:r>
      <w:r>
        <w:rPr>
          <w:b/>
        </w:rPr>
        <w:t>Khairy</w:t>
      </w:r>
      <w:r>
        <w:rPr>
          <w:b/>
          <w:spacing w:val="-4"/>
        </w:rPr>
        <w:t> </w:t>
      </w:r>
      <w:r>
        <w:rPr>
          <w:b/>
        </w:rPr>
        <w:t>et</w:t>
      </w:r>
      <w:r>
        <w:rPr>
          <w:b/>
          <w:spacing w:val="-2"/>
        </w:rPr>
        <w:t> </w:t>
      </w:r>
      <w:r>
        <w:rPr>
          <w:b/>
        </w:rPr>
        <w:t>al</w:t>
      </w:r>
      <w:r>
        <w:rPr/>
        <w:t>.</w:t>
      </w:r>
      <w:r>
        <w:rPr>
          <w:spacing w:val="-3"/>
        </w:rPr>
        <w:t> </w:t>
      </w:r>
      <w:r>
        <w:rPr/>
        <w:t>(32)</w:t>
      </w:r>
      <w:r>
        <w:rPr>
          <w:spacing w:val="-6"/>
        </w:rPr>
        <w:t> </w:t>
      </w:r>
      <w:r>
        <w:rPr/>
        <w:t>de</w:t>
      </w:r>
      <w:r>
        <w:rPr>
          <w:spacing w:val="-5"/>
        </w:rPr>
        <w:t> </w:t>
      </w:r>
      <w:r>
        <w:rPr/>
        <w:t>lange</w:t>
      </w:r>
      <w:r>
        <w:rPr>
          <w:spacing w:val="-5"/>
        </w:rPr>
        <w:t> </w:t>
      </w:r>
      <w:r>
        <w:rPr/>
        <w:t>termijn</w:t>
      </w:r>
      <w:r>
        <w:rPr>
          <w:spacing w:val="-1"/>
        </w:rPr>
        <w:t> </w:t>
      </w:r>
      <w:r>
        <w:rPr/>
        <w:t>overleving,</w:t>
      </w:r>
      <w:r>
        <w:rPr>
          <w:spacing w:val="-5"/>
        </w:rPr>
        <w:t> </w:t>
      </w:r>
      <w:r>
        <w:rPr/>
        <w:t>oorzaken</w:t>
      </w:r>
      <w:r>
        <w:rPr>
          <w:spacing w:val="-2"/>
        </w:rPr>
        <w:t> </w:t>
      </w:r>
      <w:r>
        <w:rPr/>
        <w:t>van</w:t>
      </w:r>
      <w:r>
        <w:rPr>
          <w:spacing w:val="-4"/>
        </w:rPr>
        <w:t> </w:t>
      </w:r>
      <w:r>
        <w:rPr/>
        <w:t>overlijden</w:t>
      </w:r>
      <w:r>
        <w:rPr>
          <w:spacing w:val="-4"/>
        </w:rPr>
        <w:t> </w:t>
      </w:r>
      <w:r>
        <w:rPr/>
        <w:t>en voorspellende factoren voor overlijden bij een cohort van 261 patiënten met verschillende typen</w:t>
      </w:r>
      <w:r>
        <w:rPr>
          <w:spacing w:val="-4"/>
        </w:rPr>
        <w:t> </w:t>
      </w:r>
      <w:r>
        <w:rPr/>
        <w:t>Fontan</w:t>
      </w:r>
      <w:r>
        <w:rPr>
          <w:spacing w:val="-2"/>
        </w:rPr>
        <w:t> </w:t>
      </w:r>
      <w:r>
        <w:rPr/>
        <w:t>operatie,</w:t>
      </w:r>
      <w:r>
        <w:rPr>
          <w:spacing w:val="-2"/>
        </w:rPr>
        <w:t> </w:t>
      </w:r>
      <w:r>
        <w:rPr/>
        <w:t>geopereerd</w:t>
      </w:r>
      <w:r>
        <w:rPr>
          <w:spacing w:val="-4"/>
        </w:rPr>
        <w:t> </w:t>
      </w:r>
      <w:r>
        <w:rPr/>
        <w:t>tussen</w:t>
      </w:r>
      <w:r>
        <w:rPr>
          <w:spacing w:val="-4"/>
        </w:rPr>
        <w:t> </w:t>
      </w:r>
      <w:r>
        <w:rPr/>
        <w:t>1973-1991.</w:t>
      </w:r>
      <w:r>
        <w:rPr>
          <w:spacing w:val="-5"/>
        </w:rPr>
        <w:t> </w:t>
      </w:r>
      <w:r>
        <w:rPr/>
        <w:t>De</w:t>
      </w:r>
      <w:r>
        <w:rPr>
          <w:spacing w:val="-4"/>
        </w:rPr>
        <w:t> </w:t>
      </w:r>
      <w:r>
        <w:rPr/>
        <w:t>patiënten</w:t>
      </w:r>
      <w:r>
        <w:rPr>
          <w:spacing w:val="-4"/>
        </w:rPr>
        <w:t> </w:t>
      </w:r>
      <w:r>
        <w:rPr/>
        <w:t>ondergingen</w:t>
      </w:r>
      <w:r>
        <w:rPr>
          <w:spacing w:val="-4"/>
        </w:rPr>
        <w:t> </w:t>
      </w:r>
      <w:r>
        <w:rPr/>
        <w:t>een</w:t>
      </w:r>
      <w:r>
        <w:rPr>
          <w:spacing w:val="-4"/>
        </w:rPr>
        <w:t> </w:t>
      </w:r>
      <w:r>
        <w:rPr/>
        <w:t>Fontan operatie op een mediane leeftijd van 7.9 jaar (range 1.1-17.5 jaar). Zes en zeventig van de 261 patiënten (29.1%) overleden binnen de mediane follow up duur van 12.2 jaar. Zes van</w:t>
      </w:r>
      <w:r>
        <w:rPr>
          <w:spacing w:val="40"/>
        </w:rPr>
        <w:t> </w:t>
      </w:r>
      <w:r>
        <w:rPr/>
        <w:t>de 76 (7.9%) overleden aan een trombo-embolische complicatie. The cumulatieve hazard ratio voor overlijden aan trombo-embolische complicaties nam toe vanaf 15 jaar na Fontan chirurgie. De mediane leeftijd van overlijden ten gevolge van een trombo-embolie was in deze studie zelfs 24.9 jaar (range 15.8-33.9 jaar). Op een patiënt met een laterale tunnel na, hadden alle patiënten een rechter atrium-pulmonaal arterie connectie. In een multivariate analyse was het onthouden van anticoagulantia in de vorm van VKA , dan wel TARs , een significante risicofactor voor overlijden ten gevolge van een trombo-embolie (Hazard Ratio 91.6; CI 4.2-2004.8; p 0.0041). In de univariate analyse vormde het onthouden van</w:t>
      </w:r>
    </w:p>
    <w:p>
      <w:pPr>
        <w:pStyle w:val="BodyText"/>
        <w:ind w:right="153"/>
      </w:pPr>
      <w:r>
        <w:rPr/>
        <w:t>anticoagulantia</w:t>
      </w:r>
      <w:r>
        <w:rPr>
          <w:spacing w:val="-4"/>
        </w:rPr>
        <w:t> </w:t>
      </w:r>
      <w:r>
        <w:rPr/>
        <w:t>een</w:t>
      </w:r>
      <w:r>
        <w:rPr>
          <w:spacing w:val="-5"/>
        </w:rPr>
        <w:t> </w:t>
      </w:r>
      <w:r>
        <w:rPr/>
        <w:t>significante</w:t>
      </w:r>
      <w:r>
        <w:rPr>
          <w:spacing w:val="-3"/>
        </w:rPr>
        <w:t> </w:t>
      </w:r>
      <w:r>
        <w:rPr/>
        <w:t>risicofactor</w:t>
      </w:r>
      <w:r>
        <w:rPr>
          <w:spacing w:val="-6"/>
        </w:rPr>
        <w:t> </w:t>
      </w:r>
      <w:r>
        <w:rPr/>
        <w:t>voor</w:t>
      </w:r>
      <w:r>
        <w:rPr>
          <w:spacing w:val="-6"/>
        </w:rPr>
        <w:t> </w:t>
      </w:r>
      <w:r>
        <w:rPr/>
        <w:t>“alle</w:t>
      </w:r>
      <w:r>
        <w:rPr>
          <w:spacing w:val="-3"/>
        </w:rPr>
        <w:t> </w:t>
      </w:r>
      <w:r>
        <w:rPr/>
        <w:t>oorzaken</w:t>
      </w:r>
      <w:r>
        <w:rPr>
          <w:spacing w:val="-5"/>
        </w:rPr>
        <w:t> </w:t>
      </w:r>
      <w:r>
        <w:rPr/>
        <w:t>mortaliteit</w:t>
      </w:r>
      <w:r>
        <w:rPr>
          <w:spacing w:val="-3"/>
        </w:rPr>
        <w:t> </w:t>
      </w:r>
      <w:r>
        <w:rPr/>
        <w:t>of transplantatie” (Hazard Ratio 3.7; CI 1.8-7.7; P 0.0005).</w:t>
      </w:r>
    </w:p>
    <w:p>
      <w:pPr>
        <w:pStyle w:val="BodyText"/>
        <w:spacing w:before="2"/>
        <w:ind w:left="0"/>
      </w:pPr>
    </w:p>
    <w:p>
      <w:pPr>
        <w:pStyle w:val="BodyText"/>
        <w:ind w:right="12"/>
      </w:pPr>
      <w:r>
        <w:rPr>
          <w:b/>
        </w:rPr>
        <w:t>Seipelt et al. </w:t>
      </w:r>
      <w:r>
        <w:rPr/>
        <w:t>(25) beschreven in een retrospectieve studie, de verschillende therapeutische strategieën met anticoagulantia en associaties met het aantal trombo-embolieën bij 85 Fontan patiënten, geopereerd tussen 1986-1998 met een gemiddelde leeftijd van 7.3 ± 8.1 jaar. De gemiddelde follow up duur was 5.7 ± 3.5 jaar. Bij 31/85 patiënten werd een transoesophageale echocardiografie (TOE) verricht tijdens de follow up periode. In 13/85 patiënten was er sprake van een trombose, waarvan 8 symptomatisch. In 7/13 gevallen van trombose trad deze op in het 1</w:t>
      </w:r>
      <w:r>
        <w:rPr>
          <w:vertAlign w:val="superscript"/>
        </w:rPr>
        <w:t>e</w:t>
      </w:r>
      <w:r>
        <w:rPr>
          <w:vertAlign w:val="baseline"/>
        </w:rPr>
        <w:t> jaar post-Fontan. Een tweede piek met een verhoogde trombose</w:t>
      </w:r>
      <w:r>
        <w:rPr>
          <w:spacing w:val="-2"/>
          <w:vertAlign w:val="baseline"/>
        </w:rPr>
        <w:t> </w:t>
      </w:r>
      <w:r>
        <w:rPr>
          <w:vertAlign w:val="baseline"/>
        </w:rPr>
        <w:t>incidentie</w:t>
      </w:r>
      <w:r>
        <w:rPr>
          <w:spacing w:val="-5"/>
          <w:vertAlign w:val="baseline"/>
        </w:rPr>
        <w:t> </w:t>
      </w:r>
      <w:r>
        <w:rPr>
          <w:vertAlign w:val="baseline"/>
        </w:rPr>
        <w:t>vond</w:t>
      </w:r>
      <w:r>
        <w:rPr>
          <w:spacing w:val="-2"/>
          <w:vertAlign w:val="baseline"/>
        </w:rPr>
        <w:t> </w:t>
      </w:r>
      <w:r>
        <w:rPr>
          <w:vertAlign w:val="baseline"/>
        </w:rPr>
        <w:t>plaats</w:t>
      </w:r>
      <w:r>
        <w:rPr>
          <w:spacing w:val="-5"/>
          <w:vertAlign w:val="baseline"/>
        </w:rPr>
        <w:t> </w:t>
      </w:r>
      <w:r>
        <w:rPr>
          <w:vertAlign w:val="baseline"/>
        </w:rPr>
        <w:t>tien</w:t>
      </w:r>
      <w:r>
        <w:rPr>
          <w:spacing w:val="-2"/>
          <w:vertAlign w:val="baseline"/>
        </w:rPr>
        <w:t> </w:t>
      </w:r>
      <w:r>
        <w:rPr>
          <w:vertAlign w:val="baseline"/>
        </w:rPr>
        <w:t>jaar</w:t>
      </w:r>
      <w:r>
        <w:rPr>
          <w:spacing w:val="-5"/>
          <w:vertAlign w:val="baseline"/>
        </w:rPr>
        <w:t> </w:t>
      </w:r>
      <w:r>
        <w:rPr>
          <w:vertAlign w:val="baseline"/>
        </w:rPr>
        <w:t>na</w:t>
      </w:r>
      <w:r>
        <w:rPr>
          <w:spacing w:val="-5"/>
          <w:vertAlign w:val="baseline"/>
        </w:rPr>
        <w:t> </w:t>
      </w:r>
      <w:r>
        <w:rPr>
          <w:vertAlign w:val="baseline"/>
        </w:rPr>
        <w:t>aanleg</w:t>
      </w:r>
      <w:r>
        <w:rPr>
          <w:spacing w:val="-2"/>
          <w:vertAlign w:val="baseline"/>
        </w:rPr>
        <w:t> </w:t>
      </w:r>
      <w:r>
        <w:rPr>
          <w:vertAlign w:val="baseline"/>
        </w:rPr>
        <w:t>van</w:t>
      </w:r>
      <w:r>
        <w:rPr>
          <w:spacing w:val="-4"/>
          <w:vertAlign w:val="baseline"/>
        </w:rPr>
        <w:t> </w:t>
      </w:r>
      <w:r>
        <w:rPr>
          <w:vertAlign w:val="baseline"/>
        </w:rPr>
        <w:t>de</w:t>
      </w:r>
      <w:r>
        <w:rPr>
          <w:spacing w:val="-2"/>
          <w:vertAlign w:val="baseline"/>
        </w:rPr>
        <w:t> </w:t>
      </w:r>
      <w:r>
        <w:rPr>
          <w:vertAlign w:val="baseline"/>
        </w:rPr>
        <w:t>Fontan.</w:t>
      </w:r>
      <w:r>
        <w:rPr>
          <w:spacing w:val="-4"/>
          <w:vertAlign w:val="baseline"/>
        </w:rPr>
        <w:t> </w:t>
      </w:r>
      <w:r>
        <w:rPr>
          <w:vertAlign w:val="baseline"/>
        </w:rPr>
        <w:t>In</w:t>
      </w:r>
      <w:r>
        <w:rPr>
          <w:spacing w:val="-2"/>
          <w:vertAlign w:val="baseline"/>
        </w:rPr>
        <w:t> </w:t>
      </w:r>
      <w:r>
        <w:rPr>
          <w:vertAlign w:val="baseline"/>
        </w:rPr>
        <w:t>10/13</w:t>
      </w:r>
      <w:r>
        <w:rPr>
          <w:spacing w:val="-2"/>
          <w:vertAlign w:val="baseline"/>
        </w:rPr>
        <w:t> </w:t>
      </w:r>
      <w:r>
        <w:rPr>
          <w:vertAlign w:val="baseline"/>
        </w:rPr>
        <w:t>gevallen</w:t>
      </w:r>
      <w:r>
        <w:rPr>
          <w:spacing w:val="-2"/>
          <w:vertAlign w:val="baseline"/>
        </w:rPr>
        <w:t> </w:t>
      </w:r>
      <w:r>
        <w:rPr>
          <w:vertAlign w:val="baseline"/>
        </w:rPr>
        <w:t>van</w:t>
      </w:r>
      <w:r>
        <w:rPr>
          <w:spacing w:val="-2"/>
          <w:vertAlign w:val="baseline"/>
        </w:rPr>
        <w:t> </w:t>
      </w:r>
      <w:r>
        <w:rPr>
          <w:vertAlign w:val="baseline"/>
        </w:rPr>
        <w:t>een trombose, werd deze vastgesteld in patiënten zonder anticoagulantia (n=45, 22%), in 1/13 gevallen van trombose was dit bij een van de 14 patiënten (7.1%) met ASA en 1/13 gevallen van trombose bij een van de 26 patiënten met VKA (3.8%). Eén trombose werd niet in de analyses meegenomen i.v.m. het staken van de VKA twee maanden voorafgaand aan het ontstaan</w:t>
      </w:r>
      <w:r>
        <w:rPr>
          <w:spacing w:val="-4"/>
          <w:vertAlign w:val="baseline"/>
        </w:rPr>
        <w:t> </w:t>
      </w:r>
      <w:r>
        <w:rPr>
          <w:vertAlign w:val="baseline"/>
        </w:rPr>
        <w:t>van</w:t>
      </w:r>
      <w:r>
        <w:rPr>
          <w:spacing w:val="-4"/>
          <w:vertAlign w:val="baseline"/>
        </w:rPr>
        <w:t> </w:t>
      </w:r>
      <w:r>
        <w:rPr>
          <w:vertAlign w:val="baseline"/>
        </w:rPr>
        <w:t>de</w:t>
      </w:r>
      <w:r>
        <w:rPr>
          <w:spacing w:val="-5"/>
          <w:vertAlign w:val="baseline"/>
        </w:rPr>
        <w:t> </w:t>
      </w:r>
      <w:r>
        <w:rPr>
          <w:vertAlign w:val="baseline"/>
        </w:rPr>
        <w:t>trombose.</w:t>
      </w:r>
      <w:r>
        <w:rPr>
          <w:spacing w:val="-3"/>
          <w:vertAlign w:val="baseline"/>
        </w:rPr>
        <w:t> </w:t>
      </w:r>
      <w:r>
        <w:rPr>
          <w:vertAlign w:val="baseline"/>
        </w:rPr>
        <w:t>De</w:t>
      </w:r>
      <w:r>
        <w:rPr>
          <w:spacing w:val="-2"/>
          <w:vertAlign w:val="baseline"/>
        </w:rPr>
        <w:t> </w:t>
      </w:r>
      <w:r>
        <w:rPr>
          <w:vertAlign w:val="baseline"/>
        </w:rPr>
        <w:t>cumulatieve</w:t>
      </w:r>
      <w:r>
        <w:rPr>
          <w:spacing w:val="-5"/>
          <w:vertAlign w:val="baseline"/>
        </w:rPr>
        <w:t> </w:t>
      </w:r>
      <w:r>
        <w:rPr>
          <w:vertAlign w:val="baseline"/>
        </w:rPr>
        <w:t>trombo-embolische</w:t>
      </w:r>
      <w:r>
        <w:rPr>
          <w:spacing w:val="-4"/>
          <w:vertAlign w:val="baseline"/>
        </w:rPr>
        <w:t> </w:t>
      </w:r>
      <w:r>
        <w:rPr>
          <w:vertAlign w:val="baseline"/>
        </w:rPr>
        <w:t>event</w:t>
      </w:r>
      <w:r>
        <w:rPr>
          <w:spacing w:val="-2"/>
          <w:vertAlign w:val="baseline"/>
        </w:rPr>
        <w:t> </w:t>
      </w:r>
      <w:r>
        <w:rPr>
          <w:vertAlign w:val="baseline"/>
        </w:rPr>
        <w:t>rate</w:t>
      </w:r>
      <w:r>
        <w:rPr>
          <w:spacing w:val="-6"/>
          <w:vertAlign w:val="baseline"/>
        </w:rPr>
        <w:t> </w:t>
      </w:r>
      <w:r>
        <w:rPr>
          <w:vertAlign w:val="baseline"/>
        </w:rPr>
        <w:t>was</w:t>
      </w:r>
      <w:r>
        <w:rPr>
          <w:spacing w:val="-3"/>
          <w:vertAlign w:val="baseline"/>
        </w:rPr>
        <w:t> </w:t>
      </w:r>
      <w:r>
        <w:rPr>
          <w:vertAlign w:val="baseline"/>
        </w:rPr>
        <w:t>ongeveer</w:t>
      </w:r>
      <w:r>
        <w:rPr>
          <w:spacing w:val="-5"/>
          <w:vertAlign w:val="baseline"/>
        </w:rPr>
        <w:t> </w:t>
      </w:r>
      <w:r>
        <w:rPr>
          <w:vertAlign w:val="baseline"/>
        </w:rPr>
        <w:t>vier keer hoger voor de patiënten zonder anticoagulantia in vergelijking met de patiënten die</w:t>
      </w:r>
      <w:r>
        <w:rPr>
          <w:spacing w:val="40"/>
          <w:vertAlign w:val="baseline"/>
        </w:rPr>
        <w:t> </w:t>
      </w:r>
      <w:r>
        <w:rPr>
          <w:vertAlign w:val="baseline"/>
        </w:rPr>
        <w:t>VKA kregen. De auteurs concludeerden dat VKA effectief zijn in het voorkomen van trombo-embolische complicaties en beter dan het onthouden van anticoagulantia. Het verschil</w:t>
      </w:r>
    </w:p>
    <w:p>
      <w:pPr>
        <w:pStyle w:val="BodyText"/>
        <w:spacing w:after="0"/>
        <w:sectPr>
          <w:pgSz w:w="11910" w:h="16840"/>
          <w:pgMar w:header="0" w:footer="750" w:top="1360" w:bottom="940" w:left="1275" w:right="1417"/>
        </w:sectPr>
      </w:pPr>
    </w:p>
    <w:p>
      <w:pPr>
        <w:pStyle w:val="BodyText"/>
        <w:spacing w:before="37"/>
      </w:pPr>
      <w:r>
        <w:rPr/>
        <w:t>tussen</w:t>
      </w:r>
      <w:r>
        <w:rPr>
          <w:spacing w:val="-4"/>
        </w:rPr>
        <w:t> </w:t>
      </w:r>
      <w:r>
        <w:rPr/>
        <w:t>VKA</w:t>
      </w:r>
      <w:r>
        <w:rPr>
          <w:spacing w:val="-5"/>
        </w:rPr>
        <w:t> </w:t>
      </w:r>
      <w:r>
        <w:rPr/>
        <w:t>en</w:t>
      </w:r>
      <w:r>
        <w:rPr>
          <w:spacing w:val="-4"/>
        </w:rPr>
        <w:t> </w:t>
      </w:r>
      <w:r>
        <w:rPr/>
        <w:t>ASA</w:t>
      </w:r>
      <w:r>
        <w:rPr>
          <w:spacing w:val="-2"/>
        </w:rPr>
        <w:t> </w:t>
      </w:r>
      <w:r>
        <w:rPr/>
        <w:t>kon</w:t>
      </w:r>
      <w:r>
        <w:rPr>
          <w:spacing w:val="-4"/>
        </w:rPr>
        <w:t> </w:t>
      </w:r>
      <w:r>
        <w:rPr/>
        <w:t>niet</w:t>
      </w:r>
      <w:r>
        <w:rPr>
          <w:spacing w:val="-3"/>
        </w:rPr>
        <w:t> </w:t>
      </w:r>
      <w:r>
        <w:rPr/>
        <w:t>beoordeeld</w:t>
      </w:r>
      <w:r>
        <w:rPr>
          <w:spacing w:val="-2"/>
        </w:rPr>
        <w:t> </w:t>
      </w:r>
      <w:r>
        <w:rPr/>
        <w:t>worden</w:t>
      </w:r>
      <w:r>
        <w:rPr>
          <w:spacing w:val="-4"/>
        </w:rPr>
        <w:t> </w:t>
      </w:r>
      <w:r>
        <w:rPr/>
        <w:t>vanwege</w:t>
      </w:r>
      <w:r>
        <w:rPr>
          <w:spacing w:val="-2"/>
        </w:rPr>
        <w:t> </w:t>
      </w:r>
      <w:r>
        <w:rPr/>
        <w:t>de</w:t>
      </w:r>
      <w:r>
        <w:rPr>
          <w:spacing w:val="-2"/>
        </w:rPr>
        <w:t> </w:t>
      </w:r>
      <w:r>
        <w:rPr/>
        <w:t>kleine</w:t>
      </w:r>
      <w:r>
        <w:rPr>
          <w:spacing w:val="-2"/>
        </w:rPr>
        <w:t> </w:t>
      </w:r>
      <w:r>
        <w:rPr/>
        <w:t>aantallen.</w:t>
      </w:r>
      <w:r>
        <w:rPr>
          <w:spacing w:val="-4"/>
        </w:rPr>
        <w:t> </w:t>
      </w:r>
      <w:r>
        <w:rPr/>
        <w:t>Er</w:t>
      </w:r>
      <w:r>
        <w:rPr>
          <w:spacing w:val="-5"/>
        </w:rPr>
        <w:t> </w:t>
      </w:r>
      <w:r>
        <w:rPr/>
        <w:t>werd</w:t>
      </w:r>
      <w:r>
        <w:rPr>
          <w:spacing w:val="-2"/>
        </w:rPr>
        <w:t> </w:t>
      </w:r>
      <w:r>
        <w:rPr/>
        <w:t>geen verschil in trombose risico aangetoond tussen de verschillende typen Fontan operatie.</w:t>
      </w:r>
    </w:p>
    <w:p>
      <w:pPr>
        <w:pStyle w:val="BodyText"/>
        <w:spacing w:before="2"/>
        <w:ind w:left="0"/>
      </w:pPr>
    </w:p>
    <w:p>
      <w:pPr>
        <w:pStyle w:val="BodyText"/>
      </w:pPr>
      <w:r>
        <w:rPr>
          <w:b/>
        </w:rPr>
        <w:t>Marrone</w:t>
      </w:r>
      <w:r>
        <w:rPr>
          <w:b/>
          <w:spacing w:val="-4"/>
        </w:rPr>
        <w:t> </w:t>
      </w:r>
      <w:r>
        <w:rPr>
          <w:b/>
        </w:rPr>
        <w:t>et</w:t>
      </w:r>
      <w:r>
        <w:rPr>
          <w:b/>
          <w:spacing w:val="-2"/>
        </w:rPr>
        <w:t> </w:t>
      </w:r>
      <w:r>
        <w:rPr>
          <w:b/>
        </w:rPr>
        <w:t>al.</w:t>
      </w:r>
      <w:r>
        <w:rPr>
          <w:b/>
          <w:spacing w:val="-3"/>
        </w:rPr>
        <w:t> </w:t>
      </w:r>
      <w:r>
        <w:rPr/>
        <w:t>(33)</w:t>
      </w:r>
      <w:r>
        <w:rPr>
          <w:spacing w:val="-3"/>
        </w:rPr>
        <w:t> </w:t>
      </w:r>
      <w:r>
        <w:rPr/>
        <w:t>verrichtten</w:t>
      </w:r>
      <w:r>
        <w:rPr>
          <w:spacing w:val="-2"/>
        </w:rPr>
        <w:t> </w:t>
      </w:r>
      <w:r>
        <w:rPr/>
        <w:t>een</w:t>
      </w:r>
      <w:r>
        <w:rPr>
          <w:spacing w:val="-4"/>
        </w:rPr>
        <w:t> </w:t>
      </w:r>
      <w:r>
        <w:rPr/>
        <w:t>systematische</w:t>
      </w:r>
      <w:r>
        <w:rPr>
          <w:spacing w:val="-2"/>
        </w:rPr>
        <w:t> </w:t>
      </w:r>
      <w:r>
        <w:rPr/>
        <w:t>review</w:t>
      </w:r>
      <w:r>
        <w:rPr>
          <w:spacing w:val="-4"/>
        </w:rPr>
        <w:t> </w:t>
      </w:r>
      <w:r>
        <w:rPr/>
        <w:t>en</w:t>
      </w:r>
      <w:r>
        <w:rPr>
          <w:spacing w:val="-2"/>
        </w:rPr>
        <w:t> </w:t>
      </w:r>
      <w:r>
        <w:rPr/>
        <w:t>meta-analyse</w:t>
      </w:r>
      <w:r>
        <w:rPr>
          <w:spacing w:val="-2"/>
        </w:rPr>
        <w:t> </w:t>
      </w:r>
      <w:r>
        <w:rPr/>
        <w:t>waarin</w:t>
      </w:r>
      <w:r>
        <w:rPr>
          <w:spacing w:val="-4"/>
        </w:rPr>
        <w:t> </w:t>
      </w:r>
      <w:r>
        <w:rPr/>
        <w:t>ze</w:t>
      </w:r>
      <w:r>
        <w:rPr>
          <w:spacing w:val="-4"/>
        </w:rPr>
        <w:t> </w:t>
      </w:r>
      <w:r>
        <w:rPr/>
        <w:t>ASA</w:t>
      </w:r>
      <w:r>
        <w:rPr>
          <w:spacing w:val="-2"/>
        </w:rPr>
        <w:t> </w:t>
      </w:r>
      <w:r>
        <w:rPr/>
        <w:t>en VKA vergeleken bij patiënten met een Fontan circulatie met een extracardiale tunnel. Zij vonden 35 gevallen van trombose bij 1075 patiënten met een extracardiale tunnel. De incidentie trombo-embolieën was voor beide groepen gelijk.</w:t>
      </w:r>
    </w:p>
    <w:p>
      <w:pPr>
        <w:pStyle w:val="BodyText"/>
        <w:spacing w:before="292"/>
        <w:ind w:right="49"/>
      </w:pPr>
      <w:r>
        <w:rPr>
          <w:b/>
        </w:rPr>
        <w:t>Manlhiot et al. </w:t>
      </w:r>
      <w:r>
        <w:rPr/>
        <w:t>(6) publiceerden in 2012 een retrospectieve cross-sectionele studie die de incidentie van trombotische complicaties tijdens de drie de stappen naar single ventricle palliatie of TCPC beschrijft. Zij includeerden 162 patiënten met een Fontan circulatie (operatie tussen 2000-2009) met een mediane follow up duur van 2.3 jaar (maximaal 7.3 jaar) en een mediane leeftijd ten tijde van de Fontan operatie van 3.4 jaar ± 1.4 jaar. Het grootste deel van de patiënten werd behandeld met VKA (n=126) en een kleiner deel met ASA (n=27) of niets (n=10) (Totaal 163:cross over van 1 patient). Zesentwintig van de 162 (16%) patiënten hadden een klinisch manifeste trombose als complicatie. In deze groep werden</w:t>
      </w:r>
      <w:r>
        <w:rPr>
          <w:spacing w:val="-4"/>
        </w:rPr>
        <w:t> </w:t>
      </w:r>
      <w:r>
        <w:rPr/>
        <w:t>ook</w:t>
      </w:r>
      <w:r>
        <w:rPr>
          <w:spacing w:val="-4"/>
        </w:rPr>
        <w:t> </w:t>
      </w:r>
      <w:r>
        <w:rPr/>
        <w:t>de</w:t>
      </w:r>
      <w:r>
        <w:rPr>
          <w:spacing w:val="-2"/>
        </w:rPr>
        <w:t> </w:t>
      </w:r>
      <w:r>
        <w:rPr/>
        <w:t>patiënten</w:t>
      </w:r>
      <w:r>
        <w:rPr>
          <w:spacing w:val="-2"/>
        </w:rPr>
        <w:t> </w:t>
      </w:r>
      <w:r>
        <w:rPr/>
        <w:t>met</w:t>
      </w:r>
      <w:r>
        <w:rPr>
          <w:spacing w:val="-2"/>
        </w:rPr>
        <w:t> </w:t>
      </w:r>
      <w:r>
        <w:rPr/>
        <w:t>een</w:t>
      </w:r>
      <w:r>
        <w:rPr>
          <w:spacing w:val="-2"/>
        </w:rPr>
        <w:t> </w:t>
      </w:r>
      <w:r>
        <w:rPr/>
        <w:t>vena</w:t>
      </w:r>
      <w:r>
        <w:rPr>
          <w:spacing w:val="-5"/>
        </w:rPr>
        <w:t> </w:t>
      </w:r>
      <w:r>
        <w:rPr/>
        <w:t>femoralis</w:t>
      </w:r>
      <w:r>
        <w:rPr>
          <w:spacing w:val="-3"/>
        </w:rPr>
        <w:t> </w:t>
      </w:r>
      <w:r>
        <w:rPr/>
        <w:t>trombose</w:t>
      </w:r>
      <w:r>
        <w:rPr>
          <w:spacing w:val="-5"/>
        </w:rPr>
        <w:t> </w:t>
      </w:r>
      <w:r>
        <w:rPr/>
        <w:t>op</w:t>
      </w:r>
      <w:r>
        <w:rPr>
          <w:spacing w:val="-4"/>
        </w:rPr>
        <w:t> </w:t>
      </w:r>
      <w:r>
        <w:rPr/>
        <w:t>het</w:t>
      </w:r>
      <w:r>
        <w:rPr>
          <w:spacing w:val="-2"/>
        </w:rPr>
        <w:t> </w:t>
      </w:r>
      <w:r>
        <w:rPr/>
        <w:t>moment</w:t>
      </w:r>
      <w:r>
        <w:rPr>
          <w:spacing w:val="-4"/>
        </w:rPr>
        <w:t> </w:t>
      </w:r>
      <w:r>
        <w:rPr/>
        <w:t>van</w:t>
      </w:r>
      <w:r>
        <w:rPr>
          <w:spacing w:val="-2"/>
        </w:rPr>
        <w:t> </w:t>
      </w:r>
      <w:r>
        <w:rPr/>
        <w:t>lijnplaatsing geïncludeerd. Bij 4 van de 162 patiënten (3%) was de trombo-embolische complicatie een cerebrale stroke of longembolie. In 11 van de 162 (7%) patiënten trad trombose op in de vroege post-operatieve periode, waarvan één cerebrale stroke en één longembolie. In deze studie was het type tunnel en het gebruikte materiaal geen significante risicofactor</w:t>
      </w:r>
      <w:r>
        <w:rPr>
          <w:spacing w:val="-1"/>
        </w:rPr>
        <w:t> </w:t>
      </w:r>
      <w:r>
        <w:rPr/>
        <w:t>voor</w:t>
      </w:r>
      <w:r>
        <w:rPr>
          <w:spacing w:val="-1"/>
        </w:rPr>
        <w:t> </w:t>
      </w:r>
      <w:r>
        <w:rPr/>
        <w:t>het ontstaan van trombose. In een multivariaat parametrisch overlevingsmodel was het gebruik van VKA (Warfarine)</w:t>
      </w:r>
      <w:r>
        <w:rPr>
          <w:spacing w:val="40"/>
        </w:rPr>
        <w:t> </w:t>
      </w:r>
      <w:r>
        <w:rPr/>
        <w:t>ten opzichte van ASA (HR 0.27; CI 0.07-0.99) dan wel geen therapie</w:t>
      </w:r>
      <w:r>
        <w:rPr>
          <w:spacing w:val="40"/>
        </w:rPr>
        <w:t> </w:t>
      </w:r>
      <w:r>
        <w:rPr/>
        <w:t>met anticoagulantia (HR</w:t>
      </w:r>
      <w:r>
        <w:rPr>
          <w:spacing w:val="-2"/>
        </w:rPr>
        <w:t> </w:t>
      </w:r>
      <w:r>
        <w:rPr/>
        <w:t>0.18; CI</w:t>
      </w:r>
      <w:r>
        <w:rPr>
          <w:spacing w:val="-2"/>
        </w:rPr>
        <w:t> </w:t>
      </w:r>
      <w:r>
        <w:rPr/>
        <w:t>0.04-0.76)), geassocieerd met een afname van het risico</w:t>
      </w:r>
      <w:r>
        <w:rPr>
          <w:spacing w:val="-1"/>
        </w:rPr>
        <w:t> </w:t>
      </w:r>
      <w:r>
        <w:rPr/>
        <w:t>op trombose na ziekenhuis ontslag. Er was geen verschil in trombose risico wanneer de groep met ASA vergeleken werd met de groep die geen anticoagulantia gebruikte, hoewel deze analyse belemmerd werd door de kleine onderzoeksgroepen. Eén major bloedingscomplicatie werd gemeld bij een patiënt behandeld met Warfarine.</w:t>
      </w:r>
    </w:p>
    <w:p>
      <w:pPr>
        <w:pStyle w:val="BodyText"/>
        <w:ind w:left="0"/>
      </w:pPr>
    </w:p>
    <w:p>
      <w:pPr>
        <w:pStyle w:val="BodyText"/>
        <w:ind w:right="40"/>
      </w:pPr>
      <w:r>
        <w:rPr>
          <w:b/>
        </w:rPr>
        <w:t>Monagle et al. </w:t>
      </w:r>
      <w:r>
        <w:rPr/>
        <w:t>(34) vergeleken recent in de grootste gerandomiseerde trial de effectiviteit en veiligheid van het gebruik van VKA (Warfarine) ten opzichte van ASA. Honderdenelf patiënten die Fontan chirurgie ondergingen (tussen 1998-2003) op een gemiddelde leeftijd van respectievelijk 4.6 ± 2.3 (ASA; n=57) en 5.1 ± 3.4 (Warfarine; n=54) jaar werden geïncludeerd en 2 jaar vervolgd. Met behulp van TOE werd actief gezocht naar trombi. In totaal</w:t>
      </w:r>
      <w:r>
        <w:rPr>
          <w:spacing w:val="-1"/>
        </w:rPr>
        <w:t> </w:t>
      </w:r>
      <w:r>
        <w:rPr/>
        <w:t>werden</w:t>
      </w:r>
      <w:r>
        <w:rPr>
          <w:spacing w:val="-2"/>
        </w:rPr>
        <w:t> </w:t>
      </w:r>
      <w:r>
        <w:rPr/>
        <w:t>er 25</w:t>
      </w:r>
      <w:r>
        <w:rPr>
          <w:spacing w:val="-2"/>
        </w:rPr>
        <w:t> </w:t>
      </w:r>
      <w:r>
        <w:rPr/>
        <w:t>trombi</w:t>
      </w:r>
      <w:r>
        <w:rPr>
          <w:spacing w:val="-1"/>
        </w:rPr>
        <w:t> </w:t>
      </w:r>
      <w:r>
        <w:rPr/>
        <w:t>(23%)</w:t>
      </w:r>
      <w:r>
        <w:rPr>
          <w:spacing w:val="-2"/>
        </w:rPr>
        <w:t> </w:t>
      </w:r>
      <w:r>
        <w:rPr/>
        <w:t>gediagnosticeerd,</w:t>
      </w:r>
      <w:r>
        <w:rPr>
          <w:spacing w:val="-1"/>
        </w:rPr>
        <w:t> </w:t>
      </w:r>
      <w:r>
        <w:rPr/>
        <w:t>waarvan</w:t>
      </w:r>
      <w:r>
        <w:rPr>
          <w:spacing w:val="-2"/>
        </w:rPr>
        <w:t> </w:t>
      </w:r>
      <w:r>
        <w:rPr/>
        <w:t>7</w:t>
      </w:r>
      <w:r>
        <w:rPr>
          <w:spacing w:val="-2"/>
        </w:rPr>
        <w:t> </w:t>
      </w:r>
      <w:r>
        <w:rPr/>
        <w:t>(28%) symptomatisch</w:t>
      </w:r>
      <w:r>
        <w:rPr>
          <w:spacing w:val="-2"/>
        </w:rPr>
        <w:t> </w:t>
      </w:r>
      <w:r>
        <w:rPr/>
        <w:t>waren. Zeven</w:t>
      </w:r>
      <w:r>
        <w:rPr>
          <w:spacing w:val="-3"/>
        </w:rPr>
        <w:t> </w:t>
      </w:r>
      <w:r>
        <w:rPr/>
        <w:t>patiënten</w:t>
      </w:r>
      <w:r>
        <w:rPr>
          <w:spacing w:val="-3"/>
        </w:rPr>
        <w:t> </w:t>
      </w:r>
      <w:r>
        <w:rPr/>
        <w:t>hadden</w:t>
      </w:r>
      <w:r>
        <w:rPr>
          <w:spacing w:val="-3"/>
        </w:rPr>
        <w:t> </w:t>
      </w:r>
      <w:r>
        <w:rPr/>
        <w:t>trombose</w:t>
      </w:r>
      <w:r>
        <w:rPr>
          <w:spacing w:val="-4"/>
        </w:rPr>
        <w:t> </w:t>
      </w:r>
      <w:r>
        <w:rPr/>
        <w:t>op</w:t>
      </w:r>
      <w:r>
        <w:rPr>
          <w:spacing w:val="-1"/>
        </w:rPr>
        <w:t> </w:t>
      </w:r>
      <w:r>
        <w:rPr/>
        <w:t>meerdere</w:t>
      </w:r>
      <w:r>
        <w:rPr>
          <w:spacing w:val="-3"/>
        </w:rPr>
        <w:t> </w:t>
      </w:r>
      <w:r>
        <w:rPr/>
        <w:t>locaties,</w:t>
      </w:r>
      <w:r>
        <w:rPr>
          <w:spacing w:val="-1"/>
        </w:rPr>
        <w:t> </w:t>
      </w:r>
      <w:r>
        <w:rPr/>
        <w:t>20</w:t>
      </w:r>
      <w:r>
        <w:rPr>
          <w:spacing w:val="-1"/>
        </w:rPr>
        <w:t> </w:t>
      </w:r>
      <w:r>
        <w:rPr/>
        <w:t>in</w:t>
      </w:r>
      <w:r>
        <w:rPr>
          <w:spacing w:val="-3"/>
        </w:rPr>
        <w:t> </w:t>
      </w:r>
      <w:r>
        <w:rPr/>
        <w:t>de</w:t>
      </w:r>
      <w:r>
        <w:rPr>
          <w:spacing w:val="-1"/>
        </w:rPr>
        <w:t> </w:t>
      </w:r>
      <w:r>
        <w:rPr/>
        <w:t>Fontan</w:t>
      </w:r>
      <w:r>
        <w:rPr>
          <w:spacing w:val="-3"/>
        </w:rPr>
        <w:t> </w:t>
      </w:r>
      <w:r>
        <w:rPr/>
        <w:t>aansluiting,</w:t>
      </w:r>
      <w:r>
        <w:rPr>
          <w:spacing w:val="-4"/>
        </w:rPr>
        <w:t> </w:t>
      </w:r>
      <w:r>
        <w:rPr/>
        <w:t>4</w:t>
      </w:r>
      <w:r>
        <w:rPr>
          <w:spacing w:val="-1"/>
        </w:rPr>
        <w:t> </w:t>
      </w:r>
      <w:r>
        <w:rPr/>
        <w:t>in</w:t>
      </w:r>
      <w:r>
        <w:rPr>
          <w:spacing w:val="-3"/>
        </w:rPr>
        <w:t> </w:t>
      </w:r>
      <w:r>
        <w:rPr/>
        <w:t>de pulmonaal arteriën, en 7 op andere veneuze plaatsen. In een Kaplan Meier curve was het percentage patiënten met trombose 2 jaar na aanleggen van de Fontan 19%, ondanks therapie met Warfarine of ASA. Er werd geen significant verschil gevonden tussen beide therapieën</w:t>
      </w:r>
      <w:r>
        <w:rPr>
          <w:spacing w:val="-2"/>
        </w:rPr>
        <w:t> </w:t>
      </w:r>
      <w:r>
        <w:rPr/>
        <w:t>met</w:t>
      </w:r>
      <w:r>
        <w:rPr>
          <w:spacing w:val="-3"/>
        </w:rPr>
        <w:t> </w:t>
      </w:r>
      <w:r>
        <w:rPr/>
        <w:t>betrekking</w:t>
      </w:r>
      <w:r>
        <w:rPr>
          <w:spacing w:val="-3"/>
        </w:rPr>
        <w:t> </w:t>
      </w:r>
      <w:r>
        <w:rPr/>
        <w:t>tot</w:t>
      </w:r>
      <w:r>
        <w:rPr>
          <w:spacing w:val="-4"/>
        </w:rPr>
        <w:t> </w:t>
      </w:r>
      <w:r>
        <w:rPr/>
        <w:t>het</w:t>
      </w:r>
      <w:r>
        <w:rPr>
          <w:spacing w:val="-2"/>
        </w:rPr>
        <w:t> </w:t>
      </w:r>
      <w:r>
        <w:rPr/>
        <w:t>aantal</w:t>
      </w:r>
      <w:r>
        <w:rPr>
          <w:spacing w:val="-5"/>
        </w:rPr>
        <w:t> </w:t>
      </w:r>
      <w:r>
        <w:rPr/>
        <w:t>ontstane</w:t>
      </w:r>
      <w:r>
        <w:rPr>
          <w:spacing w:val="-2"/>
        </w:rPr>
        <w:t> </w:t>
      </w:r>
      <w:r>
        <w:rPr/>
        <w:t>trombo-embolische</w:t>
      </w:r>
      <w:r>
        <w:rPr>
          <w:spacing w:val="-5"/>
        </w:rPr>
        <w:t> </w:t>
      </w:r>
      <w:r>
        <w:rPr/>
        <w:t>processen.</w:t>
      </w:r>
      <w:r>
        <w:rPr>
          <w:spacing w:val="-4"/>
        </w:rPr>
        <w:t> </w:t>
      </w:r>
      <w:r>
        <w:rPr/>
        <w:t>Tussen</w:t>
      </w:r>
      <w:r>
        <w:rPr>
          <w:spacing w:val="-4"/>
        </w:rPr>
        <w:t> </w:t>
      </w:r>
      <w:r>
        <w:rPr/>
        <w:t>de groepen werd ook geen verschil in grote bloedingen vastgesteld. In de groep van patiënten met Warfarine kwamen wel significant meer kleine bloedingen voor.</w:t>
      </w:r>
    </w:p>
    <w:p>
      <w:pPr>
        <w:pStyle w:val="BodyText"/>
        <w:spacing w:before="1"/>
        <w:ind w:left="0"/>
      </w:pPr>
    </w:p>
    <w:p>
      <w:pPr>
        <w:pStyle w:val="BodyText"/>
      </w:pPr>
      <w:r>
        <w:rPr/>
        <w:t>Dezelfde groep (</w:t>
      </w:r>
      <w:r>
        <w:rPr>
          <w:b/>
        </w:rPr>
        <w:t>McCrindle et al</w:t>
      </w:r>
      <w:r>
        <w:rPr/>
        <w:t>) publiceerde zeer recent een secundaire analyse van dezelfde onderzoekspopulatie (35) specifiek gericht op identificatie van factoren geassocieerd</w:t>
      </w:r>
      <w:r>
        <w:rPr>
          <w:spacing w:val="-4"/>
        </w:rPr>
        <w:t> </w:t>
      </w:r>
      <w:r>
        <w:rPr/>
        <w:t>met</w:t>
      </w:r>
      <w:r>
        <w:rPr>
          <w:spacing w:val="-3"/>
        </w:rPr>
        <w:t> </w:t>
      </w:r>
      <w:r>
        <w:rPr/>
        <w:t>een</w:t>
      </w:r>
      <w:r>
        <w:rPr>
          <w:spacing w:val="-2"/>
        </w:rPr>
        <w:t> </w:t>
      </w:r>
      <w:r>
        <w:rPr/>
        <w:t>verhoogd</w:t>
      </w:r>
      <w:r>
        <w:rPr>
          <w:spacing w:val="-4"/>
        </w:rPr>
        <w:t> </w:t>
      </w:r>
      <w:r>
        <w:rPr/>
        <w:t>risico</w:t>
      </w:r>
      <w:r>
        <w:rPr>
          <w:spacing w:val="-5"/>
        </w:rPr>
        <w:t> </w:t>
      </w:r>
      <w:r>
        <w:rPr/>
        <w:t>op</w:t>
      </w:r>
      <w:r>
        <w:rPr>
          <w:spacing w:val="-4"/>
        </w:rPr>
        <w:t> </w:t>
      </w:r>
      <w:r>
        <w:rPr/>
        <w:t>trombose.</w:t>
      </w:r>
      <w:r>
        <w:rPr>
          <w:spacing w:val="-3"/>
        </w:rPr>
        <w:t> </w:t>
      </w:r>
      <w:r>
        <w:rPr/>
        <w:t>Hieruit</w:t>
      </w:r>
      <w:r>
        <w:rPr>
          <w:spacing w:val="-4"/>
        </w:rPr>
        <w:t> </w:t>
      </w:r>
      <w:r>
        <w:rPr/>
        <w:t>blijkt</w:t>
      </w:r>
      <w:r>
        <w:rPr>
          <w:spacing w:val="-4"/>
        </w:rPr>
        <w:t> </w:t>
      </w:r>
      <w:r>
        <w:rPr/>
        <w:t>een</w:t>
      </w:r>
      <w:r>
        <w:rPr>
          <w:spacing w:val="-2"/>
        </w:rPr>
        <w:t> </w:t>
      </w:r>
      <w:r>
        <w:rPr/>
        <w:t>3.5</w:t>
      </w:r>
      <w:r>
        <w:rPr>
          <w:spacing w:val="-4"/>
        </w:rPr>
        <w:t> </w:t>
      </w:r>
      <w:r>
        <w:rPr/>
        <w:t>keer</w:t>
      </w:r>
      <w:r>
        <w:rPr>
          <w:spacing w:val="-2"/>
        </w:rPr>
        <w:t> </w:t>
      </w:r>
      <w:r>
        <w:rPr/>
        <w:t>verlaagd</w:t>
      </w:r>
      <w:r>
        <w:rPr>
          <w:spacing w:val="-4"/>
        </w:rPr>
        <w:t> </w:t>
      </w:r>
      <w:r>
        <w:rPr/>
        <w:t>risico op trombose voor de patiënten die goed ingesteld Warfarine (&gt;30% van de tijd INR&gt;2) of</w:t>
      </w:r>
    </w:p>
    <w:p>
      <w:pPr>
        <w:pStyle w:val="BodyText"/>
        <w:spacing w:after="0"/>
        <w:sectPr>
          <w:pgSz w:w="11910" w:h="16840"/>
          <w:pgMar w:header="0" w:footer="750" w:top="1360" w:bottom="940" w:left="1275" w:right="1417"/>
        </w:sectPr>
      </w:pPr>
    </w:p>
    <w:p>
      <w:pPr>
        <w:pStyle w:val="BodyText"/>
        <w:spacing w:before="37"/>
        <w:ind w:right="78"/>
      </w:pPr>
      <w:r>
        <w:rPr/>
        <w:t>ASA gebruiken ten opzichte van patiënten met een slecht gecontroleerde Warfarine therapie. In deze post-hoc analyse wordt geen significant verschil aangetoond in het tromboserisico voor patiënten met goed gecontroleerde Warfarine therapie ten opzichte van</w:t>
      </w:r>
      <w:r>
        <w:rPr>
          <w:spacing w:val="-3"/>
        </w:rPr>
        <w:t> </w:t>
      </w:r>
      <w:r>
        <w:rPr/>
        <w:t>ASA</w:t>
      </w:r>
      <w:r>
        <w:rPr>
          <w:spacing w:val="-5"/>
        </w:rPr>
        <w:t> </w:t>
      </w:r>
      <w:r>
        <w:rPr/>
        <w:t>therapie,</w:t>
      </w:r>
      <w:r>
        <w:rPr>
          <w:spacing w:val="-3"/>
        </w:rPr>
        <w:t> </w:t>
      </w:r>
      <w:r>
        <w:rPr/>
        <w:t>maar</w:t>
      </w:r>
      <w:r>
        <w:rPr>
          <w:spacing w:val="-3"/>
        </w:rPr>
        <w:t> </w:t>
      </w:r>
      <w:r>
        <w:rPr/>
        <w:t>lijkt</w:t>
      </w:r>
      <w:r>
        <w:rPr>
          <w:spacing w:val="-3"/>
        </w:rPr>
        <w:t> </w:t>
      </w:r>
      <w:r>
        <w:rPr/>
        <w:t>er</w:t>
      </w:r>
      <w:r>
        <w:rPr>
          <w:spacing w:val="-3"/>
        </w:rPr>
        <w:t> </w:t>
      </w:r>
      <w:r>
        <w:rPr/>
        <w:t>wel</w:t>
      </w:r>
      <w:r>
        <w:rPr>
          <w:spacing w:val="-5"/>
        </w:rPr>
        <w:t> </w:t>
      </w:r>
      <w:r>
        <w:rPr/>
        <w:t>een</w:t>
      </w:r>
      <w:r>
        <w:rPr>
          <w:spacing w:val="-5"/>
        </w:rPr>
        <w:t> </w:t>
      </w:r>
      <w:r>
        <w:rPr/>
        <w:t>trend</w:t>
      </w:r>
      <w:r>
        <w:rPr>
          <w:spacing w:val="-3"/>
        </w:rPr>
        <w:t> </w:t>
      </w:r>
      <w:r>
        <w:rPr/>
        <w:t>te</w:t>
      </w:r>
      <w:r>
        <w:rPr>
          <w:spacing w:val="-5"/>
        </w:rPr>
        <w:t> </w:t>
      </w:r>
      <w:r>
        <w:rPr/>
        <w:t>bestaan</w:t>
      </w:r>
      <w:r>
        <w:rPr>
          <w:spacing w:val="-5"/>
        </w:rPr>
        <w:t> </w:t>
      </w:r>
      <w:r>
        <w:rPr/>
        <w:t>dat</w:t>
      </w:r>
      <w:r>
        <w:rPr>
          <w:spacing w:val="-3"/>
        </w:rPr>
        <w:t> </w:t>
      </w:r>
      <w:r>
        <w:rPr/>
        <w:t>goed</w:t>
      </w:r>
      <w:r>
        <w:rPr>
          <w:spacing w:val="-2"/>
        </w:rPr>
        <w:t> </w:t>
      </w:r>
      <w:r>
        <w:rPr/>
        <w:t>gecontroleerde</w:t>
      </w:r>
      <w:r>
        <w:rPr>
          <w:spacing w:val="-3"/>
        </w:rPr>
        <w:t> </w:t>
      </w:r>
      <w:r>
        <w:rPr/>
        <w:t>Warfarine therapie (&gt;30% van de tijd INR &gt; 2) op lange termijn (&gt;2.5 jaar follow up) beter beschermt tegen trombose.</w:t>
      </w:r>
    </w:p>
    <w:p>
      <w:pPr>
        <w:pStyle w:val="BodyText"/>
        <w:spacing w:before="1"/>
        <w:ind w:left="0"/>
      </w:pPr>
    </w:p>
    <w:p>
      <w:pPr>
        <w:pStyle w:val="BodyText"/>
        <w:ind w:right="181"/>
      </w:pPr>
      <w:r>
        <w:rPr>
          <w:b/>
        </w:rPr>
        <w:t>Potter et al</w:t>
      </w:r>
      <w:r>
        <w:rPr/>
        <w:t>.(36) beschreven 210 patienten na Fontan operatie ondergaan tussen 1973 en 1991, op de gemiddelde leeftijd van 8.5 jaar. Veertig patiënten (19%) ondervonden een trombo-embolisch event, waaraan 5 patiënten overleden. 28/40 patiënten kregen geen antistollingstherapie (n=125). De overige 12 gebruikten respectievelijke ASA (n=5/51) of Warfarine</w:t>
      </w:r>
      <w:r>
        <w:rPr>
          <w:spacing w:val="-3"/>
        </w:rPr>
        <w:t> </w:t>
      </w:r>
      <w:r>
        <w:rPr/>
        <w:t>(n=7/54)</w:t>
      </w:r>
      <w:r>
        <w:rPr>
          <w:spacing w:val="-4"/>
        </w:rPr>
        <w:t> </w:t>
      </w:r>
      <w:r>
        <w:rPr/>
        <w:t>na</w:t>
      </w:r>
      <w:r>
        <w:rPr>
          <w:spacing w:val="-6"/>
        </w:rPr>
        <w:t> </w:t>
      </w:r>
      <w:r>
        <w:rPr/>
        <w:t>een</w:t>
      </w:r>
      <w:r>
        <w:rPr>
          <w:spacing w:val="-2"/>
        </w:rPr>
        <w:t> </w:t>
      </w:r>
      <w:r>
        <w:rPr/>
        <w:t>gemiddelde</w:t>
      </w:r>
      <w:r>
        <w:rPr>
          <w:spacing w:val="-6"/>
        </w:rPr>
        <w:t> </w:t>
      </w:r>
      <w:r>
        <w:rPr/>
        <w:t>follow</w:t>
      </w:r>
      <w:r>
        <w:rPr>
          <w:spacing w:val="-4"/>
        </w:rPr>
        <w:t> </w:t>
      </w:r>
      <w:r>
        <w:rPr/>
        <w:t>up</w:t>
      </w:r>
      <w:r>
        <w:rPr>
          <w:spacing w:val="-5"/>
        </w:rPr>
        <w:t> </w:t>
      </w:r>
      <w:r>
        <w:rPr/>
        <w:t>duur</w:t>
      </w:r>
      <w:r>
        <w:rPr>
          <w:spacing w:val="-3"/>
        </w:rPr>
        <w:t> </w:t>
      </w:r>
      <w:r>
        <w:rPr/>
        <w:t>van</w:t>
      </w:r>
      <w:r>
        <w:rPr>
          <w:spacing w:val="-3"/>
        </w:rPr>
        <w:t> </w:t>
      </w:r>
      <w:r>
        <w:rPr/>
        <w:t>respectievelijk</w:t>
      </w:r>
      <w:r>
        <w:rPr>
          <w:spacing w:val="-7"/>
        </w:rPr>
        <w:t> </w:t>
      </w:r>
      <w:r>
        <w:rPr/>
        <w:t>15.8</w:t>
      </w:r>
      <w:r>
        <w:rPr>
          <w:spacing w:val="-4"/>
        </w:rPr>
        <w:t> </w:t>
      </w:r>
      <w:r>
        <w:rPr/>
        <w:t>en</w:t>
      </w:r>
      <w:r>
        <w:rPr>
          <w:spacing w:val="-3"/>
        </w:rPr>
        <w:t> </w:t>
      </w:r>
      <w:r>
        <w:rPr/>
        <w:t>17.1</w:t>
      </w:r>
      <w:r>
        <w:rPr>
          <w:spacing w:val="-3"/>
        </w:rPr>
        <w:t> </w:t>
      </w:r>
      <w:r>
        <w:rPr/>
        <w:t>jaar. Het gebruik van ASA dan wel Warfarine was geassocieerd met significant lager aantal trombo-embolische events. Er bestond geen significant verschil tussen het gebruik van Warfarine ten opzichte van ASA in het voorkomen van trombo-embolische processen.</w:t>
      </w:r>
    </w:p>
    <w:p>
      <w:pPr>
        <w:pStyle w:val="BodyText"/>
        <w:spacing w:before="2"/>
        <w:ind w:left="0"/>
      </w:pPr>
    </w:p>
    <w:p>
      <w:pPr>
        <w:pStyle w:val="BodyText"/>
        <w:ind w:right="107"/>
      </w:pPr>
      <w:r>
        <w:rPr>
          <w:b/>
        </w:rPr>
        <w:t>Alsaied et al. </w:t>
      </w:r>
      <w:r>
        <w:rPr/>
        <w:t>(27) publiceerden recent een meta-analyse van 10 studie ’s die in totaal 1200 Fontan patiënten beschrijven met een gemiddelde follow up van 7.1 jaar. De incidentie van trombo-embolieën was 11.3%. De patiënten die antistollingstherapie kregen, hadden een significant lagere incidentie trombo-embolieën tov van de patiënten zonder antistollingstherapie</w:t>
      </w:r>
      <w:r>
        <w:rPr>
          <w:spacing w:val="-2"/>
        </w:rPr>
        <w:t> </w:t>
      </w:r>
      <w:r>
        <w:rPr/>
        <w:t>(respectievelijke</w:t>
      </w:r>
      <w:r>
        <w:rPr>
          <w:spacing w:val="-2"/>
        </w:rPr>
        <w:t> </w:t>
      </w:r>
      <w:r>
        <w:rPr/>
        <w:t>incidenties</w:t>
      </w:r>
      <w:r>
        <w:rPr>
          <w:spacing w:val="-2"/>
        </w:rPr>
        <w:t> </w:t>
      </w:r>
      <w:r>
        <w:rPr/>
        <w:t>18.6%</w:t>
      </w:r>
      <w:r>
        <w:rPr>
          <w:spacing w:val="-1"/>
        </w:rPr>
        <w:t> </w:t>
      </w:r>
      <w:r>
        <w:rPr/>
        <w:t>(zonder</w:t>
      </w:r>
      <w:r>
        <w:rPr>
          <w:spacing w:val="-1"/>
        </w:rPr>
        <w:t> </w:t>
      </w:r>
      <w:r>
        <w:rPr/>
        <w:t>antistollingstherapie), 8.6% (Aspirine)</w:t>
      </w:r>
      <w:r>
        <w:rPr>
          <w:spacing w:val="-4"/>
        </w:rPr>
        <w:t> </w:t>
      </w:r>
      <w:r>
        <w:rPr/>
        <w:t>en</w:t>
      </w:r>
      <w:r>
        <w:rPr>
          <w:spacing w:val="-5"/>
        </w:rPr>
        <w:t> </w:t>
      </w:r>
      <w:r>
        <w:rPr/>
        <w:t>9%</w:t>
      </w:r>
      <w:r>
        <w:rPr>
          <w:spacing w:val="-4"/>
        </w:rPr>
        <w:t> </w:t>
      </w:r>
      <w:r>
        <w:rPr/>
        <w:t>(Warfarine)).</w:t>
      </w:r>
      <w:r>
        <w:rPr>
          <w:spacing w:val="-5"/>
        </w:rPr>
        <w:t> </w:t>
      </w:r>
      <w:r>
        <w:rPr/>
        <w:t>Zij</w:t>
      </w:r>
      <w:r>
        <w:rPr>
          <w:spacing w:val="-4"/>
        </w:rPr>
        <w:t> </w:t>
      </w:r>
      <w:r>
        <w:rPr/>
        <w:t>toonden</w:t>
      </w:r>
      <w:r>
        <w:rPr>
          <w:spacing w:val="-3"/>
        </w:rPr>
        <w:t> </w:t>
      </w:r>
      <w:r>
        <w:rPr/>
        <w:t>geen</w:t>
      </w:r>
      <w:r>
        <w:rPr>
          <w:spacing w:val="-3"/>
        </w:rPr>
        <w:t> </w:t>
      </w:r>
      <w:r>
        <w:rPr/>
        <w:t>verschil</w:t>
      </w:r>
      <w:r>
        <w:rPr>
          <w:spacing w:val="-4"/>
        </w:rPr>
        <w:t> </w:t>
      </w:r>
      <w:r>
        <w:rPr/>
        <w:t>in</w:t>
      </w:r>
      <w:r>
        <w:rPr>
          <w:spacing w:val="-5"/>
        </w:rPr>
        <w:t> </w:t>
      </w:r>
      <w:r>
        <w:rPr/>
        <w:t>incidentie</w:t>
      </w:r>
      <w:r>
        <w:rPr>
          <w:spacing w:val="-3"/>
        </w:rPr>
        <w:t> </w:t>
      </w:r>
      <w:r>
        <w:rPr/>
        <w:t>van trombo-embolieën aan tussen Warfarine en Aspirine, zowel in de vroege versus later operatieve fase (&lt; 6 maanden versus &gt; 6 maanden na completeren Fontan circulatie).</w:t>
      </w:r>
    </w:p>
    <w:p>
      <w:pPr>
        <w:pStyle w:val="Heading1"/>
        <w:spacing w:before="292"/>
      </w:pPr>
      <w:r>
        <w:rPr/>
        <w:t>Conclusies</w:t>
      </w:r>
      <w:r>
        <w:rPr>
          <w:spacing w:val="-4"/>
        </w:rPr>
        <w:t> </w:t>
      </w:r>
      <w:r>
        <w:rPr>
          <w:spacing w:val="-2"/>
        </w:rPr>
        <w:t>literatuur</w:t>
      </w:r>
    </w:p>
    <w:p>
      <w:pPr>
        <w:pStyle w:val="BodyText"/>
        <w:ind w:left="0"/>
        <w:rPr>
          <w:b/>
          <w:sz w:val="20"/>
        </w:rPr>
      </w:pPr>
    </w:p>
    <w:p>
      <w:pPr>
        <w:pStyle w:val="BodyText"/>
        <w:spacing w:before="97"/>
        <w:ind w:left="0"/>
        <w:rPr>
          <w:b/>
          <w:sz w:val="20"/>
        </w:rPr>
      </w:pPr>
    </w:p>
    <w:tbl>
      <w:tblPr>
        <w:tblW w:w="0" w:type="auto"/>
        <w:jc w:val="left"/>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6"/>
        <w:gridCol w:w="7088"/>
      </w:tblGrid>
      <w:tr>
        <w:trPr>
          <w:trHeight w:val="880" w:hRule="atLeast"/>
        </w:trPr>
        <w:tc>
          <w:tcPr>
            <w:tcW w:w="1346" w:type="dxa"/>
            <w:shd w:val="clear" w:color="auto" w:fill="C0C0C0"/>
          </w:tcPr>
          <w:p>
            <w:pPr>
              <w:pStyle w:val="TableParagraph"/>
              <w:spacing w:before="1"/>
              <w:ind w:left="0"/>
              <w:rPr>
                <w:b/>
                <w:sz w:val="24"/>
              </w:rPr>
            </w:pPr>
          </w:p>
          <w:p>
            <w:pPr>
              <w:pStyle w:val="TableParagraph"/>
              <w:rPr>
                <w:sz w:val="24"/>
              </w:rPr>
            </w:pPr>
            <w:r>
              <w:rPr>
                <w:sz w:val="24"/>
              </w:rPr>
              <w:t>Niveau</w:t>
            </w:r>
            <w:r>
              <w:rPr>
                <w:spacing w:val="-5"/>
                <w:sz w:val="24"/>
              </w:rPr>
              <w:t> </w:t>
            </w:r>
            <w:r>
              <w:rPr>
                <w:spacing w:val="-10"/>
                <w:sz w:val="24"/>
              </w:rPr>
              <w:t>1</w:t>
            </w:r>
          </w:p>
        </w:tc>
        <w:tc>
          <w:tcPr>
            <w:tcW w:w="7088" w:type="dxa"/>
          </w:tcPr>
          <w:p>
            <w:pPr>
              <w:pStyle w:val="TableParagraph"/>
              <w:spacing w:before="1"/>
              <w:ind w:right="85"/>
              <w:rPr>
                <w:sz w:val="24"/>
              </w:rPr>
            </w:pPr>
            <w:r>
              <w:rPr>
                <w:sz w:val="24"/>
              </w:rPr>
              <w:t>Antistollingstherapie</w:t>
            </w:r>
            <w:r>
              <w:rPr>
                <w:spacing w:val="-6"/>
                <w:sz w:val="24"/>
              </w:rPr>
              <w:t> </w:t>
            </w:r>
            <w:r>
              <w:rPr>
                <w:sz w:val="24"/>
              </w:rPr>
              <w:t>is</w:t>
            </w:r>
            <w:r>
              <w:rPr>
                <w:spacing w:val="-4"/>
                <w:sz w:val="24"/>
              </w:rPr>
              <w:t> </w:t>
            </w:r>
            <w:r>
              <w:rPr>
                <w:sz w:val="24"/>
              </w:rPr>
              <w:t>effectiever</w:t>
            </w:r>
            <w:r>
              <w:rPr>
                <w:spacing w:val="-5"/>
                <w:sz w:val="24"/>
              </w:rPr>
              <w:t> </w:t>
            </w:r>
            <w:r>
              <w:rPr>
                <w:sz w:val="24"/>
              </w:rPr>
              <w:t>dan</w:t>
            </w:r>
            <w:r>
              <w:rPr>
                <w:spacing w:val="-5"/>
                <w:sz w:val="24"/>
              </w:rPr>
              <w:t> </w:t>
            </w:r>
            <w:r>
              <w:rPr>
                <w:sz w:val="24"/>
              </w:rPr>
              <w:t>geen</w:t>
            </w:r>
            <w:r>
              <w:rPr>
                <w:spacing w:val="-3"/>
                <w:sz w:val="24"/>
              </w:rPr>
              <w:t> </w:t>
            </w:r>
            <w:r>
              <w:rPr>
                <w:sz w:val="24"/>
              </w:rPr>
              <w:t>therapie</w:t>
            </w:r>
            <w:r>
              <w:rPr>
                <w:spacing w:val="-3"/>
                <w:sz w:val="24"/>
              </w:rPr>
              <w:t> </w:t>
            </w:r>
            <w:r>
              <w:rPr>
                <w:sz w:val="24"/>
              </w:rPr>
              <w:t>in</w:t>
            </w:r>
            <w:r>
              <w:rPr>
                <w:spacing w:val="-5"/>
                <w:sz w:val="24"/>
              </w:rPr>
              <w:t> </w:t>
            </w:r>
            <w:r>
              <w:rPr>
                <w:sz w:val="24"/>
              </w:rPr>
              <w:t>de</w:t>
            </w:r>
            <w:r>
              <w:rPr>
                <w:spacing w:val="-5"/>
                <w:sz w:val="24"/>
              </w:rPr>
              <w:t> </w:t>
            </w:r>
            <w:r>
              <w:rPr>
                <w:sz w:val="24"/>
              </w:rPr>
              <w:t>preventie van trombo-embolieën bij kinderen na Fontan chirurgie</w:t>
            </w:r>
          </w:p>
          <w:p>
            <w:pPr>
              <w:pStyle w:val="TableParagraph"/>
              <w:spacing w:line="273" w:lineRule="exact"/>
              <w:rPr>
                <w:sz w:val="24"/>
              </w:rPr>
            </w:pPr>
            <w:r>
              <w:rPr>
                <w:sz w:val="24"/>
              </w:rPr>
              <w:t>Khairy</w:t>
            </w:r>
            <w:r>
              <w:rPr>
                <w:spacing w:val="-2"/>
                <w:sz w:val="24"/>
              </w:rPr>
              <w:t> </w:t>
            </w:r>
            <w:r>
              <w:rPr>
                <w:sz w:val="24"/>
              </w:rPr>
              <w:t>2008</w:t>
            </w:r>
            <w:r>
              <w:rPr>
                <w:spacing w:val="-2"/>
                <w:sz w:val="24"/>
              </w:rPr>
              <w:t> </w:t>
            </w:r>
            <w:r>
              <w:rPr>
                <w:sz w:val="24"/>
              </w:rPr>
              <w:t>(B),</w:t>
            </w:r>
            <w:r>
              <w:rPr>
                <w:spacing w:val="-2"/>
                <w:sz w:val="24"/>
              </w:rPr>
              <w:t> </w:t>
            </w:r>
            <w:r>
              <w:rPr>
                <w:sz w:val="24"/>
              </w:rPr>
              <w:t>Seipelt</w:t>
            </w:r>
            <w:r>
              <w:rPr>
                <w:spacing w:val="-1"/>
                <w:sz w:val="24"/>
              </w:rPr>
              <w:t> </w:t>
            </w:r>
            <w:r>
              <w:rPr>
                <w:sz w:val="24"/>
              </w:rPr>
              <w:t>2002 (B),</w:t>
            </w:r>
            <w:r>
              <w:rPr>
                <w:spacing w:val="-1"/>
                <w:sz w:val="24"/>
              </w:rPr>
              <w:t> </w:t>
            </w:r>
            <w:r>
              <w:rPr>
                <w:sz w:val="24"/>
              </w:rPr>
              <w:t>Alsaied</w:t>
            </w:r>
            <w:r>
              <w:rPr>
                <w:spacing w:val="-1"/>
                <w:sz w:val="24"/>
              </w:rPr>
              <w:t> </w:t>
            </w:r>
            <w:r>
              <w:rPr>
                <w:sz w:val="24"/>
              </w:rPr>
              <w:t>2015</w:t>
            </w:r>
            <w:r>
              <w:rPr>
                <w:spacing w:val="-1"/>
                <w:sz w:val="24"/>
              </w:rPr>
              <w:t> </w:t>
            </w:r>
            <w:r>
              <w:rPr>
                <w:sz w:val="24"/>
              </w:rPr>
              <w:t>(A1),</w:t>
            </w:r>
            <w:r>
              <w:rPr>
                <w:spacing w:val="-2"/>
                <w:sz w:val="24"/>
              </w:rPr>
              <w:t> </w:t>
            </w:r>
            <w:r>
              <w:rPr>
                <w:sz w:val="24"/>
              </w:rPr>
              <w:t>Potter</w:t>
            </w:r>
            <w:r>
              <w:rPr>
                <w:spacing w:val="-3"/>
                <w:sz w:val="24"/>
              </w:rPr>
              <w:t> </w:t>
            </w:r>
            <w:r>
              <w:rPr>
                <w:sz w:val="24"/>
              </w:rPr>
              <w:t>2013</w:t>
            </w:r>
            <w:r>
              <w:rPr>
                <w:spacing w:val="1"/>
                <w:sz w:val="24"/>
              </w:rPr>
              <w:t> </w:t>
            </w:r>
            <w:r>
              <w:rPr>
                <w:spacing w:val="-5"/>
                <w:sz w:val="24"/>
              </w:rPr>
              <w:t>(B)</w:t>
            </w:r>
          </w:p>
        </w:tc>
      </w:tr>
      <w:tr>
        <w:trPr>
          <w:trHeight w:val="878" w:hRule="atLeast"/>
        </w:trPr>
        <w:tc>
          <w:tcPr>
            <w:tcW w:w="1346" w:type="dxa"/>
            <w:shd w:val="clear" w:color="auto" w:fill="C0C0C0"/>
          </w:tcPr>
          <w:p>
            <w:pPr>
              <w:pStyle w:val="TableParagraph"/>
              <w:spacing w:before="292"/>
              <w:rPr>
                <w:sz w:val="24"/>
              </w:rPr>
            </w:pPr>
            <w:r>
              <w:rPr>
                <w:sz w:val="24"/>
              </w:rPr>
              <w:t>Niveau</w:t>
            </w:r>
            <w:r>
              <w:rPr>
                <w:spacing w:val="-4"/>
                <w:sz w:val="24"/>
              </w:rPr>
              <w:t> </w:t>
            </w:r>
            <w:r>
              <w:rPr>
                <w:spacing w:val="-10"/>
                <w:sz w:val="24"/>
              </w:rPr>
              <w:t>1</w:t>
            </w:r>
          </w:p>
        </w:tc>
        <w:tc>
          <w:tcPr>
            <w:tcW w:w="7088" w:type="dxa"/>
          </w:tcPr>
          <w:p>
            <w:pPr>
              <w:pStyle w:val="TableParagraph"/>
              <w:ind w:right="85"/>
              <w:rPr>
                <w:sz w:val="24"/>
              </w:rPr>
            </w:pPr>
            <w:r>
              <w:rPr>
                <w:sz w:val="24"/>
              </w:rPr>
              <w:t>VKA</w:t>
            </w:r>
            <w:r>
              <w:rPr>
                <w:spacing w:val="-3"/>
                <w:sz w:val="24"/>
              </w:rPr>
              <w:t> </w:t>
            </w:r>
            <w:r>
              <w:rPr>
                <w:sz w:val="24"/>
              </w:rPr>
              <w:t>en</w:t>
            </w:r>
            <w:r>
              <w:rPr>
                <w:spacing w:val="-3"/>
                <w:sz w:val="24"/>
              </w:rPr>
              <w:t> </w:t>
            </w:r>
            <w:r>
              <w:rPr>
                <w:sz w:val="24"/>
              </w:rPr>
              <w:t>aspirine</w:t>
            </w:r>
            <w:r>
              <w:rPr>
                <w:spacing w:val="-6"/>
                <w:sz w:val="24"/>
              </w:rPr>
              <w:t> </w:t>
            </w:r>
            <w:r>
              <w:rPr>
                <w:sz w:val="24"/>
              </w:rPr>
              <w:t>lijken</w:t>
            </w:r>
            <w:r>
              <w:rPr>
                <w:spacing w:val="-5"/>
                <w:sz w:val="24"/>
              </w:rPr>
              <w:t> </w:t>
            </w:r>
            <w:r>
              <w:rPr>
                <w:sz w:val="24"/>
              </w:rPr>
              <w:t>even</w:t>
            </w:r>
            <w:r>
              <w:rPr>
                <w:spacing w:val="-2"/>
                <w:sz w:val="24"/>
              </w:rPr>
              <w:t> </w:t>
            </w:r>
            <w:r>
              <w:rPr>
                <w:sz w:val="24"/>
              </w:rPr>
              <w:t>effectief</w:t>
            </w:r>
            <w:r>
              <w:rPr>
                <w:spacing w:val="-3"/>
                <w:sz w:val="24"/>
              </w:rPr>
              <w:t> </w:t>
            </w:r>
            <w:r>
              <w:rPr>
                <w:sz w:val="24"/>
              </w:rPr>
              <w:t>in</w:t>
            </w:r>
            <w:r>
              <w:rPr>
                <w:spacing w:val="-5"/>
                <w:sz w:val="24"/>
              </w:rPr>
              <w:t> </w:t>
            </w:r>
            <w:r>
              <w:rPr>
                <w:sz w:val="24"/>
              </w:rPr>
              <w:t>de</w:t>
            </w:r>
            <w:r>
              <w:rPr>
                <w:spacing w:val="-6"/>
                <w:sz w:val="24"/>
              </w:rPr>
              <w:t> </w:t>
            </w:r>
            <w:r>
              <w:rPr>
                <w:sz w:val="24"/>
              </w:rPr>
              <w:t>preventie</w:t>
            </w:r>
            <w:r>
              <w:rPr>
                <w:spacing w:val="-3"/>
                <w:sz w:val="24"/>
              </w:rPr>
              <w:t> </w:t>
            </w:r>
            <w:r>
              <w:rPr>
                <w:sz w:val="24"/>
              </w:rPr>
              <w:t>van</w:t>
            </w:r>
            <w:r>
              <w:rPr>
                <w:spacing w:val="-3"/>
                <w:sz w:val="24"/>
              </w:rPr>
              <w:t> </w:t>
            </w:r>
            <w:r>
              <w:rPr>
                <w:sz w:val="24"/>
              </w:rPr>
              <w:t>trombo-embolieën bij kinderen na Fontan chirurgie</w:t>
            </w:r>
          </w:p>
          <w:p>
            <w:pPr>
              <w:pStyle w:val="TableParagraph"/>
              <w:spacing w:line="273" w:lineRule="exact"/>
              <w:rPr>
                <w:sz w:val="24"/>
              </w:rPr>
            </w:pPr>
            <w:r>
              <w:rPr>
                <w:sz w:val="24"/>
              </w:rPr>
              <w:t>Alsaied</w:t>
            </w:r>
            <w:r>
              <w:rPr>
                <w:spacing w:val="-3"/>
                <w:sz w:val="24"/>
              </w:rPr>
              <w:t> </w:t>
            </w:r>
            <w:r>
              <w:rPr>
                <w:sz w:val="24"/>
              </w:rPr>
              <w:t>2015</w:t>
            </w:r>
            <w:r>
              <w:rPr>
                <w:spacing w:val="1"/>
                <w:sz w:val="24"/>
              </w:rPr>
              <w:t> </w:t>
            </w:r>
            <w:r>
              <w:rPr>
                <w:sz w:val="24"/>
              </w:rPr>
              <w:t>(A1),</w:t>
            </w:r>
            <w:r>
              <w:rPr>
                <w:spacing w:val="-3"/>
                <w:sz w:val="24"/>
              </w:rPr>
              <w:t> </w:t>
            </w:r>
            <w:r>
              <w:rPr>
                <w:sz w:val="24"/>
              </w:rPr>
              <w:t>Potter</w:t>
            </w:r>
            <w:r>
              <w:rPr>
                <w:spacing w:val="-3"/>
                <w:sz w:val="24"/>
              </w:rPr>
              <w:t> </w:t>
            </w:r>
            <w:r>
              <w:rPr>
                <w:sz w:val="24"/>
              </w:rPr>
              <w:t>2013</w:t>
            </w:r>
            <w:r>
              <w:rPr>
                <w:spacing w:val="1"/>
                <w:sz w:val="24"/>
              </w:rPr>
              <w:t> </w:t>
            </w:r>
            <w:r>
              <w:rPr>
                <w:spacing w:val="-5"/>
                <w:sz w:val="24"/>
              </w:rPr>
              <w:t>(B)</w:t>
            </w:r>
          </w:p>
        </w:tc>
      </w:tr>
      <w:tr>
        <w:trPr>
          <w:trHeight w:val="1173" w:hRule="atLeast"/>
        </w:trPr>
        <w:tc>
          <w:tcPr>
            <w:tcW w:w="1346" w:type="dxa"/>
            <w:shd w:val="clear" w:color="auto" w:fill="C0C0C0"/>
          </w:tcPr>
          <w:p>
            <w:pPr>
              <w:pStyle w:val="TableParagraph"/>
              <w:spacing w:before="145"/>
              <w:ind w:left="0"/>
              <w:rPr>
                <w:b/>
                <w:sz w:val="24"/>
              </w:rPr>
            </w:pPr>
          </w:p>
          <w:p>
            <w:pPr>
              <w:pStyle w:val="TableParagraph"/>
              <w:rPr>
                <w:sz w:val="24"/>
              </w:rPr>
            </w:pPr>
            <w:r>
              <w:rPr>
                <w:sz w:val="24"/>
              </w:rPr>
              <w:t>Niveau</w:t>
            </w:r>
            <w:r>
              <w:rPr>
                <w:spacing w:val="-4"/>
                <w:sz w:val="24"/>
              </w:rPr>
              <w:t> </w:t>
            </w:r>
            <w:r>
              <w:rPr>
                <w:spacing w:val="-10"/>
                <w:sz w:val="24"/>
              </w:rPr>
              <w:t>3</w:t>
            </w:r>
          </w:p>
        </w:tc>
        <w:tc>
          <w:tcPr>
            <w:tcW w:w="7088" w:type="dxa"/>
          </w:tcPr>
          <w:p>
            <w:pPr>
              <w:pStyle w:val="TableParagraph"/>
              <w:ind w:right="85"/>
              <w:rPr>
                <w:sz w:val="24"/>
              </w:rPr>
            </w:pPr>
            <w:r>
              <w:rPr>
                <w:sz w:val="24"/>
              </w:rPr>
              <w:t>Slecht</w:t>
            </w:r>
            <w:r>
              <w:rPr>
                <w:spacing w:val="-3"/>
                <w:sz w:val="24"/>
              </w:rPr>
              <w:t> </w:t>
            </w:r>
            <w:r>
              <w:rPr>
                <w:sz w:val="24"/>
              </w:rPr>
              <w:t>ingestelde</w:t>
            </w:r>
            <w:r>
              <w:rPr>
                <w:spacing w:val="-6"/>
                <w:sz w:val="24"/>
              </w:rPr>
              <w:t> </w:t>
            </w:r>
            <w:r>
              <w:rPr>
                <w:sz w:val="24"/>
              </w:rPr>
              <w:t>VKA</w:t>
            </w:r>
            <w:r>
              <w:rPr>
                <w:spacing w:val="-6"/>
                <w:sz w:val="24"/>
              </w:rPr>
              <w:t> </w:t>
            </w:r>
            <w:r>
              <w:rPr>
                <w:sz w:val="24"/>
              </w:rPr>
              <w:t>is</w:t>
            </w:r>
            <w:r>
              <w:rPr>
                <w:spacing w:val="-6"/>
                <w:sz w:val="24"/>
              </w:rPr>
              <w:t> </w:t>
            </w:r>
            <w:r>
              <w:rPr>
                <w:sz w:val="24"/>
              </w:rPr>
              <w:t>mogelijk</w:t>
            </w:r>
            <w:r>
              <w:rPr>
                <w:spacing w:val="-4"/>
                <w:sz w:val="24"/>
              </w:rPr>
              <w:t> </w:t>
            </w:r>
            <w:r>
              <w:rPr>
                <w:sz w:val="24"/>
              </w:rPr>
              <w:t>minder</w:t>
            </w:r>
            <w:r>
              <w:rPr>
                <w:spacing w:val="-6"/>
                <w:sz w:val="24"/>
              </w:rPr>
              <w:t> </w:t>
            </w:r>
            <w:r>
              <w:rPr>
                <w:sz w:val="24"/>
              </w:rPr>
              <w:t>effectief</w:t>
            </w:r>
            <w:r>
              <w:rPr>
                <w:spacing w:val="-5"/>
                <w:sz w:val="24"/>
              </w:rPr>
              <w:t> </w:t>
            </w:r>
            <w:r>
              <w:rPr>
                <w:sz w:val="24"/>
              </w:rPr>
              <w:t>dan</w:t>
            </w:r>
            <w:r>
              <w:rPr>
                <w:spacing w:val="-5"/>
                <w:sz w:val="24"/>
              </w:rPr>
              <w:t> </w:t>
            </w:r>
            <w:r>
              <w:rPr>
                <w:sz w:val="24"/>
              </w:rPr>
              <w:t>goed</w:t>
            </w:r>
            <w:r>
              <w:rPr>
                <w:spacing w:val="-3"/>
                <w:sz w:val="24"/>
              </w:rPr>
              <w:t> </w:t>
            </w:r>
            <w:r>
              <w:rPr>
                <w:sz w:val="24"/>
              </w:rPr>
              <w:t>ingestelde VKA (&gt; 30% van de tijd INR &gt; 2) en aspirine in preventie van trombo-embolieën na Fontan chirurgie</w:t>
            </w:r>
          </w:p>
          <w:p>
            <w:pPr>
              <w:pStyle w:val="TableParagraph"/>
              <w:spacing w:line="273" w:lineRule="exact" w:before="1"/>
              <w:rPr>
                <w:sz w:val="24"/>
              </w:rPr>
            </w:pPr>
            <w:r>
              <w:rPr>
                <w:sz w:val="24"/>
              </w:rPr>
              <w:t>McCrindle</w:t>
            </w:r>
            <w:r>
              <w:rPr>
                <w:spacing w:val="-5"/>
                <w:sz w:val="24"/>
              </w:rPr>
              <w:t> </w:t>
            </w:r>
            <w:r>
              <w:rPr>
                <w:sz w:val="24"/>
              </w:rPr>
              <w:t>2013</w:t>
            </w:r>
            <w:r>
              <w:rPr>
                <w:spacing w:val="2"/>
                <w:sz w:val="24"/>
              </w:rPr>
              <w:t> </w:t>
            </w:r>
            <w:r>
              <w:rPr>
                <w:spacing w:val="-5"/>
                <w:sz w:val="24"/>
              </w:rPr>
              <w:t>(B)</w:t>
            </w:r>
          </w:p>
        </w:tc>
      </w:tr>
      <w:tr>
        <w:trPr>
          <w:trHeight w:val="1171" w:hRule="atLeast"/>
        </w:trPr>
        <w:tc>
          <w:tcPr>
            <w:tcW w:w="1346" w:type="dxa"/>
            <w:shd w:val="clear" w:color="auto" w:fill="C0C0C0"/>
          </w:tcPr>
          <w:p>
            <w:pPr>
              <w:pStyle w:val="TableParagraph"/>
              <w:spacing w:before="145"/>
              <w:ind w:left="0"/>
              <w:rPr>
                <w:b/>
                <w:sz w:val="24"/>
              </w:rPr>
            </w:pPr>
          </w:p>
          <w:p>
            <w:pPr>
              <w:pStyle w:val="TableParagraph"/>
              <w:rPr>
                <w:sz w:val="24"/>
              </w:rPr>
            </w:pPr>
            <w:r>
              <w:rPr>
                <w:sz w:val="24"/>
              </w:rPr>
              <w:t>Niveau</w:t>
            </w:r>
            <w:r>
              <w:rPr>
                <w:spacing w:val="-5"/>
                <w:sz w:val="24"/>
              </w:rPr>
              <w:t> </w:t>
            </w:r>
            <w:r>
              <w:rPr>
                <w:spacing w:val="-10"/>
                <w:sz w:val="24"/>
              </w:rPr>
              <w:t>3</w:t>
            </w:r>
          </w:p>
        </w:tc>
        <w:tc>
          <w:tcPr>
            <w:tcW w:w="7088" w:type="dxa"/>
          </w:tcPr>
          <w:p>
            <w:pPr>
              <w:pStyle w:val="TableParagraph"/>
              <w:ind w:right="138"/>
              <w:jc w:val="both"/>
              <w:rPr>
                <w:sz w:val="24"/>
              </w:rPr>
            </w:pPr>
            <w:r>
              <w:rPr>
                <w:sz w:val="24"/>
              </w:rPr>
              <w:t>Goed ingestelde</w:t>
            </w:r>
            <w:r>
              <w:rPr>
                <w:spacing w:val="-3"/>
                <w:sz w:val="24"/>
              </w:rPr>
              <w:t> </w:t>
            </w:r>
            <w:r>
              <w:rPr>
                <w:sz w:val="24"/>
              </w:rPr>
              <w:t>VKA</w:t>
            </w:r>
            <w:r>
              <w:rPr>
                <w:spacing w:val="-3"/>
                <w:sz w:val="24"/>
              </w:rPr>
              <w:t> </w:t>
            </w:r>
            <w:r>
              <w:rPr>
                <w:sz w:val="24"/>
              </w:rPr>
              <w:t>(&gt;</w:t>
            </w:r>
            <w:r>
              <w:rPr>
                <w:spacing w:val="-2"/>
                <w:sz w:val="24"/>
              </w:rPr>
              <w:t> </w:t>
            </w:r>
            <w:r>
              <w:rPr>
                <w:sz w:val="24"/>
              </w:rPr>
              <w:t>30%</w:t>
            </w:r>
            <w:r>
              <w:rPr>
                <w:spacing w:val="-2"/>
                <w:sz w:val="24"/>
              </w:rPr>
              <w:t> </w:t>
            </w:r>
            <w:r>
              <w:rPr>
                <w:sz w:val="24"/>
              </w:rPr>
              <w:t>van</w:t>
            </w:r>
            <w:r>
              <w:rPr>
                <w:spacing w:val="-2"/>
                <w:sz w:val="24"/>
              </w:rPr>
              <w:t> </w:t>
            </w:r>
            <w:r>
              <w:rPr>
                <w:sz w:val="24"/>
              </w:rPr>
              <w:t>de</w:t>
            </w:r>
            <w:r>
              <w:rPr>
                <w:spacing w:val="-2"/>
                <w:sz w:val="24"/>
              </w:rPr>
              <w:t> </w:t>
            </w:r>
            <w:r>
              <w:rPr>
                <w:sz w:val="24"/>
              </w:rPr>
              <w:t>tijd</w:t>
            </w:r>
            <w:r>
              <w:rPr>
                <w:spacing w:val="-2"/>
                <w:sz w:val="24"/>
              </w:rPr>
              <w:t> </w:t>
            </w:r>
            <w:r>
              <w:rPr>
                <w:sz w:val="24"/>
              </w:rPr>
              <w:t>INR</w:t>
            </w:r>
            <w:r>
              <w:rPr>
                <w:spacing w:val="-1"/>
                <w:sz w:val="24"/>
              </w:rPr>
              <w:t> </w:t>
            </w:r>
            <w:r>
              <w:rPr>
                <w:sz w:val="24"/>
              </w:rPr>
              <w:t>&gt;</w:t>
            </w:r>
            <w:r>
              <w:rPr>
                <w:spacing w:val="-3"/>
                <w:sz w:val="24"/>
              </w:rPr>
              <w:t> </w:t>
            </w:r>
            <w:r>
              <w:rPr>
                <w:sz w:val="24"/>
              </w:rPr>
              <w:t>2)</w:t>
            </w:r>
            <w:r>
              <w:rPr>
                <w:spacing w:val="-1"/>
                <w:sz w:val="24"/>
              </w:rPr>
              <w:t> </w:t>
            </w:r>
            <w:r>
              <w:rPr>
                <w:sz w:val="24"/>
              </w:rPr>
              <w:t>is</w:t>
            </w:r>
            <w:r>
              <w:rPr>
                <w:spacing w:val="-1"/>
                <w:sz w:val="24"/>
              </w:rPr>
              <w:t> </w:t>
            </w:r>
            <w:r>
              <w:rPr>
                <w:sz w:val="24"/>
              </w:rPr>
              <w:t>mogelijk</w:t>
            </w:r>
            <w:r>
              <w:rPr>
                <w:spacing w:val="-1"/>
                <w:sz w:val="24"/>
              </w:rPr>
              <w:t> </w:t>
            </w:r>
            <w:r>
              <w:rPr>
                <w:sz w:val="24"/>
              </w:rPr>
              <w:t>effectiever dan</w:t>
            </w:r>
            <w:r>
              <w:rPr>
                <w:spacing w:val="-3"/>
                <w:sz w:val="24"/>
              </w:rPr>
              <w:t> </w:t>
            </w:r>
            <w:r>
              <w:rPr>
                <w:sz w:val="24"/>
              </w:rPr>
              <w:t>aspirine</w:t>
            </w:r>
            <w:r>
              <w:rPr>
                <w:spacing w:val="-3"/>
                <w:sz w:val="24"/>
              </w:rPr>
              <w:t> </w:t>
            </w:r>
            <w:r>
              <w:rPr>
                <w:sz w:val="24"/>
              </w:rPr>
              <w:t>in</w:t>
            </w:r>
            <w:r>
              <w:rPr>
                <w:spacing w:val="-5"/>
                <w:sz w:val="24"/>
              </w:rPr>
              <w:t> </w:t>
            </w:r>
            <w:r>
              <w:rPr>
                <w:sz w:val="24"/>
              </w:rPr>
              <w:t>preventie</w:t>
            </w:r>
            <w:r>
              <w:rPr>
                <w:spacing w:val="-6"/>
                <w:sz w:val="24"/>
              </w:rPr>
              <w:t> </w:t>
            </w:r>
            <w:r>
              <w:rPr>
                <w:sz w:val="24"/>
              </w:rPr>
              <w:t>van</w:t>
            </w:r>
            <w:r>
              <w:rPr>
                <w:spacing w:val="-5"/>
                <w:sz w:val="24"/>
              </w:rPr>
              <w:t> </w:t>
            </w:r>
            <w:r>
              <w:rPr>
                <w:sz w:val="24"/>
              </w:rPr>
              <w:t>trombo-embolien</w:t>
            </w:r>
            <w:r>
              <w:rPr>
                <w:spacing w:val="-5"/>
                <w:sz w:val="24"/>
              </w:rPr>
              <w:t> </w:t>
            </w:r>
            <w:r>
              <w:rPr>
                <w:sz w:val="24"/>
              </w:rPr>
              <w:t>na</w:t>
            </w:r>
            <w:r>
              <w:rPr>
                <w:spacing w:val="-4"/>
                <w:sz w:val="24"/>
              </w:rPr>
              <w:t> </w:t>
            </w:r>
            <w:r>
              <w:rPr>
                <w:sz w:val="24"/>
              </w:rPr>
              <w:t>Fontan</w:t>
            </w:r>
            <w:r>
              <w:rPr>
                <w:spacing w:val="-5"/>
                <w:sz w:val="24"/>
              </w:rPr>
              <w:t> </w:t>
            </w:r>
            <w:r>
              <w:rPr>
                <w:sz w:val="24"/>
              </w:rPr>
              <w:t>chirurgie</w:t>
            </w:r>
            <w:r>
              <w:rPr>
                <w:spacing w:val="-5"/>
                <w:sz w:val="24"/>
              </w:rPr>
              <w:t> </w:t>
            </w:r>
            <w:r>
              <w:rPr>
                <w:sz w:val="24"/>
              </w:rPr>
              <w:t>op de lange termijn</w:t>
            </w:r>
          </w:p>
          <w:p>
            <w:pPr>
              <w:pStyle w:val="TableParagraph"/>
              <w:spacing w:line="273" w:lineRule="exact"/>
              <w:jc w:val="both"/>
              <w:rPr>
                <w:sz w:val="24"/>
              </w:rPr>
            </w:pPr>
            <w:r>
              <w:rPr>
                <w:sz w:val="24"/>
              </w:rPr>
              <w:t>McCrindle</w:t>
            </w:r>
            <w:r>
              <w:rPr>
                <w:spacing w:val="-5"/>
                <w:sz w:val="24"/>
              </w:rPr>
              <w:t> </w:t>
            </w:r>
            <w:r>
              <w:rPr>
                <w:sz w:val="24"/>
              </w:rPr>
              <w:t>2013</w:t>
            </w:r>
            <w:r>
              <w:rPr>
                <w:spacing w:val="2"/>
                <w:sz w:val="24"/>
              </w:rPr>
              <w:t> </w:t>
            </w:r>
            <w:r>
              <w:rPr>
                <w:spacing w:val="-5"/>
                <w:sz w:val="24"/>
              </w:rPr>
              <w:t>(B)</w:t>
            </w:r>
          </w:p>
        </w:tc>
      </w:tr>
    </w:tbl>
    <w:p>
      <w:pPr>
        <w:pStyle w:val="BodyText"/>
        <w:ind w:left="0"/>
        <w:rPr>
          <w:b/>
        </w:rPr>
      </w:pPr>
    </w:p>
    <w:p>
      <w:pPr>
        <w:pStyle w:val="BodyText"/>
        <w:ind w:left="0"/>
        <w:rPr>
          <w:b/>
        </w:rPr>
      </w:pPr>
    </w:p>
    <w:p>
      <w:pPr>
        <w:spacing w:before="0"/>
        <w:ind w:left="141" w:right="0" w:firstLine="0"/>
        <w:jc w:val="left"/>
        <w:rPr>
          <w:b/>
          <w:sz w:val="24"/>
        </w:rPr>
      </w:pPr>
      <w:r>
        <w:rPr>
          <w:b/>
          <w:spacing w:val="-2"/>
          <w:sz w:val="24"/>
        </w:rPr>
        <w:t>Overwegingen</w:t>
      </w:r>
    </w:p>
    <w:p>
      <w:pPr>
        <w:spacing w:before="0"/>
        <w:ind w:left="141" w:right="0" w:firstLine="0"/>
        <w:jc w:val="left"/>
        <w:rPr>
          <w:i/>
          <w:sz w:val="24"/>
        </w:rPr>
      </w:pPr>
      <w:r>
        <w:rPr>
          <w:i/>
          <w:sz w:val="24"/>
        </w:rPr>
        <w:t>Antistolling</w:t>
      </w:r>
      <w:r>
        <w:rPr>
          <w:i/>
          <w:spacing w:val="-6"/>
          <w:sz w:val="24"/>
        </w:rPr>
        <w:t> </w:t>
      </w:r>
      <w:r>
        <w:rPr>
          <w:i/>
          <w:sz w:val="24"/>
        </w:rPr>
        <w:t>bij</w:t>
      </w:r>
      <w:r>
        <w:rPr>
          <w:i/>
          <w:spacing w:val="-4"/>
          <w:sz w:val="24"/>
        </w:rPr>
        <w:t> </w:t>
      </w:r>
      <w:r>
        <w:rPr>
          <w:i/>
          <w:sz w:val="24"/>
        </w:rPr>
        <w:t>Fontan</w:t>
      </w:r>
      <w:r>
        <w:rPr>
          <w:i/>
          <w:spacing w:val="-5"/>
          <w:sz w:val="24"/>
        </w:rPr>
        <w:t> </w:t>
      </w:r>
      <w:r>
        <w:rPr>
          <w:i/>
          <w:spacing w:val="-2"/>
          <w:sz w:val="24"/>
        </w:rPr>
        <w:t>circulatie</w:t>
      </w:r>
    </w:p>
    <w:p>
      <w:pPr>
        <w:spacing w:after="0"/>
        <w:jc w:val="left"/>
        <w:rPr>
          <w:i/>
          <w:sz w:val="24"/>
        </w:rPr>
        <w:sectPr>
          <w:pgSz w:w="11910" w:h="16840"/>
          <w:pgMar w:header="0" w:footer="750" w:top="1360" w:bottom="940" w:left="1275" w:right="1417"/>
        </w:sectPr>
      </w:pPr>
    </w:p>
    <w:p>
      <w:pPr>
        <w:pStyle w:val="BodyText"/>
        <w:spacing w:before="37"/>
      </w:pPr>
      <w:r>
        <w:rPr/>
        <w:t>Trombo-embolische</w:t>
      </w:r>
      <w:r>
        <w:rPr>
          <w:spacing w:val="-5"/>
        </w:rPr>
        <w:t> </w:t>
      </w:r>
      <w:r>
        <w:rPr/>
        <w:t>processen</w:t>
      </w:r>
      <w:r>
        <w:rPr>
          <w:spacing w:val="-5"/>
        </w:rPr>
        <w:t> </w:t>
      </w:r>
      <w:r>
        <w:rPr/>
        <w:t>zijn</w:t>
      </w:r>
      <w:r>
        <w:rPr>
          <w:spacing w:val="-5"/>
        </w:rPr>
        <w:t> </w:t>
      </w:r>
      <w:r>
        <w:rPr/>
        <w:t>een</w:t>
      </w:r>
      <w:r>
        <w:rPr>
          <w:spacing w:val="-3"/>
        </w:rPr>
        <w:t> </w:t>
      </w:r>
      <w:r>
        <w:rPr/>
        <w:t>belangrijke</w:t>
      </w:r>
      <w:r>
        <w:rPr>
          <w:spacing w:val="-3"/>
        </w:rPr>
        <w:t> </w:t>
      </w:r>
      <w:r>
        <w:rPr/>
        <w:t>complicatie</w:t>
      </w:r>
      <w:r>
        <w:rPr>
          <w:spacing w:val="-5"/>
        </w:rPr>
        <w:t> </w:t>
      </w:r>
      <w:r>
        <w:rPr/>
        <w:t>bij</w:t>
      </w:r>
      <w:r>
        <w:rPr>
          <w:spacing w:val="-5"/>
        </w:rPr>
        <w:t> </w:t>
      </w:r>
      <w:r>
        <w:rPr/>
        <w:t>patiënten</w:t>
      </w:r>
      <w:r>
        <w:rPr>
          <w:spacing w:val="-2"/>
        </w:rPr>
        <w:t> </w:t>
      </w:r>
      <w:r>
        <w:rPr/>
        <w:t>met</w:t>
      </w:r>
      <w:r>
        <w:rPr>
          <w:spacing w:val="-5"/>
        </w:rPr>
        <w:t> </w:t>
      </w:r>
      <w:r>
        <w:rPr/>
        <w:t>een</w:t>
      </w:r>
      <w:r>
        <w:rPr>
          <w:spacing w:val="-5"/>
        </w:rPr>
        <w:t> </w:t>
      </w:r>
      <w:r>
        <w:rPr/>
        <w:t>Fontan circulatie en leiden regelmatig tot ernstige morbiditeit en mortaliteit. Op basis van de artikelen van Khiary et al. (32), Seipelt et al. (35), Potter et al.(36) en Alsaied et al(27) concludeert</w:t>
      </w:r>
      <w:r>
        <w:rPr>
          <w:spacing w:val="-2"/>
        </w:rPr>
        <w:t> </w:t>
      </w:r>
      <w:r>
        <w:rPr/>
        <w:t>de</w:t>
      </w:r>
      <w:r>
        <w:rPr>
          <w:spacing w:val="-4"/>
        </w:rPr>
        <w:t> </w:t>
      </w:r>
      <w:r>
        <w:rPr/>
        <w:t>werkgroep</w:t>
      </w:r>
      <w:r>
        <w:rPr>
          <w:spacing w:val="-1"/>
        </w:rPr>
        <w:t> </w:t>
      </w:r>
      <w:r>
        <w:rPr/>
        <w:t>dat</w:t>
      </w:r>
      <w:r>
        <w:rPr>
          <w:spacing w:val="-1"/>
        </w:rPr>
        <w:t> </w:t>
      </w:r>
      <w:r>
        <w:rPr/>
        <w:t>Fontan</w:t>
      </w:r>
      <w:r>
        <w:rPr>
          <w:spacing w:val="-3"/>
        </w:rPr>
        <w:t> </w:t>
      </w:r>
      <w:r>
        <w:rPr/>
        <w:t>patiënten met</w:t>
      </w:r>
      <w:r>
        <w:rPr>
          <w:spacing w:val="-2"/>
        </w:rPr>
        <w:t> </w:t>
      </w:r>
      <w:r>
        <w:rPr/>
        <w:t>VKA</w:t>
      </w:r>
      <w:r>
        <w:rPr>
          <w:spacing w:val="-1"/>
        </w:rPr>
        <w:t> </w:t>
      </w:r>
      <w:r>
        <w:rPr/>
        <w:t>of aspirine een</w:t>
      </w:r>
      <w:r>
        <w:rPr>
          <w:spacing w:val="-3"/>
        </w:rPr>
        <w:t> </w:t>
      </w:r>
      <w:r>
        <w:rPr/>
        <w:t>lager</w:t>
      </w:r>
      <w:r>
        <w:rPr>
          <w:spacing w:val="-1"/>
        </w:rPr>
        <w:t> </w:t>
      </w:r>
      <w:r>
        <w:rPr/>
        <w:t>risico</w:t>
      </w:r>
      <w:r>
        <w:rPr>
          <w:spacing w:val="-4"/>
        </w:rPr>
        <w:t> </w:t>
      </w:r>
      <w:r>
        <w:rPr/>
        <w:t>hebben op trombo-embolische processen dan zonder antistolling.</w:t>
      </w:r>
    </w:p>
    <w:p>
      <w:pPr>
        <w:pStyle w:val="BodyText"/>
        <w:spacing w:before="1"/>
        <w:ind w:left="0"/>
      </w:pPr>
    </w:p>
    <w:p>
      <w:pPr>
        <w:pStyle w:val="BodyText"/>
        <w:spacing w:before="1"/>
        <w:ind w:right="78"/>
      </w:pPr>
      <w:r>
        <w:rPr/>
        <w:t>Uit de literatuur wordt niet duidelijk of VKA of aspirine de voorkeur heeft. Er is in geen enkele studie superioriteit aangetoond van aspirine ten opzichte van VKA of andersom. De richtlijn</w:t>
      </w:r>
      <w:r>
        <w:rPr>
          <w:spacing w:val="-5"/>
        </w:rPr>
        <w:t> </w:t>
      </w:r>
      <w:r>
        <w:rPr/>
        <w:t>van</w:t>
      </w:r>
      <w:r>
        <w:rPr>
          <w:spacing w:val="-5"/>
        </w:rPr>
        <w:t> </w:t>
      </w:r>
      <w:r>
        <w:rPr/>
        <w:t>de</w:t>
      </w:r>
      <w:r>
        <w:rPr>
          <w:spacing w:val="-3"/>
        </w:rPr>
        <w:t> </w:t>
      </w:r>
      <w:r>
        <w:rPr/>
        <w:t>American</w:t>
      </w:r>
      <w:r>
        <w:rPr>
          <w:spacing w:val="-5"/>
        </w:rPr>
        <w:t> </w:t>
      </w:r>
      <w:r>
        <w:rPr/>
        <w:t>College</w:t>
      </w:r>
      <w:r>
        <w:rPr>
          <w:spacing w:val="-3"/>
        </w:rPr>
        <w:t> </w:t>
      </w:r>
      <w:r>
        <w:rPr/>
        <w:t>of</w:t>
      </w:r>
      <w:r>
        <w:rPr>
          <w:spacing w:val="-1"/>
        </w:rPr>
        <w:t> </w:t>
      </w:r>
      <w:r>
        <w:rPr/>
        <w:t>Chest</w:t>
      </w:r>
      <w:r>
        <w:rPr>
          <w:spacing w:val="-5"/>
        </w:rPr>
        <w:t> </w:t>
      </w:r>
      <w:r>
        <w:rPr/>
        <w:t>Physicians</w:t>
      </w:r>
      <w:r>
        <w:rPr>
          <w:spacing w:val="-2"/>
        </w:rPr>
        <w:t> </w:t>
      </w:r>
      <w:r>
        <w:rPr/>
        <w:t>uit</w:t>
      </w:r>
      <w:r>
        <w:rPr>
          <w:spacing w:val="-5"/>
        </w:rPr>
        <w:t> </w:t>
      </w:r>
      <w:r>
        <w:rPr/>
        <w:t>2012</w:t>
      </w:r>
      <w:r>
        <w:rPr>
          <w:spacing w:val="-4"/>
        </w:rPr>
        <w:t> </w:t>
      </w:r>
      <w:r>
        <w:rPr/>
        <w:t>(21)</w:t>
      </w:r>
      <w:r>
        <w:rPr>
          <w:spacing w:val="-4"/>
        </w:rPr>
        <w:t> </w:t>
      </w:r>
      <w:r>
        <w:rPr/>
        <w:t>adviseert</w:t>
      </w:r>
      <w:r>
        <w:rPr>
          <w:spacing w:val="-3"/>
        </w:rPr>
        <w:t> </w:t>
      </w:r>
      <w:r>
        <w:rPr/>
        <w:t>anticoagulantia te starten in de vorm van heparine gevolgd door VKA, dan wel met aspirine en is dus ook niet eenduidig.</w:t>
      </w:r>
    </w:p>
    <w:p>
      <w:pPr>
        <w:pStyle w:val="BodyText"/>
        <w:ind w:right="78"/>
      </w:pPr>
      <w:r>
        <w:rPr/>
        <w:t>De richtlijn van de American Heart Association uit 2013 (22) adviseert postoperatieve antistolling</w:t>
      </w:r>
      <w:r>
        <w:rPr>
          <w:spacing w:val="-5"/>
        </w:rPr>
        <w:t> </w:t>
      </w:r>
      <w:r>
        <w:rPr/>
        <w:t>met heparine</w:t>
      </w:r>
      <w:r>
        <w:rPr>
          <w:spacing w:val="-5"/>
        </w:rPr>
        <w:t> </w:t>
      </w:r>
      <w:r>
        <w:rPr/>
        <w:t>of</w:t>
      </w:r>
      <w:r>
        <w:rPr>
          <w:spacing w:val="-2"/>
        </w:rPr>
        <w:t> </w:t>
      </w:r>
      <w:r>
        <w:rPr/>
        <w:t>VKA</w:t>
      </w:r>
      <w:r>
        <w:rPr>
          <w:spacing w:val="-2"/>
        </w:rPr>
        <w:t> </w:t>
      </w:r>
      <w:r>
        <w:rPr/>
        <w:t>gedurende</w:t>
      </w:r>
      <w:r>
        <w:rPr>
          <w:spacing w:val="-4"/>
        </w:rPr>
        <w:t> </w:t>
      </w:r>
      <w:r>
        <w:rPr/>
        <w:t>3</w:t>
      </w:r>
      <w:r>
        <w:rPr>
          <w:spacing w:val="-4"/>
        </w:rPr>
        <w:t> </w:t>
      </w:r>
      <w:r>
        <w:rPr/>
        <w:t>tot</w:t>
      </w:r>
      <w:r>
        <w:rPr>
          <w:spacing w:val="-6"/>
        </w:rPr>
        <w:t> </w:t>
      </w:r>
      <w:r>
        <w:rPr/>
        <w:t>12</w:t>
      </w:r>
      <w:r>
        <w:rPr>
          <w:spacing w:val="-2"/>
        </w:rPr>
        <w:t> </w:t>
      </w:r>
      <w:r>
        <w:rPr/>
        <w:t>maanden</w:t>
      </w:r>
      <w:r>
        <w:rPr>
          <w:spacing w:val="-4"/>
        </w:rPr>
        <w:t> </w:t>
      </w:r>
      <w:r>
        <w:rPr/>
        <w:t>na</w:t>
      </w:r>
      <w:r>
        <w:rPr>
          <w:spacing w:val="-5"/>
        </w:rPr>
        <w:t> </w:t>
      </w:r>
      <w:r>
        <w:rPr/>
        <w:t>de</w:t>
      </w:r>
      <w:r>
        <w:rPr>
          <w:spacing w:val="-2"/>
        </w:rPr>
        <w:t> </w:t>
      </w:r>
      <w:r>
        <w:rPr/>
        <w:t>Fontanoperatie. VKA wordt gecontinueerd als er anatomische of hemodynamische risicofactoren zijn. Bij afwezigheid van deze risicofactoren kan worden overgegaan op lange</w:t>
      </w:r>
      <w:r>
        <w:rPr>
          <w:spacing w:val="-1"/>
        </w:rPr>
        <w:t> </w:t>
      </w:r>
      <w:r>
        <w:rPr/>
        <w:t>termijn antistolling met aspirine. Ook Firdouse (23) stelt een vergelijkbaar algoritme voor.</w:t>
      </w:r>
    </w:p>
    <w:p>
      <w:pPr>
        <w:pStyle w:val="BodyText"/>
        <w:spacing w:before="1"/>
        <w:ind w:left="0"/>
      </w:pPr>
    </w:p>
    <w:p>
      <w:pPr>
        <w:pStyle w:val="BodyText"/>
        <w:ind w:right="5"/>
      </w:pPr>
      <w:r>
        <w:rPr/>
        <w:t>Er is 1 studie die een trend laat zien dat dat VKA mogelijk op de lange termijn effectiever is dan aspirine in het voorkomen van trombose. Echter daartegenover staat dat patiënten die een slecht ingestelde INR hebben (i.e. meer dan 30% van de tijd INR &lt;2.0), een significant hoger risico hebben op het ontwikkelen van trombose (14). Een groot deel van de geëvalueerde INR waarden (41%) in de onderzochte patiëntenpopulatie bleek onder de target range te zijn (26). Deze bevindingen kunnen een verklaring zijn voor de inconsistente resultaten met betrekking tot de effectiviteit van tromboseprofylaxe in Fontan patiënten. Er bestaat een minimale antistollingsactiviteit bij een INR van &lt;2.0 en bijna helemaal geen antistollingsactiviteit</w:t>
      </w:r>
      <w:r>
        <w:rPr>
          <w:spacing w:val="-4"/>
        </w:rPr>
        <w:t> </w:t>
      </w:r>
      <w:r>
        <w:rPr/>
        <w:t>bij</w:t>
      </w:r>
      <w:r>
        <w:rPr>
          <w:spacing w:val="-5"/>
        </w:rPr>
        <w:t> </w:t>
      </w:r>
      <w:r>
        <w:rPr/>
        <w:t>een</w:t>
      </w:r>
      <w:r>
        <w:rPr>
          <w:spacing w:val="-2"/>
        </w:rPr>
        <w:t> </w:t>
      </w:r>
      <w:r>
        <w:rPr/>
        <w:t>INR</w:t>
      </w:r>
      <w:r>
        <w:rPr>
          <w:spacing w:val="-4"/>
        </w:rPr>
        <w:t> </w:t>
      </w:r>
      <w:r>
        <w:rPr/>
        <w:t>&lt;</w:t>
      </w:r>
      <w:r>
        <w:rPr>
          <w:spacing w:val="-4"/>
        </w:rPr>
        <w:t> </w:t>
      </w:r>
      <w:r>
        <w:rPr/>
        <w:t>1.5</w:t>
      </w:r>
      <w:r>
        <w:rPr>
          <w:spacing w:val="-2"/>
        </w:rPr>
        <w:t> </w:t>
      </w:r>
      <w:r>
        <w:rPr/>
        <w:t>(37).</w:t>
      </w:r>
      <w:r>
        <w:rPr>
          <w:spacing w:val="-4"/>
        </w:rPr>
        <w:t> </w:t>
      </w:r>
      <w:r>
        <w:rPr/>
        <w:t>Aangezien</w:t>
      </w:r>
      <w:r>
        <w:rPr>
          <w:spacing w:val="-4"/>
        </w:rPr>
        <w:t> </w:t>
      </w:r>
      <w:r>
        <w:rPr/>
        <w:t>de</w:t>
      </w:r>
      <w:r>
        <w:rPr>
          <w:spacing w:val="-2"/>
        </w:rPr>
        <w:t> </w:t>
      </w:r>
      <w:r>
        <w:rPr/>
        <w:t>INR</w:t>
      </w:r>
      <w:r>
        <w:rPr>
          <w:spacing w:val="-3"/>
        </w:rPr>
        <w:t> </w:t>
      </w:r>
      <w:r>
        <w:rPr/>
        <w:t>waarden</w:t>
      </w:r>
      <w:r>
        <w:rPr>
          <w:spacing w:val="-4"/>
        </w:rPr>
        <w:t> </w:t>
      </w:r>
      <w:r>
        <w:rPr/>
        <w:t>in</w:t>
      </w:r>
      <w:r>
        <w:rPr>
          <w:spacing w:val="-6"/>
        </w:rPr>
        <w:t> </w:t>
      </w:r>
      <w:r>
        <w:rPr/>
        <w:t>andere</w:t>
      </w:r>
      <w:r>
        <w:rPr>
          <w:spacing w:val="-2"/>
        </w:rPr>
        <w:t> </w:t>
      </w:r>
      <w:r>
        <w:rPr/>
        <w:t>studies</w:t>
      </w:r>
      <w:r>
        <w:rPr>
          <w:spacing w:val="-3"/>
        </w:rPr>
        <w:t> </w:t>
      </w:r>
      <w:r>
        <w:rPr/>
        <w:t>naar het effect van antistollingstherapie bij Fontan patiënten niet geëvalueerd zijn, suggereert deze bevinding mogelijk een onderschatting van de effectiviteit van VKA in eerdere studies. In Nederland laat een enquête bij de trombosediensten in 2009 zien dat 30% van de laatst gemeten INR waarden bij kinderen (0-18 jaar) buiten de therapeutische range valt. Bij kinderen onder 2 jaar en bij adolescenten waren de resultaten het slechts:</w:t>
      </w:r>
      <w:r>
        <w:rPr>
          <w:spacing w:val="40"/>
        </w:rPr>
        <w:t> </w:t>
      </w:r>
      <w:r>
        <w:rPr/>
        <w:t>respectievelijk 50% en 32% van de laatste INR waarden was buiten de therapeutische grens.(65)</w:t>
      </w:r>
    </w:p>
    <w:p>
      <w:pPr>
        <w:pStyle w:val="BodyText"/>
        <w:spacing w:before="1"/>
      </w:pPr>
      <w:r>
        <w:rPr/>
        <w:t>Er</w:t>
      </w:r>
      <w:r>
        <w:rPr>
          <w:spacing w:val="-3"/>
        </w:rPr>
        <w:t> </w:t>
      </w:r>
      <w:r>
        <w:rPr/>
        <w:t>bestaat</w:t>
      </w:r>
      <w:r>
        <w:rPr>
          <w:spacing w:val="-4"/>
        </w:rPr>
        <w:t> </w:t>
      </w:r>
      <w:r>
        <w:rPr/>
        <w:t>geen</w:t>
      </w:r>
      <w:r>
        <w:rPr>
          <w:spacing w:val="-3"/>
        </w:rPr>
        <w:t> </w:t>
      </w:r>
      <w:r>
        <w:rPr/>
        <w:t>significant</w:t>
      </w:r>
      <w:r>
        <w:rPr>
          <w:spacing w:val="-3"/>
        </w:rPr>
        <w:t> </w:t>
      </w:r>
      <w:r>
        <w:rPr/>
        <w:t>groter</w:t>
      </w:r>
      <w:r>
        <w:rPr>
          <w:spacing w:val="-3"/>
        </w:rPr>
        <w:t> </w:t>
      </w:r>
      <w:r>
        <w:rPr/>
        <w:t>aantal</w:t>
      </w:r>
      <w:r>
        <w:rPr>
          <w:spacing w:val="-6"/>
        </w:rPr>
        <w:t> </w:t>
      </w:r>
      <w:r>
        <w:rPr/>
        <w:t>grote</w:t>
      </w:r>
      <w:r>
        <w:rPr>
          <w:spacing w:val="-5"/>
        </w:rPr>
        <w:t> </w:t>
      </w:r>
      <w:r>
        <w:rPr/>
        <w:t>bloedingscomplicaties</w:t>
      </w:r>
      <w:r>
        <w:rPr>
          <w:spacing w:val="-4"/>
        </w:rPr>
        <w:t> </w:t>
      </w:r>
      <w:r>
        <w:rPr/>
        <w:t>bij het</w:t>
      </w:r>
      <w:r>
        <w:rPr>
          <w:spacing w:val="-2"/>
        </w:rPr>
        <w:t> </w:t>
      </w:r>
      <w:r>
        <w:rPr/>
        <w:t>gebruik</w:t>
      </w:r>
      <w:r>
        <w:rPr>
          <w:spacing w:val="-5"/>
        </w:rPr>
        <w:t> </w:t>
      </w:r>
      <w:r>
        <w:rPr/>
        <w:t>van</w:t>
      </w:r>
      <w:r>
        <w:rPr>
          <w:spacing w:val="-3"/>
        </w:rPr>
        <w:t> </w:t>
      </w:r>
      <w:r>
        <w:rPr/>
        <w:t>VKA ten opzichte van trombocyten aggregatieremmers (34). Ohuchi beschrijft 4.4% hemorragische events bij 18/412 patiënten. Warfarine gebruik was een risicofactor, maar werd niet solitair beoordeeld, alleen in combinatie met TARs(24).</w:t>
      </w:r>
    </w:p>
    <w:p>
      <w:pPr>
        <w:pStyle w:val="BodyText"/>
        <w:spacing w:before="292"/>
      </w:pPr>
      <w:r>
        <w:rPr/>
        <w:t>Ten aanzien</w:t>
      </w:r>
      <w:r>
        <w:rPr>
          <w:spacing w:val="-2"/>
        </w:rPr>
        <w:t> </w:t>
      </w:r>
      <w:r>
        <w:rPr/>
        <w:t>van</w:t>
      </w:r>
      <w:r>
        <w:rPr>
          <w:spacing w:val="-2"/>
        </w:rPr>
        <w:t> </w:t>
      </w:r>
      <w:r>
        <w:rPr/>
        <w:t>het tijdstip van optreden van</w:t>
      </w:r>
      <w:r>
        <w:rPr>
          <w:spacing w:val="-2"/>
        </w:rPr>
        <w:t> </w:t>
      </w:r>
      <w:r>
        <w:rPr/>
        <w:t>trombose wordt</w:t>
      </w:r>
      <w:r>
        <w:rPr>
          <w:spacing w:val="-2"/>
        </w:rPr>
        <w:t> </w:t>
      </w:r>
      <w:r>
        <w:rPr/>
        <w:t>in</w:t>
      </w:r>
      <w:r>
        <w:rPr>
          <w:spacing w:val="-2"/>
        </w:rPr>
        <w:t> </w:t>
      </w:r>
      <w:r>
        <w:rPr/>
        <w:t>een</w:t>
      </w:r>
      <w:r>
        <w:rPr>
          <w:spacing w:val="-2"/>
        </w:rPr>
        <w:t> </w:t>
      </w:r>
      <w:r>
        <w:rPr/>
        <w:t>aantal studies</w:t>
      </w:r>
      <w:r>
        <w:rPr>
          <w:spacing w:val="-3"/>
        </w:rPr>
        <w:t> </w:t>
      </w:r>
      <w:r>
        <w:rPr/>
        <w:t>een toegenomen incidentie in de vroege fase na de operatie beschreven, gevolgd door een levenslang</w:t>
      </w:r>
      <w:r>
        <w:rPr>
          <w:spacing w:val="-1"/>
        </w:rPr>
        <w:t> </w:t>
      </w:r>
      <w:r>
        <w:rPr/>
        <w:t>cumulatief risico dat met name begint 15 jaar</w:t>
      </w:r>
      <w:r>
        <w:rPr>
          <w:spacing w:val="-1"/>
        </w:rPr>
        <w:t> </w:t>
      </w:r>
      <w:r>
        <w:rPr/>
        <w:t>na</w:t>
      </w:r>
      <w:r>
        <w:rPr>
          <w:spacing w:val="-1"/>
        </w:rPr>
        <w:t> </w:t>
      </w:r>
      <w:r>
        <w:rPr/>
        <w:t>completeren van de Fontan circulatie</w:t>
      </w:r>
      <w:r>
        <w:rPr>
          <w:spacing w:val="-2"/>
        </w:rPr>
        <w:t> </w:t>
      </w:r>
      <w:r>
        <w:rPr/>
        <w:t>(6,</w:t>
      </w:r>
      <w:r>
        <w:rPr>
          <w:spacing w:val="-5"/>
        </w:rPr>
        <w:t> </w:t>
      </w:r>
      <w:r>
        <w:rPr/>
        <w:t>24,25,28,32,34,35).</w:t>
      </w:r>
      <w:r>
        <w:rPr>
          <w:spacing w:val="-7"/>
        </w:rPr>
        <w:t> </w:t>
      </w:r>
      <w:r>
        <w:rPr/>
        <w:t>De</w:t>
      </w:r>
      <w:r>
        <w:rPr>
          <w:spacing w:val="-3"/>
        </w:rPr>
        <w:t> </w:t>
      </w:r>
      <w:r>
        <w:rPr/>
        <w:t>recentst</w:t>
      </w:r>
      <w:r>
        <w:rPr>
          <w:spacing w:val="-3"/>
        </w:rPr>
        <w:t> </w:t>
      </w:r>
      <w:r>
        <w:rPr/>
        <w:t>gepubliceerde</w:t>
      </w:r>
      <w:r>
        <w:rPr>
          <w:spacing w:val="-5"/>
        </w:rPr>
        <w:t> </w:t>
      </w:r>
      <w:r>
        <w:rPr/>
        <w:t>meta-analyse</w:t>
      </w:r>
      <w:r>
        <w:rPr>
          <w:spacing w:val="-8"/>
        </w:rPr>
        <w:t> </w:t>
      </w:r>
      <w:r>
        <w:rPr/>
        <w:t>bevestigt</w:t>
      </w:r>
      <w:r>
        <w:rPr>
          <w:spacing w:val="-3"/>
        </w:rPr>
        <w:t> </w:t>
      </w:r>
      <w:r>
        <w:rPr/>
        <w:t>deze bevinding echter niet(27).</w:t>
      </w:r>
    </w:p>
    <w:p>
      <w:pPr>
        <w:pStyle w:val="BodyText"/>
        <w:spacing w:before="292"/>
        <w:ind w:right="46"/>
      </w:pPr>
      <w:r>
        <w:rPr/>
        <w:t>Momenteel zijn alle beschikbare antistollingstherapieën voor kinderen met een Fontan circulatie</w:t>
      </w:r>
      <w:r>
        <w:rPr>
          <w:spacing w:val="-2"/>
        </w:rPr>
        <w:t> </w:t>
      </w:r>
      <w:r>
        <w:rPr/>
        <w:t>(VKA</w:t>
      </w:r>
      <w:r>
        <w:rPr>
          <w:spacing w:val="-5"/>
        </w:rPr>
        <w:t> </w:t>
      </w:r>
      <w:r>
        <w:rPr/>
        <w:t>dan</w:t>
      </w:r>
      <w:r>
        <w:rPr>
          <w:spacing w:val="-2"/>
        </w:rPr>
        <w:t> </w:t>
      </w:r>
      <w:r>
        <w:rPr/>
        <w:t>wel</w:t>
      </w:r>
      <w:r>
        <w:rPr>
          <w:spacing w:val="-2"/>
        </w:rPr>
        <w:t> </w:t>
      </w:r>
      <w:r>
        <w:rPr/>
        <w:t>TARs)</w:t>
      </w:r>
      <w:r>
        <w:rPr>
          <w:spacing w:val="-4"/>
        </w:rPr>
        <w:t> </w:t>
      </w:r>
      <w:r>
        <w:rPr/>
        <w:t>niet</w:t>
      </w:r>
      <w:r>
        <w:rPr>
          <w:spacing w:val="-3"/>
        </w:rPr>
        <w:t> </w:t>
      </w:r>
      <w:r>
        <w:rPr/>
        <w:t>optimaal</w:t>
      </w:r>
      <w:r>
        <w:rPr>
          <w:spacing w:val="-3"/>
        </w:rPr>
        <w:t> </w:t>
      </w:r>
      <w:r>
        <w:rPr/>
        <w:t>in</w:t>
      </w:r>
      <w:r>
        <w:rPr>
          <w:spacing w:val="-4"/>
        </w:rPr>
        <w:t> </w:t>
      </w:r>
      <w:r>
        <w:rPr/>
        <w:t>het</w:t>
      </w:r>
      <w:r>
        <w:rPr>
          <w:spacing w:val="-4"/>
        </w:rPr>
        <w:t> </w:t>
      </w:r>
      <w:r>
        <w:rPr/>
        <w:t>voorkomen</w:t>
      </w:r>
      <w:r>
        <w:rPr>
          <w:spacing w:val="-4"/>
        </w:rPr>
        <w:t> </w:t>
      </w:r>
      <w:r>
        <w:rPr/>
        <w:t>van</w:t>
      </w:r>
      <w:r>
        <w:rPr>
          <w:spacing w:val="-4"/>
        </w:rPr>
        <w:t> </w:t>
      </w:r>
      <w:r>
        <w:rPr/>
        <w:t>trombose (25,27,30-35). Nieuwe orale anticoagulantia zoals Dabigatran, Apaxiban, Rivaroxaban en Edoxaban lijken effectief, meer stabiel, gemakkelijker te doseren en veiliger dan de conventionele VKA bij</w:t>
      </w:r>
    </w:p>
    <w:p>
      <w:pPr>
        <w:pStyle w:val="BodyText"/>
        <w:spacing w:after="0"/>
        <w:sectPr>
          <w:pgSz w:w="11910" w:h="16840"/>
          <w:pgMar w:header="0" w:footer="750" w:top="1360" w:bottom="940" w:left="1275" w:right="1417"/>
        </w:sectPr>
      </w:pPr>
    </w:p>
    <w:p>
      <w:pPr>
        <w:pStyle w:val="BodyText"/>
        <w:spacing w:before="37"/>
        <w:ind w:right="46"/>
      </w:pPr>
      <w:r>
        <w:rPr/>
        <w:t>volwassenen,</w:t>
      </w:r>
      <w:r>
        <w:rPr>
          <w:spacing w:val="-4"/>
        </w:rPr>
        <w:t> </w:t>
      </w:r>
      <w:r>
        <w:rPr/>
        <w:t>maar</w:t>
      </w:r>
      <w:r>
        <w:rPr>
          <w:spacing w:val="-5"/>
        </w:rPr>
        <w:t> </w:t>
      </w:r>
      <w:r>
        <w:rPr/>
        <w:t>de</w:t>
      </w:r>
      <w:r>
        <w:rPr>
          <w:spacing w:val="-3"/>
        </w:rPr>
        <w:t> </w:t>
      </w:r>
      <w:r>
        <w:rPr/>
        <w:t>veiligheid</w:t>
      </w:r>
      <w:r>
        <w:rPr>
          <w:spacing w:val="-3"/>
        </w:rPr>
        <w:t> </w:t>
      </w:r>
      <w:r>
        <w:rPr/>
        <w:t>en</w:t>
      </w:r>
      <w:r>
        <w:rPr>
          <w:spacing w:val="-3"/>
        </w:rPr>
        <w:t> </w:t>
      </w:r>
      <w:r>
        <w:rPr/>
        <w:t>effectiviteit</w:t>
      </w:r>
      <w:r>
        <w:rPr>
          <w:spacing w:val="-5"/>
        </w:rPr>
        <w:t> </w:t>
      </w:r>
      <w:r>
        <w:rPr/>
        <w:t>bij</w:t>
      </w:r>
      <w:r>
        <w:rPr>
          <w:spacing w:val="-4"/>
        </w:rPr>
        <w:t> </w:t>
      </w:r>
      <w:r>
        <w:rPr/>
        <w:t>kinderen met</w:t>
      </w:r>
      <w:r>
        <w:rPr>
          <w:spacing w:val="-3"/>
        </w:rPr>
        <w:t> </w:t>
      </w:r>
      <w:r>
        <w:rPr/>
        <w:t>Fontan</w:t>
      </w:r>
      <w:r>
        <w:rPr>
          <w:spacing w:val="-5"/>
        </w:rPr>
        <w:t> </w:t>
      </w:r>
      <w:r>
        <w:rPr/>
        <w:t>circulatie</w:t>
      </w:r>
      <w:r>
        <w:rPr>
          <w:spacing w:val="-3"/>
        </w:rPr>
        <w:t> </w:t>
      </w:r>
      <w:r>
        <w:rPr/>
        <w:t>moet</w:t>
      </w:r>
      <w:r>
        <w:rPr>
          <w:spacing w:val="-3"/>
        </w:rPr>
        <w:t> </w:t>
      </w:r>
      <w:r>
        <w:rPr/>
        <w:t>nog onderzocht worden.</w:t>
      </w:r>
    </w:p>
    <w:p>
      <w:pPr>
        <w:pStyle w:val="BodyText"/>
        <w:spacing w:before="2"/>
        <w:ind w:right="46"/>
      </w:pPr>
      <w:r>
        <w:rPr/>
        <w:t>Tevens wordt onderzoek gedaan naar de veiligheid en effectiviteit van nieuwe TARs bij kinderen. Clopidogrel is hiervan één van de bekendste (38,39). Clopidogrel lijkt goed verdragen te worden met minimale bloedingscomplicaties. Echter naar de effectiviteit, de juiste dosering, de indicaties en veiligheid bij kinderen dient meer onderzoek verricht te worden. In juli 2013 werd in The New England Journal of Medicine een gerandomiseerde, geblindeerde</w:t>
      </w:r>
      <w:r>
        <w:rPr>
          <w:spacing w:val="-5"/>
        </w:rPr>
        <w:t> </w:t>
      </w:r>
      <w:r>
        <w:rPr/>
        <w:t>en</w:t>
      </w:r>
      <w:r>
        <w:rPr>
          <w:spacing w:val="-5"/>
        </w:rPr>
        <w:t> </w:t>
      </w:r>
      <w:r>
        <w:rPr/>
        <w:t>placebo-gecontroleerde</w:t>
      </w:r>
      <w:r>
        <w:rPr>
          <w:spacing w:val="-6"/>
        </w:rPr>
        <w:t> </w:t>
      </w:r>
      <w:r>
        <w:rPr/>
        <w:t>trial</w:t>
      </w:r>
      <w:r>
        <w:rPr>
          <w:spacing w:val="-3"/>
        </w:rPr>
        <w:t> </w:t>
      </w:r>
      <w:r>
        <w:rPr/>
        <w:t>gepubliceerd</w:t>
      </w:r>
      <w:r>
        <w:rPr>
          <w:spacing w:val="-5"/>
        </w:rPr>
        <w:t> </w:t>
      </w:r>
      <w:r>
        <w:rPr/>
        <w:t>die</w:t>
      </w:r>
      <w:r>
        <w:rPr>
          <w:spacing w:val="-4"/>
        </w:rPr>
        <w:t> </w:t>
      </w:r>
      <w:r>
        <w:rPr/>
        <w:t>de</w:t>
      </w:r>
      <w:r>
        <w:rPr>
          <w:spacing w:val="-3"/>
        </w:rPr>
        <w:t> </w:t>
      </w:r>
      <w:r>
        <w:rPr/>
        <w:t>veiligheid</w:t>
      </w:r>
      <w:r>
        <w:rPr>
          <w:spacing w:val="-3"/>
        </w:rPr>
        <w:t> </w:t>
      </w:r>
      <w:r>
        <w:rPr/>
        <w:t>en</w:t>
      </w:r>
      <w:r>
        <w:rPr>
          <w:spacing w:val="-3"/>
        </w:rPr>
        <w:t> </w:t>
      </w:r>
      <w:r>
        <w:rPr/>
        <w:t>effectiviteit van Clopidogrel bij kinderen (n=906) met een arterio-pulmonale shunt onderzocht(34).</w:t>
      </w:r>
    </w:p>
    <w:p>
      <w:pPr>
        <w:pStyle w:val="BodyText"/>
      </w:pPr>
      <w:r>
        <w:rPr/>
        <w:t>Hierbij</w:t>
      </w:r>
      <w:r>
        <w:rPr>
          <w:spacing w:val="-3"/>
        </w:rPr>
        <w:t> </w:t>
      </w:r>
      <w:r>
        <w:rPr/>
        <w:t>werd</w:t>
      </w:r>
      <w:r>
        <w:rPr>
          <w:spacing w:val="-4"/>
        </w:rPr>
        <w:t> </w:t>
      </w:r>
      <w:r>
        <w:rPr/>
        <w:t>geen</w:t>
      </w:r>
      <w:r>
        <w:rPr>
          <w:spacing w:val="-4"/>
        </w:rPr>
        <w:t> </w:t>
      </w:r>
      <w:r>
        <w:rPr/>
        <w:t>toegevoegde</w:t>
      </w:r>
      <w:r>
        <w:rPr>
          <w:spacing w:val="-5"/>
        </w:rPr>
        <w:t> </w:t>
      </w:r>
      <w:r>
        <w:rPr/>
        <w:t>waarde</w:t>
      </w:r>
      <w:r>
        <w:rPr>
          <w:spacing w:val="-4"/>
        </w:rPr>
        <w:t> </w:t>
      </w:r>
      <w:r>
        <w:rPr/>
        <w:t>aangetoond</w:t>
      </w:r>
      <w:r>
        <w:rPr>
          <w:spacing w:val="-2"/>
        </w:rPr>
        <w:t> </w:t>
      </w:r>
      <w:r>
        <w:rPr/>
        <w:t>van</w:t>
      </w:r>
      <w:r>
        <w:rPr>
          <w:spacing w:val="-4"/>
        </w:rPr>
        <w:t> </w:t>
      </w:r>
      <w:r>
        <w:rPr/>
        <w:t>het</w:t>
      </w:r>
      <w:r>
        <w:rPr>
          <w:spacing w:val="-3"/>
        </w:rPr>
        <w:t> </w:t>
      </w:r>
      <w:r>
        <w:rPr/>
        <w:t>gebruik</w:t>
      </w:r>
      <w:r>
        <w:rPr>
          <w:spacing w:val="-4"/>
        </w:rPr>
        <w:t> </w:t>
      </w:r>
      <w:r>
        <w:rPr/>
        <w:t>van</w:t>
      </w:r>
      <w:r>
        <w:rPr>
          <w:spacing w:val="-4"/>
        </w:rPr>
        <w:t> </w:t>
      </w:r>
      <w:r>
        <w:rPr/>
        <w:t>Clopidogrel</w:t>
      </w:r>
      <w:r>
        <w:rPr>
          <w:spacing w:val="-2"/>
        </w:rPr>
        <w:t> </w:t>
      </w:r>
      <w:r>
        <w:rPr/>
        <w:t>(0.2 mg/kg/dg). Er bestond geen verhoogd bloedingsrisico met Clopidogrel ten opzichte van ASA/Ascal (40). Studies met Clopidogrel bij de Fontan circulatie zijn niet beschikbaar.</w:t>
      </w:r>
    </w:p>
    <w:p>
      <w:pPr>
        <w:pStyle w:val="BodyText"/>
        <w:spacing w:before="292"/>
        <w:ind w:right="78"/>
      </w:pPr>
      <w:r>
        <w:rPr/>
        <w:t>Op</w:t>
      </w:r>
      <w:r>
        <w:rPr>
          <w:spacing w:val="-2"/>
        </w:rPr>
        <w:t> </w:t>
      </w:r>
      <w:r>
        <w:rPr/>
        <w:t>basis</w:t>
      </w:r>
      <w:r>
        <w:rPr>
          <w:spacing w:val="-3"/>
        </w:rPr>
        <w:t> </w:t>
      </w:r>
      <w:r>
        <w:rPr/>
        <w:t>van</w:t>
      </w:r>
      <w:r>
        <w:rPr>
          <w:spacing w:val="-4"/>
        </w:rPr>
        <w:t> </w:t>
      </w:r>
      <w:r>
        <w:rPr/>
        <w:t>het</w:t>
      </w:r>
      <w:r>
        <w:rPr>
          <w:spacing w:val="-3"/>
        </w:rPr>
        <w:t> </w:t>
      </w:r>
      <w:r>
        <w:rPr/>
        <w:t>bovenstaande</w:t>
      </w:r>
      <w:r>
        <w:rPr>
          <w:spacing w:val="-5"/>
        </w:rPr>
        <w:t> </w:t>
      </w:r>
      <w:r>
        <w:rPr/>
        <w:t>adviseert</w:t>
      </w:r>
      <w:r>
        <w:rPr>
          <w:spacing w:val="-3"/>
        </w:rPr>
        <w:t> </w:t>
      </w:r>
      <w:r>
        <w:rPr/>
        <w:t>de</w:t>
      </w:r>
      <w:r>
        <w:rPr>
          <w:spacing w:val="-5"/>
        </w:rPr>
        <w:t> </w:t>
      </w:r>
      <w:r>
        <w:rPr/>
        <w:t>werkgroep</w:t>
      </w:r>
      <w:r>
        <w:rPr>
          <w:spacing w:val="-4"/>
        </w:rPr>
        <w:t> </w:t>
      </w:r>
      <w:r>
        <w:rPr/>
        <w:t>om</w:t>
      </w:r>
      <w:r>
        <w:rPr>
          <w:spacing w:val="-3"/>
        </w:rPr>
        <w:t> </w:t>
      </w:r>
      <w:r>
        <w:rPr/>
        <w:t>kinderen</w:t>
      </w:r>
      <w:r>
        <w:rPr>
          <w:spacing w:val="-2"/>
        </w:rPr>
        <w:t> </w:t>
      </w:r>
      <w:r>
        <w:rPr/>
        <w:t>met</w:t>
      </w:r>
      <w:r>
        <w:rPr>
          <w:spacing w:val="-4"/>
        </w:rPr>
        <w:t> </w:t>
      </w:r>
      <w:r>
        <w:rPr/>
        <w:t>Fontan</w:t>
      </w:r>
      <w:r>
        <w:rPr>
          <w:spacing w:val="-2"/>
        </w:rPr>
        <w:t> </w:t>
      </w:r>
      <w:r>
        <w:rPr/>
        <w:t>gedurende de eerste 3 tot 12 maanden te behandelen met VKA (mits een goede INR gewaarborgd kan worden), gevolgd door aspirine. Hoewel de meest recente metanalyse (27) geen argument geeft om bovengenoemde tijdsverdeling aan te houden, vindt de werkgroep het nog te vroeg om op basis van 1 meta-analyse het huidige beleid in Nederland te veranderen.</w:t>
      </w:r>
    </w:p>
    <w:p>
      <w:pPr>
        <w:pStyle w:val="BodyText"/>
        <w:spacing w:before="1"/>
        <w:ind w:left="0"/>
      </w:pPr>
    </w:p>
    <w:p>
      <w:pPr>
        <w:spacing w:before="0"/>
        <w:ind w:left="141" w:right="0" w:firstLine="0"/>
        <w:jc w:val="left"/>
        <w:rPr>
          <w:i/>
          <w:sz w:val="24"/>
        </w:rPr>
      </w:pPr>
      <w:r>
        <w:rPr>
          <w:i/>
          <w:sz w:val="24"/>
        </w:rPr>
        <w:t>Tijdstip</w:t>
      </w:r>
      <w:r>
        <w:rPr>
          <w:i/>
          <w:spacing w:val="-4"/>
          <w:sz w:val="24"/>
        </w:rPr>
        <w:t> </w:t>
      </w:r>
      <w:r>
        <w:rPr>
          <w:i/>
          <w:sz w:val="24"/>
        </w:rPr>
        <w:t>van</w:t>
      </w:r>
      <w:r>
        <w:rPr>
          <w:i/>
          <w:spacing w:val="-3"/>
          <w:sz w:val="24"/>
        </w:rPr>
        <w:t> </w:t>
      </w:r>
      <w:r>
        <w:rPr>
          <w:i/>
          <w:sz w:val="24"/>
        </w:rPr>
        <w:t>starten</w:t>
      </w:r>
      <w:r>
        <w:rPr>
          <w:i/>
          <w:spacing w:val="-3"/>
          <w:sz w:val="24"/>
        </w:rPr>
        <w:t> </w:t>
      </w:r>
      <w:r>
        <w:rPr>
          <w:i/>
          <w:sz w:val="24"/>
        </w:rPr>
        <w:t>anticoagulantia</w:t>
      </w:r>
      <w:r>
        <w:rPr>
          <w:i/>
          <w:spacing w:val="-3"/>
          <w:sz w:val="24"/>
        </w:rPr>
        <w:t> </w:t>
      </w:r>
      <w:r>
        <w:rPr>
          <w:i/>
          <w:sz w:val="24"/>
        </w:rPr>
        <w:t>in</w:t>
      </w:r>
      <w:r>
        <w:rPr>
          <w:i/>
          <w:spacing w:val="-3"/>
          <w:sz w:val="24"/>
        </w:rPr>
        <w:t> </w:t>
      </w:r>
      <w:r>
        <w:rPr>
          <w:i/>
          <w:sz w:val="24"/>
        </w:rPr>
        <w:t>direct</w:t>
      </w:r>
      <w:r>
        <w:rPr>
          <w:i/>
          <w:spacing w:val="-1"/>
          <w:sz w:val="24"/>
        </w:rPr>
        <w:t> </w:t>
      </w:r>
      <w:r>
        <w:rPr>
          <w:i/>
          <w:sz w:val="24"/>
        </w:rPr>
        <w:t>post-operatieve</w:t>
      </w:r>
      <w:r>
        <w:rPr>
          <w:i/>
          <w:spacing w:val="-1"/>
          <w:sz w:val="24"/>
        </w:rPr>
        <w:t> </w:t>
      </w:r>
      <w:r>
        <w:rPr>
          <w:i/>
          <w:spacing w:val="-4"/>
          <w:sz w:val="24"/>
        </w:rPr>
        <w:t>fase</w:t>
      </w:r>
    </w:p>
    <w:p>
      <w:pPr>
        <w:pStyle w:val="BodyText"/>
        <w:ind w:right="32"/>
      </w:pPr>
      <w:r>
        <w:rPr/>
        <w:t>Een deel van de trombo-embolische complicaties zal ontstaan in de direct post-operatieve periode en het eerste jaar na Fontan completering. De literatuur, evenals bestaande richtlijnen zijn niet geheel duidelijk in het moment van starten van therapie met anticoagulantia als wel het eventueel overbruggen van een bepaalde periode met ongefractioneerde heparine of LMWH. Op basis van de bevindingen dat een deel van de trombi ontstaat kort na de ingreep (gevolgd door een lager, maar cumulatief risico in follow up) (24,25,28,32-34) adviseert de werkgroep om in overleg met kinderarts-cardioloog en cardio-chirurg</w:t>
      </w:r>
      <w:r>
        <w:rPr>
          <w:spacing w:val="-4"/>
        </w:rPr>
        <w:t> </w:t>
      </w:r>
      <w:r>
        <w:rPr/>
        <w:t>op</w:t>
      </w:r>
      <w:r>
        <w:rPr>
          <w:spacing w:val="-3"/>
        </w:rPr>
        <w:t> </w:t>
      </w:r>
      <w:r>
        <w:rPr/>
        <w:t>de</w:t>
      </w:r>
      <w:r>
        <w:rPr>
          <w:spacing w:val="-4"/>
        </w:rPr>
        <w:t> </w:t>
      </w:r>
      <w:r>
        <w:rPr/>
        <w:t>1</w:t>
      </w:r>
      <w:r>
        <w:rPr>
          <w:vertAlign w:val="superscript"/>
        </w:rPr>
        <w:t>ste</w:t>
      </w:r>
      <w:r>
        <w:rPr>
          <w:spacing w:val="-4"/>
          <w:vertAlign w:val="baseline"/>
        </w:rPr>
        <w:t> </w:t>
      </w:r>
      <w:r>
        <w:rPr>
          <w:vertAlign w:val="baseline"/>
        </w:rPr>
        <w:t>dag</w:t>
      </w:r>
      <w:r>
        <w:rPr>
          <w:spacing w:val="-2"/>
          <w:vertAlign w:val="baseline"/>
        </w:rPr>
        <w:t> </w:t>
      </w:r>
      <w:r>
        <w:rPr>
          <w:vertAlign w:val="baseline"/>
        </w:rPr>
        <w:t>post-operatief</w:t>
      </w:r>
      <w:r>
        <w:rPr>
          <w:spacing w:val="-3"/>
          <w:vertAlign w:val="baseline"/>
        </w:rPr>
        <w:t> </w:t>
      </w:r>
      <w:r>
        <w:rPr>
          <w:vertAlign w:val="baseline"/>
        </w:rPr>
        <w:t>te</w:t>
      </w:r>
      <w:r>
        <w:rPr>
          <w:spacing w:val="-1"/>
          <w:vertAlign w:val="baseline"/>
        </w:rPr>
        <w:t> </w:t>
      </w:r>
      <w:r>
        <w:rPr>
          <w:vertAlign w:val="baseline"/>
        </w:rPr>
        <w:t>starten</w:t>
      </w:r>
      <w:r>
        <w:rPr>
          <w:spacing w:val="-3"/>
          <w:vertAlign w:val="baseline"/>
        </w:rPr>
        <w:t> </w:t>
      </w:r>
      <w:r>
        <w:rPr>
          <w:vertAlign w:val="baseline"/>
        </w:rPr>
        <w:t>met heparine</w:t>
      </w:r>
      <w:r>
        <w:rPr>
          <w:spacing w:val="-3"/>
          <w:vertAlign w:val="baseline"/>
        </w:rPr>
        <w:t> </w:t>
      </w:r>
      <w:r>
        <w:rPr>
          <w:vertAlign w:val="baseline"/>
        </w:rPr>
        <w:t>en</w:t>
      </w:r>
      <w:r>
        <w:rPr>
          <w:spacing w:val="-3"/>
          <w:vertAlign w:val="baseline"/>
        </w:rPr>
        <w:t> </w:t>
      </w:r>
      <w:r>
        <w:rPr>
          <w:vertAlign w:val="baseline"/>
        </w:rPr>
        <w:t>een</w:t>
      </w:r>
      <w:r>
        <w:rPr>
          <w:spacing w:val="-1"/>
          <w:vertAlign w:val="baseline"/>
        </w:rPr>
        <w:t> </w:t>
      </w:r>
      <w:r>
        <w:rPr>
          <w:vertAlign w:val="baseline"/>
        </w:rPr>
        <w:t>oplaaddosis</w:t>
      </w:r>
      <w:r>
        <w:rPr>
          <w:spacing w:val="-3"/>
          <w:vertAlign w:val="baseline"/>
        </w:rPr>
        <w:t> </w:t>
      </w:r>
      <w:r>
        <w:rPr>
          <w:vertAlign w:val="baseline"/>
        </w:rPr>
        <w:t>VKA. De heparine kan worden gestaakt als een INR &gt; 2.0 is bereikt.</w:t>
      </w:r>
    </w:p>
    <w:p>
      <w:pPr>
        <w:pStyle w:val="BodyText"/>
        <w:ind w:right="46"/>
      </w:pPr>
      <w:r>
        <w:rPr/>
        <w:t>In geval van aanhoudende thoraxdrainproductie met verlies van pleuravocht dan wel chylusvocht, is bekend dat het instellen van de INR moeilijk verloopt ten gevolge van het aflopen van stollingsfactoren met het drainvocht. De werkgroep adviseert deze periode eventueel</w:t>
      </w:r>
      <w:r>
        <w:rPr>
          <w:spacing w:val="-5"/>
        </w:rPr>
        <w:t> </w:t>
      </w:r>
      <w:r>
        <w:rPr/>
        <w:t>te</w:t>
      </w:r>
      <w:r>
        <w:rPr>
          <w:spacing w:val="-5"/>
        </w:rPr>
        <w:t> </w:t>
      </w:r>
      <w:r>
        <w:rPr/>
        <w:t>overbruggen</w:t>
      </w:r>
      <w:r>
        <w:rPr>
          <w:spacing w:val="-2"/>
        </w:rPr>
        <w:t> </w:t>
      </w:r>
      <w:r>
        <w:rPr/>
        <w:t>met</w:t>
      </w:r>
      <w:r>
        <w:rPr>
          <w:spacing w:val="-2"/>
        </w:rPr>
        <w:t> </w:t>
      </w:r>
      <w:r>
        <w:rPr/>
        <w:t>Fraxiparine</w:t>
      </w:r>
      <w:r>
        <w:rPr>
          <w:spacing w:val="-2"/>
        </w:rPr>
        <w:t> </w:t>
      </w:r>
      <w:r>
        <w:rPr/>
        <w:t>toediening</w:t>
      </w:r>
      <w:r>
        <w:rPr>
          <w:spacing w:val="-3"/>
        </w:rPr>
        <w:t> </w:t>
      </w:r>
      <w:r>
        <w:rPr/>
        <w:t>in</w:t>
      </w:r>
      <w:r>
        <w:rPr>
          <w:spacing w:val="-4"/>
        </w:rPr>
        <w:t> </w:t>
      </w:r>
      <w:r>
        <w:rPr/>
        <w:t>therapeutische</w:t>
      </w:r>
      <w:r>
        <w:rPr>
          <w:spacing w:val="-2"/>
        </w:rPr>
        <w:t> </w:t>
      </w:r>
      <w:r>
        <w:rPr/>
        <w:t>dosering</w:t>
      </w:r>
      <w:r>
        <w:rPr>
          <w:spacing w:val="-5"/>
        </w:rPr>
        <w:t> </w:t>
      </w:r>
      <w:r>
        <w:rPr/>
        <w:t>en</w:t>
      </w:r>
      <w:r>
        <w:rPr>
          <w:spacing w:val="-4"/>
        </w:rPr>
        <w:t> </w:t>
      </w:r>
      <w:r>
        <w:rPr/>
        <w:t>de</w:t>
      </w:r>
      <w:r>
        <w:rPr>
          <w:spacing w:val="-5"/>
        </w:rPr>
        <w:t> </w:t>
      </w:r>
      <w:r>
        <w:rPr/>
        <w:t>VKA te starten als de thoraxdrains verwijderd zijn.</w:t>
      </w:r>
    </w:p>
    <w:p>
      <w:pPr>
        <w:pStyle w:val="BodyText"/>
        <w:spacing w:before="1"/>
        <w:ind w:left="0"/>
      </w:pPr>
    </w:p>
    <w:p>
      <w:pPr>
        <w:spacing w:before="0"/>
        <w:ind w:left="141" w:right="0" w:firstLine="0"/>
        <w:jc w:val="left"/>
        <w:rPr>
          <w:i/>
          <w:sz w:val="24"/>
        </w:rPr>
      </w:pPr>
      <w:r>
        <w:rPr>
          <w:i/>
          <w:sz w:val="24"/>
        </w:rPr>
        <w:t>Fenestratie,</w:t>
      </w:r>
      <w:r>
        <w:rPr>
          <w:i/>
          <w:spacing w:val="-7"/>
          <w:sz w:val="24"/>
        </w:rPr>
        <w:t> </w:t>
      </w:r>
      <w:r>
        <w:rPr>
          <w:i/>
          <w:sz w:val="24"/>
        </w:rPr>
        <w:t>chirurgische</w:t>
      </w:r>
      <w:r>
        <w:rPr>
          <w:i/>
          <w:spacing w:val="-3"/>
          <w:sz w:val="24"/>
        </w:rPr>
        <w:t> </w:t>
      </w:r>
      <w:r>
        <w:rPr>
          <w:i/>
          <w:sz w:val="24"/>
        </w:rPr>
        <w:t>techniek</w:t>
      </w:r>
      <w:r>
        <w:rPr>
          <w:i/>
          <w:spacing w:val="-4"/>
          <w:sz w:val="24"/>
        </w:rPr>
        <w:t> </w:t>
      </w:r>
      <w:r>
        <w:rPr>
          <w:i/>
          <w:sz w:val="24"/>
        </w:rPr>
        <w:t>en</w:t>
      </w:r>
      <w:r>
        <w:rPr>
          <w:i/>
          <w:spacing w:val="-5"/>
          <w:sz w:val="24"/>
        </w:rPr>
        <w:t> </w:t>
      </w:r>
      <w:r>
        <w:rPr>
          <w:i/>
          <w:sz w:val="24"/>
        </w:rPr>
        <w:t>chirurgische</w:t>
      </w:r>
      <w:r>
        <w:rPr>
          <w:i/>
          <w:spacing w:val="-3"/>
          <w:sz w:val="24"/>
        </w:rPr>
        <w:t> </w:t>
      </w:r>
      <w:r>
        <w:rPr>
          <w:i/>
          <w:spacing w:val="-2"/>
          <w:sz w:val="24"/>
        </w:rPr>
        <w:t>materialen</w:t>
      </w:r>
    </w:p>
    <w:p>
      <w:pPr>
        <w:pStyle w:val="BodyText"/>
      </w:pPr>
      <w:r>
        <w:rPr/>
        <w:t>De werkgroep adviseert geen ander antistollingsbeleid voor de verschillende cardiochirurgische technieken of materiaalkeuzes die voor de Fontan constructie worden gebruikt,</w:t>
      </w:r>
      <w:r>
        <w:rPr>
          <w:spacing w:val="-1"/>
        </w:rPr>
        <w:t> </w:t>
      </w:r>
      <w:r>
        <w:rPr/>
        <w:t>omdat de</w:t>
      </w:r>
      <w:r>
        <w:rPr>
          <w:spacing w:val="-1"/>
        </w:rPr>
        <w:t> </w:t>
      </w:r>
      <w:r>
        <w:rPr/>
        <w:t>beschikbare literatuur geen verschil in trombo-embolisch risico aantoont (6,23,25,35). Ditzelfde geldt voor de patiënten met of zonder fenestratie. Literatuur toont aan dat een fenestratie geen extra risico vormt voor trombo-embolieën bij</w:t>
      </w:r>
      <w:r>
        <w:rPr>
          <w:spacing w:val="-1"/>
        </w:rPr>
        <w:t> </w:t>
      </w:r>
      <w:r>
        <w:rPr/>
        <w:t>Fontan patiënten (23,35,22,23) Echter, veel klinieken sluiten deze fenestratie met behulp van een Amplatzer device, enkele maanden na completering van de Fontan. Het plaatsen van zo’n device in een traag stroomgebied vormt een argument</w:t>
      </w:r>
      <w:r>
        <w:rPr>
          <w:spacing w:val="-1"/>
        </w:rPr>
        <w:t> </w:t>
      </w:r>
      <w:r>
        <w:rPr/>
        <w:t>om</w:t>
      </w:r>
      <w:r>
        <w:rPr>
          <w:spacing w:val="-2"/>
        </w:rPr>
        <w:t> </w:t>
      </w:r>
      <w:r>
        <w:rPr/>
        <w:t>3-6</w:t>
      </w:r>
      <w:r>
        <w:rPr>
          <w:spacing w:val="-1"/>
        </w:rPr>
        <w:t> </w:t>
      </w:r>
      <w:r>
        <w:rPr/>
        <w:t>maanden</w:t>
      </w:r>
      <w:r>
        <w:rPr>
          <w:spacing w:val="-1"/>
        </w:rPr>
        <w:t> </w:t>
      </w:r>
      <w:r>
        <w:rPr/>
        <w:t>VKA voor</w:t>
      </w:r>
      <w:r>
        <w:rPr>
          <w:spacing w:val="-2"/>
        </w:rPr>
        <w:t> </w:t>
      </w:r>
      <w:r>
        <w:rPr/>
        <w:t>te</w:t>
      </w:r>
      <w:r>
        <w:rPr>
          <w:spacing w:val="-2"/>
        </w:rPr>
        <w:t> </w:t>
      </w:r>
      <w:r>
        <w:rPr/>
        <w:t>schrijven. Binnen het huidige</w:t>
      </w:r>
      <w:r>
        <w:rPr>
          <w:spacing w:val="-2"/>
        </w:rPr>
        <w:t> </w:t>
      </w:r>
      <w:r>
        <w:rPr/>
        <w:t>advies</w:t>
      </w:r>
      <w:r>
        <w:rPr>
          <w:spacing w:val="-3"/>
        </w:rPr>
        <w:t> </w:t>
      </w:r>
      <w:r>
        <w:rPr/>
        <w:t>wordt</w:t>
      </w:r>
      <w:r>
        <w:rPr>
          <w:spacing w:val="-4"/>
        </w:rPr>
        <w:t> </w:t>
      </w:r>
      <w:r>
        <w:rPr/>
        <w:t>deze</w:t>
      </w:r>
      <w:r>
        <w:rPr>
          <w:spacing w:val="-2"/>
        </w:rPr>
        <w:t> </w:t>
      </w:r>
      <w:r>
        <w:rPr/>
        <w:t>periode</w:t>
      </w:r>
      <w:r>
        <w:rPr>
          <w:spacing w:val="-5"/>
        </w:rPr>
        <w:t> </w:t>
      </w:r>
      <w:r>
        <w:rPr/>
        <w:t>nu</w:t>
      </w:r>
      <w:r>
        <w:rPr>
          <w:spacing w:val="-2"/>
        </w:rPr>
        <w:t> </w:t>
      </w:r>
      <w:r>
        <w:rPr/>
        <w:t>gecoverd</w:t>
      </w:r>
      <w:r>
        <w:rPr>
          <w:spacing w:val="-2"/>
        </w:rPr>
        <w:t> </w:t>
      </w:r>
      <w:r>
        <w:rPr/>
        <w:t>als</w:t>
      </w:r>
      <w:r>
        <w:rPr>
          <w:spacing w:val="-3"/>
        </w:rPr>
        <w:t> </w:t>
      </w:r>
      <w:r>
        <w:rPr/>
        <w:t>‘vroeg operatieve</w:t>
      </w:r>
      <w:r>
        <w:rPr>
          <w:spacing w:val="-5"/>
        </w:rPr>
        <w:t> </w:t>
      </w:r>
      <w:r>
        <w:rPr/>
        <w:t>fase’</w:t>
      </w:r>
      <w:r>
        <w:rPr>
          <w:spacing w:val="-7"/>
        </w:rPr>
        <w:t> </w:t>
      </w:r>
      <w:r>
        <w:rPr/>
        <w:t>(gedurende</w:t>
      </w:r>
      <w:r>
        <w:rPr>
          <w:spacing w:val="-5"/>
        </w:rPr>
        <w:t> </w:t>
      </w:r>
      <w:r>
        <w:rPr/>
        <w:t>3</w:t>
      </w:r>
      <w:r>
        <w:rPr>
          <w:spacing w:val="-1"/>
        </w:rPr>
        <w:t> </w:t>
      </w:r>
      <w:r>
        <w:rPr/>
        <w:t>–</w:t>
      </w:r>
      <w:r>
        <w:rPr>
          <w:spacing w:val="-2"/>
        </w:rPr>
        <w:t> </w:t>
      </w:r>
      <w:r>
        <w:rPr/>
        <w:t>12 maanden) waarin behandeling met VKA eerste keuze blijft mits goede controle van de INR (INR 2-3) gewaarborgd is.</w:t>
      </w:r>
    </w:p>
    <w:p>
      <w:pPr>
        <w:pStyle w:val="BodyText"/>
        <w:spacing w:after="0"/>
        <w:sectPr>
          <w:pgSz w:w="11910" w:h="16840"/>
          <w:pgMar w:header="0" w:footer="750" w:top="1360" w:bottom="940" w:left="1275" w:right="1417"/>
        </w:sectPr>
      </w:pPr>
    </w:p>
    <w:p>
      <w:pPr>
        <w:spacing w:before="30"/>
        <w:ind w:left="141" w:right="0" w:firstLine="0"/>
        <w:jc w:val="left"/>
        <w:rPr>
          <w:i/>
          <w:sz w:val="24"/>
        </w:rPr>
      </w:pPr>
      <w:r>
        <w:rPr>
          <w:i/>
          <w:sz w:val="24"/>
        </w:rPr>
        <w:t>Orale</w:t>
      </w:r>
      <w:r>
        <w:rPr>
          <w:i/>
          <w:spacing w:val="-4"/>
          <w:sz w:val="24"/>
        </w:rPr>
        <w:t> </w:t>
      </w:r>
      <w:r>
        <w:rPr>
          <w:i/>
          <w:spacing w:val="-2"/>
          <w:sz w:val="24"/>
        </w:rPr>
        <w:t>anticonceptiva</w:t>
      </w:r>
    </w:p>
    <w:p>
      <w:pPr>
        <w:pStyle w:val="BodyText"/>
        <w:spacing w:before="2"/>
        <w:ind w:right="78"/>
      </w:pPr>
      <w:r>
        <w:rPr/>
        <w:t>Voorzichtigheid is geboden bij gebruik van orale anticonceptiva. Vanwege het trombose risico</w:t>
      </w:r>
      <w:r>
        <w:rPr>
          <w:spacing w:val="-3"/>
        </w:rPr>
        <w:t> </w:t>
      </w:r>
      <w:r>
        <w:rPr/>
        <w:t>bij</w:t>
      </w:r>
      <w:r>
        <w:rPr>
          <w:spacing w:val="-5"/>
        </w:rPr>
        <w:t> </w:t>
      </w:r>
      <w:r>
        <w:rPr/>
        <w:t>pilgebruik,</w:t>
      </w:r>
      <w:r>
        <w:rPr>
          <w:spacing w:val="-4"/>
        </w:rPr>
        <w:t> </w:t>
      </w:r>
      <w:r>
        <w:rPr/>
        <w:t>wordt</w:t>
      </w:r>
      <w:r>
        <w:rPr>
          <w:spacing w:val="-3"/>
        </w:rPr>
        <w:t> </w:t>
      </w:r>
      <w:r>
        <w:rPr/>
        <w:t>dit</w:t>
      </w:r>
      <w:r>
        <w:rPr>
          <w:spacing w:val="-5"/>
        </w:rPr>
        <w:t> </w:t>
      </w:r>
      <w:r>
        <w:rPr/>
        <w:t>bij</w:t>
      </w:r>
      <w:r>
        <w:rPr>
          <w:spacing w:val="-5"/>
        </w:rPr>
        <w:t> </w:t>
      </w:r>
      <w:r>
        <w:rPr/>
        <w:t>patienten</w:t>
      </w:r>
      <w:r>
        <w:rPr>
          <w:spacing w:val="-5"/>
        </w:rPr>
        <w:t> </w:t>
      </w:r>
      <w:r>
        <w:rPr/>
        <w:t>met</w:t>
      </w:r>
      <w:r>
        <w:rPr>
          <w:spacing w:val="-3"/>
        </w:rPr>
        <w:t> </w:t>
      </w:r>
      <w:r>
        <w:rPr/>
        <w:t>een</w:t>
      </w:r>
      <w:r>
        <w:rPr>
          <w:spacing w:val="-3"/>
        </w:rPr>
        <w:t> </w:t>
      </w:r>
      <w:r>
        <w:rPr/>
        <w:t>Fontan</w:t>
      </w:r>
      <w:r>
        <w:rPr>
          <w:spacing w:val="-3"/>
        </w:rPr>
        <w:t> </w:t>
      </w:r>
      <w:r>
        <w:rPr/>
        <w:t>circulatie</w:t>
      </w:r>
      <w:r>
        <w:rPr>
          <w:spacing w:val="-5"/>
        </w:rPr>
        <w:t> </w:t>
      </w:r>
      <w:r>
        <w:rPr/>
        <w:t>zeer</w:t>
      </w:r>
      <w:r>
        <w:rPr>
          <w:spacing w:val="-3"/>
        </w:rPr>
        <w:t> </w:t>
      </w:r>
      <w:r>
        <w:rPr/>
        <w:t>sterk</w:t>
      </w:r>
      <w:r>
        <w:rPr>
          <w:spacing w:val="-4"/>
        </w:rPr>
        <w:t> </w:t>
      </w:r>
      <w:r>
        <w:rPr/>
        <w:t>afgeraden. Als alternatief kan een Mirena spiraal overwogen worden. Bij het desondanks toch gebruiken van orale anticonceptie kan overwogen worden te switchen naar VKA, INR 2-3.</w:t>
      </w:r>
    </w:p>
    <w:p>
      <w:pPr>
        <w:spacing w:before="292"/>
        <w:ind w:left="141" w:right="0" w:firstLine="0"/>
        <w:jc w:val="left"/>
        <w:rPr>
          <w:i/>
          <w:sz w:val="24"/>
        </w:rPr>
      </w:pPr>
      <w:r>
        <w:rPr>
          <w:i/>
          <w:sz w:val="24"/>
        </w:rPr>
        <w:t>Ontstaan</w:t>
      </w:r>
      <w:r>
        <w:rPr>
          <w:i/>
          <w:spacing w:val="-4"/>
          <w:sz w:val="24"/>
        </w:rPr>
        <w:t> </w:t>
      </w:r>
      <w:r>
        <w:rPr>
          <w:i/>
          <w:sz w:val="24"/>
        </w:rPr>
        <w:t>van</w:t>
      </w:r>
      <w:r>
        <w:rPr>
          <w:i/>
          <w:spacing w:val="-4"/>
          <w:sz w:val="24"/>
        </w:rPr>
        <w:t> </w:t>
      </w:r>
      <w:r>
        <w:rPr>
          <w:i/>
          <w:sz w:val="24"/>
        </w:rPr>
        <w:t>trombose</w:t>
      </w:r>
      <w:r>
        <w:rPr>
          <w:i/>
          <w:spacing w:val="-2"/>
          <w:sz w:val="24"/>
        </w:rPr>
        <w:t> </w:t>
      </w:r>
      <w:r>
        <w:rPr>
          <w:i/>
          <w:sz w:val="24"/>
        </w:rPr>
        <w:t>onder</w:t>
      </w:r>
      <w:r>
        <w:rPr>
          <w:i/>
          <w:spacing w:val="-3"/>
          <w:sz w:val="24"/>
        </w:rPr>
        <w:t> </w:t>
      </w:r>
      <w:r>
        <w:rPr>
          <w:i/>
          <w:sz w:val="24"/>
        </w:rPr>
        <w:t>therapie</w:t>
      </w:r>
      <w:r>
        <w:rPr>
          <w:i/>
          <w:spacing w:val="-2"/>
          <w:sz w:val="24"/>
        </w:rPr>
        <w:t> </w:t>
      </w:r>
      <w:r>
        <w:rPr>
          <w:i/>
          <w:sz w:val="24"/>
        </w:rPr>
        <w:t>met</w:t>
      </w:r>
      <w:r>
        <w:rPr>
          <w:i/>
          <w:spacing w:val="-1"/>
          <w:sz w:val="24"/>
        </w:rPr>
        <w:t> </w:t>
      </w:r>
      <w:r>
        <w:rPr>
          <w:i/>
          <w:spacing w:val="-2"/>
          <w:sz w:val="24"/>
        </w:rPr>
        <w:t>anticoagulantia</w:t>
      </w:r>
    </w:p>
    <w:p>
      <w:pPr>
        <w:pStyle w:val="BodyText"/>
      </w:pPr>
      <w:r>
        <w:rPr/>
        <w:t>Helaas zijn zowel VKA als TARs suboptimaal in het voorkomen van trombo-embolische processen.</w:t>
      </w:r>
      <w:r>
        <w:rPr>
          <w:spacing w:val="-5"/>
        </w:rPr>
        <w:t> </w:t>
      </w:r>
      <w:r>
        <w:rPr/>
        <w:t>Indien</w:t>
      </w:r>
      <w:r>
        <w:rPr>
          <w:spacing w:val="-5"/>
        </w:rPr>
        <w:t> </w:t>
      </w:r>
      <w:r>
        <w:rPr/>
        <w:t>trombose</w:t>
      </w:r>
      <w:r>
        <w:rPr>
          <w:spacing w:val="-3"/>
        </w:rPr>
        <w:t> </w:t>
      </w:r>
      <w:r>
        <w:rPr/>
        <w:t>optreedt</w:t>
      </w:r>
      <w:r>
        <w:rPr>
          <w:spacing w:val="-4"/>
        </w:rPr>
        <w:t> </w:t>
      </w:r>
      <w:r>
        <w:rPr/>
        <w:t>onder</w:t>
      </w:r>
      <w:r>
        <w:rPr>
          <w:spacing w:val="-3"/>
        </w:rPr>
        <w:t> </w:t>
      </w:r>
      <w:r>
        <w:rPr/>
        <w:t>gebruik</w:t>
      </w:r>
      <w:r>
        <w:rPr>
          <w:spacing w:val="-5"/>
        </w:rPr>
        <w:t> </w:t>
      </w:r>
      <w:r>
        <w:rPr/>
        <w:t>van TARs</w:t>
      </w:r>
      <w:r>
        <w:rPr>
          <w:spacing w:val="-4"/>
        </w:rPr>
        <w:t> </w:t>
      </w:r>
      <w:r>
        <w:rPr/>
        <w:t>wordt</w:t>
      </w:r>
      <w:r>
        <w:rPr>
          <w:spacing w:val="-5"/>
        </w:rPr>
        <w:t> </w:t>
      </w:r>
      <w:r>
        <w:rPr/>
        <w:t>geadviseerd</w:t>
      </w:r>
      <w:r>
        <w:rPr>
          <w:spacing w:val="-5"/>
        </w:rPr>
        <w:t> </w:t>
      </w:r>
      <w:r>
        <w:rPr/>
        <w:t>te</w:t>
      </w:r>
      <w:r>
        <w:rPr>
          <w:spacing w:val="-3"/>
        </w:rPr>
        <w:t> </w:t>
      </w:r>
      <w:r>
        <w:rPr/>
        <w:t>switchen naar</w:t>
      </w:r>
      <w:r>
        <w:rPr>
          <w:spacing w:val="-1"/>
        </w:rPr>
        <w:t> </w:t>
      </w:r>
      <w:r>
        <w:rPr/>
        <w:t>VKA.</w:t>
      </w:r>
      <w:r>
        <w:rPr>
          <w:spacing w:val="-2"/>
        </w:rPr>
        <w:t> </w:t>
      </w:r>
      <w:r>
        <w:rPr/>
        <w:t>Indien</w:t>
      </w:r>
      <w:r>
        <w:rPr>
          <w:spacing w:val="-3"/>
        </w:rPr>
        <w:t> </w:t>
      </w:r>
      <w:r>
        <w:rPr/>
        <w:t>trombose</w:t>
      </w:r>
      <w:r>
        <w:rPr>
          <w:spacing w:val="-1"/>
        </w:rPr>
        <w:t> </w:t>
      </w:r>
      <w:r>
        <w:rPr/>
        <w:t>optreedt</w:t>
      </w:r>
      <w:r>
        <w:rPr>
          <w:spacing w:val="-3"/>
        </w:rPr>
        <w:t> </w:t>
      </w:r>
      <w:r>
        <w:rPr/>
        <w:t>bij</w:t>
      </w:r>
      <w:r>
        <w:rPr>
          <w:spacing w:val="-4"/>
        </w:rPr>
        <w:t> </w:t>
      </w:r>
      <w:r>
        <w:rPr/>
        <w:t>gebruik</w:t>
      </w:r>
      <w:r>
        <w:rPr>
          <w:spacing w:val="-3"/>
        </w:rPr>
        <w:t> </w:t>
      </w:r>
      <w:r>
        <w:rPr/>
        <w:t>van</w:t>
      </w:r>
      <w:r>
        <w:rPr>
          <w:spacing w:val="-1"/>
        </w:rPr>
        <w:t> </w:t>
      </w:r>
      <w:r>
        <w:rPr/>
        <w:t>VKA,</w:t>
      </w:r>
      <w:r>
        <w:rPr>
          <w:spacing w:val="-4"/>
        </w:rPr>
        <w:t> </w:t>
      </w:r>
      <w:r>
        <w:rPr/>
        <w:t>dient</w:t>
      </w:r>
      <w:r>
        <w:rPr>
          <w:spacing w:val="-1"/>
        </w:rPr>
        <w:t> </w:t>
      </w:r>
      <w:r>
        <w:rPr/>
        <w:t>men</w:t>
      </w:r>
      <w:r>
        <w:rPr>
          <w:spacing w:val="-1"/>
        </w:rPr>
        <w:t> </w:t>
      </w:r>
      <w:r>
        <w:rPr/>
        <w:t>allereerst</w:t>
      </w:r>
      <w:r>
        <w:rPr>
          <w:spacing w:val="-2"/>
        </w:rPr>
        <w:t> </w:t>
      </w:r>
      <w:r>
        <w:rPr/>
        <w:t>te</w:t>
      </w:r>
      <w:r>
        <w:rPr>
          <w:spacing w:val="-3"/>
        </w:rPr>
        <w:t> </w:t>
      </w:r>
      <w:r>
        <w:rPr/>
        <w:t>zorgen</w:t>
      </w:r>
      <w:r>
        <w:rPr>
          <w:spacing w:val="-1"/>
        </w:rPr>
        <w:t> </w:t>
      </w:r>
      <w:r>
        <w:rPr/>
        <w:t>voor een INR in de</w:t>
      </w:r>
      <w:r>
        <w:rPr>
          <w:spacing w:val="-1"/>
        </w:rPr>
        <w:t> </w:t>
      </w:r>
      <w:r>
        <w:rPr/>
        <w:t>therapeutische range (INR&gt;2.0). De</w:t>
      </w:r>
      <w:r>
        <w:rPr>
          <w:spacing w:val="-1"/>
        </w:rPr>
        <w:t> </w:t>
      </w:r>
      <w:r>
        <w:rPr/>
        <w:t>literatuur is</w:t>
      </w:r>
      <w:r>
        <w:rPr>
          <w:spacing w:val="-1"/>
        </w:rPr>
        <w:t> </w:t>
      </w:r>
      <w:r>
        <w:rPr/>
        <w:t>niet eenduidig in het te volgen beleid bij ontstane trombose bij adequate INR. In een meta-analyse (33) werd geen verschil aangetoond in preventie van trombose tussen Aspirine en VKA in combinatie met Aspirine.</w:t>
      </w:r>
    </w:p>
    <w:p>
      <w:pPr>
        <w:pStyle w:val="BodyText"/>
        <w:spacing w:line="292" w:lineRule="exact"/>
      </w:pPr>
      <w:r>
        <w:rPr/>
        <w:t>Een</w:t>
      </w:r>
      <w:r>
        <w:rPr>
          <w:spacing w:val="-2"/>
        </w:rPr>
        <w:t> </w:t>
      </w:r>
      <w:r>
        <w:rPr/>
        <w:t>alternatief</w:t>
      </w:r>
      <w:r>
        <w:rPr>
          <w:spacing w:val="-4"/>
        </w:rPr>
        <w:t> </w:t>
      </w:r>
      <w:r>
        <w:rPr/>
        <w:t>is</w:t>
      </w:r>
      <w:r>
        <w:rPr>
          <w:spacing w:val="-3"/>
        </w:rPr>
        <w:t> </w:t>
      </w:r>
      <w:r>
        <w:rPr/>
        <w:t>de</w:t>
      </w:r>
      <w:r>
        <w:rPr>
          <w:spacing w:val="-1"/>
        </w:rPr>
        <w:t> </w:t>
      </w:r>
      <w:r>
        <w:rPr/>
        <w:t>therapeutische</w:t>
      </w:r>
      <w:r>
        <w:rPr>
          <w:spacing w:val="-2"/>
        </w:rPr>
        <w:t> </w:t>
      </w:r>
      <w:r>
        <w:rPr/>
        <w:t>INR</w:t>
      </w:r>
      <w:r>
        <w:rPr>
          <w:spacing w:val="-4"/>
        </w:rPr>
        <w:t> </w:t>
      </w:r>
      <w:r>
        <w:rPr/>
        <w:t>grens</w:t>
      </w:r>
      <w:r>
        <w:rPr>
          <w:spacing w:val="-3"/>
        </w:rPr>
        <w:t> </w:t>
      </w:r>
      <w:r>
        <w:rPr/>
        <w:t>op</w:t>
      </w:r>
      <w:r>
        <w:rPr>
          <w:spacing w:val="2"/>
        </w:rPr>
        <w:t> </w:t>
      </w:r>
      <w:r>
        <w:rPr/>
        <w:t>te</w:t>
      </w:r>
      <w:r>
        <w:rPr>
          <w:spacing w:val="-4"/>
        </w:rPr>
        <w:t> </w:t>
      </w:r>
      <w:r>
        <w:rPr/>
        <w:t>hogen</w:t>
      </w:r>
      <w:r>
        <w:rPr>
          <w:spacing w:val="-4"/>
        </w:rPr>
        <w:t> </w:t>
      </w:r>
      <w:r>
        <w:rPr/>
        <w:t>naar</w:t>
      </w:r>
      <w:r>
        <w:rPr>
          <w:spacing w:val="-1"/>
        </w:rPr>
        <w:t> </w:t>
      </w:r>
      <w:r>
        <w:rPr/>
        <w:t>2.5-</w:t>
      </w:r>
      <w:r>
        <w:rPr>
          <w:spacing w:val="-4"/>
        </w:rPr>
        <w:t>3.5.</w:t>
      </w:r>
    </w:p>
    <w:p>
      <w:pPr>
        <w:pStyle w:val="BodyText"/>
      </w:pPr>
      <w:r>
        <w:rPr/>
        <w:t>Bij ontstane trombose dient in overleg met de kinderarts-hematoloog gezocht te worden naar</w:t>
      </w:r>
      <w:r>
        <w:rPr>
          <w:spacing w:val="-2"/>
        </w:rPr>
        <w:t> </w:t>
      </w:r>
      <w:r>
        <w:rPr/>
        <w:t>verklaringen</w:t>
      </w:r>
      <w:r>
        <w:rPr>
          <w:spacing w:val="-4"/>
        </w:rPr>
        <w:t> </w:t>
      </w:r>
      <w:r>
        <w:rPr/>
        <w:t>voor</w:t>
      </w:r>
      <w:r>
        <w:rPr>
          <w:spacing w:val="-5"/>
        </w:rPr>
        <w:t> </w:t>
      </w:r>
      <w:r>
        <w:rPr/>
        <w:t>deze</w:t>
      </w:r>
      <w:r>
        <w:rPr>
          <w:spacing w:val="-4"/>
        </w:rPr>
        <w:t> </w:t>
      </w:r>
      <w:r>
        <w:rPr/>
        <w:t>trombose</w:t>
      </w:r>
      <w:r>
        <w:rPr>
          <w:spacing w:val="-5"/>
        </w:rPr>
        <w:t> </w:t>
      </w:r>
      <w:r>
        <w:rPr/>
        <w:t>en</w:t>
      </w:r>
      <w:r>
        <w:rPr>
          <w:spacing w:val="-4"/>
        </w:rPr>
        <w:t> </w:t>
      </w:r>
      <w:r>
        <w:rPr/>
        <w:t>dient</w:t>
      </w:r>
      <w:r>
        <w:rPr>
          <w:spacing w:val="-4"/>
        </w:rPr>
        <w:t> </w:t>
      </w:r>
      <w:r>
        <w:rPr/>
        <w:t>naast</w:t>
      </w:r>
      <w:r>
        <w:rPr>
          <w:spacing w:val="-2"/>
        </w:rPr>
        <w:t> </w:t>
      </w:r>
      <w:r>
        <w:rPr/>
        <w:t>een</w:t>
      </w:r>
      <w:r>
        <w:rPr>
          <w:spacing w:val="-4"/>
        </w:rPr>
        <w:t> </w:t>
      </w:r>
      <w:r>
        <w:rPr/>
        <w:t>uitgebreide</w:t>
      </w:r>
      <w:r>
        <w:rPr>
          <w:spacing w:val="-4"/>
        </w:rPr>
        <w:t> </w:t>
      </w:r>
      <w:r>
        <w:rPr/>
        <w:t>familie</w:t>
      </w:r>
      <w:r>
        <w:rPr>
          <w:spacing w:val="-2"/>
        </w:rPr>
        <w:t> </w:t>
      </w:r>
      <w:r>
        <w:rPr/>
        <w:t>anamnese</w:t>
      </w:r>
      <w:r>
        <w:rPr>
          <w:spacing w:val="-4"/>
        </w:rPr>
        <w:t> </w:t>
      </w:r>
      <w:r>
        <w:rPr/>
        <w:t>naar trombose, eventueel aanvullend trombofilie onderzoek naar congenitale of verworven pro-trombotische factoren verricht te worden.</w:t>
      </w:r>
    </w:p>
    <w:p>
      <w:pPr>
        <w:pStyle w:val="BodyText"/>
        <w:spacing w:before="1"/>
        <w:ind w:left="0"/>
      </w:pPr>
    </w:p>
    <w:p>
      <w:pPr>
        <w:spacing w:before="1"/>
        <w:ind w:left="141" w:right="0" w:firstLine="0"/>
        <w:jc w:val="left"/>
        <w:rPr>
          <w:i/>
          <w:sz w:val="24"/>
        </w:rPr>
      </w:pPr>
      <w:r>
        <w:rPr>
          <w:i/>
          <w:sz w:val="24"/>
        </w:rPr>
        <w:t>Preventief</w:t>
      </w:r>
      <w:r>
        <w:rPr>
          <w:i/>
          <w:spacing w:val="-4"/>
          <w:sz w:val="24"/>
        </w:rPr>
        <w:t> </w:t>
      </w:r>
      <w:r>
        <w:rPr>
          <w:i/>
          <w:sz w:val="24"/>
        </w:rPr>
        <w:t>onderzoek</w:t>
      </w:r>
      <w:r>
        <w:rPr>
          <w:i/>
          <w:spacing w:val="-3"/>
          <w:sz w:val="24"/>
        </w:rPr>
        <w:t> </w:t>
      </w:r>
      <w:r>
        <w:rPr>
          <w:i/>
          <w:sz w:val="24"/>
        </w:rPr>
        <w:t>naar</w:t>
      </w:r>
      <w:r>
        <w:rPr>
          <w:i/>
          <w:spacing w:val="-4"/>
          <w:sz w:val="24"/>
        </w:rPr>
        <w:t> </w:t>
      </w:r>
      <w:r>
        <w:rPr>
          <w:i/>
          <w:sz w:val="24"/>
        </w:rPr>
        <w:t>pro-trombotische</w:t>
      </w:r>
      <w:r>
        <w:rPr>
          <w:i/>
          <w:spacing w:val="-3"/>
          <w:sz w:val="24"/>
        </w:rPr>
        <w:t> </w:t>
      </w:r>
      <w:r>
        <w:rPr>
          <w:i/>
          <w:spacing w:val="-2"/>
          <w:sz w:val="24"/>
        </w:rPr>
        <w:t>factoren</w:t>
      </w:r>
    </w:p>
    <w:p>
      <w:pPr>
        <w:pStyle w:val="BodyText"/>
        <w:ind w:right="20"/>
      </w:pPr>
      <w:r>
        <w:rPr/>
        <w:t>Verschillende studies wijzen op een disbalans tussen pro-coagulante en anti-coagulante factoren na de Fontan procedure, die mogelijk belangrijke risicofactoren vormen in het bij het</w:t>
      </w:r>
      <w:r>
        <w:rPr>
          <w:spacing w:val="-2"/>
        </w:rPr>
        <w:t> </w:t>
      </w:r>
      <w:r>
        <w:rPr/>
        <w:t>ontstaan</w:t>
      </w:r>
      <w:r>
        <w:rPr>
          <w:spacing w:val="-2"/>
        </w:rPr>
        <w:t> </w:t>
      </w:r>
      <w:r>
        <w:rPr/>
        <w:t>van</w:t>
      </w:r>
      <w:r>
        <w:rPr>
          <w:spacing w:val="-3"/>
        </w:rPr>
        <w:t> </w:t>
      </w:r>
      <w:r>
        <w:rPr/>
        <w:t>trombose (43-50).</w:t>
      </w:r>
      <w:r>
        <w:rPr>
          <w:spacing w:val="-2"/>
        </w:rPr>
        <w:t> </w:t>
      </w:r>
      <w:r>
        <w:rPr/>
        <w:t>Echter,</w:t>
      </w:r>
      <w:r>
        <w:rPr>
          <w:spacing w:val="-3"/>
        </w:rPr>
        <w:t> </w:t>
      </w:r>
      <w:r>
        <w:rPr/>
        <w:t>een</w:t>
      </w:r>
      <w:r>
        <w:rPr>
          <w:spacing w:val="-3"/>
        </w:rPr>
        <w:t> </w:t>
      </w:r>
      <w:r>
        <w:rPr/>
        <w:t>recente</w:t>
      </w:r>
      <w:r>
        <w:rPr>
          <w:spacing w:val="-4"/>
        </w:rPr>
        <w:t> </w:t>
      </w:r>
      <w:r>
        <w:rPr/>
        <w:t>studie</w:t>
      </w:r>
      <w:r>
        <w:rPr>
          <w:spacing w:val="-4"/>
        </w:rPr>
        <w:t> </w:t>
      </w:r>
      <w:r>
        <w:rPr/>
        <w:t>laat</w:t>
      </w:r>
      <w:r>
        <w:rPr>
          <w:spacing w:val="-2"/>
        </w:rPr>
        <w:t> </w:t>
      </w:r>
      <w:r>
        <w:rPr/>
        <w:t>zien</w:t>
      </w:r>
      <w:r>
        <w:rPr>
          <w:spacing w:val="-3"/>
        </w:rPr>
        <w:t> </w:t>
      </w:r>
      <w:r>
        <w:rPr/>
        <w:t>dat</w:t>
      </w:r>
      <w:r>
        <w:rPr>
          <w:spacing w:val="-3"/>
        </w:rPr>
        <w:t> </w:t>
      </w:r>
      <w:r>
        <w:rPr/>
        <w:t>de</w:t>
      </w:r>
      <w:r>
        <w:rPr>
          <w:spacing w:val="-3"/>
        </w:rPr>
        <w:t> </w:t>
      </w:r>
      <w:r>
        <w:rPr/>
        <w:t>hemostase</w:t>
      </w:r>
      <w:r>
        <w:rPr>
          <w:spacing w:val="-4"/>
        </w:rPr>
        <w:t> </w:t>
      </w:r>
      <w:r>
        <w:rPr/>
        <w:t>na Fontan in balans en minder protrombotisch is dan voor chirurgie (51). Congenitale trombofilie, vooral deficiëntie van proteïne C, S en antitrombine, komt zelden voor. De klinische consequenties van trombofilie zijn vooralsnog onduidelijk: het antistollingsbeleid verandert niet door het vinden van een congenitale risicofactor. Daarom adviseert de werkgroep geen standaard pre-operatief trombofilie onderzoek te doen naar congenitale pro-trombotische stollingsfactoren.</w:t>
      </w:r>
    </w:p>
    <w:p>
      <w:pPr>
        <w:pStyle w:val="BodyText"/>
        <w:spacing w:before="1"/>
        <w:ind w:left="0"/>
      </w:pPr>
    </w:p>
    <w:p>
      <w:pPr>
        <w:spacing w:before="0"/>
        <w:ind w:left="141" w:right="0" w:firstLine="0"/>
        <w:jc w:val="left"/>
        <w:rPr>
          <w:i/>
          <w:sz w:val="24"/>
        </w:rPr>
      </w:pPr>
      <w:r>
        <w:rPr>
          <w:i/>
          <w:sz w:val="24"/>
        </w:rPr>
        <w:t>Aanvullende</w:t>
      </w:r>
      <w:r>
        <w:rPr>
          <w:i/>
          <w:spacing w:val="-5"/>
          <w:sz w:val="24"/>
        </w:rPr>
        <w:t> </w:t>
      </w:r>
      <w:r>
        <w:rPr>
          <w:i/>
          <w:sz w:val="24"/>
        </w:rPr>
        <w:t>risicofactoren</w:t>
      </w:r>
      <w:r>
        <w:rPr>
          <w:i/>
          <w:spacing w:val="-7"/>
          <w:sz w:val="24"/>
        </w:rPr>
        <w:t> </w:t>
      </w:r>
      <w:r>
        <w:rPr>
          <w:i/>
          <w:sz w:val="24"/>
        </w:rPr>
        <w:t>voor</w:t>
      </w:r>
      <w:r>
        <w:rPr>
          <w:i/>
          <w:spacing w:val="-5"/>
          <w:sz w:val="24"/>
        </w:rPr>
        <w:t> </w:t>
      </w:r>
      <w:r>
        <w:rPr>
          <w:i/>
          <w:sz w:val="24"/>
        </w:rPr>
        <w:t>ontstaan</w:t>
      </w:r>
      <w:r>
        <w:rPr>
          <w:i/>
          <w:spacing w:val="-6"/>
          <w:sz w:val="24"/>
        </w:rPr>
        <w:t> </w:t>
      </w:r>
      <w:r>
        <w:rPr>
          <w:i/>
          <w:spacing w:val="-2"/>
          <w:sz w:val="24"/>
        </w:rPr>
        <w:t>trombose</w:t>
      </w:r>
    </w:p>
    <w:p>
      <w:pPr>
        <w:pStyle w:val="BodyText"/>
        <w:ind w:right="78"/>
      </w:pPr>
      <w:r>
        <w:rPr/>
        <w:t>In een aantal observationele studies zijn risicofactoren aangetoond die het risico op trombose bij patiënten met een Fontan circulatie vergroten. Deze risicofactoren zijn weergegeven</w:t>
      </w:r>
      <w:r>
        <w:rPr>
          <w:spacing w:val="-2"/>
        </w:rPr>
        <w:t> </w:t>
      </w:r>
      <w:r>
        <w:rPr/>
        <w:t>in</w:t>
      </w:r>
      <w:r>
        <w:rPr>
          <w:spacing w:val="-4"/>
        </w:rPr>
        <w:t> </w:t>
      </w:r>
      <w:r>
        <w:rPr/>
        <w:t>tabel</w:t>
      </w:r>
      <w:r>
        <w:rPr>
          <w:spacing w:val="-2"/>
        </w:rPr>
        <w:t> </w:t>
      </w:r>
      <w:r>
        <w:rPr/>
        <w:t>2.</w:t>
      </w:r>
      <w:r>
        <w:rPr>
          <w:spacing w:val="-6"/>
        </w:rPr>
        <w:t> </w:t>
      </w:r>
      <w:r>
        <w:rPr/>
        <w:t>Uit</w:t>
      </w:r>
      <w:r>
        <w:rPr>
          <w:spacing w:val="-2"/>
        </w:rPr>
        <w:t> </w:t>
      </w:r>
      <w:r>
        <w:rPr/>
        <w:t>de</w:t>
      </w:r>
      <w:r>
        <w:rPr>
          <w:spacing w:val="-5"/>
        </w:rPr>
        <w:t> </w:t>
      </w:r>
      <w:r>
        <w:rPr/>
        <w:t>literatuur</w:t>
      </w:r>
      <w:r>
        <w:rPr>
          <w:spacing w:val="-5"/>
        </w:rPr>
        <w:t> </w:t>
      </w:r>
      <w:r>
        <w:rPr/>
        <w:t>blijkt</w:t>
      </w:r>
      <w:r>
        <w:rPr>
          <w:spacing w:val="-2"/>
        </w:rPr>
        <w:t> </w:t>
      </w:r>
      <w:r>
        <w:rPr/>
        <w:t>dat</w:t>
      </w:r>
      <w:r>
        <w:rPr>
          <w:spacing w:val="-2"/>
        </w:rPr>
        <w:t> </w:t>
      </w:r>
      <w:r>
        <w:rPr/>
        <w:t>het</w:t>
      </w:r>
      <w:r>
        <w:rPr>
          <w:spacing w:val="-3"/>
        </w:rPr>
        <w:t> </w:t>
      </w:r>
      <w:r>
        <w:rPr/>
        <w:t>type</w:t>
      </w:r>
      <w:r>
        <w:rPr>
          <w:spacing w:val="-4"/>
        </w:rPr>
        <w:t> </w:t>
      </w:r>
      <w:r>
        <w:rPr/>
        <w:t>Fontan</w:t>
      </w:r>
      <w:r>
        <w:rPr>
          <w:spacing w:val="-2"/>
        </w:rPr>
        <w:t> </w:t>
      </w:r>
      <w:r>
        <w:rPr/>
        <w:t>operatie,</w:t>
      </w:r>
      <w:r>
        <w:rPr>
          <w:spacing w:val="-2"/>
        </w:rPr>
        <w:t> </w:t>
      </w:r>
      <w:r>
        <w:rPr/>
        <w:t>het</w:t>
      </w:r>
      <w:r>
        <w:rPr>
          <w:spacing w:val="-2"/>
        </w:rPr>
        <w:t> </w:t>
      </w:r>
      <w:r>
        <w:rPr/>
        <w:t>gebruikte materiaal en de aan- of afwezigheid van een fenestratie geen risicofactoren zijn voor trombose in deze patiëntengroep.</w:t>
      </w:r>
    </w:p>
    <w:p>
      <w:pPr>
        <w:pStyle w:val="BodyText"/>
        <w:ind w:right="153"/>
      </w:pPr>
      <w:r>
        <w:rPr/>
        <w:t>Indien</w:t>
      </w:r>
      <w:r>
        <w:rPr>
          <w:spacing w:val="-4"/>
        </w:rPr>
        <w:t> </w:t>
      </w:r>
      <w:r>
        <w:rPr/>
        <w:t>er</w:t>
      </w:r>
      <w:r>
        <w:rPr>
          <w:spacing w:val="-4"/>
        </w:rPr>
        <w:t> </w:t>
      </w:r>
      <w:r>
        <w:rPr/>
        <w:t>extra</w:t>
      </w:r>
      <w:r>
        <w:rPr>
          <w:spacing w:val="-4"/>
        </w:rPr>
        <w:t> </w:t>
      </w:r>
      <w:r>
        <w:rPr/>
        <w:t>risicofactoren</w:t>
      </w:r>
      <w:r>
        <w:rPr>
          <w:spacing w:val="-2"/>
        </w:rPr>
        <w:t> </w:t>
      </w:r>
      <w:r>
        <w:rPr/>
        <w:t>voor</w:t>
      </w:r>
      <w:r>
        <w:rPr>
          <w:spacing w:val="-4"/>
        </w:rPr>
        <w:t> </w:t>
      </w:r>
      <w:r>
        <w:rPr/>
        <w:t>het</w:t>
      </w:r>
      <w:r>
        <w:rPr>
          <w:spacing w:val="-2"/>
        </w:rPr>
        <w:t> </w:t>
      </w:r>
      <w:r>
        <w:rPr/>
        <w:t>ontstaan</w:t>
      </w:r>
      <w:r>
        <w:rPr>
          <w:spacing w:val="-4"/>
        </w:rPr>
        <w:t> </w:t>
      </w:r>
      <w:r>
        <w:rPr/>
        <w:t>van</w:t>
      </w:r>
      <w:r>
        <w:rPr>
          <w:spacing w:val="-2"/>
        </w:rPr>
        <w:t> </w:t>
      </w:r>
      <w:r>
        <w:rPr/>
        <w:t>trombose</w:t>
      </w:r>
      <w:r>
        <w:rPr>
          <w:spacing w:val="-4"/>
        </w:rPr>
        <w:t> </w:t>
      </w:r>
      <w:r>
        <w:rPr/>
        <w:t>bestaan</w:t>
      </w:r>
      <w:r>
        <w:rPr>
          <w:spacing w:val="-2"/>
        </w:rPr>
        <w:t> </w:t>
      </w:r>
      <w:r>
        <w:rPr/>
        <w:t>(Tabel</w:t>
      </w:r>
      <w:r>
        <w:rPr>
          <w:spacing w:val="-2"/>
        </w:rPr>
        <w:t> </w:t>
      </w:r>
      <w:r>
        <w:rPr/>
        <w:t>2),</w:t>
      </w:r>
      <w:r>
        <w:rPr>
          <w:spacing w:val="-4"/>
        </w:rPr>
        <w:t> </w:t>
      </w:r>
      <w:r>
        <w:rPr/>
        <w:t>adviseert de werkgroep de antistollingstherapie zoals boven genoemd te intensiveren en waar mogelijk aanvullende risicofactoren te vermijden of te behandelen.</w:t>
      </w:r>
    </w:p>
    <w:p>
      <w:pPr>
        <w:pStyle w:val="Heading1"/>
        <w:spacing w:before="292"/>
      </w:pPr>
      <w:r>
        <w:rPr>
          <w:spacing w:val="-2"/>
        </w:rPr>
        <w:t>Aanbevelingen</w:t>
      </w:r>
    </w:p>
    <w:p>
      <w:pPr>
        <w:pStyle w:val="ListParagraph"/>
        <w:numPr>
          <w:ilvl w:val="0"/>
          <w:numId w:val="3"/>
        </w:numPr>
        <w:tabs>
          <w:tab w:pos="861" w:val="left" w:leader="none"/>
        </w:tabs>
        <w:spacing w:line="240" w:lineRule="auto" w:before="292" w:after="0"/>
        <w:ind w:left="861" w:right="49" w:hanging="360"/>
        <w:jc w:val="left"/>
        <w:rPr>
          <w:sz w:val="24"/>
        </w:rPr>
      </w:pPr>
      <w:r>
        <w:rPr>
          <w:sz w:val="24"/>
        </w:rPr>
        <w:t>Behandel alle kinderen met een Fontan circulatie in de postoperatieve fase (gedurende</w:t>
      </w:r>
      <w:r>
        <w:rPr>
          <w:spacing w:val="-5"/>
          <w:sz w:val="24"/>
        </w:rPr>
        <w:t> </w:t>
      </w:r>
      <w:r>
        <w:rPr>
          <w:sz w:val="24"/>
        </w:rPr>
        <w:t>3-12</w:t>
      </w:r>
      <w:r>
        <w:rPr>
          <w:spacing w:val="-2"/>
          <w:sz w:val="24"/>
        </w:rPr>
        <w:t> </w:t>
      </w:r>
      <w:r>
        <w:rPr>
          <w:sz w:val="24"/>
        </w:rPr>
        <w:t>maanden)</w:t>
      </w:r>
      <w:r>
        <w:rPr>
          <w:spacing w:val="-4"/>
          <w:sz w:val="24"/>
        </w:rPr>
        <w:t> </w:t>
      </w:r>
      <w:r>
        <w:rPr>
          <w:sz w:val="24"/>
        </w:rPr>
        <w:t>met VKA,</w:t>
      </w:r>
      <w:r>
        <w:rPr>
          <w:spacing w:val="-5"/>
          <w:sz w:val="24"/>
        </w:rPr>
        <w:t> </w:t>
      </w:r>
      <w:r>
        <w:rPr>
          <w:sz w:val="24"/>
        </w:rPr>
        <w:t>waarbij</w:t>
      </w:r>
      <w:r>
        <w:rPr>
          <w:spacing w:val="-4"/>
          <w:sz w:val="24"/>
        </w:rPr>
        <w:t> </w:t>
      </w:r>
      <w:r>
        <w:rPr>
          <w:sz w:val="24"/>
        </w:rPr>
        <w:t>gestreefd</w:t>
      </w:r>
      <w:r>
        <w:rPr>
          <w:spacing w:val="-2"/>
          <w:sz w:val="24"/>
        </w:rPr>
        <w:t> </w:t>
      </w:r>
      <w:r>
        <w:rPr>
          <w:sz w:val="24"/>
        </w:rPr>
        <w:t>wordt</w:t>
      </w:r>
      <w:r>
        <w:rPr>
          <w:spacing w:val="-2"/>
          <w:sz w:val="24"/>
        </w:rPr>
        <w:t> </w:t>
      </w:r>
      <w:r>
        <w:rPr>
          <w:sz w:val="24"/>
        </w:rPr>
        <w:t>naar</w:t>
      </w:r>
      <w:r>
        <w:rPr>
          <w:spacing w:val="-4"/>
          <w:sz w:val="24"/>
        </w:rPr>
        <w:t> </w:t>
      </w:r>
      <w:r>
        <w:rPr>
          <w:sz w:val="24"/>
        </w:rPr>
        <w:t>een</w:t>
      </w:r>
      <w:r>
        <w:rPr>
          <w:spacing w:val="-2"/>
          <w:sz w:val="24"/>
        </w:rPr>
        <w:t> </w:t>
      </w:r>
      <w:r>
        <w:rPr>
          <w:sz w:val="24"/>
        </w:rPr>
        <w:t>INR</w:t>
      </w:r>
      <w:r>
        <w:rPr>
          <w:spacing w:val="-4"/>
          <w:sz w:val="24"/>
        </w:rPr>
        <w:t> </w:t>
      </w:r>
      <w:r>
        <w:rPr>
          <w:sz w:val="24"/>
        </w:rPr>
        <w:t>2.0</w:t>
      </w:r>
      <w:r>
        <w:rPr>
          <w:spacing w:val="-1"/>
          <w:sz w:val="24"/>
        </w:rPr>
        <w:t> </w:t>
      </w:r>
      <w:r>
        <w:rPr>
          <w:sz w:val="24"/>
        </w:rPr>
        <w:t>–</w:t>
      </w:r>
      <w:r>
        <w:rPr>
          <w:spacing w:val="-4"/>
          <w:sz w:val="24"/>
        </w:rPr>
        <w:t> </w:t>
      </w:r>
      <w:r>
        <w:rPr>
          <w:sz w:val="24"/>
        </w:rPr>
        <w:t>3.0. Start VKA op de 1</w:t>
      </w:r>
      <w:r>
        <w:rPr>
          <w:sz w:val="24"/>
          <w:vertAlign w:val="superscript"/>
        </w:rPr>
        <w:t>e</w:t>
      </w:r>
      <w:r>
        <w:rPr>
          <w:sz w:val="24"/>
          <w:vertAlign w:val="baseline"/>
        </w:rPr>
        <w:t> dag na de operatie, waarbij overbrugging plaats vindt met</w:t>
      </w:r>
    </w:p>
    <w:p>
      <w:pPr>
        <w:pStyle w:val="ListParagraph"/>
        <w:spacing w:after="0" w:line="240" w:lineRule="auto"/>
        <w:jc w:val="left"/>
        <w:rPr>
          <w:sz w:val="24"/>
        </w:rPr>
        <w:sectPr>
          <w:pgSz w:w="11910" w:h="16840"/>
          <w:pgMar w:header="0" w:footer="750" w:top="1660" w:bottom="940" w:left="1275" w:right="1417"/>
        </w:sectPr>
      </w:pPr>
    </w:p>
    <w:p>
      <w:pPr>
        <w:pStyle w:val="BodyText"/>
        <w:spacing w:before="37"/>
        <w:ind w:left="861" w:right="78"/>
      </w:pPr>
      <w:r>
        <w:rPr/>
        <w:t>heparine</w:t>
      </w:r>
      <w:r>
        <w:rPr>
          <w:spacing w:val="-6"/>
        </w:rPr>
        <w:t> </w:t>
      </w:r>
      <w:r>
        <w:rPr/>
        <w:t>(ongefractioneerde</w:t>
      </w:r>
      <w:r>
        <w:rPr>
          <w:spacing w:val="-5"/>
        </w:rPr>
        <w:t> </w:t>
      </w:r>
      <w:r>
        <w:rPr/>
        <w:t>heparine</w:t>
      </w:r>
      <w:r>
        <w:rPr>
          <w:spacing w:val="-3"/>
        </w:rPr>
        <w:t> </w:t>
      </w:r>
      <w:r>
        <w:rPr/>
        <w:t>of</w:t>
      </w:r>
      <w:r>
        <w:rPr>
          <w:spacing w:val="-3"/>
        </w:rPr>
        <w:t> </w:t>
      </w:r>
      <w:r>
        <w:rPr/>
        <w:t>LMWH)</w:t>
      </w:r>
      <w:r>
        <w:rPr>
          <w:spacing w:val="-5"/>
        </w:rPr>
        <w:t> </w:t>
      </w:r>
      <w:r>
        <w:rPr/>
        <w:t>vanaf</w:t>
      </w:r>
      <w:r>
        <w:rPr>
          <w:spacing w:val="-5"/>
        </w:rPr>
        <w:t> </w:t>
      </w:r>
      <w:r>
        <w:rPr/>
        <w:t>1</w:t>
      </w:r>
      <w:r>
        <w:rPr>
          <w:spacing w:val="-5"/>
        </w:rPr>
        <w:t> </w:t>
      </w:r>
      <w:r>
        <w:rPr/>
        <w:t>dag</w:t>
      </w:r>
      <w:r>
        <w:rPr>
          <w:spacing w:val="-6"/>
        </w:rPr>
        <w:t> </w:t>
      </w:r>
      <w:r>
        <w:rPr/>
        <w:t>postoperatief</w:t>
      </w:r>
      <w:r>
        <w:rPr>
          <w:spacing w:val="-5"/>
        </w:rPr>
        <w:t> </w:t>
      </w:r>
      <w:r>
        <w:rPr/>
        <w:t>totdat INR &gt; 2.0.</w:t>
      </w:r>
    </w:p>
    <w:p>
      <w:pPr>
        <w:pStyle w:val="ListParagraph"/>
        <w:numPr>
          <w:ilvl w:val="0"/>
          <w:numId w:val="3"/>
        </w:numPr>
        <w:tabs>
          <w:tab w:pos="861" w:val="left" w:leader="none"/>
        </w:tabs>
        <w:spacing w:line="240" w:lineRule="auto" w:before="2" w:after="0"/>
        <w:ind w:left="861" w:right="75" w:hanging="360"/>
        <w:jc w:val="left"/>
        <w:rPr>
          <w:sz w:val="24"/>
        </w:rPr>
      </w:pPr>
      <w:r>
        <w:rPr>
          <w:sz w:val="24"/>
        </w:rPr>
        <w:t>Indien</w:t>
      </w:r>
      <w:r>
        <w:rPr>
          <w:spacing w:val="-3"/>
          <w:sz w:val="24"/>
        </w:rPr>
        <w:t> </w:t>
      </w:r>
      <w:r>
        <w:rPr>
          <w:sz w:val="24"/>
        </w:rPr>
        <w:t>adequate</w:t>
      </w:r>
      <w:r>
        <w:rPr>
          <w:spacing w:val="-4"/>
          <w:sz w:val="24"/>
        </w:rPr>
        <w:t> </w:t>
      </w:r>
      <w:r>
        <w:rPr>
          <w:sz w:val="24"/>
        </w:rPr>
        <w:t>INR</w:t>
      </w:r>
      <w:r>
        <w:rPr>
          <w:spacing w:val="-2"/>
          <w:sz w:val="24"/>
        </w:rPr>
        <w:t> </w:t>
      </w:r>
      <w:r>
        <w:rPr>
          <w:sz w:val="24"/>
        </w:rPr>
        <w:t>waarden</w:t>
      </w:r>
      <w:r>
        <w:rPr>
          <w:spacing w:val="-3"/>
          <w:sz w:val="24"/>
        </w:rPr>
        <w:t> </w:t>
      </w:r>
      <w:r>
        <w:rPr>
          <w:sz w:val="24"/>
        </w:rPr>
        <w:t>&gt;</w:t>
      </w:r>
      <w:r>
        <w:rPr>
          <w:spacing w:val="-3"/>
          <w:sz w:val="24"/>
        </w:rPr>
        <w:t> </w:t>
      </w:r>
      <w:r>
        <w:rPr>
          <w:sz w:val="24"/>
        </w:rPr>
        <w:t>2.0</w:t>
      </w:r>
      <w:r>
        <w:rPr>
          <w:spacing w:val="-1"/>
          <w:sz w:val="24"/>
        </w:rPr>
        <w:t> </w:t>
      </w:r>
      <w:r>
        <w:rPr>
          <w:sz w:val="24"/>
        </w:rPr>
        <w:t>niet</w:t>
      </w:r>
      <w:r>
        <w:rPr>
          <w:spacing w:val="-2"/>
          <w:sz w:val="24"/>
        </w:rPr>
        <w:t> </w:t>
      </w:r>
      <w:r>
        <w:rPr>
          <w:sz w:val="24"/>
        </w:rPr>
        <w:t>stabiel</w:t>
      </w:r>
      <w:r>
        <w:rPr>
          <w:spacing w:val="-3"/>
          <w:sz w:val="24"/>
        </w:rPr>
        <w:t> </w:t>
      </w:r>
      <w:r>
        <w:rPr>
          <w:sz w:val="24"/>
        </w:rPr>
        <w:t>te</w:t>
      </w:r>
      <w:r>
        <w:rPr>
          <w:spacing w:val="-3"/>
          <w:sz w:val="24"/>
        </w:rPr>
        <w:t> </w:t>
      </w:r>
      <w:r>
        <w:rPr>
          <w:sz w:val="24"/>
        </w:rPr>
        <w:t>bereiken</w:t>
      </w:r>
      <w:r>
        <w:rPr>
          <w:spacing w:val="-3"/>
          <w:sz w:val="24"/>
        </w:rPr>
        <w:t> </w:t>
      </w:r>
      <w:r>
        <w:rPr>
          <w:sz w:val="24"/>
        </w:rPr>
        <w:t>zijn</w:t>
      </w:r>
      <w:r>
        <w:rPr>
          <w:spacing w:val="-1"/>
          <w:sz w:val="24"/>
        </w:rPr>
        <w:t> </w:t>
      </w:r>
      <w:r>
        <w:rPr>
          <w:sz w:val="24"/>
        </w:rPr>
        <w:t>of</w:t>
      </w:r>
      <w:r>
        <w:rPr>
          <w:spacing w:val="-3"/>
          <w:sz w:val="24"/>
        </w:rPr>
        <w:t> </w:t>
      </w:r>
      <w:r>
        <w:rPr>
          <w:sz w:val="24"/>
        </w:rPr>
        <w:t>niet</w:t>
      </w:r>
      <w:r>
        <w:rPr>
          <w:spacing w:val="-1"/>
          <w:sz w:val="24"/>
        </w:rPr>
        <w:t> </w:t>
      </w:r>
      <w:r>
        <w:rPr>
          <w:sz w:val="24"/>
        </w:rPr>
        <w:t>te</w:t>
      </w:r>
      <w:r>
        <w:rPr>
          <w:spacing w:val="-1"/>
          <w:sz w:val="24"/>
        </w:rPr>
        <w:t> </w:t>
      </w:r>
      <w:r>
        <w:rPr>
          <w:sz w:val="24"/>
        </w:rPr>
        <w:t>controleren zijn, wordt geadviseerd om VKA te vervangen door TAR.</w:t>
      </w:r>
    </w:p>
    <w:p>
      <w:pPr>
        <w:pStyle w:val="ListParagraph"/>
        <w:numPr>
          <w:ilvl w:val="0"/>
          <w:numId w:val="3"/>
        </w:numPr>
        <w:tabs>
          <w:tab w:pos="859" w:val="left" w:leader="none"/>
          <w:tab w:pos="861" w:val="left" w:leader="none"/>
        </w:tabs>
        <w:spacing w:line="240" w:lineRule="auto" w:before="0" w:after="0"/>
        <w:ind w:left="861" w:right="92" w:hanging="360"/>
        <w:jc w:val="left"/>
        <w:rPr>
          <w:sz w:val="24"/>
        </w:rPr>
      </w:pPr>
      <w:r>
        <w:rPr>
          <w:sz w:val="24"/>
        </w:rPr>
        <w:t>Na de vroeg post-operatieve fase</w:t>
      </w:r>
      <w:r>
        <w:rPr>
          <w:spacing w:val="40"/>
          <w:sz w:val="24"/>
        </w:rPr>
        <w:t> </w:t>
      </w:r>
      <w:r>
        <w:rPr>
          <w:sz w:val="24"/>
        </w:rPr>
        <w:t>(dus na 3-12 maanden) wordt geadviseerd patiënten</w:t>
      </w:r>
      <w:r>
        <w:rPr>
          <w:spacing w:val="-5"/>
          <w:sz w:val="24"/>
        </w:rPr>
        <w:t> </w:t>
      </w:r>
      <w:r>
        <w:rPr>
          <w:sz w:val="24"/>
        </w:rPr>
        <w:t>met</w:t>
      </w:r>
      <w:r>
        <w:rPr>
          <w:spacing w:val="-4"/>
          <w:sz w:val="24"/>
        </w:rPr>
        <w:t> </w:t>
      </w:r>
      <w:r>
        <w:rPr>
          <w:sz w:val="24"/>
        </w:rPr>
        <w:t>Fontan</w:t>
      </w:r>
      <w:r>
        <w:rPr>
          <w:spacing w:val="-5"/>
          <w:sz w:val="24"/>
        </w:rPr>
        <w:t> </w:t>
      </w:r>
      <w:r>
        <w:rPr>
          <w:sz w:val="24"/>
        </w:rPr>
        <w:t>circulatie</w:t>
      </w:r>
      <w:r>
        <w:rPr>
          <w:spacing w:val="-5"/>
          <w:sz w:val="24"/>
        </w:rPr>
        <w:t> </w:t>
      </w:r>
      <w:r>
        <w:rPr>
          <w:sz w:val="24"/>
        </w:rPr>
        <w:t>te</w:t>
      </w:r>
      <w:r>
        <w:rPr>
          <w:spacing w:val="-6"/>
          <w:sz w:val="24"/>
        </w:rPr>
        <w:t> </w:t>
      </w:r>
      <w:r>
        <w:rPr>
          <w:sz w:val="24"/>
        </w:rPr>
        <w:t>behandelen</w:t>
      </w:r>
      <w:r>
        <w:rPr>
          <w:spacing w:val="-3"/>
          <w:sz w:val="24"/>
        </w:rPr>
        <w:t> </w:t>
      </w:r>
      <w:r>
        <w:rPr>
          <w:sz w:val="24"/>
        </w:rPr>
        <w:t>met</w:t>
      </w:r>
      <w:r>
        <w:rPr>
          <w:spacing w:val="-2"/>
          <w:sz w:val="24"/>
        </w:rPr>
        <w:t> </w:t>
      </w:r>
      <w:r>
        <w:rPr>
          <w:sz w:val="24"/>
        </w:rPr>
        <w:t>TAR.</w:t>
      </w:r>
      <w:r>
        <w:rPr>
          <w:spacing w:val="-5"/>
          <w:sz w:val="24"/>
        </w:rPr>
        <w:t> </w:t>
      </w:r>
      <w:r>
        <w:rPr>
          <w:sz w:val="24"/>
        </w:rPr>
        <w:t>De</w:t>
      </w:r>
      <w:r>
        <w:rPr>
          <w:spacing w:val="-5"/>
          <w:sz w:val="24"/>
        </w:rPr>
        <w:t> </w:t>
      </w:r>
      <w:r>
        <w:rPr>
          <w:sz w:val="24"/>
        </w:rPr>
        <w:t>doseringen</w:t>
      </w:r>
      <w:r>
        <w:rPr>
          <w:spacing w:val="-3"/>
          <w:sz w:val="24"/>
        </w:rPr>
        <w:t> </w:t>
      </w:r>
      <w:r>
        <w:rPr>
          <w:sz w:val="24"/>
        </w:rPr>
        <w:t>zijn</w:t>
      </w:r>
      <w:r>
        <w:rPr>
          <w:spacing w:val="-3"/>
          <w:sz w:val="24"/>
        </w:rPr>
        <w:t> </w:t>
      </w:r>
      <w:r>
        <w:rPr>
          <w:sz w:val="24"/>
        </w:rPr>
        <w:t>als</w:t>
      </w:r>
      <w:r>
        <w:rPr>
          <w:spacing w:val="-4"/>
          <w:sz w:val="24"/>
        </w:rPr>
        <w:t> </w:t>
      </w:r>
      <w:r>
        <w:rPr>
          <w:sz w:val="24"/>
        </w:rPr>
        <w:t>volgt:</w:t>
      </w:r>
    </w:p>
    <w:p>
      <w:pPr>
        <w:pStyle w:val="BodyText"/>
        <w:spacing w:line="293" w:lineRule="exact"/>
        <w:ind w:left="3682"/>
      </w:pPr>
      <w:r>
        <w:rPr/>
        <w:t>Acetylsalicylzuur</w:t>
      </w:r>
      <w:r>
        <w:rPr>
          <w:spacing w:val="-4"/>
        </w:rPr>
        <w:t> </w:t>
      </w:r>
      <w:r>
        <w:rPr/>
        <w:t>/</w:t>
      </w:r>
      <w:r>
        <w:rPr>
          <w:spacing w:val="-2"/>
        </w:rPr>
        <w:t> Carbasalaatcalcium:</w:t>
      </w:r>
    </w:p>
    <w:p>
      <w:pPr>
        <w:pStyle w:val="ListParagraph"/>
        <w:numPr>
          <w:ilvl w:val="1"/>
          <w:numId w:val="3"/>
        </w:numPr>
        <w:tabs>
          <w:tab w:pos="1221" w:val="left" w:leader="none"/>
          <w:tab w:pos="3681" w:val="left" w:leader="none"/>
        </w:tabs>
        <w:spacing w:line="240" w:lineRule="auto" w:before="0" w:after="0"/>
        <w:ind w:left="1221" w:right="0" w:hanging="360"/>
        <w:jc w:val="left"/>
        <w:rPr>
          <w:sz w:val="24"/>
        </w:rPr>
      </w:pPr>
      <w:r>
        <w:rPr>
          <w:sz w:val="24"/>
        </w:rPr>
        <w:t>gewicht 1 – 6</w:t>
      </w:r>
      <w:r>
        <w:rPr>
          <w:spacing w:val="-1"/>
          <w:sz w:val="24"/>
        </w:rPr>
        <w:t> </w:t>
      </w:r>
      <w:r>
        <w:rPr>
          <w:spacing w:val="-5"/>
          <w:sz w:val="24"/>
        </w:rPr>
        <w:t>kg</w:t>
      </w:r>
      <w:r>
        <w:rPr>
          <w:sz w:val="24"/>
        </w:rPr>
        <w:tab/>
        <w:t>15</w:t>
      </w:r>
      <w:r>
        <w:rPr>
          <w:spacing w:val="-2"/>
          <w:sz w:val="24"/>
        </w:rPr>
        <w:t> </w:t>
      </w:r>
      <w:r>
        <w:rPr>
          <w:sz w:val="24"/>
        </w:rPr>
        <w:t>mg/</w:t>
      </w:r>
      <w:r>
        <w:rPr>
          <w:spacing w:val="-2"/>
          <w:sz w:val="24"/>
        </w:rPr>
        <w:t> </w:t>
      </w:r>
      <w:r>
        <w:rPr>
          <w:sz w:val="24"/>
        </w:rPr>
        <w:t>19</w:t>
      </w:r>
      <w:r>
        <w:rPr>
          <w:spacing w:val="-1"/>
          <w:sz w:val="24"/>
        </w:rPr>
        <w:t> </w:t>
      </w:r>
      <w:r>
        <w:rPr>
          <w:spacing w:val="-5"/>
          <w:sz w:val="24"/>
        </w:rPr>
        <w:t>mg</w:t>
      </w:r>
    </w:p>
    <w:p>
      <w:pPr>
        <w:pStyle w:val="ListParagraph"/>
        <w:numPr>
          <w:ilvl w:val="1"/>
          <w:numId w:val="3"/>
        </w:numPr>
        <w:tabs>
          <w:tab w:pos="1221" w:val="left" w:leader="none"/>
          <w:tab w:pos="3681" w:val="left" w:leader="none"/>
        </w:tabs>
        <w:spacing w:line="240" w:lineRule="auto" w:before="0" w:after="0"/>
        <w:ind w:left="1221" w:right="0" w:hanging="360"/>
        <w:jc w:val="left"/>
        <w:rPr>
          <w:sz w:val="24"/>
        </w:rPr>
      </w:pPr>
      <w:r>
        <w:rPr>
          <w:sz w:val="24"/>
        </w:rPr>
        <w:t>gewicht</w:t>
      </w:r>
      <w:r>
        <w:rPr>
          <w:spacing w:val="-2"/>
          <w:sz w:val="24"/>
        </w:rPr>
        <w:t> </w:t>
      </w:r>
      <w:r>
        <w:rPr>
          <w:sz w:val="24"/>
        </w:rPr>
        <w:t>6</w:t>
      </w:r>
      <w:r>
        <w:rPr>
          <w:spacing w:val="-1"/>
          <w:sz w:val="24"/>
        </w:rPr>
        <w:t> </w:t>
      </w:r>
      <w:r>
        <w:rPr>
          <w:sz w:val="24"/>
        </w:rPr>
        <w:t>– 10 </w:t>
      </w:r>
      <w:r>
        <w:rPr>
          <w:spacing w:val="-5"/>
          <w:sz w:val="24"/>
        </w:rPr>
        <w:t>kg</w:t>
      </w:r>
      <w:r>
        <w:rPr>
          <w:sz w:val="24"/>
        </w:rPr>
        <w:tab/>
        <w:t>30</w:t>
      </w:r>
      <w:r>
        <w:rPr>
          <w:spacing w:val="-2"/>
          <w:sz w:val="24"/>
        </w:rPr>
        <w:t> </w:t>
      </w:r>
      <w:r>
        <w:rPr>
          <w:sz w:val="24"/>
        </w:rPr>
        <w:t>mg/</w:t>
      </w:r>
      <w:r>
        <w:rPr>
          <w:spacing w:val="-2"/>
          <w:sz w:val="24"/>
        </w:rPr>
        <w:t> </w:t>
      </w:r>
      <w:r>
        <w:rPr>
          <w:sz w:val="24"/>
        </w:rPr>
        <w:t>38</w:t>
      </w:r>
      <w:r>
        <w:rPr>
          <w:spacing w:val="-1"/>
          <w:sz w:val="24"/>
        </w:rPr>
        <w:t> </w:t>
      </w:r>
      <w:r>
        <w:rPr>
          <w:spacing w:val="-5"/>
          <w:sz w:val="24"/>
        </w:rPr>
        <w:t>mg</w:t>
      </w:r>
    </w:p>
    <w:p>
      <w:pPr>
        <w:pStyle w:val="ListParagraph"/>
        <w:numPr>
          <w:ilvl w:val="1"/>
          <w:numId w:val="3"/>
        </w:numPr>
        <w:tabs>
          <w:tab w:pos="1221" w:val="left" w:leader="none"/>
          <w:tab w:pos="3681" w:val="left" w:leader="none"/>
        </w:tabs>
        <w:spacing w:line="240" w:lineRule="auto" w:before="0" w:after="0"/>
        <w:ind w:left="1221" w:right="0" w:hanging="360"/>
        <w:jc w:val="left"/>
        <w:rPr>
          <w:sz w:val="24"/>
        </w:rPr>
      </w:pPr>
      <w:r>
        <w:rPr>
          <w:sz w:val="24"/>
        </w:rPr>
        <w:t>gewicht 10</w:t>
      </w:r>
      <w:r>
        <w:rPr>
          <w:spacing w:val="-1"/>
          <w:sz w:val="24"/>
        </w:rPr>
        <w:t> </w:t>
      </w:r>
      <w:r>
        <w:rPr>
          <w:sz w:val="24"/>
        </w:rPr>
        <w:t>-</w:t>
      </w:r>
      <w:r>
        <w:rPr>
          <w:spacing w:val="-1"/>
          <w:sz w:val="24"/>
        </w:rPr>
        <w:t> </w:t>
      </w:r>
      <w:r>
        <w:rPr>
          <w:sz w:val="24"/>
        </w:rPr>
        <w:t>20</w:t>
      </w:r>
      <w:r>
        <w:rPr>
          <w:spacing w:val="-1"/>
          <w:sz w:val="24"/>
        </w:rPr>
        <w:t> </w:t>
      </w:r>
      <w:r>
        <w:rPr>
          <w:spacing w:val="-5"/>
          <w:sz w:val="24"/>
        </w:rPr>
        <w:t>kg</w:t>
      </w:r>
      <w:r>
        <w:rPr>
          <w:sz w:val="24"/>
        </w:rPr>
        <w:tab/>
        <w:t>40</w:t>
      </w:r>
      <w:r>
        <w:rPr>
          <w:spacing w:val="-2"/>
          <w:sz w:val="24"/>
        </w:rPr>
        <w:t> </w:t>
      </w:r>
      <w:r>
        <w:rPr>
          <w:sz w:val="24"/>
        </w:rPr>
        <w:t>mg/</w:t>
      </w:r>
      <w:r>
        <w:rPr>
          <w:spacing w:val="-2"/>
          <w:sz w:val="24"/>
        </w:rPr>
        <w:t> </w:t>
      </w:r>
      <w:r>
        <w:rPr>
          <w:sz w:val="24"/>
        </w:rPr>
        <w:t>50</w:t>
      </w:r>
      <w:r>
        <w:rPr>
          <w:spacing w:val="-1"/>
          <w:sz w:val="24"/>
        </w:rPr>
        <w:t> </w:t>
      </w:r>
      <w:r>
        <w:rPr>
          <w:spacing w:val="-5"/>
          <w:sz w:val="24"/>
        </w:rPr>
        <w:t>mg</w:t>
      </w:r>
    </w:p>
    <w:p>
      <w:pPr>
        <w:pStyle w:val="ListParagraph"/>
        <w:numPr>
          <w:ilvl w:val="1"/>
          <w:numId w:val="3"/>
        </w:numPr>
        <w:tabs>
          <w:tab w:pos="1221" w:val="left" w:leader="none"/>
          <w:tab w:pos="3681" w:val="left" w:leader="none"/>
        </w:tabs>
        <w:spacing w:line="240" w:lineRule="auto" w:before="0" w:after="0"/>
        <w:ind w:left="1221" w:right="0" w:hanging="360"/>
        <w:jc w:val="left"/>
        <w:rPr>
          <w:sz w:val="24"/>
        </w:rPr>
      </w:pPr>
      <w:r>
        <w:rPr>
          <w:sz w:val="24"/>
        </w:rPr>
        <w:t>gewicht &gt;</w:t>
      </w:r>
      <w:r>
        <w:rPr>
          <w:spacing w:val="-2"/>
          <w:sz w:val="24"/>
        </w:rPr>
        <w:t> </w:t>
      </w:r>
      <w:r>
        <w:rPr>
          <w:sz w:val="24"/>
        </w:rPr>
        <w:t>20</w:t>
      </w:r>
      <w:r>
        <w:rPr>
          <w:spacing w:val="1"/>
          <w:sz w:val="24"/>
        </w:rPr>
        <w:t> </w:t>
      </w:r>
      <w:r>
        <w:rPr>
          <w:spacing w:val="-5"/>
          <w:sz w:val="24"/>
        </w:rPr>
        <w:t>kg</w:t>
      </w:r>
      <w:r>
        <w:rPr>
          <w:sz w:val="24"/>
        </w:rPr>
        <w:tab/>
        <w:t>80</w:t>
      </w:r>
      <w:r>
        <w:rPr>
          <w:spacing w:val="-3"/>
          <w:sz w:val="24"/>
        </w:rPr>
        <w:t> </w:t>
      </w:r>
      <w:r>
        <w:rPr>
          <w:sz w:val="24"/>
        </w:rPr>
        <w:t>mg/</w:t>
      </w:r>
      <w:r>
        <w:rPr>
          <w:spacing w:val="-1"/>
          <w:sz w:val="24"/>
        </w:rPr>
        <w:t> </w:t>
      </w:r>
      <w:r>
        <w:rPr>
          <w:sz w:val="24"/>
        </w:rPr>
        <w:t>100 </w:t>
      </w:r>
      <w:r>
        <w:rPr>
          <w:spacing w:val="-5"/>
          <w:sz w:val="24"/>
        </w:rPr>
        <w:t>mg</w:t>
      </w:r>
    </w:p>
    <w:p>
      <w:pPr>
        <w:pStyle w:val="ListParagraph"/>
        <w:numPr>
          <w:ilvl w:val="0"/>
          <w:numId w:val="3"/>
        </w:numPr>
        <w:tabs>
          <w:tab w:pos="859" w:val="left" w:leader="none"/>
          <w:tab w:pos="861" w:val="left" w:leader="none"/>
        </w:tabs>
        <w:spacing w:line="240" w:lineRule="auto" w:before="0" w:after="0"/>
        <w:ind w:left="861" w:right="137" w:hanging="360"/>
        <w:jc w:val="left"/>
        <w:rPr>
          <w:sz w:val="24"/>
        </w:rPr>
      </w:pPr>
      <w:r>
        <w:rPr>
          <w:sz w:val="24"/>
        </w:rPr>
        <w:t>Indien</w:t>
      </w:r>
      <w:r>
        <w:rPr>
          <w:spacing w:val="-4"/>
          <w:sz w:val="24"/>
        </w:rPr>
        <w:t> </w:t>
      </w:r>
      <w:r>
        <w:rPr>
          <w:sz w:val="24"/>
        </w:rPr>
        <w:t>risicofactoren</w:t>
      </w:r>
      <w:r>
        <w:rPr>
          <w:spacing w:val="-2"/>
          <w:sz w:val="24"/>
        </w:rPr>
        <w:t> </w:t>
      </w:r>
      <w:r>
        <w:rPr>
          <w:sz w:val="24"/>
        </w:rPr>
        <w:t>aanwezig</w:t>
      </w:r>
      <w:r>
        <w:rPr>
          <w:spacing w:val="-3"/>
          <w:sz w:val="24"/>
        </w:rPr>
        <w:t> </w:t>
      </w:r>
      <w:r>
        <w:rPr>
          <w:sz w:val="24"/>
        </w:rPr>
        <w:t>zijn</w:t>
      </w:r>
      <w:r>
        <w:rPr>
          <w:spacing w:val="-4"/>
          <w:sz w:val="24"/>
        </w:rPr>
        <w:t> </w:t>
      </w:r>
      <w:r>
        <w:rPr>
          <w:sz w:val="24"/>
        </w:rPr>
        <w:t>zoals</w:t>
      </w:r>
      <w:r>
        <w:rPr>
          <w:spacing w:val="-3"/>
          <w:sz w:val="24"/>
        </w:rPr>
        <w:t> </w:t>
      </w:r>
      <w:r>
        <w:rPr>
          <w:sz w:val="24"/>
        </w:rPr>
        <w:t>vermeld</w:t>
      </w:r>
      <w:r>
        <w:rPr>
          <w:spacing w:val="-4"/>
          <w:sz w:val="24"/>
        </w:rPr>
        <w:t> </w:t>
      </w:r>
      <w:r>
        <w:rPr>
          <w:sz w:val="24"/>
        </w:rPr>
        <w:t>in</w:t>
      </w:r>
      <w:r>
        <w:rPr>
          <w:spacing w:val="-2"/>
          <w:sz w:val="24"/>
        </w:rPr>
        <w:t> </w:t>
      </w:r>
      <w:r>
        <w:rPr>
          <w:sz w:val="24"/>
        </w:rPr>
        <w:t>tabel</w:t>
      </w:r>
      <w:r>
        <w:rPr>
          <w:spacing w:val="-5"/>
          <w:sz w:val="24"/>
        </w:rPr>
        <w:t> </w:t>
      </w:r>
      <w:r>
        <w:rPr>
          <w:sz w:val="24"/>
        </w:rPr>
        <w:t>1</w:t>
      </w:r>
      <w:r>
        <w:rPr>
          <w:spacing w:val="-4"/>
          <w:sz w:val="24"/>
        </w:rPr>
        <w:t> </w:t>
      </w:r>
      <w:r>
        <w:rPr>
          <w:sz w:val="24"/>
        </w:rPr>
        <w:t>of</w:t>
      </w:r>
      <w:r>
        <w:rPr>
          <w:spacing w:val="-4"/>
          <w:sz w:val="24"/>
        </w:rPr>
        <w:t> </w:t>
      </w:r>
      <w:r>
        <w:rPr>
          <w:sz w:val="24"/>
        </w:rPr>
        <w:t>bij</w:t>
      </w:r>
      <w:r>
        <w:rPr>
          <w:spacing w:val="-5"/>
          <w:sz w:val="24"/>
        </w:rPr>
        <w:t> </w:t>
      </w:r>
      <w:r>
        <w:rPr>
          <w:sz w:val="24"/>
        </w:rPr>
        <w:t>het</w:t>
      </w:r>
      <w:r>
        <w:rPr>
          <w:spacing w:val="-2"/>
          <w:sz w:val="24"/>
        </w:rPr>
        <w:t> </w:t>
      </w:r>
      <w:r>
        <w:rPr>
          <w:sz w:val="24"/>
        </w:rPr>
        <w:t>voorkomen</w:t>
      </w:r>
      <w:r>
        <w:rPr>
          <w:spacing w:val="-1"/>
          <w:sz w:val="24"/>
        </w:rPr>
        <w:t> </w:t>
      </w:r>
      <w:r>
        <w:rPr>
          <w:sz w:val="24"/>
        </w:rPr>
        <w:t>van trombose onder TAR, overweeg te switchen naar VKA, INR 2 – 3.</w:t>
      </w:r>
    </w:p>
    <w:p>
      <w:pPr>
        <w:pStyle w:val="ListParagraph"/>
        <w:numPr>
          <w:ilvl w:val="0"/>
          <w:numId w:val="3"/>
        </w:numPr>
        <w:tabs>
          <w:tab w:pos="859" w:val="left" w:leader="none"/>
          <w:tab w:pos="861" w:val="left" w:leader="none"/>
        </w:tabs>
        <w:spacing w:line="240" w:lineRule="auto" w:before="0" w:after="0"/>
        <w:ind w:left="861" w:right="250" w:hanging="360"/>
        <w:jc w:val="left"/>
        <w:rPr>
          <w:sz w:val="24"/>
        </w:rPr>
      </w:pPr>
      <w:r>
        <w:rPr>
          <w:sz w:val="24"/>
        </w:rPr>
        <w:t>Bij</w:t>
      </w:r>
      <w:r>
        <w:rPr>
          <w:spacing w:val="-4"/>
          <w:sz w:val="24"/>
        </w:rPr>
        <w:t> </w:t>
      </w:r>
      <w:r>
        <w:rPr>
          <w:sz w:val="24"/>
        </w:rPr>
        <w:t>alle</w:t>
      </w:r>
      <w:r>
        <w:rPr>
          <w:spacing w:val="-3"/>
          <w:sz w:val="24"/>
        </w:rPr>
        <w:t> </w:t>
      </w:r>
      <w:r>
        <w:rPr>
          <w:sz w:val="24"/>
        </w:rPr>
        <w:t>kinderen</w:t>
      </w:r>
      <w:r>
        <w:rPr>
          <w:spacing w:val="-3"/>
          <w:sz w:val="24"/>
        </w:rPr>
        <w:t> </w:t>
      </w:r>
      <w:r>
        <w:rPr>
          <w:sz w:val="24"/>
        </w:rPr>
        <w:t>met</w:t>
      </w:r>
      <w:r>
        <w:rPr>
          <w:spacing w:val="-3"/>
          <w:sz w:val="24"/>
        </w:rPr>
        <w:t> </w:t>
      </w:r>
      <w:r>
        <w:rPr>
          <w:sz w:val="24"/>
        </w:rPr>
        <w:t>een</w:t>
      </w:r>
      <w:r>
        <w:rPr>
          <w:spacing w:val="-5"/>
          <w:sz w:val="24"/>
        </w:rPr>
        <w:t> </w:t>
      </w:r>
      <w:r>
        <w:rPr>
          <w:sz w:val="24"/>
        </w:rPr>
        <w:t>cardiale</w:t>
      </w:r>
      <w:r>
        <w:rPr>
          <w:spacing w:val="-5"/>
          <w:sz w:val="24"/>
        </w:rPr>
        <w:t> </w:t>
      </w:r>
      <w:r>
        <w:rPr>
          <w:sz w:val="24"/>
        </w:rPr>
        <w:t>anomalie</w:t>
      </w:r>
      <w:r>
        <w:rPr>
          <w:spacing w:val="-5"/>
          <w:sz w:val="24"/>
        </w:rPr>
        <w:t> </w:t>
      </w:r>
      <w:r>
        <w:rPr>
          <w:sz w:val="24"/>
        </w:rPr>
        <w:t>die</w:t>
      </w:r>
      <w:r>
        <w:rPr>
          <w:spacing w:val="-6"/>
          <w:sz w:val="24"/>
        </w:rPr>
        <w:t> </w:t>
      </w:r>
      <w:r>
        <w:rPr>
          <w:sz w:val="24"/>
        </w:rPr>
        <w:t>een</w:t>
      </w:r>
      <w:r>
        <w:rPr>
          <w:spacing w:val="-3"/>
          <w:sz w:val="24"/>
        </w:rPr>
        <w:t> </w:t>
      </w:r>
      <w:r>
        <w:rPr>
          <w:sz w:val="24"/>
        </w:rPr>
        <w:t>cardiochirurgisch</w:t>
      </w:r>
      <w:r>
        <w:rPr>
          <w:spacing w:val="-3"/>
          <w:sz w:val="24"/>
        </w:rPr>
        <w:t> </w:t>
      </w:r>
      <w:r>
        <w:rPr>
          <w:sz w:val="24"/>
        </w:rPr>
        <w:t>traject</w:t>
      </w:r>
      <w:r>
        <w:rPr>
          <w:spacing w:val="-3"/>
          <w:sz w:val="24"/>
        </w:rPr>
        <w:t> </w:t>
      </w:r>
      <w:r>
        <w:rPr>
          <w:sz w:val="24"/>
        </w:rPr>
        <w:t>ingaan wordt in principe geen trombofilie onderzoek preoperatief verricht.</w:t>
      </w:r>
    </w:p>
    <w:p>
      <w:pPr>
        <w:pStyle w:val="BodyText"/>
        <w:spacing w:before="148"/>
        <w:ind w:left="0"/>
      </w:pPr>
    </w:p>
    <w:p>
      <w:pPr>
        <w:pStyle w:val="Heading1"/>
      </w:pPr>
      <w:r>
        <w:rPr/>
        <w:t>Tabel </w:t>
      </w:r>
      <w:r>
        <w:rPr>
          <w:spacing w:val="-5"/>
        </w:rPr>
        <w:t>2.</w:t>
      </w:r>
    </w:p>
    <w:p>
      <w:pPr>
        <w:pStyle w:val="BodyText"/>
        <w:spacing w:before="146"/>
      </w:pPr>
      <w:r>
        <w:rPr/>
        <w:t>Extra</w:t>
      </w:r>
      <w:r>
        <w:rPr>
          <w:spacing w:val="-4"/>
        </w:rPr>
        <w:t> </w:t>
      </w:r>
      <w:r>
        <w:rPr/>
        <w:t>risicofactoren</w:t>
      </w:r>
      <w:r>
        <w:rPr>
          <w:spacing w:val="-2"/>
        </w:rPr>
        <w:t> </w:t>
      </w:r>
      <w:r>
        <w:rPr/>
        <w:t>voor</w:t>
      </w:r>
      <w:r>
        <w:rPr>
          <w:spacing w:val="-5"/>
        </w:rPr>
        <w:t> </w:t>
      </w:r>
      <w:r>
        <w:rPr/>
        <w:t>trombose</w:t>
      </w:r>
      <w:r>
        <w:rPr>
          <w:spacing w:val="-5"/>
        </w:rPr>
        <w:t> </w:t>
      </w:r>
      <w:r>
        <w:rPr/>
        <w:t>bij</w:t>
      </w:r>
      <w:r>
        <w:rPr>
          <w:spacing w:val="-4"/>
        </w:rPr>
        <w:t> </w:t>
      </w:r>
      <w:r>
        <w:rPr/>
        <w:t>patiënten</w:t>
      </w:r>
      <w:r>
        <w:rPr>
          <w:spacing w:val="-6"/>
        </w:rPr>
        <w:t> </w:t>
      </w:r>
      <w:r>
        <w:rPr/>
        <w:t>met</w:t>
      </w:r>
      <w:r>
        <w:rPr>
          <w:spacing w:val="-1"/>
        </w:rPr>
        <w:t> </w:t>
      </w:r>
      <w:r>
        <w:rPr/>
        <w:t>een</w:t>
      </w:r>
      <w:r>
        <w:rPr>
          <w:spacing w:val="-4"/>
        </w:rPr>
        <w:t> </w:t>
      </w:r>
      <w:r>
        <w:rPr/>
        <w:t>Fontan</w:t>
      </w:r>
      <w:r>
        <w:rPr>
          <w:spacing w:val="-4"/>
        </w:rPr>
        <w:t> </w:t>
      </w:r>
      <w:r>
        <w:rPr/>
        <w:t>circulatie (52-</w:t>
      </w:r>
      <w:r>
        <w:rPr>
          <w:spacing w:val="-5"/>
        </w:rPr>
        <w:t>54)</w:t>
      </w:r>
    </w:p>
    <w:p>
      <w:pPr>
        <w:pStyle w:val="BodyText"/>
        <w:ind w:left="0"/>
        <w:rPr>
          <w:sz w:val="12"/>
        </w:rPr>
      </w:pPr>
    </w:p>
    <w:tbl>
      <w:tblPr>
        <w:tblW w:w="0" w:type="auto"/>
        <w:jc w:val="left"/>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45"/>
      </w:tblGrid>
      <w:tr>
        <w:trPr>
          <w:trHeight w:val="314" w:hRule="atLeast"/>
        </w:trPr>
        <w:tc>
          <w:tcPr>
            <w:tcW w:w="7045" w:type="dxa"/>
            <w:tcBorders>
              <w:bottom w:val="nil"/>
            </w:tcBorders>
          </w:tcPr>
          <w:p>
            <w:pPr>
              <w:pStyle w:val="TableParagraph"/>
              <w:spacing w:line="292" w:lineRule="exact"/>
              <w:ind w:left="107"/>
              <w:rPr>
                <w:sz w:val="24"/>
              </w:rPr>
            </w:pPr>
            <w:r>
              <w:rPr>
                <w:spacing w:val="-2"/>
                <w:sz w:val="24"/>
              </w:rPr>
              <w:t>Ritmestoornissen</w:t>
            </w:r>
          </w:p>
        </w:tc>
      </w:tr>
      <w:tr>
        <w:trPr>
          <w:trHeight w:val="292" w:hRule="atLeast"/>
        </w:trPr>
        <w:tc>
          <w:tcPr>
            <w:tcW w:w="7045" w:type="dxa"/>
            <w:tcBorders>
              <w:top w:val="nil"/>
              <w:bottom w:val="nil"/>
            </w:tcBorders>
          </w:tcPr>
          <w:p>
            <w:pPr>
              <w:pStyle w:val="TableParagraph"/>
              <w:spacing w:line="271" w:lineRule="exact"/>
              <w:ind w:left="107"/>
              <w:rPr>
                <w:sz w:val="24"/>
              </w:rPr>
            </w:pPr>
            <w:r>
              <w:rPr>
                <w:sz w:val="24"/>
              </w:rPr>
              <w:t>Verminderde</w:t>
            </w:r>
            <w:r>
              <w:rPr>
                <w:spacing w:val="-6"/>
                <w:sz w:val="24"/>
              </w:rPr>
              <w:t> </w:t>
            </w:r>
            <w:r>
              <w:rPr>
                <w:sz w:val="24"/>
              </w:rPr>
              <w:t>of</w:t>
            </w:r>
            <w:r>
              <w:rPr>
                <w:spacing w:val="-3"/>
                <w:sz w:val="24"/>
              </w:rPr>
              <w:t> </w:t>
            </w:r>
            <w:r>
              <w:rPr>
                <w:sz w:val="24"/>
              </w:rPr>
              <w:t>afname</w:t>
            </w:r>
            <w:r>
              <w:rPr>
                <w:spacing w:val="-5"/>
                <w:sz w:val="24"/>
              </w:rPr>
              <w:t> </w:t>
            </w:r>
            <w:r>
              <w:rPr>
                <w:sz w:val="24"/>
              </w:rPr>
              <w:t>ventrikel</w:t>
            </w:r>
            <w:r>
              <w:rPr>
                <w:spacing w:val="-4"/>
                <w:sz w:val="24"/>
              </w:rPr>
              <w:t> </w:t>
            </w:r>
            <w:r>
              <w:rPr>
                <w:spacing w:val="-2"/>
                <w:sz w:val="24"/>
              </w:rPr>
              <w:t>functie</w:t>
            </w:r>
          </w:p>
        </w:tc>
      </w:tr>
      <w:tr>
        <w:trPr>
          <w:trHeight w:val="292" w:hRule="atLeast"/>
        </w:trPr>
        <w:tc>
          <w:tcPr>
            <w:tcW w:w="7045" w:type="dxa"/>
            <w:tcBorders>
              <w:top w:val="nil"/>
              <w:bottom w:val="nil"/>
            </w:tcBorders>
          </w:tcPr>
          <w:p>
            <w:pPr>
              <w:pStyle w:val="TableParagraph"/>
              <w:spacing w:line="271" w:lineRule="exact"/>
              <w:ind w:left="107"/>
              <w:rPr>
                <w:sz w:val="24"/>
              </w:rPr>
            </w:pPr>
            <w:r>
              <w:rPr>
                <w:sz w:val="24"/>
              </w:rPr>
              <w:t>Aanwezigheid</w:t>
            </w:r>
            <w:r>
              <w:rPr>
                <w:spacing w:val="-6"/>
                <w:sz w:val="24"/>
              </w:rPr>
              <w:t> </w:t>
            </w:r>
            <w:r>
              <w:rPr>
                <w:sz w:val="24"/>
              </w:rPr>
              <w:t>van</w:t>
            </w:r>
            <w:r>
              <w:rPr>
                <w:spacing w:val="-5"/>
                <w:sz w:val="24"/>
              </w:rPr>
              <w:t> </w:t>
            </w:r>
            <w:r>
              <w:rPr>
                <w:sz w:val="24"/>
              </w:rPr>
              <w:t>niet</w:t>
            </w:r>
            <w:r>
              <w:rPr>
                <w:spacing w:val="-4"/>
                <w:sz w:val="24"/>
              </w:rPr>
              <w:t> </w:t>
            </w:r>
            <w:r>
              <w:rPr>
                <w:sz w:val="24"/>
              </w:rPr>
              <w:t>afgesloten</w:t>
            </w:r>
            <w:r>
              <w:rPr>
                <w:spacing w:val="-3"/>
                <w:sz w:val="24"/>
              </w:rPr>
              <w:t> </w:t>
            </w:r>
            <w:r>
              <w:rPr>
                <w:sz w:val="24"/>
              </w:rPr>
              <w:t>blinde pulmonalisstomp</w:t>
            </w:r>
            <w:r>
              <w:rPr>
                <w:spacing w:val="-6"/>
                <w:sz w:val="24"/>
              </w:rPr>
              <w:t> </w:t>
            </w:r>
            <w:r>
              <w:rPr>
                <w:sz w:val="24"/>
              </w:rPr>
              <w:t>op</w:t>
            </w:r>
            <w:r>
              <w:rPr>
                <w:spacing w:val="-5"/>
                <w:sz w:val="24"/>
              </w:rPr>
              <w:t> </w:t>
            </w:r>
            <w:r>
              <w:rPr>
                <w:sz w:val="24"/>
              </w:rPr>
              <w:t>het</w:t>
            </w:r>
            <w:r>
              <w:rPr>
                <w:spacing w:val="-5"/>
                <w:sz w:val="24"/>
              </w:rPr>
              <w:t> </w:t>
            </w:r>
            <w:r>
              <w:rPr>
                <w:spacing w:val="-4"/>
                <w:sz w:val="24"/>
              </w:rPr>
              <w:t>hart</w:t>
            </w:r>
          </w:p>
        </w:tc>
      </w:tr>
      <w:tr>
        <w:trPr>
          <w:trHeight w:val="292" w:hRule="atLeast"/>
        </w:trPr>
        <w:tc>
          <w:tcPr>
            <w:tcW w:w="7045" w:type="dxa"/>
            <w:tcBorders>
              <w:top w:val="nil"/>
              <w:bottom w:val="nil"/>
            </w:tcBorders>
          </w:tcPr>
          <w:p>
            <w:pPr>
              <w:pStyle w:val="TableParagraph"/>
              <w:spacing w:line="271" w:lineRule="exact"/>
              <w:ind w:left="107"/>
              <w:rPr>
                <w:sz w:val="24"/>
              </w:rPr>
            </w:pPr>
            <w:r>
              <w:rPr>
                <w:sz w:val="24"/>
              </w:rPr>
              <w:t>Protein</w:t>
            </w:r>
            <w:r>
              <w:rPr>
                <w:spacing w:val="-4"/>
                <w:sz w:val="24"/>
              </w:rPr>
              <w:t> </w:t>
            </w:r>
            <w:r>
              <w:rPr>
                <w:sz w:val="24"/>
              </w:rPr>
              <w:t>loosing</w:t>
            </w:r>
            <w:r>
              <w:rPr>
                <w:spacing w:val="-5"/>
                <w:sz w:val="24"/>
              </w:rPr>
              <w:t> </w:t>
            </w:r>
            <w:r>
              <w:rPr>
                <w:spacing w:val="-2"/>
                <w:sz w:val="24"/>
              </w:rPr>
              <w:t>enteropathie</w:t>
            </w:r>
          </w:p>
        </w:tc>
      </w:tr>
      <w:tr>
        <w:trPr>
          <w:trHeight w:val="271" w:hRule="atLeast"/>
        </w:trPr>
        <w:tc>
          <w:tcPr>
            <w:tcW w:w="7045" w:type="dxa"/>
            <w:tcBorders>
              <w:top w:val="nil"/>
            </w:tcBorders>
          </w:tcPr>
          <w:p>
            <w:pPr>
              <w:pStyle w:val="TableParagraph"/>
              <w:spacing w:line="251" w:lineRule="exact"/>
              <w:ind w:left="107"/>
              <w:rPr>
                <w:sz w:val="24"/>
              </w:rPr>
            </w:pPr>
            <w:r>
              <w:rPr>
                <w:sz w:val="24"/>
              </w:rPr>
              <w:t>Andere</w:t>
            </w:r>
            <w:r>
              <w:rPr>
                <w:spacing w:val="-3"/>
                <w:sz w:val="24"/>
              </w:rPr>
              <w:t> </w:t>
            </w:r>
            <w:r>
              <w:rPr>
                <w:sz w:val="24"/>
              </w:rPr>
              <w:t>redenen</w:t>
            </w:r>
            <w:r>
              <w:rPr>
                <w:spacing w:val="-4"/>
                <w:sz w:val="24"/>
              </w:rPr>
              <w:t> </w:t>
            </w:r>
            <w:r>
              <w:rPr>
                <w:sz w:val="24"/>
              </w:rPr>
              <w:t>ter</w:t>
            </w:r>
            <w:r>
              <w:rPr>
                <w:spacing w:val="-2"/>
                <w:sz w:val="24"/>
              </w:rPr>
              <w:t> </w:t>
            </w:r>
            <w:r>
              <w:rPr>
                <w:sz w:val="24"/>
              </w:rPr>
              <w:t>beoordeling</w:t>
            </w:r>
            <w:r>
              <w:rPr>
                <w:spacing w:val="-3"/>
                <w:sz w:val="24"/>
              </w:rPr>
              <w:t> </w:t>
            </w:r>
            <w:r>
              <w:rPr>
                <w:sz w:val="24"/>
              </w:rPr>
              <w:t>van</w:t>
            </w:r>
            <w:r>
              <w:rPr>
                <w:spacing w:val="-4"/>
                <w:sz w:val="24"/>
              </w:rPr>
              <w:t> </w:t>
            </w:r>
            <w:r>
              <w:rPr>
                <w:sz w:val="24"/>
              </w:rPr>
              <w:t>de</w:t>
            </w:r>
            <w:r>
              <w:rPr>
                <w:spacing w:val="-4"/>
                <w:sz w:val="24"/>
              </w:rPr>
              <w:t> </w:t>
            </w:r>
            <w:r>
              <w:rPr>
                <w:spacing w:val="-2"/>
                <w:sz w:val="24"/>
              </w:rPr>
              <w:t>behandelaar</w:t>
            </w:r>
          </w:p>
        </w:tc>
      </w:tr>
    </w:tbl>
    <w:p>
      <w:pPr>
        <w:pStyle w:val="TableParagraph"/>
        <w:spacing w:after="0" w:line="251" w:lineRule="exact"/>
        <w:rPr>
          <w:sz w:val="24"/>
        </w:rPr>
        <w:sectPr>
          <w:pgSz w:w="11910" w:h="16840"/>
          <w:pgMar w:header="0" w:footer="750" w:top="1360" w:bottom="940" w:left="1275" w:right="1417"/>
        </w:sectPr>
      </w:pPr>
    </w:p>
    <w:p>
      <w:pPr>
        <w:pStyle w:val="Heading1"/>
        <w:spacing w:before="37"/>
      </w:pPr>
      <w:r>
        <w:rPr/>
        <w:t>Gedilateerde</w:t>
      </w:r>
      <w:r>
        <w:rPr>
          <w:spacing w:val="-4"/>
        </w:rPr>
        <w:t> </w:t>
      </w:r>
      <w:r>
        <w:rPr>
          <w:spacing w:val="-2"/>
        </w:rPr>
        <w:t>cardiomyopathie</w:t>
      </w:r>
    </w:p>
    <w:p>
      <w:pPr>
        <w:pStyle w:val="BodyText"/>
        <w:spacing w:before="2"/>
        <w:ind w:left="0"/>
        <w:rPr>
          <w:b/>
        </w:rPr>
      </w:pPr>
    </w:p>
    <w:p>
      <w:pPr>
        <w:pStyle w:val="BodyText"/>
      </w:pPr>
      <w:r>
        <w:rPr/>
        <w:t>C.H.</w:t>
      </w:r>
      <w:r>
        <w:rPr>
          <w:spacing w:val="-8"/>
        </w:rPr>
        <w:t> </w:t>
      </w:r>
      <w:r>
        <w:rPr/>
        <w:t>van</w:t>
      </w:r>
      <w:r>
        <w:rPr>
          <w:spacing w:val="-3"/>
        </w:rPr>
        <w:t> </w:t>
      </w:r>
      <w:r>
        <w:rPr/>
        <w:t>Ommen,</w:t>
      </w:r>
      <w:r>
        <w:rPr>
          <w:spacing w:val="-4"/>
        </w:rPr>
        <w:t> </w:t>
      </w:r>
      <w:r>
        <w:rPr/>
        <w:t>kinderarts-hematoloog,</w:t>
      </w:r>
      <w:r>
        <w:rPr>
          <w:spacing w:val="-5"/>
        </w:rPr>
        <w:t> </w:t>
      </w:r>
      <w:r>
        <w:rPr/>
        <w:t>Erasmus</w:t>
      </w:r>
      <w:r>
        <w:rPr>
          <w:spacing w:val="-4"/>
        </w:rPr>
        <w:t> </w:t>
      </w:r>
      <w:r>
        <w:rPr/>
        <w:t>MC-Sophia</w:t>
      </w:r>
      <w:r>
        <w:rPr>
          <w:spacing w:val="-4"/>
        </w:rPr>
        <w:t> </w:t>
      </w:r>
      <w:r>
        <w:rPr>
          <w:spacing w:val="-2"/>
        </w:rPr>
        <w:t>Kinderziekenhuis</w:t>
      </w:r>
    </w:p>
    <w:p>
      <w:pPr>
        <w:pStyle w:val="BodyText"/>
      </w:pPr>
      <w:r>
        <w:rPr/>
        <w:t>M.</w:t>
      </w:r>
      <w:r>
        <w:rPr>
          <w:spacing w:val="-8"/>
        </w:rPr>
        <w:t> </w:t>
      </w:r>
      <w:r>
        <w:rPr/>
        <w:t>Dalinghaus,</w:t>
      </w:r>
      <w:r>
        <w:rPr>
          <w:spacing w:val="-6"/>
        </w:rPr>
        <w:t> </w:t>
      </w:r>
      <w:r>
        <w:rPr/>
        <w:t>kinderarts-cardioloog,</w:t>
      </w:r>
      <w:r>
        <w:rPr>
          <w:spacing w:val="-5"/>
        </w:rPr>
        <w:t> </w:t>
      </w:r>
      <w:r>
        <w:rPr/>
        <w:t>Erasmus</w:t>
      </w:r>
      <w:r>
        <w:rPr>
          <w:spacing w:val="-7"/>
        </w:rPr>
        <w:t> </w:t>
      </w:r>
      <w:r>
        <w:rPr/>
        <w:t>MC-Sophia</w:t>
      </w:r>
      <w:r>
        <w:rPr>
          <w:spacing w:val="-6"/>
        </w:rPr>
        <w:t> </w:t>
      </w:r>
      <w:r>
        <w:rPr>
          <w:spacing w:val="-2"/>
        </w:rPr>
        <w:t>Kinderziekenhuis</w:t>
      </w:r>
    </w:p>
    <w:p>
      <w:pPr>
        <w:pStyle w:val="BodyText"/>
        <w:ind w:left="0"/>
      </w:pPr>
    </w:p>
    <w:p>
      <w:pPr>
        <w:pStyle w:val="Heading1"/>
      </w:pPr>
      <w:r>
        <w:rPr>
          <w:spacing w:val="-2"/>
        </w:rPr>
        <w:t>Inleiding</w:t>
      </w:r>
    </w:p>
    <w:p>
      <w:pPr>
        <w:pStyle w:val="BodyText"/>
      </w:pPr>
      <w:r>
        <w:rPr/>
        <w:t>Gedilateerde cardiomyopathie is de meest frequente vorm van cardiomyopathie en de belangrijkste oorzaak van harttransplantatie bij kinderen. Deze hartafwijking wordt gekenmerkt door een gedilateerde linker ventrikel en systolische dysfunctie, dat vaak resulteert in hartfalen. De incidentie is 0.57 per 100.000 kinderen per jaar</w:t>
      </w:r>
      <w:r>
        <w:rPr>
          <w:spacing w:val="-1"/>
        </w:rPr>
        <w:t> </w:t>
      </w:r>
      <w:r>
        <w:rPr/>
        <w:t>in Amerika. De aandoening wordt vaker gezien bij jongens en bij kinderen in het eerste levensjaar. De belangrijkste oorzaken van cardiomyopathie zijn idiopatisch (66%), myocarditis (16%), en neuromusculair</w:t>
      </w:r>
      <w:r>
        <w:rPr>
          <w:spacing w:val="-4"/>
        </w:rPr>
        <w:t> </w:t>
      </w:r>
      <w:r>
        <w:rPr/>
        <w:t>(9%).</w:t>
      </w:r>
      <w:r>
        <w:rPr>
          <w:spacing w:val="-3"/>
        </w:rPr>
        <w:t> </w:t>
      </w:r>
      <w:r>
        <w:rPr/>
        <w:t>De</w:t>
      </w:r>
      <w:r>
        <w:rPr>
          <w:spacing w:val="-4"/>
        </w:rPr>
        <w:t> </w:t>
      </w:r>
      <w:r>
        <w:rPr/>
        <w:t>overleving</w:t>
      </w:r>
      <w:r>
        <w:rPr>
          <w:spacing w:val="-4"/>
        </w:rPr>
        <w:t> </w:t>
      </w:r>
      <w:r>
        <w:rPr/>
        <w:t>is</w:t>
      </w:r>
      <w:r>
        <w:rPr>
          <w:spacing w:val="-2"/>
        </w:rPr>
        <w:t> </w:t>
      </w:r>
      <w:r>
        <w:rPr/>
        <w:t>afhankelijk</w:t>
      </w:r>
      <w:r>
        <w:rPr>
          <w:spacing w:val="-5"/>
        </w:rPr>
        <w:t> </w:t>
      </w:r>
      <w:r>
        <w:rPr/>
        <w:t>van</w:t>
      </w:r>
      <w:r>
        <w:rPr>
          <w:spacing w:val="-1"/>
        </w:rPr>
        <w:t> </w:t>
      </w:r>
      <w:r>
        <w:rPr/>
        <w:t>de</w:t>
      </w:r>
      <w:r>
        <w:rPr>
          <w:spacing w:val="-4"/>
        </w:rPr>
        <w:t> </w:t>
      </w:r>
      <w:r>
        <w:rPr/>
        <w:t>oorzaak.</w:t>
      </w:r>
      <w:r>
        <w:rPr>
          <w:spacing w:val="-3"/>
        </w:rPr>
        <w:t> </w:t>
      </w:r>
      <w:r>
        <w:rPr/>
        <w:t>De</w:t>
      </w:r>
      <w:r>
        <w:rPr>
          <w:spacing w:val="-1"/>
        </w:rPr>
        <w:t> </w:t>
      </w:r>
      <w:r>
        <w:rPr/>
        <w:t>gemiddelde</w:t>
      </w:r>
      <w:r>
        <w:rPr>
          <w:spacing w:val="-3"/>
        </w:rPr>
        <w:t> </w:t>
      </w:r>
      <w:r>
        <w:rPr/>
        <w:t>10-jaars overleving is 70%.(55)</w:t>
      </w:r>
    </w:p>
    <w:p>
      <w:pPr>
        <w:pStyle w:val="BodyText"/>
      </w:pPr>
      <w:r>
        <w:rPr/>
        <w:t>Als complicatie van de systolische dysfunctie bij cardiomyopathie kunnen trombo-embolische</w:t>
      </w:r>
      <w:r>
        <w:rPr>
          <w:spacing w:val="-5"/>
        </w:rPr>
        <w:t> </w:t>
      </w:r>
      <w:r>
        <w:rPr/>
        <w:t>complicaties</w:t>
      </w:r>
      <w:r>
        <w:rPr>
          <w:spacing w:val="-5"/>
        </w:rPr>
        <w:t> </w:t>
      </w:r>
      <w:r>
        <w:rPr/>
        <w:t>optreden. De</w:t>
      </w:r>
      <w:r>
        <w:rPr>
          <w:spacing w:val="-2"/>
        </w:rPr>
        <w:t> </w:t>
      </w:r>
      <w:r>
        <w:rPr/>
        <w:t>trombi</w:t>
      </w:r>
      <w:r>
        <w:rPr>
          <w:spacing w:val="-3"/>
        </w:rPr>
        <w:t> </w:t>
      </w:r>
      <w:r>
        <w:rPr/>
        <w:t>ontstaan</w:t>
      </w:r>
      <w:r>
        <w:rPr>
          <w:spacing w:val="-4"/>
        </w:rPr>
        <w:t> </w:t>
      </w:r>
      <w:r>
        <w:rPr/>
        <w:t>meestal</w:t>
      </w:r>
      <w:r>
        <w:rPr>
          <w:spacing w:val="-2"/>
        </w:rPr>
        <w:t> </w:t>
      </w:r>
      <w:r>
        <w:rPr/>
        <w:t>in</w:t>
      </w:r>
      <w:r>
        <w:rPr>
          <w:spacing w:val="-4"/>
        </w:rPr>
        <w:t> </w:t>
      </w:r>
      <w:r>
        <w:rPr/>
        <w:t>de</w:t>
      </w:r>
      <w:r>
        <w:rPr>
          <w:spacing w:val="-2"/>
        </w:rPr>
        <w:t> </w:t>
      </w:r>
      <w:r>
        <w:rPr/>
        <w:t>linker</w:t>
      </w:r>
      <w:r>
        <w:rPr>
          <w:spacing w:val="-2"/>
        </w:rPr>
        <w:t> </w:t>
      </w:r>
      <w:r>
        <w:rPr/>
        <w:t>ventrikel</w:t>
      </w:r>
      <w:r>
        <w:rPr>
          <w:spacing w:val="-2"/>
        </w:rPr>
        <w:t> </w:t>
      </w:r>
      <w:r>
        <w:rPr/>
        <w:t>van</w:t>
      </w:r>
      <w:r>
        <w:rPr>
          <w:spacing w:val="-4"/>
        </w:rPr>
        <w:t> </w:t>
      </w:r>
      <w:r>
        <w:rPr/>
        <w:t>het hart, maar kunnen ook ontstaan in de atria en rechter ventrikel. Een trombus in de linker ventrikel kan leiden tot embolische stroke of perifere arteriële emboliën, een trombus in de rechter ventrikel kan aanleiding geven tot longemboliën. Ter preventie van deze trombo-embolische processen bij gedilateerde cardiomyopathie kunnen anticoagulantia voorgeschreven worden.</w:t>
      </w:r>
    </w:p>
    <w:p>
      <w:pPr>
        <w:pStyle w:val="BodyText"/>
        <w:ind w:left="0"/>
      </w:pPr>
    </w:p>
    <w:p>
      <w:pPr>
        <w:pStyle w:val="Heading1"/>
      </w:pPr>
      <w:r>
        <w:rPr/>
        <w:t>Samenvatting</w:t>
      </w:r>
      <w:r>
        <w:rPr>
          <w:spacing w:val="-4"/>
        </w:rPr>
        <w:t> </w:t>
      </w:r>
      <w:r>
        <w:rPr>
          <w:spacing w:val="-2"/>
        </w:rPr>
        <w:t>literatuur</w:t>
      </w:r>
    </w:p>
    <w:p>
      <w:pPr>
        <w:pStyle w:val="BodyText"/>
      </w:pPr>
      <w:r>
        <w:rPr/>
        <w:t>Slechts case-reports en case-series maken melding van trombo-embolische processen bij </w:t>
      </w:r>
      <w:r>
        <w:rPr>
          <w:u w:val="single"/>
        </w:rPr>
        <w:t>kinderen</w:t>
      </w:r>
      <w:r>
        <w:rPr>
          <w:spacing w:val="-1"/>
          <w:u w:val="none"/>
        </w:rPr>
        <w:t> </w:t>
      </w:r>
      <w:r>
        <w:rPr>
          <w:u w:val="none"/>
        </w:rPr>
        <w:t>met</w:t>
      </w:r>
      <w:r>
        <w:rPr>
          <w:spacing w:val="-2"/>
          <w:u w:val="none"/>
        </w:rPr>
        <w:t> </w:t>
      </w:r>
      <w:r>
        <w:rPr>
          <w:u w:val="none"/>
        </w:rPr>
        <w:t>cardiomyopathie.</w:t>
      </w:r>
      <w:r>
        <w:rPr>
          <w:spacing w:val="-1"/>
          <w:u w:val="none"/>
        </w:rPr>
        <w:t> </w:t>
      </w:r>
      <w:r>
        <w:rPr>
          <w:u w:val="none"/>
        </w:rPr>
        <w:t>In</w:t>
      </w:r>
      <w:r>
        <w:rPr>
          <w:spacing w:val="-5"/>
          <w:u w:val="none"/>
        </w:rPr>
        <w:t> </w:t>
      </w:r>
      <w:r>
        <w:rPr>
          <w:u w:val="none"/>
        </w:rPr>
        <w:t>deze</w:t>
      </w:r>
      <w:r>
        <w:rPr>
          <w:spacing w:val="-4"/>
          <w:u w:val="none"/>
        </w:rPr>
        <w:t> </w:t>
      </w:r>
      <w:r>
        <w:rPr>
          <w:u w:val="none"/>
        </w:rPr>
        <w:t>artikelen</w:t>
      </w:r>
      <w:r>
        <w:rPr>
          <w:spacing w:val="-4"/>
          <w:u w:val="none"/>
        </w:rPr>
        <w:t> </w:t>
      </w:r>
      <w:r>
        <w:rPr>
          <w:u w:val="none"/>
        </w:rPr>
        <w:t>worden</w:t>
      </w:r>
      <w:r>
        <w:rPr>
          <w:spacing w:val="-4"/>
          <w:u w:val="none"/>
        </w:rPr>
        <w:t> </w:t>
      </w:r>
      <w:r>
        <w:rPr>
          <w:u w:val="none"/>
        </w:rPr>
        <w:t>afwisselend</w:t>
      </w:r>
      <w:r>
        <w:rPr>
          <w:spacing w:val="-2"/>
          <w:u w:val="none"/>
        </w:rPr>
        <w:t> </w:t>
      </w:r>
      <w:r>
        <w:rPr>
          <w:u w:val="none"/>
        </w:rPr>
        <w:t>de</w:t>
      </w:r>
      <w:r>
        <w:rPr>
          <w:spacing w:val="-4"/>
          <w:u w:val="none"/>
        </w:rPr>
        <w:t> </w:t>
      </w:r>
      <w:r>
        <w:rPr>
          <w:u w:val="none"/>
        </w:rPr>
        <w:t>ejectiefractie</w:t>
      </w:r>
      <w:r>
        <w:rPr>
          <w:spacing w:val="-2"/>
          <w:u w:val="none"/>
        </w:rPr>
        <w:t> </w:t>
      </w:r>
      <w:r>
        <w:rPr>
          <w:u w:val="none"/>
        </w:rPr>
        <w:t>en</w:t>
      </w:r>
      <w:r>
        <w:rPr>
          <w:spacing w:val="-4"/>
          <w:u w:val="none"/>
        </w:rPr>
        <w:t> </w:t>
      </w:r>
      <w:r>
        <w:rPr>
          <w:u w:val="none"/>
        </w:rPr>
        <w:t>de verkortingsfractie gemeld.</w:t>
      </w:r>
    </w:p>
    <w:p>
      <w:pPr>
        <w:pStyle w:val="BodyText"/>
        <w:ind w:right="46"/>
      </w:pPr>
      <w:r>
        <w:rPr>
          <w:b/>
        </w:rPr>
        <w:t>Arola et al </w:t>
      </w:r>
      <w:r>
        <w:rPr/>
        <w:t>verrichtten een retrospectieve studie</w:t>
      </w:r>
      <w:r>
        <w:rPr>
          <w:spacing w:val="-1"/>
        </w:rPr>
        <w:t> </w:t>
      </w:r>
      <w:r>
        <w:rPr/>
        <w:t>in 1998 naar risicofactoren en uitkomsten van 62 Finse patiënten (mediane leeftijd 13 maanden) met gedilateerde cardiomyopathie. Acht</w:t>
      </w:r>
      <w:r>
        <w:rPr>
          <w:spacing w:val="-4"/>
        </w:rPr>
        <w:t> </w:t>
      </w:r>
      <w:r>
        <w:rPr/>
        <w:t>van</w:t>
      </w:r>
      <w:r>
        <w:rPr>
          <w:spacing w:val="-4"/>
        </w:rPr>
        <w:t> </w:t>
      </w:r>
      <w:r>
        <w:rPr/>
        <w:t>de</w:t>
      </w:r>
      <w:r>
        <w:rPr>
          <w:spacing w:val="-4"/>
        </w:rPr>
        <w:t> </w:t>
      </w:r>
      <w:r>
        <w:rPr/>
        <w:t>55</w:t>
      </w:r>
      <w:r>
        <w:rPr>
          <w:spacing w:val="-4"/>
        </w:rPr>
        <w:t> </w:t>
      </w:r>
      <w:r>
        <w:rPr/>
        <w:t>kinderen</w:t>
      </w:r>
      <w:r>
        <w:rPr>
          <w:spacing w:val="-5"/>
        </w:rPr>
        <w:t> </w:t>
      </w:r>
      <w:r>
        <w:rPr/>
        <w:t>(15%)</w:t>
      </w:r>
      <w:r>
        <w:rPr>
          <w:spacing w:val="-5"/>
        </w:rPr>
        <w:t> </w:t>
      </w:r>
      <w:r>
        <w:rPr/>
        <w:t>zonder</w:t>
      </w:r>
      <w:r>
        <w:rPr>
          <w:spacing w:val="-4"/>
        </w:rPr>
        <w:t> </w:t>
      </w:r>
      <w:r>
        <w:rPr/>
        <w:t>antistolling</w:t>
      </w:r>
      <w:r>
        <w:rPr>
          <w:spacing w:val="-6"/>
        </w:rPr>
        <w:t> </w:t>
      </w:r>
      <w:r>
        <w:rPr/>
        <w:t>ontwikkelden</w:t>
      </w:r>
      <w:r>
        <w:rPr>
          <w:spacing w:val="-3"/>
        </w:rPr>
        <w:t> </w:t>
      </w:r>
      <w:r>
        <w:rPr/>
        <w:t>een</w:t>
      </w:r>
      <w:r>
        <w:rPr>
          <w:spacing w:val="-3"/>
        </w:rPr>
        <w:t> </w:t>
      </w:r>
      <w:r>
        <w:rPr/>
        <w:t>intracardiale</w:t>
      </w:r>
      <w:r>
        <w:rPr>
          <w:spacing w:val="-5"/>
        </w:rPr>
        <w:t> </w:t>
      </w:r>
      <w:r>
        <w:rPr/>
        <w:t>trombose en centraal zenuwstelsel (CZS) embolus. Uiteindelijk kregen 15 patiënten antistolling met warfarine, 8 na het ontstaan van een CZS embolus en 7 patiënten preventief bij persisterende linker ventrikel dysfunctie (verkortingsfractie &lt; 15%). Deze 7 patiënten ontwikkelden geen trombo-embolie.(56)</w:t>
      </w:r>
    </w:p>
    <w:p>
      <w:pPr>
        <w:pStyle w:val="BodyText"/>
        <w:spacing w:before="1"/>
      </w:pPr>
      <w:r>
        <w:rPr/>
        <w:t>Een cross-sectionele studie van </w:t>
      </w:r>
      <w:r>
        <w:rPr>
          <w:b/>
        </w:rPr>
        <w:t>Hsu et al. </w:t>
      </w:r>
      <w:r>
        <w:rPr/>
        <w:t>in 1991 laat zien dat 5 van de 36 kinderen (14%) met</w:t>
      </w:r>
      <w:r>
        <w:rPr>
          <w:spacing w:val="-2"/>
        </w:rPr>
        <w:t> </w:t>
      </w:r>
      <w:r>
        <w:rPr/>
        <w:t>een</w:t>
      </w:r>
      <w:r>
        <w:rPr>
          <w:spacing w:val="-5"/>
        </w:rPr>
        <w:t> </w:t>
      </w:r>
      <w:r>
        <w:rPr/>
        <w:t>gedilateerde</w:t>
      </w:r>
      <w:r>
        <w:rPr>
          <w:spacing w:val="-6"/>
        </w:rPr>
        <w:t> </w:t>
      </w:r>
      <w:r>
        <w:rPr/>
        <w:t>cardiomyopathie</w:t>
      </w:r>
      <w:r>
        <w:rPr>
          <w:spacing w:val="-1"/>
        </w:rPr>
        <w:t> </w:t>
      </w:r>
      <w:r>
        <w:rPr/>
        <w:t>die</w:t>
      </w:r>
      <w:r>
        <w:rPr>
          <w:spacing w:val="-3"/>
        </w:rPr>
        <w:t> </w:t>
      </w:r>
      <w:r>
        <w:rPr/>
        <w:t>op</w:t>
      </w:r>
      <w:r>
        <w:rPr>
          <w:spacing w:val="-5"/>
        </w:rPr>
        <w:t> </w:t>
      </w:r>
      <w:r>
        <w:rPr/>
        <w:t>harttransplantatie</w:t>
      </w:r>
      <w:r>
        <w:rPr>
          <w:spacing w:val="-3"/>
        </w:rPr>
        <w:t> </w:t>
      </w:r>
      <w:r>
        <w:rPr/>
        <w:t>wachten,</w:t>
      </w:r>
      <w:r>
        <w:rPr>
          <w:spacing w:val="-6"/>
        </w:rPr>
        <w:t> </w:t>
      </w:r>
      <w:r>
        <w:rPr/>
        <w:t>een</w:t>
      </w:r>
      <w:r>
        <w:rPr>
          <w:spacing w:val="-4"/>
        </w:rPr>
        <w:t> </w:t>
      </w:r>
      <w:r>
        <w:rPr/>
        <w:t>longembolie ontwikkelen. (57)</w:t>
      </w:r>
    </w:p>
    <w:p>
      <w:pPr>
        <w:pStyle w:val="BodyText"/>
        <w:ind w:right="32"/>
      </w:pPr>
      <w:r>
        <w:rPr>
          <w:b/>
        </w:rPr>
        <w:t>Gunthard et al. </w:t>
      </w:r>
      <w:r>
        <w:rPr/>
        <w:t>bestudeerden retrospectief 130 kinderen tot 16 jaar met gedilateerde cardiomyopathie uit 5 Zwitserse ziekenhuizen tussen 1982 en 1994.(58) Zeventien (14%) kinderen ontwikkelden trombose: bij 7 kinderen bevond de trombose zich initieel in</w:t>
      </w:r>
      <w:r>
        <w:rPr>
          <w:spacing w:val="22"/>
        </w:rPr>
        <w:t> </w:t>
      </w:r>
      <w:r>
        <w:rPr/>
        <w:t>de</w:t>
      </w:r>
      <w:r>
        <w:rPr/>
        <w:t> linker ventrikel,</w:t>
      </w:r>
      <w:r>
        <w:rPr>
          <w:spacing w:val="-3"/>
        </w:rPr>
        <w:t> </w:t>
      </w:r>
      <w:r>
        <w:rPr/>
        <w:t>7 kinderen presenteerden</w:t>
      </w:r>
      <w:r>
        <w:rPr>
          <w:spacing w:val="-2"/>
        </w:rPr>
        <w:t> </w:t>
      </w:r>
      <w:r>
        <w:rPr/>
        <w:t>zich met een</w:t>
      </w:r>
      <w:r>
        <w:rPr>
          <w:spacing w:val="-2"/>
        </w:rPr>
        <w:t> </w:t>
      </w:r>
      <w:r>
        <w:rPr/>
        <w:t>embolus</w:t>
      </w:r>
      <w:r>
        <w:rPr>
          <w:spacing w:val="-1"/>
        </w:rPr>
        <w:t> </w:t>
      </w:r>
      <w:r>
        <w:rPr/>
        <w:t>in</w:t>
      </w:r>
      <w:r>
        <w:rPr>
          <w:spacing w:val="-2"/>
        </w:rPr>
        <w:t> </w:t>
      </w:r>
      <w:r>
        <w:rPr/>
        <w:t>het CZS en</w:t>
      </w:r>
      <w:r>
        <w:rPr>
          <w:spacing w:val="-2"/>
        </w:rPr>
        <w:t> </w:t>
      </w:r>
      <w:r>
        <w:rPr/>
        <w:t>bij</w:t>
      </w:r>
      <w:r>
        <w:rPr>
          <w:spacing w:val="-3"/>
        </w:rPr>
        <w:t> </w:t>
      </w:r>
      <w:r>
        <w:rPr/>
        <w:t>3 kinderen werd</w:t>
      </w:r>
      <w:r>
        <w:rPr>
          <w:spacing w:val="-2"/>
        </w:rPr>
        <w:t> </w:t>
      </w:r>
      <w:r>
        <w:rPr/>
        <w:t>een</w:t>
      </w:r>
      <w:r>
        <w:rPr>
          <w:spacing w:val="-2"/>
        </w:rPr>
        <w:t> </w:t>
      </w:r>
      <w:r>
        <w:rPr/>
        <w:t>linker</w:t>
      </w:r>
      <w:r>
        <w:rPr>
          <w:spacing w:val="-3"/>
        </w:rPr>
        <w:t> </w:t>
      </w:r>
      <w:r>
        <w:rPr/>
        <w:t>ventrikel</w:t>
      </w:r>
      <w:r>
        <w:rPr>
          <w:spacing w:val="-6"/>
        </w:rPr>
        <w:t> </w:t>
      </w:r>
      <w:r>
        <w:rPr/>
        <w:t>trombus</w:t>
      </w:r>
      <w:r>
        <w:rPr>
          <w:spacing w:val="-3"/>
        </w:rPr>
        <w:t> </w:t>
      </w:r>
      <w:r>
        <w:rPr/>
        <w:t>bij</w:t>
      </w:r>
      <w:r>
        <w:rPr>
          <w:spacing w:val="-6"/>
        </w:rPr>
        <w:t> </w:t>
      </w:r>
      <w:r>
        <w:rPr/>
        <w:t>autopsie</w:t>
      </w:r>
      <w:r>
        <w:rPr>
          <w:spacing w:val="-2"/>
        </w:rPr>
        <w:t> </w:t>
      </w:r>
      <w:r>
        <w:rPr/>
        <w:t>vastgesteld.</w:t>
      </w:r>
      <w:r>
        <w:rPr>
          <w:spacing w:val="-3"/>
        </w:rPr>
        <w:t> </w:t>
      </w:r>
      <w:r>
        <w:rPr/>
        <w:t>De</w:t>
      </w:r>
      <w:r>
        <w:rPr>
          <w:spacing w:val="-3"/>
        </w:rPr>
        <w:t> </w:t>
      </w:r>
      <w:r>
        <w:rPr/>
        <w:t>verkortingsfractie</w:t>
      </w:r>
      <w:r>
        <w:rPr>
          <w:spacing w:val="-5"/>
        </w:rPr>
        <w:t> </w:t>
      </w:r>
      <w:r>
        <w:rPr/>
        <w:t>bij</w:t>
      </w:r>
      <w:r>
        <w:rPr>
          <w:spacing w:val="-4"/>
        </w:rPr>
        <w:t> </w:t>
      </w:r>
      <w:r>
        <w:rPr/>
        <w:t>kinderen met</w:t>
      </w:r>
      <w:r>
        <w:rPr>
          <w:spacing w:val="-1"/>
        </w:rPr>
        <w:t> </w:t>
      </w:r>
      <w:r>
        <w:rPr/>
        <w:t>trombose varieerde</w:t>
      </w:r>
      <w:r>
        <w:rPr>
          <w:spacing w:val="-2"/>
        </w:rPr>
        <w:t> </w:t>
      </w:r>
      <w:r>
        <w:rPr/>
        <w:t>van &lt;</w:t>
      </w:r>
      <w:r>
        <w:rPr>
          <w:spacing w:val="-2"/>
        </w:rPr>
        <w:t> </w:t>
      </w:r>
      <w:r>
        <w:rPr/>
        <w:t>10%</w:t>
      </w:r>
      <w:r>
        <w:rPr>
          <w:spacing w:val="-2"/>
        </w:rPr>
        <w:t> </w:t>
      </w:r>
      <w:r>
        <w:rPr/>
        <w:t>tot</w:t>
      </w:r>
      <w:r>
        <w:rPr>
          <w:spacing w:val="-2"/>
        </w:rPr>
        <w:t> </w:t>
      </w:r>
      <w:r>
        <w:rPr/>
        <w:t>17%. De verkortingsfractie</w:t>
      </w:r>
      <w:r>
        <w:rPr>
          <w:spacing w:val="-3"/>
        </w:rPr>
        <w:t> </w:t>
      </w:r>
      <w:r>
        <w:rPr/>
        <w:t>was</w:t>
      </w:r>
      <w:r>
        <w:rPr>
          <w:spacing w:val="-1"/>
        </w:rPr>
        <w:t> </w:t>
      </w:r>
      <w:r>
        <w:rPr/>
        <w:t>significant lager bij</w:t>
      </w:r>
      <w:r>
        <w:rPr>
          <w:spacing w:val="-1"/>
        </w:rPr>
        <w:t> </w:t>
      </w:r>
      <w:r>
        <w:rPr/>
        <w:t>de kinderen met trombose dan bij de kinderen zonder trombose (10%±3% versus 17%±6%, p&lt; 0.0001). Er werden 7 kinderen behandeld met orale anticoagulantia. Er traden geen bloedingscomplicaties op. 1 patiënt met initieel een CZS embolus ontwikkelde een embolus in het been. Drie patiënten met een intra-cardiale trombus zonder anticoagulantia ontwikkelden een CZS embolus.</w:t>
      </w:r>
    </w:p>
    <w:p>
      <w:pPr>
        <w:pStyle w:val="BodyText"/>
        <w:spacing w:after="0"/>
        <w:sectPr>
          <w:pgSz w:w="11910" w:h="16840"/>
          <w:pgMar w:header="0" w:footer="750" w:top="1360" w:bottom="940" w:left="1275" w:right="1417"/>
        </w:sectPr>
      </w:pPr>
    </w:p>
    <w:p>
      <w:pPr>
        <w:pStyle w:val="BodyText"/>
        <w:spacing w:before="37"/>
        <w:ind w:right="19"/>
      </w:pPr>
      <w:r>
        <w:rPr>
          <w:b/>
        </w:rPr>
        <w:t>McCrindle et al. </w:t>
      </w:r>
      <w:r>
        <w:rPr/>
        <w:t>volgden 66 patiënten, die zich presenteerden met gedilateerde cardiomyopathie tussen 1990 en 1998.(59) Bij 9 patiënten (14%) werd een trombose gediagnosticeerd. De trombi bevonden zich in de linker ventrikel (n=7) en in de rechter ventrikel</w:t>
      </w:r>
      <w:r>
        <w:rPr>
          <w:spacing w:val="-2"/>
        </w:rPr>
        <w:t> </w:t>
      </w:r>
      <w:r>
        <w:rPr/>
        <w:t>(n=2).</w:t>
      </w:r>
      <w:r>
        <w:rPr>
          <w:spacing w:val="-2"/>
        </w:rPr>
        <w:t> </w:t>
      </w:r>
      <w:r>
        <w:rPr/>
        <w:t>Bij</w:t>
      </w:r>
      <w:r>
        <w:rPr>
          <w:spacing w:val="-3"/>
        </w:rPr>
        <w:t> </w:t>
      </w:r>
      <w:r>
        <w:rPr/>
        <w:t>4</w:t>
      </w:r>
      <w:r>
        <w:rPr>
          <w:spacing w:val="-4"/>
        </w:rPr>
        <w:t> </w:t>
      </w:r>
      <w:r>
        <w:rPr/>
        <w:t>patiënten</w:t>
      </w:r>
      <w:r>
        <w:rPr>
          <w:spacing w:val="-2"/>
        </w:rPr>
        <w:t> </w:t>
      </w:r>
      <w:r>
        <w:rPr/>
        <w:t>was</w:t>
      </w:r>
      <w:r>
        <w:rPr>
          <w:spacing w:val="-5"/>
        </w:rPr>
        <w:t> </w:t>
      </w:r>
      <w:r>
        <w:rPr/>
        <w:t>bij</w:t>
      </w:r>
      <w:r>
        <w:rPr>
          <w:spacing w:val="-5"/>
        </w:rPr>
        <w:t> </w:t>
      </w:r>
      <w:r>
        <w:rPr/>
        <w:t>presentatie</w:t>
      </w:r>
      <w:r>
        <w:rPr>
          <w:spacing w:val="-2"/>
        </w:rPr>
        <w:t> </w:t>
      </w:r>
      <w:r>
        <w:rPr/>
        <w:t>van</w:t>
      </w:r>
      <w:r>
        <w:rPr>
          <w:spacing w:val="-4"/>
        </w:rPr>
        <w:t> </w:t>
      </w:r>
      <w:r>
        <w:rPr/>
        <w:t>de</w:t>
      </w:r>
      <w:r>
        <w:rPr>
          <w:spacing w:val="-2"/>
        </w:rPr>
        <w:t> </w:t>
      </w:r>
      <w:r>
        <w:rPr/>
        <w:t>cardiomyopathie</w:t>
      </w:r>
      <w:r>
        <w:rPr>
          <w:spacing w:val="-2"/>
        </w:rPr>
        <w:t> </w:t>
      </w:r>
      <w:r>
        <w:rPr/>
        <w:t>een</w:t>
      </w:r>
      <w:r>
        <w:rPr>
          <w:spacing w:val="-2"/>
        </w:rPr>
        <w:t> </w:t>
      </w:r>
      <w:r>
        <w:rPr/>
        <w:t>intra-cardiale trombose aanwezig. De initiële ejectie fracties bij de patiënten waren 42%, 23%, 22% en 23%.</w:t>
      </w:r>
      <w:r>
        <w:rPr>
          <w:spacing w:val="40"/>
        </w:rPr>
        <w:t> </w:t>
      </w:r>
      <w:r>
        <w:rPr/>
        <w:t>Zij werden allen behandeld met intraveneuze ongefractioneerde heparine, gevolgd door VKA met een streef INR tussen 2.5 en 3.5. Drie patiënten bleven trombose vrij, 1</w:t>
      </w:r>
      <w:r>
        <w:rPr>
          <w:spacing w:val="40"/>
        </w:rPr>
        <w:t> </w:t>
      </w:r>
      <w:r>
        <w:rPr/>
        <w:t>patiënt had een intra-cardiale trombus bij de follow-up visite van 3 maanden en 4 jaar. Bij 4 patiënten ontstond een trombose tijdens follow-up, ondanks anticoagulantia in 3 patiënten. De ejectie</w:t>
      </w:r>
      <w:r>
        <w:rPr>
          <w:spacing w:val="-2"/>
        </w:rPr>
        <w:t> </w:t>
      </w:r>
      <w:r>
        <w:rPr/>
        <w:t>fracties</w:t>
      </w:r>
      <w:r>
        <w:rPr>
          <w:spacing w:val="-2"/>
        </w:rPr>
        <w:t> </w:t>
      </w:r>
      <w:r>
        <w:rPr/>
        <w:t>ten</w:t>
      </w:r>
      <w:r>
        <w:rPr>
          <w:spacing w:val="-1"/>
        </w:rPr>
        <w:t> </w:t>
      </w:r>
      <w:r>
        <w:rPr/>
        <w:t>tijde van</w:t>
      </w:r>
      <w:r>
        <w:rPr>
          <w:spacing w:val="-1"/>
        </w:rPr>
        <w:t> </w:t>
      </w:r>
      <w:r>
        <w:rPr/>
        <w:t>trombose waren</w:t>
      </w:r>
      <w:r>
        <w:rPr>
          <w:spacing w:val="-1"/>
        </w:rPr>
        <w:t> </w:t>
      </w:r>
      <w:r>
        <w:rPr/>
        <w:t>31%, 11%, 19% en</w:t>
      </w:r>
      <w:r>
        <w:rPr>
          <w:spacing w:val="-1"/>
        </w:rPr>
        <w:t> </w:t>
      </w:r>
      <w:r>
        <w:rPr/>
        <w:t>20%. Bij 1 patiënt</w:t>
      </w:r>
      <w:r>
        <w:rPr>
          <w:spacing w:val="-1"/>
        </w:rPr>
        <w:t> </w:t>
      </w:r>
      <w:r>
        <w:rPr/>
        <w:t>was de INR niet in de therapeutische range, en bij 1 patiënt was de INR niet bekend. Tenslotte werd bij 1 patiënt een trombose bij autopsie gevonden. Deze patiënt had geen preventieve anticoagulantia gekregen. De gemiddelde ejectiefractie van patiënten met trombose was significant lager dan die van de patiënten zonder trombose. (21±9% versus 29±15%, p&lt;0.05) Er worden geen bloedingscomplicaties gemeld in dit artikel.</w:t>
      </w:r>
    </w:p>
    <w:p>
      <w:pPr>
        <w:pStyle w:val="BodyText"/>
        <w:spacing w:before="1"/>
        <w:ind w:right="29"/>
      </w:pPr>
      <w:r>
        <w:rPr>
          <w:b/>
        </w:rPr>
        <w:t>John</w:t>
      </w:r>
      <w:r>
        <w:rPr>
          <w:b/>
          <w:spacing w:val="-1"/>
        </w:rPr>
        <w:t> </w:t>
      </w:r>
      <w:r>
        <w:rPr>
          <w:b/>
        </w:rPr>
        <w:t>et</w:t>
      </w:r>
      <w:r>
        <w:rPr>
          <w:b/>
          <w:spacing w:val="-3"/>
        </w:rPr>
        <w:t> </w:t>
      </w:r>
      <w:r>
        <w:rPr>
          <w:b/>
        </w:rPr>
        <w:t>al.</w:t>
      </w:r>
      <w:r>
        <w:rPr>
          <w:b/>
          <w:spacing w:val="-3"/>
        </w:rPr>
        <w:t> </w:t>
      </w:r>
      <w:r>
        <w:rPr/>
        <w:t>beschreven in</w:t>
      </w:r>
      <w:r>
        <w:rPr>
          <w:spacing w:val="-3"/>
        </w:rPr>
        <w:t> </w:t>
      </w:r>
      <w:r>
        <w:rPr/>
        <w:t>2007 31</w:t>
      </w:r>
      <w:r>
        <w:rPr>
          <w:spacing w:val="-3"/>
        </w:rPr>
        <w:t> </w:t>
      </w:r>
      <w:r>
        <w:rPr/>
        <w:t>patiënten</w:t>
      </w:r>
      <w:r>
        <w:rPr>
          <w:spacing w:val="-3"/>
        </w:rPr>
        <w:t> </w:t>
      </w:r>
      <w:r>
        <w:rPr/>
        <w:t>met</w:t>
      </w:r>
      <w:r>
        <w:rPr>
          <w:spacing w:val="-4"/>
        </w:rPr>
        <w:t> </w:t>
      </w:r>
      <w:r>
        <w:rPr/>
        <w:t>40</w:t>
      </w:r>
      <w:r>
        <w:rPr>
          <w:spacing w:val="-1"/>
        </w:rPr>
        <w:t> </w:t>
      </w:r>
      <w:r>
        <w:rPr/>
        <w:t>intracardiale</w:t>
      </w:r>
      <w:r>
        <w:rPr>
          <w:spacing w:val="-3"/>
        </w:rPr>
        <w:t> </w:t>
      </w:r>
      <w:r>
        <w:rPr/>
        <w:t>trombi.(60)</w:t>
      </w:r>
      <w:r>
        <w:rPr>
          <w:spacing w:val="-2"/>
        </w:rPr>
        <w:t> </w:t>
      </w:r>
      <w:r>
        <w:rPr/>
        <w:t>Bij</w:t>
      </w:r>
      <w:r>
        <w:rPr>
          <w:spacing w:val="-2"/>
        </w:rPr>
        <w:t> </w:t>
      </w:r>
      <w:r>
        <w:rPr/>
        <w:t>11</w:t>
      </w:r>
      <w:r>
        <w:rPr>
          <w:spacing w:val="-3"/>
        </w:rPr>
        <w:t> </w:t>
      </w:r>
      <w:r>
        <w:rPr/>
        <w:t>van</w:t>
      </w:r>
      <w:r>
        <w:rPr>
          <w:spacing w:val="-3"/>
        </w:rPr>
        <w:t> </w:t>
      </w:r>
      <w:r>
        <w:rPr/>
        <w:t>de</w:t>
      </w:r>
      <w:r>
        <w:rPr>
          <w:spacing w:val="-4"/>
        </w:rPr>
        <w:t> </w:t>
      </w:r>
      <w:r>
        <w:rPr/>
        <w:t>31 patiënten was gedilateerde cardiomyopathie de oorzaak van de trombi. Deze 11 patiënten hadden 15 intracardiale trombi:</w:t>
      </w:r>
      <w:r>
        <w:rPr>
          <w:spacing w:val="-1"/>
        </w:rPr>
        <w:t> </w:t>
      </w:r>
      <w:r>
        <w:rPr/>
        <w:t>6 kleine trombi (&lt;</w:t>
      </w:r>
      <w:r>
        <w:rPr>
          <w:spacing w:val="-1"/>
        </w:rPr>
        <w:t> </w:t>
      </w:r>
      <w:r>
        <w:rPr/>
        <w:t>100 mm2),</w:t>
      </w:r>
      <w:r>
        <w:rPr>
          <w:spacing w:val="-1"/>
        </w:rPr>
        <w:t> </w:t>
      </w:r>
      <w:r>
        <w:rPr/>
        <w:t>4 gemiddelde trombi</w:t>
      </w:r>
      <w:r>
        <w:rPr>
          <w:spacing w:val="-1"/>
        </w:rPr>
        <w:t> </w:t>
      </w:r>
      <w:r>
        <w:rPr/>
        <w:t>(100-225 mm2) en 5 grote trombi</w:t>
      </w:r>
      <w:r>
        <w:rPr>
          <w:spacing w:val="-2"/>
        </w:rPr>
        <w:t> </w:t>
      </w:r>
      <w:r>
        <w:rPr/>
        <w:t>(&gt; 225 mm2). De trombi bevonden zich in de linker ventrikel (n=12), rechter atrium (n=1), rechter ventrikel (n=1) en linker atrium (n=1). Alle patiënten werden behandeld met anticoagulantia: heparine (n=7), warfarine (n=1), en aspirine (n=3). Bij 6 patiënten verdween de trombus, bij 3 patiënten bleef de trombus bestaan, en bij 2</w:t>
      </w:r>
      <w:r>
        <w:rPr>
          <w:spacing w:val="40"/>
        </w:rPr>
        <w:t> </w:t>
      </w:r>
      <w:r>
        <w:rPr/>
        <w:t>patiënten trad embolisatie op (hersenen en arterie renalis). Er wordt in dit artikel geen melding gemaakt over de ernst van de verkortingsfracties en over eventuele </w:t>
      </w:r>
      <w:r>
        <w:rPr>
          <w:spacing w:val="-2"/>
        </w:rPr>
        <w:t>bloedingscomplicaties.</w:t>
      </w:r>
    </w:p>
    <w:p>
      <w:pPr>
        <w:pStyle w:val="BodyText"/>
        <w:spacing w:before="1"/>
        <w:ind w:right="78"/>
      </w:pPr>
      <w:r>
        <w:rPr>
          <w:b/>
        </w:rPr>
        <w:t>Choi et</w:t>
      </w:r>
      <w:r>
        <w:rPr>
          <w:b/>
          <w:spacing w:val="-2"/>
        </w:rPr>
        <w:t> </w:t>
      </w:r>
      <w:r>
        <w:rPr>
          <w:b/>
        </w:rPr>
        <w:t>al.</w:t>
      </w:r>
      <w:r>
        <w:rPr>
          <w:b/>
          <w:spacing w:val="-2"/>
        </w:rPr>
        <w:t> </w:t>
      </w:r>
      <w:r>
        <w:rPr/>
        <w:t>onderzochten</w:t>
      </w:r>
      <w:r>
        <w:rPr>
          <w:spacing w:val="-2"/>
        </w:rPr>
        <w:t> </w:t>
      </w:r>
      <w:r>
        <w:rPr/>
        <w:t>retrospectief de</w:t>
      </w:r>
      <w:r>
        <w:rPr>
          <w:spacing w:val="-3"/>
        </w:rPr>
        <w:t> </w:t>
      </w:r>
      <w:r>
        <w:rPr/>
        <w:t>incidentie, risicofactoren</w:t>
      </w:r>
      <w:r>
        <w:rPr>
          <w:spacing w:val="-2"/>
        </w:rPr>
        <w:t> </w:t>
      </w:r>
      <w:r>
        <w:rPr/>
        <w:t>en</w:t>
      </w:r>
      <w:r>
        <w:rPr>
          <w:spacing w:val="-2"/>
        </w:rPr>
        <w:t> </w:t>
      </w:r>
      <w:r>
        <w:rPr/>
        <w:t>uitkomsten</w:t>
      </w:r>
      <w:r>
        <w:rPr>
          <w:spacing w:val="-2"/>
        </w:rPr>
        <w:t> </w:t>
      </w:r>
      <w:r>
        <w:rPr/>
        <w:t>van</w:t>
      </w:r>
      <w:r>
        <w:rPr>
          <w:spacing w:val="-2"/>
        </w:rPr>
        <w:t> </w:t>
      </w:r>
      <w:r>
        <w:rPr/>
        <w:t>intra-cardiale trombi bij 83 kinderen met gedilateerde cardiomyopathie, gediagnosticeerd tussen 1995 en 2008.(61) Vijf van de 83 kinderen (6%) hadden intra-cardiale trombi: 3 in de linker ventrikel, 1 in de rechter ventrikel en 1 in het linker atrium. Bij diagnose van de trombus, was de linker ventrikel ejectie fractie tussen de 15 en 32%, met een mediaan van 17%, en gebruikte geen van de patiënten anticoagulantia. Na diagnose werden alle patiënten behandeld met anticoagulantia. Bij 3 patiënten verdween de trombus na 2 tot 16 dagen. Bij 1 patiënt vond trombectomie plaats na 2 weken ivm slechte reactie op heparine. Deze patiënt</w:t>
      </w:r>
      <w:r>
        <w:rPr>
          <w:spacing w:val="-3"/>
        </w:rPr>
        <w:t> </w:t>
      </w:r>
      <w:r>
        <w:rPr/>
        <w:t>overleed</w:t>
      </w:r>
      <w:r>
        <w:rPr>
          <w:spacing w:val="-3"/>
        </w:rPr>
        <w:t> </w:t>
      </w:r>
      <w:r>
        <w:rPr/>
        <w:t>na</w:t>
      </w:r>
      <w:r>
        <w:rPr>
          <w:spacing w:val="-4"/>
        </w:rPr>
        <w:t> </w:t>
      </w:r>
      <w:r>
        <w:rPr/>
        <w:t>deze</w:t>
      </w:r>
      <w:r>
        <w:rPr>
          <w:spacing w:val="-4"/>
        </w:rPr>
        <w:t> </w:t>
      </w:r>
      <w:r>
        <w:rPr/>
        <w:t>operatie.</w:t>
      </w:r>
      <w:r>
        <w:rPr>
          <w:spacing w:val="-5"/>
        </w:rPr>
        <w:t> </w:t>
      </w:r>
      <w:r>
        <w:rPr/>
        <w:t>1</w:t>
      </w:r>
      <w:r>
        <w:rPr>
          <w:spacing w:val="-3"/>
        </w:rPr>
        <w:t> </w:t>
      </w:r>
      <w:r>
        <w:rPr/>
        <w:t>patiënt</w:t>
      </w:r>
      <w:r>
        <w:rPr>
          <w:spacing w:val="-1"/>
        </w:rPr>
        <w:t> </w:t>
      </w:r>
      <w:r>
        <w:rPr/>
        <w:t>overleed</w:t>
      </w:r>
      <w:r>
        <w:rPr>
          <w:spacing w:val="-1"/>
        </w:rPr>
        <w:t> </w:t>
      </w:r>
      <w:r>
        <w:rPr/>
        <w:t>aan</w:t>
      </w:r>
      <w:r>
        <w:rPr>
          <w:spacing w:val="-3"/>
        </w:rPr>
        <w:t> </w:t>
      </w:r>
      <w:r>
        <w:rPr/>
        <w:t>een</w:t>
      </w:r>
      <w:r>
        <w:rPr>
          <w:spacing w:val="-3"/>
        </w:rPr>
        <w:t> </w:t>
      </w:r>
      <w:r>
        <w:rPr/>
        <w:t>pneumonie</w:t>
      </w:r>
      <w:r>
        <w:rPr>
          <w:spacing w:val="-6"/>
        </w:rPr>
        <w:t> </w:t>
      </w:r>
      <w:r>
        <w:rPr/>
        <w:t>na</w:t>
      </w:r>
      <w:r>
        <w:rPr>
          <w:spacing w:val="-2"/>
        </w:rPr>
        <w:t> </w:t>
      </w:r>
      <w:r>
        <w:rPr/>
        <w:t>7 maanden.</w:t>
      </w:r>
      <w:r>
        <w:rPr>
          <w:spacing w:val="-1"/>
        </w:rPr>
        <w:t> </w:t>
      </w:r>
      <w:r>
        <w:rPr/>
        <w:t>Er wordt geen melding gemaakt over bloedingscomplicaties van de antistollingstherapie.</w:t>
      </w:r>
    </w:p>
    <w:p>
      <w:pPr>
        <w:pStyle w:val="BodyText"/>
        <w:spacing w:before="1"/>
        <w:ind w:right="78"/>
      </w:pPr>
      <w:r>
        <w:rPr>
          <w:b/>
        </w:rPr>
        <w:t>Monagle et al </w:t>
      </w:r>
      <w:r>
        <w:rPr/>
        <w:t>onderzochten de bloedingscomplicaties en incidentie van trombose bij het gebruik van primaire tromboseprofylaxe (warfarine) bij 36 kinderen met cardiomyopathie (36</w:t>
      </w:r>
      <w:r>
        <w:rPr>
          <w:spacing w:val="-2"/>
        </w:rPr>
        <w:t> </w:t>
      </w:r>
      <w:r>
        <w:rPr/>
        <w:t>warfarine</w:t>
      </w:r>
      <w:r>
        <w:rPr>
          <w:spacing w:val="-2"/>
        </w:rPr>
        <w:t> </w:t>
      </w:r>
      <w:r>
        <w:rPr/>
        <w:t>jaren).(62)</w:t>
      </w:r>
      <w:r>
        <w:rPr>
          <w:spacing w:val="-5"/>
        </w:rPr>
        <w:t> </w:t>
      </w:r>
      <w:r>
        <w:rPr/>
        <w:t>De</w:t>
      </w:r>
      <w:r>
        <w:rPr>
          <w:spacing w:val="-2"/>
        </w:rPr>
        <w:t> </w:t>
      </w:r>
      <w:r>
        <w:rPr/>
        <w:t>gemiddelde</w:t>
      </w:r>
      <w:r>
        <w:rPr>
          <w:spacing w:val="-5"/>
        </w:rPr>
        <w:t> </w:t>
      </w:r>
      <w:r>
        <w:rPr/>
        <w:t>leeftijd</w:t>
      </w:r>
      <w:r>
        <w:rPr>
          <w:spacing w:val="-2"/>
        </w:rPr>
        <w:t> </w:t>
      </w:r>
      <w:r>
        <w:rPr/>
        <w:t>van</w:t>
      </w:r>
      <w:r>
        <w:rPr>
          <w:spacing w:val="-2"/>
        </w:rPr>
        <w:t> </w:t>
      </w:r>
      <w:r>
        <w:rPr/>
        <w:t>dit</w:t>
      </w:r>
      <w:r>
        <w:rPr>
          <w:spacing w:val="-2"/>
        </w:rPr>
        <w:t> </w:t>
      </w:r>
      <w:r>
        <w:rPr/>
        <w:t>cohort</w:t>
      </w:r>
      <w:r>
        <w:rPr>
          <w:spacing w:val="-2"/>
        </w:rPr>
        <w:t> </w:t>
      </w:r>
      <w:r>
        <w:rPr/>
        <w:t>was</w:t>
      </w:r>
      <w:r>
        <w:rPr>
          <w:spacing w:val="-3"/>
        </w:rPr>
        <w:t> </w:t>
      </w:r>
      <w:r>
        <w:rPr/>
        <w:t>5.4</w:t>
      </w:r>
      <w:r>
        <w:rPr>
          <w:spacing w:val="-4"/>
        </w:rPr>
        <w:t> </w:t>
      </w:r>
      <w:r>
        <w:rPr/>
        <w:t>jaar.</w:t>
      </w:r>
      <w:r>
        <w:rPr>
          <w:spacing w:val="-3"/>
        </w:rPr>
        <w:t> </w:t>
      </w:r>
      <w:r>
        <w:rPr/>
        <w:t>Bijna</w:t>
      </w:r>
      <w:r>
        <w:rPr>
          <w:spacing w:val="-3"/>
        </w:rPr>
        <w:t> </w:t>
      </w:r>
      <w:r>
        <w:rPr/>
        <w:t>50</w:t>
      </w:r>
      <w:r>
        <w:rPr>
          <w:spacing w:val="-2"/>
        </w:rPr>
        <w:t> </w:t>
      </w:r>
      <w:r>
        <w:rPr/>
        <w:t>%</w:t>
      </w:r>
      <w:r>
        <w:rPr>
          <w:spacing w:val="-4"/>
        </w:rPr>
        <w:t> </w:t>
      </w:r>
      <w:r>
        <w:rPr/>
        <w:t>van de gemeten INR waarden was binnen de streefwaarden van 2.0 tot 3.0. Er traden geen trombotische en bloedingscomplicaties op.</w:t>
      </w:r>
    </w:p>
    <w:p>
      <w:pPr>
        <w:pStyle w:val="BodyText"/>
        <w:spacing w:before="292"/>
      </w:pPr>
      <w:r>
        <w:rPr/>
        <w:t>Er zijn bij </w:t>
      </w:r>
      <w:r>
        <w:rPr>
          <w:u w:val="single"/>
        </w:rPr>
        <w:t>volwassenen</w:t>
      </w:r>
      <w:r>
        <w:rPr>
          <w:u w:val="none"/>
        </w:rPr>
        <w:t> een aantal studies gepubliceerd over warfarine en aspirine bij patiënten met hartfalen in sinusritme. In de </w:t>
      </w:r>
      <w:r>
        <w:rPr>
          <w:b/>
          <w:u w:val="none"/>
        </w:rPr>
        <w:t>WATCH trial </w:t>
      </w:r>
      <w:r>
        <w:rPr>
          <w:u w:val="none"/>
        </w:rPr>
        <w:t>werd warfarine (INR 2.5-3) vergeleken</w:t>
      </w:r>
      <w:r>
        <w:rPr>
          <w:spacing w:val="-2"/>
          <w:u w:val="none"/>
        </w:rPr>
        <w:t> </w:t>
      </w:r>
      <w:r>
        <w:rPr>
          <w:u w:val="none"/>
        </w:rPr>
        <w:t>met</w:t>
      </w:r>
      <w:r>
        <w:rPr>
          <w:spacing w:val="-4"/>
          <w:u w:val="none"/>
        </w:rPr>
        <w:t> </w:t>
      </w:r>
      <w:r>
        <w:rPr>
          <w:u w:val="none"/>
        </w:rPr>
        <w:t>aspirine,</w:t>
      </w:r>
      <w:r>
        <w:rPr>
          <w:spacing w:val="-6"/>
          <w:u w:val="none"/>
        </w:rPr>
        <w:t> </w:t>
      </w:r>
      <w:r>
        <w:rPr>
          <w:u w:val="none"/>
        </w:rPr>
        <w:t>en</w:t>
      </w:r>
      <w:r>
        <w:rPr>
          <w:spacing w:val="-2"/>
          <w:u w:val="none"/>
        </w:rPr>
        <w:t> </w:t>
      </w:r>
      <w:r>
        <w:rPr>
          <w:u w:val="none"/>
        </w:rPr>
        <w:t>clopidogrel</w:t>
      </w:r>
      <w:r>
        <w:rPr>
          <w:spacing w:val="-1"/>
          <w:u w:val="none"/>
        </w:rPr>
        <w:t> </w:t>
      </w:r>
      <w:r>
        <w:rPr>
          <w:u w:val="none"/>
        </w:rPr>
        <w:t>in</w:t>
      </w:r>
      <w:r>
        <w:rPr>
          <w:spacing w:val="-5"/>
          <w:u w:val="none"/>
        </w:rPr>
        <w:t> </w:t>
      </w:r>
      <w:r>
        <w:rPr>
          <w:u w:val="none"/>
        </w:rPr>
        <w:t>1587</w:t>
      </w:r>
      <w:r>
        <w:rPr>
          <w:spacing w:val="-3"/>
          <w:u w:val="none"/>
        </w:rPr>
        <w:t> </w:t>
      </w:r>
      <w:r>
        <w:rPr>
          <w:u w:val="none"/>
        </w:rPr>
        <w:t>volwassenen</w:t>
      </w:r>
      <w:r>
        <w:rPr>
          <w:spacing w:val="-5"/>
          <w:u w:val="none"/>
        </w:rPr>
        <w:t> </w:t>
      </w:r>
      <w:r>
        <w:rPr>
          <w:u w:val="none"/>
        </w:rPr>
        <w:t>met</w:t>
      </w:r>
      <w:r>
        <w:rPr>
          <w:spacing w:val="-4"/>
          <w:u w:val="none"/>
        </w:rPr>
        <w:t> </w:t>
      </w:r>
      <w:r>
        <w:rPr>
          <w:u w:val="none"/>
        </w:rPr>
        <w:t>hartfalen</w:t>
      </w:r>
      <w:r>
        <w:rPr>
          <w:spacing w:val="-3"/>
          <w:u w:val="none"/>
        </w:rPr>
        <w:t> </w:t>
      </w:r>
      <w:r>
        <w:rPr>
          <w:u w:val="none"/>
        </w:rPr>
        <w:t>(ejectiefractie</w:t>
      </w:r>
      <w:r>
        <w:rPr>
          <w:spacing w:val="-3"/>
          <w:u w:val="none"/>
        </w:rPr>
        <w:t> </w:t>
      </w:r>
      <w:r>
        <w:rPr>
          <w:u w:val="none"/>
        </w:rPr>
        <w:t>&lt; 35%) en een sinusritme.(63) Het samengestelde eindpunt bestond uit niet-fataal myocardinfarct, en ischemisch herseninfarct en dood door elke oorzaak. Er werd geen verschil gevonden tav dit eindpunt tussen de drie middelen. Warfarine werd wel</w:t>
      </w:r>
    </w:p>
    <w:p>
      <w:pPr>
        <w:pStyle w:val="BodyText"/>
        <w:spacing w:after="0"/>
        <w:sectPr>
          <w:pgSz w:w="11910" w:h="16840"/>
          <w:pgMar w:header="0" w:footer="750" w:top="1360" w:bottom="940" w:left="1275" w:right="1417"/>
        </w:sectPr>
      </w:pPr>
    </w:p>
    <w:p>
      <w:pPr>
        <w:pStyle w:val="BodyText"/>
        <w:spacing w:before="37"/>
      </w:pPr>
      <w:r>
        <w:rPr/>
        <w:t>geassocieerd</w:t>
      </w:r>
      <w:r>
        <w:rPr>
          <w:spacing w:val="-2"/>
        </w:rPr>
        <w:t> </w:t>
      </w:r>
      <w:r>
        <w:rPr/>
        <w:t>met</w:t>
      </w:r>
      <w:r>
        <w:rPr>
          <w:spacing w:val="-1"/>
        </w:rPr>
        <w:t> </w:t>
      </w:r>
      <w:r>
        <w:rPr/>
        <w:t>minder niet</w:t>
      </w:r>
      <w:r>
        <w:rPr>
          <w:spacing w:val="-2"/>
        </w:rPr>
        <w:t> </w:t>
      </w:r>
      <w:r>
        <w:rPr/>
        <w:t>fatale ischemische</w:t>
      </w:r>
      <w:r>
        <w:rPr>
          <w:spacing w:val="-2"/>
        </w:rPr>
        <w:t> </w:t>
      </w:r>
      <w:r>
        <w:rPr/>
        <w:t>herseninfarcten dan aspirine (p=0.0095)</w:t>
      </w:r>
      <w:r>
        <w:rPr>
          <w:spacing w:val="-2"/>
        </w:rPr>
        <w:t> </w:t>
      </w:r>
      <w:r>
        <w:rPr/>
        <w:t>en clopidogrel (p=0.0031). In de </w:t>
      </w:r>
      <w:r>
        <w:rPr>
          <w:b/>
        </w:rPr>
        <w:t>WARCEF trial </w:t>
      </w:r>
      <w:r>
        <w:rPr/>
        <w:t>(dubbel blind onderzoek) werd geen verschil gevonden tussen warfarine (INR tussen 2 en 3.5) en aspirine bij de preventie van het samengestelde eindpunt ischemische herseninfarct, intracerebrale bloeding en dood door elke</w:t>
      </w:r>
      <w:r>
        <w:rPr>
          <w:spacing w:val="-3"/>
        </w:rPr>
        <w:t> </w:t>
      </w:r>
      <w:r>
        <w:rPr/>
        <w:t>oorzaak.(64)</w:t>
      </w:r>
      <w:r>
        <w:rPr>
          <w:spacing w:val="-3"/>
        </w:rPr>
        <w:t> </w:t>
      </w:r>
      <w:r>
        <w:rPr/>
        <w:t>Ook</w:t>
      </w:r>
      <w:r>
        <w:rPr>
          <w:spacing w:val="-4"/>
        </w:rPr>
        <w:t> </w:t>
      </w:r>
      <w:r>
        <w:rPr/>
        <w:t>in</w:t>
      </w:r>
      <w:r>
        <w:rPr>
          <w:spacing w:val="-4"/>
        </w:rPr>
        <w:t> </w:t>
      </w:r>
      <w:r>
        <w:rPr/>
        <w:t>deze</w:t>
      </w:r>
      <w:r>
        <w:rPr>
          <w:spacing w:val="-5"/>
        </w:rPr>
        <w:t> </w:t>
      </w:r>
      <w:r>
        <w:rPr/>
        <w:t>studie</w:t>
      </w:r>
      <w:r>
        <w:rPr>
          <w:spacing w:val="-5"/>
        </w:rPr>
        <w:t> </w:t>
      </w:r>
      <w:r>
        <w:rPr/>
        <w:t>werd</w:t>
      </w:r>
      <w:r>
        <w:rPr>
          <w:spacing w:val="-4"/>
        </w:rPr>
        <w:t> </w:t>
      </w:r>
      <w:r>
        <w:rPr/>
        <w:t>warfarine</w:t>
      </w:r>
      <w:r>
        <w:rPr>
          <w:spacing w:val="-2"/>
        </w:rPr>
        <w:t> </w:t>
      </w:r>
      <w:r>
        <w:rPr/>
        <w:t>wel</w:t>
      </w:r>
      <w:r>
        <w:rPr>
          <w:spacing w:val="-2"/>
        </w:rPr>
        <w:t> </w:t>
      </w:r>
      <w:r>
        <w:rPr/>
        <w:t>geassocieerd</w:t>
      </w:r>
      <w:r>
        <w:rPr>
          <w:spacing w:val="-4"/>
        </w:rPr>
        <w:t> </w:t>
      </w:r>
      <w:r>
        <w:rPr/>
        <w:t>met</w:t>
      </w:r>
      <w:r>
        <w:rPr>
          <w:spacing w:val="-4"/>
        </w:rPr>
        <w:t> </w:t>
      </w:r>
      <w:r>
        <w:rPr/>
        <w:t>minder</w:t>
      </w:r>
      <w:r>
        <w:rPr>
          <w:spacing w:val="-4"/>
        </w:rPr>
        <w:t> </w:t>
      </w:r>
      <w:r>
        <w:rPr/>
        <w:t>niet</w:t>
      </w:r>
      <w:r>
        <w:rPr>
          <w:spacing w:val="-3"/>
        </w:rPr>
        <w:t> </w:t>
      </w:r>
      <w:r>
        <w:rPr/>
        <w:t>fatale herseninfarcten (p=0.005), terwijl het aantal intracerebrale bloedingen gelijk was.</w:t>
      </w:r>
    </w:p>
    <w:p>
      <w:pPr>
        <w:pStyle w:val="BodyText"/>
        <w:spacing w:before="1"/>
        <w:ind w:left="0"/>
      </w:pPr>
    </w:p>
    <w:p>
      <w:pPr>
        <w:pStyle w:val="Heading1"/>
      </w:pPr>
      <w:r>
        <w:rPr/>
        <w:t>Conclusies</w:t>
      </w:r>
      <w:r>
        <w:rPr>
          <w:spacing w:val="-3"/>
        </w:rPr>
        <w:t> </w:t>
      </w:r>
      <w:r>
        <w:rPr>
          <w:spacing w:val="-2"/>
        </w:rPr>
        <w:t>literatuur:</w:t>
      </w:r>
    </w:p>
    <w:p>
      <w:pPr>
        <w:pStyle w:val="BodyText"/>
        <w:spacing w:before="49"/>
        <w:ind w:left="0"/>
        <w:rPr>
          <w:b/>
          <w:sz w:val="20"/>
        </w:rPr>
      </w:pPr>
    </w:p>
    <w:tbl>
      <w:tblPr>
        <w:tblW w:w="0" w:type="auto"/>
        <w:jc w:val="left"/>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6"/>
        <w:gridCol w:w="7088"/>
      </w:tblGrid>
      <w:tr>
        <w:trPr>
          <w:trHeight w:val="878" w:hRule="atLeast"/>
        </w:trPr>
        <w:tc>
          <w:tcPr>
            <w:tcW w:w="1346" w:type="dxa"/>
            <w:shd w:val="clear" w:color="auto" w:fill="C0C0C0"/>
          </w:tcPr>
          <w:p>
            <w:pPr>
              <w:pStyle w:val="TableParagraph"/>
              <w:spacing w:before="292"/>
              <w:rPr>
                <w:sz w:val="24"/>
              </w:rPr>
            </w:pPr>
            <w:r>
              <w:rPr>
                <w:sz w:val="24"/>
              </w:rPr>
              <w:t>Niveau</w:t>
            </w:r>
            <w:r>
              <w:rPr>
                <w:spacing w:val="-5"/>
                <w:sz w:val="24"/>
              </w:rPr>
              <w:t> </w:t>
            </w:r>
            <w:r>
              <w:rPr>
                <w:spacing w:val="-10"/>
                <w:sz w:val="24"/>
              </w:rPr>
              <w:t>3</w:t>
            </w:r>
          </w:p>
        </w:tc>
        <w:tc>
          <w:tcPr>
            <w:tcW w:w="7088" w:type="dxa"/>
          </w:tcPr>
          <w:p>
            <w:pPr>
              <w:pStyle w:val="TableParagraph"/>
              <w:ind w:right="85"/>
              <w:rPr>
                <w:sz w:val="24"/>
              </w:rPr>
            </w:pPr>
            <w:r>
              <w:rPr>
                <w:sz w:val="24"/>
              </w:rPr>
              <w:t>De</w:t>
            </w:r>
            <w:r>
              <w:rPr>
                <w:spacing w:val="-3"/>
                <w:sz w:val="24"/>
              </w:rPr>
              <w:t> </w:t>
            </w:r>
            <w:r>
              <w:rPr>
                <w:sz w:val="24"/>
              </w:rPr>
              <w:t>incidentie</w:t>
            </w:r>
            <w:r>
              <w:rPr>
                <w:spacing w:val="-6"/>
                <w:sz w:val="24"/>
              </w:rPr>
              <w:t> </w:t>
            </w:r>
            <w:r>
              <w:rPr>
                <w:sz w:val="24"/>
              </w:rPr>
              <w:t>van</w:t>
            </w:r>
            <w:r>
              <w:rPr>
                <w:spacing w:val="-5"/>
                <w:sz w:val="24"/>
              </w:rPr>
              <w:t> </w:t>
            </w:r>
            <w:r>
              <w:rPr>
                <w:sz w:val="24"/>
              </w:rPr>
              <w:t>trombose</w:t>
            </w:r>
            <w:r>
              <w:rPr>
                <w:spacing w:val="-3"/>
                <w:sz w:val="24"/>
              </w:rPr>
              <w:t> </w:t>
            </w:r>
            <w:r>
              <w:rPr>
                <w:sz w:val="24"/>
              </w:rPr>
              <w:t>bij</w:t>
            </w:r>
            <w:r>
              <w:rPr>
                <w:spacing w:val="-6"/>
                <w:sz w:val="24"/>
              </w:rPr>
              <w:t> </w:t>
            </w:r>
            <w:r>
              <w:rPr>
                <w:sz w:val="24"/>
              </w:rPr>
              <w:t>kinderen</w:t>
            </w:r>
            <w:r>
              <w:rPr>
                <w:spacing w:val="-5"/>
                <w:sz w:val="24"/>
              </w:rPr>
              <w:t> </w:t>
            </w:r>
            <w:r>
              <w:rPr>
                <w:sz w:val="24"/>
              </w:rPr>
              <w:t>met</w:t>
            </w:r>
            <w:r>
              <w:rPr>
                <w:spacing w:val="-3"/>
                <w:sz w:val="24"/>
              </w:rPr>
              <w:t> </w:t>
            </w:r>
            <w:r>
              <w:rPr>
                <w:sz w:val="24"/>
              </w:rPr>
              <w:t>een</w:t>
            </w:r>
            <w:r>
              <w:rPr>
                <w:spacing w:val="-5"/>
                <w:sz w:val="24"/>
              </w:rPr>
              <w:t> </w:t>
            </w:r>
            <w:r>
              <w:rPr>
                <w:sz w:val="24"/>
              </w:rPr>
              <w:t>gedilateerde cardiomyopathie is 6 tot 15%</w:t>
            </w:r>
          </w:p>
          <w:p>
            <w:pPr>
              <w:pStyle w:val="TableParagraph"/>
              <w:spacing w:line="273" w:lineRule="exact"/>
              <w:rPr>
                <w:sz w:val="24"/>
              </w:rPr>
            </w:pPr>
            <w:r>
              <w:rPr>
                <w:sz w:val="24"/>
              </w:rPr>
              <w:t>McGrindle 2006,</w:t>
            </w:r>
            <w:r>
              <w:rPr>
                <w:spacing w:val="-4"/>
                <w:sz w:val="24"/>
              </w:rPr>
              <w:t> </w:t>
            </w:r>
            <w:r>
              <w:rPr>
                <w:sz w:val="24"/>
              </w:rPr>
              <w:t>Choi</w:t>
            </w:r>
            <w:r>
              <w:rPr>
                <w:spacing w:val="-5"/>
                <w:sz w:val="24"/>
              </w:rPr>
              <w:t> </w:t>
            </w:r>
            <w:r>
              <w:rPr>
                <w:sz w:val="24"/>
              </w:rPr>
              <w:t>2010,</w:t>
            </w:r>
            <w:r>
              <w:rPr>
                <w:spacing w:val="-2"/>
                <w:sz w:val="24"/>
              </w:rPr>
              <w:t> </w:t>
            </w:r>
            <w:r>
              <w:rPr>
                <w:sz w:val="24"/>
              </w:rPr>
              <w:t>Gunthard</w:t>
            </w:r>
            <w:r>
              <w:rPr>
                <w:spacing w:val="-2"/>
                <w:sz w:val="24"/>
              </w:rPr>
              <w:t> </w:t>
            </w:r>
            <w:r>
              <w:rPr>
                <w:sz w:val="24"/>
              </w:rPr>
              <w:t>1997,</w:t>
            </w:r>
            <w:r>
              <w:rPr>
                <w:spacing w:val="-5"/>
                <w:sz w:val="24"/>
              </w:rPr>
              <w:t> </w:t>
            </w:r>
            <w:r>
              <w:rPr>
                <w:sz w:val="24"/>
              </w:rPr>
              <w:t>Arola</w:t>
            </w:r>
            <w:r>
              <w:rPr>
                <w:spacing w:val="-2"/>
                <w:sz w:val="24"/>
              </w:rPr>
              <w:t> </w:t>
            </w:r>
            <w:r>
              <w:rPr>
                <w:sz w:val="24"/>
              </w:rPr>
              <w:t>1998,</w:t>
            </w:r>
            <w:r>
              <w:rPr>
                <w:spacing w:val="-2"/>
                <w:sz w:val="24"/>
              </w:rPr>
              <w:t> </w:t>
            </w:r>
            <w:r>
              <w:rPr>
                <w:sz w:val="24"/>
              </w:rPr>
              <w:t>allen</w:t>
            </w:r>
            <w:r>
              <w:rPr>
                <w:spacing w:val="-1"/>
                <w:sz w:val="24"/>
              </w:rPr>
              <w:t> </w:t>
            </w:r>
            <w:r>
              <w:rPr>
                <w:sz w:val="24"/>
              </w:rPr>
              <w:t>graad</w:t>
            </w:r>
            <w:r>
              <w:rPr>
                <w:spacing w:val="-3"/>
                <w:sz w:val="24"/>
              </w:rPr>
              <w:t> </w:t>
            </w:r>
            <w:r>
              <w:rPr>
                <w:spacing w:val="-10"/>
                <w:sz w:val="24"/>
              </w:rPr>
              <w:t>C</w:t>
            </w:r>
          </w:p>
        </w:tc>
      </w:tr>
      <w:tr>
        <w:trPr>
          <w:trHeight w:val="880" w:hRule="atLeast"/>
        </w:trPr>
        <w:tc>
          <w:tcPr>
            <w:tcW w:w="1346" w:type="dxa"/>
            <w:shd w:val="clear" w:color="auto" w:fill="C0C0C0"/>
          </w:tcPr>
          <w:p>
            <w:pPr>
              <w:pStyle w:val="TableParagraph"/>
              <w:spacing w:before="1"/>
              <w:ind w:left="0"/>
              <w:rPr>
                <w:b/>
                <w:sz w:val="24"/>
              </w:rPr>
            </w:pPr>
          </w:p>
          <w:p>
            <w:pPr>
              <w:pStyle w:val="TableParagraph"/>
              <w:rPr>
                <w:sz w:val="24"/>
              </w:rPr>
            </w:pPr>
            <w:r>
              <w:rPr>
                <w:sz w:val="24"/>
              </w:rPr>
              <w:t>Niveau</w:t>
            </w:r>
            <w:r>
              <w:rPr>
                <w:spacing w:val="-5"/>
                <w:sz w:val="24"/>
              </w:rPr>
              <w:t> </w:t>
            </w:r>
            <w:r>
              <w:rPr>
                <w:spacing w:val="-10"/>
                <w:sz w:val="24"/>
              </w:rPr>
              <w:t>3</w:t>
            </w:r>
          </w:p>
        </w:tc>
        <w:tc>
          <w:tcPr>
            <w:tcW w:w="7088" w:type="dxa"/>
          </w:tcPr>
          <w:p>
            <w:pPr>
              <w:pStyle w:val="TableParagraph"/>
              <w:spacing w:before="1"/>
              <w:ind w:right="85"/>
              <w:rPr>
                <w:sz w:val="24"/>
              </w:rPr>
            </w:pPr>
            <w:r>
              <w:rPr>
                <w:sz w:val="24"/>
              </w:rPr>
              <w:t>Hoe</w:t>
            </w:r>
            <w:r>
              <w:rPr>
                <w:spacing w:val="-3"/>
                <w:sz w:val="24"/>
              </w:rPr>
              <w:t> </w:t>
            </w:r>
            <w:r>
              <w:rPr>
                <w:sz w:val="24"/>
              </w:rPr>
              <w:t>lager</w:t>
            </w:r>
            <w:r>
              <w:rPr>
                <w:spacing w:val="-5"/>
                <w:sz w:val="24"/>
              </w:rPr>
              <w:t> </w:t>
            </w:r>
            <w:r>
              <w:rPr>
                <w:sz w:val="24"/>
              </w:rPr>
              <w:t>de</w:t>
            </w:r>
            <w:r>
              <w:rPr>
                <w:spacing w:val="-5"/>
                <w:sz w:val="24"/>
              </w:rPr>
              <w:t> </w:t>
            </w:r>
            <w:r>
              <w:rPr>
                <w:sz w:val="24"/>
              </w:rPr>
              <w:t>verkortingsfractie,</w:t>
            </w:r>
            <w:r>
              <w:rPr>
                <w:spacing w:val="-5"/>
                <w:sz w:val="24"/>
              </w:rPr>
              <w:t> </w:t>
            </w:r>
            <w:r>
              <w:rPr>
                <w:sz w:val="24"/>
              </w:rPr>
              <w:t>hoe</w:t>
            </w:r>
            <w:r>
              <w:rPr>
                <w:spacing w:val="-3"/>
                <w:sz w:val="24"/>
              </w:rPr>
              <w:t> </w:t>
            </w:r>
            <w:r>
              <w:rPr>
                <w:sz w:val="24"/>
              </w:rPr>
              <w:t>groter</w:t>
            </w:r>
            <w:r>
              <w:rPr>
                <w:spacing w:val="-5"/>
                <w:sz w:val="24"/>
              </w:rPr>
              <w:t> </w:t>
            </w:r>
            <w:r>
              <w:rPr>
                <w:sz w:val="24"/>
              </w:rPr>
              <w:t>de</w:t>
            </w:r>
            <w:r>
              <w:rPr>
                <w:spacing w:val="-5"/>
                <w:sz w:val="24"/>
              </w:rPr>
              <w:t> </w:t>
            </w:r>
            <w:r>
              <w:rPr>
                <w:sz w:val="24"/>
              </w:rPr>
              <w:t>kans</w:t>
            </w:r>
            <w:r>
              <w:rPr>
                <w:spacing w:val="-4"/>
                <w:sz w:val="24"/>
              </w:rPr>
              <w:t> </w:t>
            </w:r>
            <w:r>
              <w:rPr>
                <w:sz w:val="24"/>
              </w:rPr>
              <w:t>op</w:t>
            </w:r>
            <w:r>
              <w:rPr>
                <w:spacing w:val="-5"/>
                <w:sz w:val="24"/>
              </w:rPr>
              <w:t> </w:t>
            </w:r>
            <w:r>
              <w:rPr>
                <w:sz w:val="24"/>
              </w:rPr>
              <w:t>trombose bij gedilateerde cardiomyopathie</w:t>
            </w:r>
          </w:p>
          <w:p>
            <w:pPr>
              <w:pStyle w:val="TableParagraph"/>
              <w:spacing w:line="273" w:lineRule="exact"/>
              <w:rPr>
                <w:sz w:val="24"/>
              </w:rPr>
            </w:pPr>
            <w:r>
              <w:rPr>
                <w:sz w:val="24"/>
              </w:rPr>
              <w:t>McGrindle</w:t>
            </w:r>
            <w:r>
              <w:rPr>
                <w:spacing w:val="-3"/>
                <w:sz w:val="24"/>
              </w:rPr>
              <w:t> </w:t>
            </w:r>
            <w:r>
              <w:rPr>
                <w:sz w:val="24"/>
              </w:rPr>
              <w:t>2006,</w:t>
            </w:r>
            <w:r>
              <w:rPr>
                <w:spacing w:val="-5"/>
                <w:sz w:val="24"/>
              </w:rPr>
              <w:t> </w:t>
            </w:r>
            <w:r>
              <w:rPr>
                <w:sz w:val="24"/>
              </w:rPr>
              <w:t>Gunthard</w:t>
            </w:r>
            <w:r>
              <w:rPr>
                <w:spacing w:val="-3"/>
                <w:sz w:val="24"/>
              </w:rPr>
              <w:t> </w:t>
            </w:r>
            <w:r>
              <w:rPr>
                <w:sz w:val="24"/>
              </w:rPr>
              <w:t>1997,</w:t>
            </w:r>
            <w:r>
              <w:rPr>
                <w:spacing w:val="-4"/>
                <w:sz w:val="24"/>
              </w:rPr>
              <w:t> </w:t>
            </w:r>
            <w:r>
              <w:rPr>
                <w:sz w:val="24"/>
              </w:rPr>
              <w:t>beide</w:t>
            </w:r>
            <w:r>
              <w:rPr>
                <w:spacing w:val="-6"/>
                <w:sz w:val="24"/>
              </w:rPr>
              <w:t> </w:t>
            </w:r>
            <w:r>
              <w:rPr>
                <w:sz w:val="24"/>
              </w:rPr>
              <w:t>graad</w:t>
            </w:r>
            <w:r>
              <w:rPr>
                <w:spacing w:val="-4"/>
                <w:sz w:val="24"/>
              </w:rPr>
              <w:t> </w:t>
            </w:r>
            <w:r>
              <w:rPr>
                <w:spacing w:val="-10"/>
                <w:sz w:val="24"/>
              </w:rPr>
              <w:t>C</w:t>
            </w:r>
          </w:p>
        </w:tc>
      </w:tr>
      <w:tr>
        <w:trPr>
          <w:trHeight w:val="1170" w:hRule="atLeast"/>
        </w:trPr>
        <w:tc>
          <w:tcPr>
            <w:tcW w:w="1346" w:type="dxa"/>
            <w:shd w:val="clear" w:color="auto" w:fill="C0C0C0"/>
          </w:tcPr>
          <w:p>
            <w:pPr>
              <w:pStyle w:val="TableParagraph"/>
              <w:spacing w:before="145"/>
              <w:ind w:left="0"/>
              <w:rPr>
                <w:b/>
                <w:sz w:val="24"/>
              </w:rPr>
            </w:pPr>
          </w:p>
          <w:p>
            <w:pPr>
              <w:pStyle w:val="TableParagraph"/>
              <w:rPr>
                <w:sz w:val="24"/>
              </w:rPr>
            </w:pPr>
            <w:r>
              <w:rPr>
                <w:sz w:val="24"/>
              </w:rPr>
              <w:t>Niveau</w:t>
            </w:r>
            <w:r>
              <w:rPr>
                <w:spacing w:val="-5"/>
                <w:sz w:val="24"/>
              </w:rPr>
              <w:t> </w:t>
            </w:r>
            <w:r>
              <w:rPr>
                <w:spacing w:val="-10"/>
                <w:sz w:val="24"/>
              </w:rPr>
              <w:t>3</w:t>
            </w:r>
          </w:p>
        </w:tc>
        <w:tc>
          <w:tcPr>
            <w:tcW w:w="7088" w:type="dxa"/>
          </w:tcPr>
          <w:p>
            <w:pPr>
              <w:pStyle w:val="TableParagraph"/>
              <w:ind w:right="85"/>
              <w:rPr>
                <w:sz w:val="24"/>
              </w:rPr>
            </w:pPr>
            <w:r>
              <w:rPr>
                <w:sz w:val="24"/>
              </w:rPr>
              <w:t>Warfarine</w:t>
            </w:r>
            <w:r>
              <w:rPr>
                <w:spacing w:val="-1"/>
                <w:sz w:val="24"/>
              </w:rPr>
              <w:t> </w:t>
            </w:r>
            <w:r>
              <w:rPr>
                <w:sz w:val="24"/>
              </w:rPr>
              <w:t>is</w:t>
            </w:r>
            <w:r>
              <w:rPr>
                <w:spacing w:val="-6"/>
                <w:sz w:val="24"/>
              </w:rPr>
              <w:t> </w:t>
            </w:r>
            <w:r>
              <w:rPr>
                <w:sz w:val="24"/>
              </w:rPr>
              <w:t>mogelijk</w:t>
            </w:r>
            <w:r>
              <w:rPr>
                <w:spacing w:val="-4"/>
                <w:sz w:val="24"/>
              </w:rPr>
              <w:t> </w:t>
            </w:r>
            <w:r>
              <w:rPr>
                <w:sz w:val="24"/>
              </w:rPr>
              <w:t>veilig</w:t>
            </w:r>
            <w:r>
              <w:rPr>
                <w:spacing w:val="-4"/>
                <w:sz w:val="24"/>
              </w:rPr>
              <w:t> </w:t>
            </w:r>
            <w:r>
              <w:rPr>
                <w:sz w:val="24"/>
              </w:rPr>
              <w:t>en</w:t>
            </w:r>
            <w:r>
              <w:rPr>
                <w:spacing w:val="-5"/>
                <w:sz w:val="24"/>
              </w:rPr>
              <w:t> </w:t>
            </w:r>
            <w:r>
              <w:rPr>
                <w:sz w:val="24"/>
              </w:rPr>
              <w:t>effectief</w:t>
            </w:r>
            <w:r>
              <w:rPr>
                <w:spacing w:val="-3"/>
                <w:sz w:val="24"/>
              </w:rPr>
              <w:t> </w:t>
            </w:r>
            <w:r>
              <w:rPr>
                <w:sz w:val="24"/>
              </w:rPr>
              <w:t>voor</w:t>
            </w:r>
            <w:r>
              <w:rPr>
                <w:spacing w:val="-6"/>
                <w:sz w:val="24"/>
              </w:rPr>
              <w:t> </w:t>
            </w:r>
            <w:r>
              <w:rPr>
                <w:sz w:val="24"/>
              </w:rPr>
              <w:t>de</w:t>
            </w:r>
            <w:r>
              <w:rPr>
                <w:spacing w:val="-5"/>
                <w:sz w:val="24"/>
              </w:rPr>
              <w:t> </w:t>
            </w:r>
            <w:r>
              <w:rPr>
                <w:sz w:val="24"/>
              </w:rPr>
              <w:t>preventie</w:t>
            </w:r>
            <w:r>
              <w:rPr>
                <w:spacing w:val="-3"/>
                <w:sz w:val="24"/>
              </w:rPr>
              <w:t> </w:t>
            </w:r>
            <w:r>
              <w:rPr>
                <w:sz w:val="24"/>
              </w:rPr>
              <w:t>van</w:t>
            </w:r>
            <w:r>
              <w:rPr>
                <w:spacing w:val="-5"/>
                <w:sz w:val="24"/>
              </w:rPr>
              <w:t> </w:t>
            </w:r>
            <w:r>
              <w:rPr>
                <w:sz w:val="24"/>
              </w:rPr>
              <w:t>trombo-embolische complicaties bij kinderen met gedilateerde </w:t>
            </w:r>
            <w:r>
              <w:rPr>
                <w:spacing w:val="-2"/>
                <w:sz w:val="24"/>
              </w:rPr>
              <w:t>cardiomyopathie</w:t>
            </w:r>
          </w:p>
          <w:p>
            <w:pPr>
              <w:pStyle w:val="TableParagraph"/>
              <w:spacing w:line="273" w:lineRule="exact"/>
              <w:rPr>
                <w:sz w:val="24"/>
              </w:rPr>
            </w:pPr>
            <w:r>
              <w:rPr>
                <w:sz w:val="24"/>
              </w:rPr>
              <w:t>Monagle</w:t>
            </w:r>
            <w:r>
              <w:rPr>
                <w:spacing w:val="-1"/>
                <w:sz w:val="24"/>
              </w:rPr>
              <w:t> </w:t>
            </w:r>
            <w:r>
              <w:rPr>
                <w:sz w:val="24"/>
              </w:rPr>
              <w:t>2014</w:t>
            </w:r>
            <w:r>
              <w:rPr>
                <w:spacing w:val="-1"/>
                <w:sz w:val="24"/>
              </w:rPr>
              <w:t> </w:t>
            </w:r>
            <w:r>
              <w:rPr>
                <w:spacing w:val="-5"/>
                <w:sz w:val="24"/>
              </w:rPr>
              <w:t>(C)</w:t>
            </w:r>
          </w:p>
        </w:tc>
      </w:tr>
      <w:tr>
        <w:trPr>
          <w:trHeight w:val="1466" w:hRule="atLeast"/>
        </w:trPr>
        <w:tc>
          <w:tcPr>
            <w:tcW w:w="1346" w:type="dxa"/>
            <w:shd w:val="clear" w:color="auto" w:fill="C0C0C0"/>
          </w:tcPr>
          <w:p>
            <w:pPr>
              <w:pStyle w:val="TableParagraph"/>
              <w:ind w:left="0"/>
              <w:rPr>
                <w:b/>
                <w:sz w:val="24"/>
              </w:rPr>
            </w:pPr>
          </w:p>
          <w:p>
            <w:pPr>
              <w:pStyle w:val="TableParagraph"/>
              <w:spacing w:before="1"/>
              <w:ind w:left="0"/>
              <w:rPr>
                <w:b/>
                <w:sz w:val="24"/>
              </w:rPr>
            </w:pPr>
          </w:p>
          <w:p>
            <w:pPr>
              <w:pStyle w:val="TableParagraph"/>
              <w:rPr>
                <w:sz w:val="24"/>
              </w:rPr>
            </w:pPr>
            <w:r>
              <w:rPr>
                <w:sz w:val="24"/>
              </w:rPr>
              <w:t>Niveau</w:t>
            </w:r>
            <w:r>
              <w:rPr>
                <w:spacing w:val="-5"/>
                <w:sz w:val="24"/>
              </w:rPr>
              <w:t> </w:t>
            </w:r>
            <w:r>
              <w:rPr>
                <w:spacing w:val="-10"/>
                <w:sz w:val="24"/>
              </w:rPr>
              <w:t>2</w:t>
            </w:r>
          </w:p>
        </w:tc>
        <w:tc>
          <w:tcPr>
            <w:tcW w:w="7088" w:type="dxa"/>
          </w:tcPr>
          <w:p>
            <w:pPr>
              <w:pStyle w:val="TableParagraph"/>
              <w:ind w:right="85"/>
              <w:rPr>
                <w:sz w:val="24"/>
              </w:rPr>
            </w:pPr>
            <w:r>
              <w:rPr>
                <w:sz w:val="24"/>
              </w:rPr>
              <w:t>Bij</w:t>
            </w:r>
            <w:r>
              <w:rPr>
                <w:spacing w:val="-5"/>
                <w:sz w:val="24"/>
              </w:rPr>
              <w:t> </w:t>
            </w:r>
            <w:r>
              <w:rPr>
                <w:sz w:val="24"/>
              </w:rPr>
              <w:t>volwassenen</w:t>
            </w:r>
            <w:r>
              <w:rPr>
                <w:spacing w:val="-6"/>
                <w:sz w:val="24"/>
              </w:rPr>
              <w:t> </w:t>
            </w:r>
            <w:r>
              <w:rPr>
                <w:sz w:val="24"/>
              </w:rPr>
              <w:t>met</w:t>
            </w:r>
            <w:r>
              <w:rPr>
                <w:spacing w:val="-5"/>
                <w:sz w:val="24"/>
              </w:rPr>
              <w:t> </w:t>
            </w:r>
            <w:r>
              <w:rPr>
                <w:sz w:val="24"/>
              </w:rPr>
              <w:t>hartfalen</w:t>
            </w:r>
            <w:r>
              <w:rPr>
                <w:spacing w:val="-4"/>
                <w:sz w:val="24"/>
              </w:rPr>
              <w:t> </w:t>
            </w:r>
            <w:r>
              <w:rPr>
                <w:sz w:val="24"/>
              </w:rPr>
              <w:t>(ejectiefractie</w:t>
            </w:r>
            <w:r>
              <w:rPr>
                <w:spacing w:val="-7"/>
                <w:sz w:val="24"/>
              </w:rPr>
              <w:t> </w:t>
            </w:r>
            <w:r>
              <w:rPr>
                <w:sz w:val="24"/>
              </w:rPr>
              <w:t>&lt;</w:t>
            </w:r>
            <w:r>
              <w:rPr>
                <w:spacing w:val="-4"/>
                <w:sz w:val="24"/>
              </w:rPr>
              <w:t> </w:t>
            </w:r>
            <w:r>
              <w:rPr>
                <w:sz w:val="24"/>
              </w:rPr>
              <w:t>35%)</w:t>
            </w:r>
            <w:r>
              <w:rPr>
                <w:spacing w:val="-6"/>
                <w:sz w:val="24"/>
              </w:rPr>
              <w:t> </w:t>
            </w:r>
            <w:r>
              <w:rPr>
                <w:sz w:val="24"/>
              </w:rPr>
              <w:t>en</w:t>
            </w:r>
            <w:r>
              <w:rPr>
                <w:spacing w:val="-3"/>
                <w:sz w:val="24"/>
              </w:rPr>
              <w:t> </w:t>
            </w:r>
            <w:r>
              <w:rPr>
                <w:sz w:val="24"/>
              </w:rPr>
              <w:t>sinusritme</w:t>
            </w:r>
            <w:r>
              <w:rPr>
                <w:spacing w:val="-6"/>
                <w:sz w:val="24"/>
              </w:rPr>
              <w:t> </w:t>
            </w:r>
            <w:r>
              <w:rPr>
                <w:sz w:val="24"/>
              </w:rPr>
              <w:t>is warfarine even effectief en veilig als aspirine bij preventie van ischemische herseninfarcten, dood door alle oorzaken en intracerebrale bloeding</w:t>
            </w:r>
          </w:p>
          <w:p>
            <w:pPr>
              <w:pStyle w:val="TableParagraph"/>
              <w:spacing w:line="273" w:lineRule="exact" w:before="1"/>
              <w:rPr>
                <w:sz w:val="24"/>
              </w:rPr>
            </w:pPr>
            <w:r>
              <w:rPr>
                <w:sz w:val="24"/>
              </w:rPr>
              <w:t>Homma 2012</w:t>
            </w:r>
            <w:r>
              <w:rPr>
                <w:spacing w:val="2"/>
                <w:sz w:val="24"/>
              </w:rPr>
              <w:t> </w:t>
            </w:r>
            <w:r>
              <w:rPr>
                <w:spacing w:val="-4"/>
                <w:sz w:val="24"/>
              </w:rPr>
              <w:t>(A2)</w:t>
            </w:r>
          </w:p>
        </w:tc>
      </w:tr>
      <w:tr>
        <w:trPr>
          <w:trHeight w:val="1463" w:hRule="atLeast"/>
        </w:trPr>
        <w:tc>
          <w:tcPr>
            <w:tcW w:w="1346" w:type="dxa"/>
            <w:shd w:val="clear" w:color="auto" w:fill="C0C0C0"/>
          </w:tcPr>
          <w:p>
            <w:pPr>
              <w:pStyle w:val="TableParagraph"/>
              <w:spacing w:before="291"/>
              <w:ind w:left="0"/>
              <w:rPr>
                <w:b/>
                <w:sz w:val="24"/>
              </w:rPr>
            </w:pPr>
          </w:p>
          <w:p>
            <w:pPr>
              <w:pStyle w:val="TableParagraph"/>
              <w:spacing w:before="1"/>
              <w:rPr>
                <w:sz w:val="24"/>
              </w:rPr>
            </w:pPr>
            <w:r>
              <w:rPr>
                <w:sz w:val="24"/>
              </w:rPr>
              <w:t>Niveau</w:t>
            </w:r>
            <w:r>
              <w:rPr>
                <w:spacing w:val="-5"/>
                <w:sz w:val="24"/>
              </w:rPr>
              <w:t> </w:t>
            </w:r>
            <w:r>
              <w:rPr>
                <w:spacing w:val="-10"/>
                <w:sz w:val="24"/>
              </w:rPr>
              <w:t>2</w:t>
            </w:r>
          </w:p>
        </w:tc>
        <w:tc>
          <w:tcPr>
            <w:tcW w:w="7088" w:type="dxa"/>
          </w:tcPr>
          <w:p>
            <w:pPr>
              <w:pStyle w:val="TableParagraph"/>
              <w:ind w:right="85"/>
              <w:rPr>
                <w:sz w:val="24"/>
              </w:rPr>
            </w:pPr>
            <w:r>
              <w:rPr>
                <w:sz w:val="24"/>
              </w:rPr>
              <w:t>Bij volwassenen met hartfalen (ejectiefractie</w:t>
            </w:r>
            <w:r>
              <w:rPr>
                <w:spacing w:val="-1"/>
                <w:sz w:val="24"/>
              </w:rPr>
              <w:t> </w:t>
            </w:r>
            <w:r>
              <w:rPr>
                <w:sz w:val="24"/>
              </w:rPr>
              <w:t>&lt; 35%) en sinusritme is warfarine even effectief en veilig als aspirine of clopidogrel bij preventie</w:t>
            </w:r>
            <w:r>
              <w:rPr>
                <w:spacing w:val="-8"/>
                <w:sz w:val="24"/>
              </w:rPr>
              <w:t> </w:t>
            </w:r>
            <w:r>
              <w:rPr>
                <w:sz w:val="24"/>
              </w:rPr>
              <w:t>van</w:t>
            </w:r>
            <w:r>
              <w:rPr>
                <w:spacing w:val="-5"/>
                <w:sz w:val="24"/>
              </w:rPr>
              <w:t> </w:t>
            </w:r>
            <w:r>
              <w:rPr>
                <w:sz w:val="24"/>
              </w:rPr>
              <w:t>ischemische</w:t>
            </w:r>
            <w:r>
              <w:rPr>
                <w:spacing w:val="-7"/>
                <w:sz w:val="24"/>
              </w:rPr>
              <w:t> </w:t>
            </w:r>
            <w:r>
              <w:rPr>
                <w:sz w:val="24"/>
              </w:rPr>
              <w:t>herseninfarcten,</w:t>
            </w:r>
            <w:r>
              <w:rPr>
                <w:spacing w:val="-6"/>
                <w:sz w:val="24"/>
              </w:rPr>
              <w:t> </w:t>
            </w:r>
            <w:r>
              <w:rPr>
                <w:sz w:val="24"/>
              </w:rPr>
              <w:t>myocardinfarct,</w:t>
            </w:r>
            <w:r>
              <w:rPr>
                <w:spacing w:val="-8"/>
                <w:sz w:val="24"/>
              </w:rPr>
              <w:t> </w:t>
            </w:r>
            <w:r>
              <w:rPr>
                <w:sz w:val="24"/>
              </w:rPr>
              <w:t>en</w:t>
            </w:r>
            <w:r>
              <w:rPr>
                <w:spacing w:val="-7"/>
                <w:sz w:val="24"/>
              </w:rPr>
              <w:t> </w:t>
            </w:r>
            <w:r>
              <w:rPr>
                <w:sz w:val="24"/>
              </w:rPr>
              <w:t>dood door alle oorzaken.</w:t>
            </w:r>
          </w:p>
          <w:p>
            <w:pPr>
              <w:pStyle w:val="TableParagraph"/>
              <w:spacing w:line="272" w:lineRule="exact"/>
              <w:rPr>
                <w:sz w:val="24"/>
              </w:rPr>
            </w:pPr>
            <w:r>
              <w:rPr>
                <w:sz w:val="24"/>
              </w:rPr>
              <w:t>Massie</w:t>
            </w:r>
            <w:r>
              <w:rPr>
                <w:spacing w:val="-2"/>
                <w:sz w:val="24"/>
              </w:rPr>
              <w:t> </w:t>
            </w:r>
            <w:r>
              <w:rPr>
                <w:sz w:val="24"/>
              </w:rPr>
              <w:t>2009 </w:t>
            </w:r>
            <w:r>
              <w:rPr>
                <w:spacing w:val="-4"/>
                <w:sz w:val="24"/>
              </w:rPr>
              <w:t>(A2)</w:t>
            </w:r>
          </w:p>
        </w:tc>
      </w:tr>
    </w:tbl>
    <w:p>
      <w:pPr>
        <w:pStyle w:val="BodyText"/>
        <w:spacing w:before="4"/>
        <w:ind w:left="0"/>
        <w:rPr>
          <w:b/>
        </w:rPr>
      </w:pPr>
    </w:p>
    <w:p>
      <w:pPr>
        <w:spacing w:before="0"/>
        <w:ind w:left="141" w:right="0" w:firstLine="0"/>
        <w:jc w:val="left"/>
        <w:rPr>
          <w:b/>
          <w:sz w:val="24"/>
        </w:rPr>
      </w:pPr>
      <w:r>
        <w:rPr>
          <w:b/>
          <w:spacing w:val="-2"/>
          <w:sz w:val="24"/>
        </w:rPr>
        <w:t>Overwegingen</w:t>
      </w:r>
    </w:p>
    <w:p>
      <w:pPr>
        <w:pStyle w:val="BodyText"/>
        <w:ind w:right="78"/>
      </w:pPr>
      <w:r>
        <w:rPr/>
        <w:t>In de literatuur zijn geen grote studies die de veiligheid en effectiviteit onderzoeken van antistollingsmiddelen (heparine, VKA of aspirine) voor de behandeling van intra-cardiale trombose en voor de preventie van trombo-embolie bij kinderen met gedilateerde cardiomyopathie. Case-reports adviseren desondanks om aanwezige trombi te behandelen met anticoagulantia</w:t>
      </w:r>
      <w:r>
        <w:rPr>
          <w:spacing w:val="-3"/>
        </w:rPr>
        <w:t> </w:t>
      </w:r>
      <w:r>
        <w:rPr/>
        <w:t>ter</w:t>
      </w:r>
      <w:r>
        <w:rPr>
          <w:spacing w:val="-5"/>
        </w:rPr>
        <w:t> </w:t>
      </w:r>
      <w:r>
        <w:rPr/>
        <w:t>preventie</w:t>
      </w:r>
      <w:r>
        <w:rPr>
          <w:spacing w:val="-3"/>
        </w:rPr>
        <w:t> </w:t>
      </w:r>
      <w:r>
        <w:rPr/>
        <w:t>van</w:t>
      </w:r>
      <w:r>
        <w:rPr>
          <w:spacing w:val="-2"/>
        </w:rPr>
        <w:t> </w:t>
      </w:r>
      <w:r>
        <w:rPr/>
        <w:t>embolisatie en</w:t>
      </w:r>
      <w:r>
        <w:rPr>
          <w:spacing w:val="-2"/>
        </w:rPr>
        <w:t> </w:t>
      </w:r>
      <w:r>
        <w:rPr/>
        <w:t>om</w:t>
      </w:r>
      <w:r>
        <w:rPr>
          <w:spacing w:val="-3"/>
        </w:rPr>
        <w:t> </w:t>
      </w:r>
      <w:r>
        <w:rPr/>
        <w:t>bij</w:t>
      </w:r>
      <w:r>
        <w:rPr>
          <w:spacing w:val="-3"/>
        </w:rPr>
        <w:t> </w:t>
      </w:r>
      <w:r>
        <w:rPr/>
        <w:t>patiënten</w:t>
      </w:r>
      <w:r>
        <w:rPr>
          <w:spacing w:val="-2"/>
        </w:rPr>
        <w:t> </w:t>
      </w:r>
      <w:r>
        <w:rPr/>
        <w:t>met een</w:t>
      </w:r>
      <w:r>
        <w:rPr>
          <w:spacing w:val="-2"/>
        </w:rPr>
        <w:t> </w:t>
      </w:r>
      <w:r>
        <w:rPr/>
        <w:t>zeer</w:t>
      </w:r>
      <w:r>
        <w:rPr>
          <w:spacing w:val="-3"/>
        </w:rPr>
        <w:t> </w:t>
      </w:r>
      <w:r>
        <w:rPr/>
        <w:t>slechte linker</w:t>
      </w:r>
      <w:r>
        <w:rPr>
          <w:spacing w:val="-3"/>
        </w:rPr>
        <w:t> </w:t>
      </w:r>
      <w:r>
        <w:rPr/>
        <w:t>ventrikel</w:t>
      </w:r>
      <w:r>
        <w:rPr>
          <w:spacing w:val="-5"/>
        </w:rPr>
        <w:t> </w:t>
      </w:r>
      <w:r>
        <w:rPr/>
        <w:t>functie</w:t>
      </w:r>
      <w:r>
        <w:rPr>
          <w:spacing w:val="-6"/>
        </w:rPr>
        <w:t> </w:t>
      </w:r>
      <w:r>
        <w:rPr/>
        <w:t>anticoagulantia of</w:t>
      </w:r>
      <w:r>
        <w:rPr>
          <w:spacing w:val="-3"/>
        </w:rPr>
        <w:t> </w:t>
      </w:r>
      <w:r>
        <w:rPr/>
        <w:t>aspirine</w:t>
      </w:r>
      <w:r>
        <w:rPr>
          <w:spacing w:val="-2"/>
        </w:rPr>
        <w:t> </w:t>
      </w:r>
      <w:r>
        <w:rPr/>
        <w:t>te</w:t>
      </w:r>
      <w:r>
        <w:rPr>
          <w:spacing w:val="-6"/>
        </w:rPr>
        <w:t> </w:t>
      </w:r>
      <w:r>
        <w:rPr/>
        <w:t>starten</w:t>
      </w:r>
      <w:r>
        <w:rPr>
          <w:spacing w:val="-3"/>
        </w:rPr>
        <w:t> </w:t>
      </w:r>
      <w:r>
        <w:rPr/>
        <w:t>ter</w:t>
      </w:r>
      <w:r>
        <w:rPr>
          <w:spacing w:val="-5"/>
        </w:rPr>
        <w:t> </w:t>
      </w:r>
      <w:r>
        <w:rPr/>
        <w:t>preventie</w:t>
      </w:r>
      <w:r>
        <w:rPr>
          <w:spacing w:val="-3"/>
        </w:rPr>
        <w:t> </w:t>
      </w:r>
      <w:r>
        <w:rPr/>
        <w:t>van</w:t>
      </w:r>
      <w:r>
        <w:rPr>
          <w:spacing w:val="-3"/>
        </w:rPr>
        <w:t> </w:t>
      </w:r>
      <w:r>
        <w:rPr/>
        <w:t>intra-cardiale trombose en embolisatie. Het is echter onduidelijk welke afkapgrens van de verkortingsfractie dan wel ejectiefractie gebruikt moet worden. In de case-reports varieert de verkortingsfractie bij patiënten met trombose tussen &lt; 10% en 17% en de ejectiefractie tussen 11% en 42%. De werkgroep heeft gekozen om een grens van 20% aan te houden bij de verkortingsfractie.</w:t>
      </w:r>
    </w:p>
    <w:p>
      <w:pPr>
        <w:pStyle w:val="BodyText"/>
      </w:pPr>
      <w:r>
        <w:rPr/>
        <w:t>Bij volwassenen met hartfalen en sinusritme is aspirine en clopidogrel even effectief als warfarine in de preventie van ischemische herseninfarcten, myocardinfarct, en dood door alle oorzaken. Alhoewel de eindpunten bij de kinderen en volwassenen niet helemaal overeenkomen, laten de studies bij volwassenen zien dat aspirine bij hartfalen de stolling beïnvloedt</w:t>
      </w:r>
      <w:r>
        <w:rPr>
          <w:spacing w:val="-1"/>
        </w:rPr>
        <w:t> </w:t>
      </w:r>
      <w:r>
        <w:rPr/>
        <w:t>en</w:t>
      </w:r>
      <w:r>
        <w:rPr>
          <w:spacing w:val="-5"/>
        </w:rPr>
        <w:t> </w:t>
      </w:r>
      <w:r>
        <w:rPr/>
        <w:t>trombo-embolische</w:t>
      </w:r>
      <w:r>
        <w:rPr>
          <w:spacing w:val="-6"/>
        </w:rPr>
        <w:t> </w:t>
      </w:r>
      <w:r>
        <w:rPr/>
        <w:t>processen</w:t>
      </w:r>
      <w:r>
        <w:rPr>
          <w:spacing w:val="-3"/>
        </w:rPr>
        <w:t> </w:t>
      </w:r>
      <w:r>
        <w:rPr/>
        <w:t>voorkomt.</w:t>
      </w:r>
      <w:r>
        <w:rPr>
          <w:spacing w:val="-5"/>
        </w:rPr>
        <w:t> </w:t>
      </w:r>
      <w:r>
        <w:rPr/>
        <w:t>Gezien</w:t>
      </w:r>
      <w:r>
        <w:rPr>
          <w:spacing w:val="-5"/>
        </w:rPr>
        <w:t> </w:t>
      </w:r>
      <w:r>
        <w:rPr/>
        <w:t>het</w:t>
      </w:r>
      <w:r>
        <w:rPr>
          <w:spacing w:val="-5"/>
        </w:rPr>
        <w:t> </w:t>
      </w:r>
      <w:r>
        <w:rPr/>
        <w:t>feit</w:t>
      </w:r>
      <w:r>
        <w:rPr>
          <w:spacing w:val="-4"/>
        </w:rPr>
        <w:t> </w:t>
      </w:r>
      <w:r>
        <w:rPr/>
        <w:t>dat</w:t>
      </w:r>
      <w:r>
        <w:rPr>
          <w:spacing w:val="-3"/>
        </w:rPr>
        <w:t> </w:t>
      </w:r>
      <w:r>
        <w:rPr/>
        <w:t>aspirine patiënt</w:t>
      </w:r>
    </w:p>
    <w:p>
      <w:pPr>
        <w:pStyle w:val="BodyText"/>
        <w:spacing w:after="0"/>
        <w:sectPr>
          <w:pgSz w:w="11910" w:h="16840"/>
          <w:pgMar w:header="0" w:footer="750" w:top="1360" w:bottom="940" w:left="1275" w:right="1417"/>
        </w:sectPr>
      </w:pPr>
    </w:p>
    <w:p>
      <w:pPr>
        <w:pStyle w:val="BodyText"/>
        <w:spacing w:before="37"/>
      </w:pPr>
      <w:r>
        <w:rPr/>
        <w:t>vriendelijker</w:t>
      </w:r>
      <w:r>
        <w:rPr>
          <w:spacing w:val="-2"/>
        </w:rPr>
        <w:t> </w:t>
      </w:r>
      <w:r>
        <w:rPr/>
        <w:t>is</w:t>
      </w:r>
      <w:r>
        <w:rPr>
          <w:spacing w:val="-3"/>
        </w:rPr>
        <w:t> </w:t>
      </w:r>
      <w:r>
        <w:rPr/>
        <w:t>en</w:t>
      </w:r>
      <w:r>
        <w:rPr>
          <w:spacing w:val="-4"/>
        </w:rPr>
        <w:t> </w:t>
      </w:r>
      <w:r>
        <w:rPr/>
        <w:t>er</w:t>
      </w:r>
      <w:r>
        <w:rPr>
          <w:spacing w:val="-2"/>
        </w:rPr>
        <w:t> </w:t>
      </w:r>
      <w:r>
        <w:rPr/>
        <w:t>geen</w:t>
      </w:r>
      <w:r>
        <w:rPr>
          <w:spacing w:val="-2"/>
        </w:rPr>
        <w:t> </w:t>
      </w:r>
      <w:r>
        <w:rPr/>
        <w:t>goed</w:t>
      </w:r>
      <w:r>
        <w:rPr>
          <w:spacing w:val="-4"/>
        </w:rPr>
        <w:t> </w:t>
      </w:r>
      <w:r>
        <w:rPr/>
        <w:t>bewijs</w:t>
      </w:r>
      <w:r>
        <w:rPr>
          <w:spacing w:val="-4"/>
        </w:rPr>
        <w:t> </w:t>
      </w:r>
      <w:r>
        <w:rPr/>
        <w:t>is</w:t>
      </w:r>
      <w:r>
        <w:rPr>
          <w:spacing w:val="-3"/>
        </w:rPr>
        <w:t> </w:t>
      </w:r>
      <w:r>
        <w:rPr/>
        <w:t>voor de</w:t>
      </w:r>
      <w:r>
        <w:rPr>
          <w:spacing w:val="-4"/>
        </w:rPr>
        <w:t> </w:t>
      </w:r>
      <w:r>
        <w:rPr/>
        <w:t>effectiviteit</w:t>
      </w:r>
      <w:r>
        <w:rPr>
          <w:spacing w:val="-2"/>
        </w:rPr>
        <w:t> </w:t>
      </w:r>
      <w:r>
        <w:rPr/>
        <w:t>van VKA,</w:t>
      </w:r>
      <w:r>
        <w:rPr>
          <w:spacing w:val="-3"/>
        </w:rPr>
        <w:t> </w:t>
      </w:r>
      <w:r>
        <w:rPr/>
        <w:t>heeft</w:t>
      </w:r>
      <w:r>
        <w:rPr>
          <w:spacing w:val="-4"/>
        </w:rPr>
        <w:t> </w:t>
      </w:r>
      <w:r>
        <w:rPr/>
        <w:t>de</w:t>
      </w:r>
      <w:r>
        <w:rPr>
          <w:spacing w:val="-5"/>
        </w:rPr>
        <w:t> </w:t>
      </w:r>
      <w:r>
        <w:rPr/>
        <w:t>werkgroep ervoor gekozen om aspirine te adviseren als primaire preventie en VKA als secundaire </w:t>
      </w:r>
      <w:r>
        <w:rPr>
          <w:spacing w:val="-2"/>
        </w:rPr>
        <w:t>preventie.</w:t>
      </w:r>
    </w:p>
    <w:p>
      <w:pPr>
        <w:pStyle w:val="BodyText"/>
        <w:spacing w:before="2"/>
        <w:ind w:right="78"/>
      </w:pPr>
      <w:r>
        <w:rPr/>
        <w:t>Indien de functie van de linker kamer verbetert, adviseert de werkgroep om door te gaan met</w:t>
      </w:r>
      <w:r>
        <w:rPr>
          <w:spacing w:val="-2"/>
        </w:rPr>
        <w:t> </w:t>
      </w:r>
      <w:r>
        <w:rPr/>
        <w:t>aspirine</w:t>
      </w:r>
      <w:r>
        <w:rPr>
          <w:spacing w:val="-3"/>
        </w:rPr>
        <w:t> </w:t>
      </w:r>
      <w:r>
        <w:rPr/>
        <w:t>of</w:t>
      </w:r>
      <w:r>
        <w:rPr>
          <w:spacing w:val="-1"/>
        </w:rPr>
        <w:t> </w:t>
      </w:r>
      <w:r>
        <w:rPr/>
        <w:t>VKA</w:t>
      </w:r>
      <w:r>
        <w:rPr>
          <w:spacing w:val="-3"/>
        </w:rPr>
        <w:t> </w:t>
      </w:r>
      <w:r>
        <w:rPr/>
        <w:t>totdat</w:t>
      </w:r>
      <w:r>
        <w:rPr>
          <w:spacing w:val="-3"/>
        </w:rPr>
        <w:t> </w:t>
      </w:r>
      <w:r>
        <w:rPr/>
        <w:t>de</w:t>
      </w:r>
      <w:r>
        <w:rPr>
          <w:spacing w:val="-3"/>
        </w:rPr>
        <w:t> </w:t>
      </w:r>
      <w:r>
        <w:rPr/>
        <w:t>verkortingsfractie</w:t>
      </w:r>
      <w:r>
        <w:rPr>
          <w:spacing w:val="-6"/>
        </w:rPr>
        <w:t> </w:t>
      </w:r>
      <w:r>
        <w:rPr/>
        <w:t>gedurende</w:t>
      </w:r>
      <w:r>
        <w:rPr>
          <w:spacing w:val="-3"/>
        </w:rPr>
        <w:t> </w:t>
      </w:r>
      <w:r>
        <w:rPr/>
        <w:t>3</w:t>
      </w:r>
      <w:r>
        <w:rPr>
          <w:spacing w:val="-5"/>
        </w:rPr>
        <w:t> </w:t>
      </w:r>
      <w:r>
        <w:rPr/>
        <w:t>maanden</w:t>
      </w:r>
      <w:r>
        <w:rPr>
          <w:spacing w:val="-3"/>
        </w:rPr>
        <w:t> </w:t>
      </w:r>
      <w:r>
        <w:rPr/>
        <w:t>stabiel</w:t>
      </w:r>
      <w:r>
        <w:rPr>
          <w:spacing w:val="-3"/>
        </w:rPr>
        <w:t> </w:t>
      </w:r>
      <w:r>
        <w:rPr/>
        <w:t>groter</w:t>
      </w:r>
      <w:r>
        <w:rPr>
          <w:spacing w:val="-5"/>
        </w:rPr>
        <w:t> </w:t>
      </w:r>
      <w:r>
        <w:rPr/>
        <w:t>is</w:t>
      </w:r>
      <w:r>
        <w:rPr>
          <w:spacing w:val="-6"/>
        </w:rPr>
        <w:t> </w:t>
      </w:r>
      <w:r>
        <w:rPr/>
        <w:t>dan </w:t>
      </w:r>
      <w:r>
        <w:rPr>
          <w:spacing w:val="-4"/>
        </w:rPr>
        <w:t>20%</w:t>
      </w:r>
    </w:p>
    <w:p>
      <w:pPr>
        <w:pStyle w:val="Heading1"/>
        <w:spacing w:before="292"/>
      </w:pPr>
      <w:r>
        <w:rPr>
          <w:spacing w:val="-2"/>
        </w:rPr>
        <w:t>Aanbevelingen</w:t>
      </w:r>
    </w:p>
    <w:p>
      <w:pPr>
        <w:pStyle w:val="ListParagraph"/>
        <w:numPr>
          <w:ilvl w:val="0"/>
          <w:numId w:val="3"/>
        </w:numPr>
        <w:tabs>
          <w:tab w:pos="859" w:val="left" w:leader="none"/>
          <w:tab w:pos="861" w:val="left" w:leader="none"/>
        </w:tabs>
        <w:spacing w:line="240" w:lineRule="auto" w:before="0" w:after="0"/>
        <w:ind w:left="861" w:right="306" w:hanging="360"/>
        <w:jc w:val="left"/>
        <w:rPr>
          <w:sz w:val="24"/>
        </w:rPr>
      </w:pPr>
      <w:r>
        <w:rPr>
          <w:sz w:val="24"/>
        </w:rPr>
        <w:t>Bij</w:t>
      </w:r>
      <w:r>
        <w:rPr>
          <w:spacing w:val="-4"/>
          <w:sz w:val="24"/>
        </w:rPr>
        <w:t> </w:t>
      </w:r>
      <w:r>
        <w:rPr>
          <w:sz w:val="24"/>
        </w:rPr>
        <w:t>gedilateerde</w:t>
      </w:r>
      <w:r>
        <w:rPr>
          <w:spacing w:val="-3"/>
          <w:sz w:val="24"/>
        </w:rPr>
        <w:t> </w:t>
      </w:r>
      <w:r>
        <w:rPr>
          <w:sz w:val="24"/>
        </w:rPr>
        <w:t>cardiomyopathie</w:t>
      </w:r>
      <w:r>
        <w:rPr>
          <w:spacing w:val="-3"/>
          <w:sz w:val="24"/>
        </w:rPr>
        <w:t> </w:t>
      </w:r>
      <w:r>
        <w:rPr>
          <w:sz w:val="24"/>
        </w:rPr>
        <w:t>wordt</w:t>
      </w:r>
      <w:r>
        <w:rPr>
          <w:spacing w:val="-5"/>
          <w:sz w:val="24"/>
        </w:rPr>
        <w:t> </w:t>
      </w:r>
      <w:r>
        <w:rPr>
          <w:sz w:val="24"/>
        </w:rPr>
        <w:t>primaire</w:t>
      </w:r>
      <w:r>
        <w:rPr>
          <w:spacing w:val="-5"/>
          <w:sz w:val="24"/>
        </w:rPr>
        <w:t> </w:t>
      </w:r>
      <w:r>
        <w:rPr>
          <w:sz w:val="24"/>
        </w:rPr>
        <w:t>preventie</w:t>
      </w:r>
      <w:r>
        <w:rPr>
          <w:spacing w:val="-6"/>
          <w:sz w:val="24"/>
        </w:rPr>
        <w:t> </w:t>
      </w:r>
      <w:r>
        <w:rPr>
          <w:sz w:val="24"/>
        </w:rPr>
        <w:t>van</w:t>
      </w:r>
      <w:r>
        <w:rPr>
          <w:spacing w:val="-5"/>
          <w:sz w:val="24"/>
        </w:rPr>
        <w:t> </w:t>
      </w:r>
      <w:r>
        <w:rPr>
          <w:sz w:val="24"/>
        </w:rPr>
        <w:t>trombose</w:t>
      </w:r>
      <w:r>
        <w:rPr>
          <w:spacing w:val="-8"/>
          <w:sz w:val="24"/>
        </w:rPr>
        <w:t> </w:t>
      </w:r>
      <w:r>
        <w:rPr>
          <w:sz w:val="24"/>
        </w:rPr>
        <w:t>met</w:t>
      </w:r>
      <w:r>
        <w:rPr>
          <w:spacing w:val="-4"/>
          <w:sz w:val="24"/>
        </w:rPr>
        <w:t> </w:t>
      </w:r>
      <w:r>
        <w:rPr>
          <w:sz w:val="24"/>
        </w:rPr>
        <w:t>TAR sterk aanbevolen bij een verkortingsfractie &lt; 20%. Het risico op bloedingen moet altijd worden meegenomen in de beslissing.</w:t>
      </w:r>
    </w:p>
    <w:p>
      <w:pPr>
        <w:pStyle w:val="ListParagraph"/>
        <w:numPr>
          <w:ilvl w:val="0"/>
          <w:numId w:val="3"/>
        </w:numPr>
        <w:tabs>
          <w:tab w:pos="859" w:val="left" w:leader="none"/>
          <w:tab w:pos="861" w:val="left" w:leader="none"/>
        </w:tabs>
        <w:spacing w:line="240" w:lineRule="auto" w:before="0" w:after="0"/>
        <w:ind w:left="861" w:right="30" w:hanging="360"/>
        <w:jc w:val="left"/>
        <w:rPr>
          <w:sz w:val="24"/>
        </w:rPr>
      </w:pPr>
      <w:r>
        <w:rPr>
          <w:sz w:val="24"/>
        </w:rPr>
        <w:t>Een intra-cardiale trombus bij gedilateerde cardiomyopathie dient behandeld te worden</w:t>
      </w:r>
      <w:r>
        <w:rPr>
          <w:spacing w:val="-5"/>
          <w:sz w:val="24"/>
        </w:rPr>
        <w:t> </w:t>
      </w:r>
      <w:r>
        <w:rPr>
          <w:sz w:val="24"/>
        </w:rPr>
        <w:t>met</w:t>
      </w:r>
      <w:r>
        <w:rPr>
          <w:spacing w:val="-4"/>
          <w:sz w:val="24"/>
        </w:rPr>
        <w:t> </w:t>
      </w:r>
      <w:r>
        <w:rPr>
          <w:sz w:val="24"/>
        </w:rPr>
        <w:t>anticoagulantia</w:t>
      </w:r>
      <w:r>
        <w:rPr>
          <w:spacing w:val="-5"/>
          <w:sz w:val="24"/>
        </w:rPr>
        <w:t> </w:t>
      </w:r>
      <w:r>
        <w:rPr>
          <w:sz w:val="24"/>
        </w:rPr>
        <w:t>om</w:t>
      </w:r>
      <w:r>
        <w:rPr>
          <w:spacing w:val="-4"/>
          <w:sz w:val="24"/>
        </w:rPr>
        <w:t> </w:t>
      </w:r>
      <w:r>
        <w:rPr>
          <w:sz w:val="24"/>
        </w:rPr>
        <w:t>embolisatie</w:t>
      </w:r>
      <w:r>
        <w:rPr>
          <w:spacing w:val="-5"/>
          <w:sz w:val="24"/>
        </w:rPr>
        <w:t> </w:t>
      </w:r>
      <w:r>
        <w:rPr>
          <w:sz w:val="24"/>
        </w:rPr>
        <w:t>naar</w:t>
      </w:r>
      <w:r>
        <w:rPr>
          <w:spacing w:val="-5"/>
          <w:sz w:val="24"/>
        </w:rPr>
        <w:t> </w:t>
      </w:r>
      <w:r>
        <w:rPr>
          <w:sz w:val="24"/>
        </w:rPr>
        <w:t>longen</w:t>
      </w:r>
      <w:r>
        <w:rPr>
          <w:spacing w:val="-5"/>
          <w:sz w:val="24"/>
        </w:rPr>
        <w:t> </w:t>
      </w:r>
      <w:r>
        <w:rPr>
          <w:sz w:val="24"/>
        </w:rPr>
        <w:t>dan</w:t>
      </w:r>
      <w:r>
        <w:rPr>
          <w:spacing w:val="-5"/>
          <w:sz w:val="24"/>
        </w:rPr>
        <w:t> </w:t>
      </w:r>
      <w:r>
        <w:rPr>
          <w:sz w:val="24"/>
        </w:rPr>
        <w:t>wel</w:t>
      </w:r>
      <w:r>
        <w:rPr>
          <w:spacing w:val="-3"/>
          <w:sz w:val="24"/>
        </w:rPr>
        <w:t> </w:t>
      </w:r>
      <w:r>
        <w:rPr>
          <w:sz w:val="24"/>
        </w:rPr>
        <w:t>hersenen</w:t>
      </w:r>
      <w:r>
        <w:rPr>
          <w:spacing w:val="-3"/>
          <w:sz w:val="24"/>
        </w:rPr>
        <w:t> </w:t>
      </w:r>
      <w:r>
        <w:rPr>
          <w:sz w:val="24"/>
        </w:rPr>
        <w:t>of</w:t>
      </w:r>
      <w:r>
        <w:rPr>
          <w:spacing w:val="-3"/>
          <w:sz w:val="24"/>
        </w:rPr>
        <w:t> </w:t>
      </w:r>
      <w:r>
        <w:rPr>
          <w:sz w:val="24"/>
        </w:rPr>
        <w:t>andere lichaamsdelen te voorkomen.</w:t>
      </w:r>
    </w:p>
    <w:p>
      <w:pPr>
        <w:pStyle w:val="ListParagraph"/>
        <w:numPr>
          <w:ilvl w:val="0"/>
          <w:numId w:val="3"/>
        </w:numPr>
        <w:tabs>
          <w:tab w:pos="859" w:val="left" w:leader="none"/>
          <w:tab w:pos="861" w:val="left" w:leader="none"/>
        </w:tabs>
        <w:spacing w:line="240" w:lineRule="auto" w:before="0" w:after="0"/>
        <w:ind w:left="861" w:right="216" w:hanging="360"/>
        <w:jc w:val="both"/>
        <w:rPr>
          <w:sz w:val="24"/>
        </w:rPr>
      </w:pPr>
      <w:r>
        <w:rPr>
          <w:sz w:val="24"/>
        </w:rPr>
        <w:t>De</w:t>
      </w:r>
      <w:r>
        <w:rPr>
          <w:spacing w:val="-4"/>
          <w:sz w:val="24"/>
        </w:rPr>
        <w:t> </w:t>
      </w:r>
      <w:r>
        <w:rPr>
          <w:sz w:val="24"/>
        </w:rPr>
        <w:t>behandeling</w:t>
      </w:r>
      <w:r>
        <w:rPr>
          <w:spacing w:val="-4"/>
          <w:sz w:val="24"/>
        </w:rPr>
        <w:t> </w:t>
      </w:r>
      <w:r>
        <w:rPr>
          <w:sz w:val="24"/>
        </w:rPr>
        <w:t>van</w:t>
      </w:r>
      <w:r>
        <w:rPr>
          <w:spacing w:val="-3"/>
          <w:sz w:val="24"/>
        </w:rPr>
        <w:t> </w:t>
      </w:r>
      <w:r>
        <w:rPr>
          <w:sz w:val="24"/>
        </w:rPr>
        <w:t>een</w:t>
      </w:r>
      <w:r>
        <w:rPr>
          <w:spacing w:val="-4"/>
          <w:sz w:val="24"/>
        </w:rPr>
        <w:t> </w:t>
      </w:r>
      <w:r>
        <w:rPr>
          <w:sz w:val="24"/>
        </w:rPr>
        <w:t>intra-cardiale</w:t>
      </w:r>
      <w:r>
        <w:rPr>
          <w:spacing w:val="-4"/>
          <w:sz w:val="24"/>
        </w:rPr>
        <w:t> </w:t>
      </w:r>
      <w:r>
        <w:rPr>
          <w:sz w:val="24"/>
        </w:rPr>
        <w:t>trombus</w:t>
      </w:r>
      <w:r>
        <w:rPr>
          <w:spacing w:val="-4"/>
          <w:sz w:val="24"/>
        </w:rPr>
        <w:t> </w:t>
      </w:r>
      <w:r>
        <w:rPr>
          <w:sz w:val="24"/>
        </w:rPr>
        <w:t>bestaat</w:t>
      </w:r>
      <w:r>
        <w:rPr>
          <w:spacing w:val="-4"/>
          <w:sz w:val="24"/>
        </w:rPr>
        <w:t> </w:t>
      </w:r>
      <w:r>
        <w:rPr>
          <w:sz w:val="24"/>
        </w:rPr>
        <w:t>uit</w:t>
      </w:r>
      <w:r>
        <w:rPr>
          <w:spacing w:val="-3"/>
          <w:sz w:val="24"/>
        </w:rPr>
        <w:t> </w:t>
      </w:r>
      <w:r>
        <w:rPr>
          <w:sz w:val="24"/>
        </w:rPr>
        <w:t>initieel</w:t>
      </w:r>
      <w:r>
        <w:rPr>
          <w:spacing w:val="-4"/>
          <w:sz w:val="24"/>
        </w:rPr>
        <w:t> </w:t>
      </w:r>
      <w:r>
        <w:rPr>
          <w:sz w:val="24"/>
        </w:rPr>
        <w:t>heparine</w:t>
      </w:r>
      <w:r>
        <w:rPr>
          <w:spacing w:val="-3"/>
          <w:sz w:val="24"/>
        </w:rPr>
        <w:t> </w:t>
      </w:r>
      <w:r>
        <w:rPr>
          <w:sz w:val="24"/>
        </w:rPr>
        <w:t>(LMWH of ongefractioneerde</w:t>
      </w:r>
      <w:r>
        <w:rPr>
          <w:spacing w:val="-1"/>
          <w:sz w:val="24"/>
        </w:rPr>
        <w:t> </w:t>
      </w:r>
      <w:r>
        <w:rPr>
          <w:sz w:val="24"/>
        </w:rPr>
        <w:t>heparine),</w:t>
      </w:r>
      <w:r>
        <w:rPr>
          <w:spacing w:val="-2"/>
          <w:sz w:val="24"/>
        </w:rPr>
        <w:t> </w:t>
      </w:r>
      <w:r>
        <w:rPr>
          <w:sz w:val="24"/>
        </w:rPr>
        <w:t>gevolgd</w:t>
      </w:r>
      <w:r>
        <w:rPr>
          <w:spacing w:val="-1"/>
          <w:sz w:val="24"/>
        </w:rPr>
        <w:t> </w:t>
      </w:r>
      <w:r>
        <w:rPr>
          <w:sz w:val="24"/>
        </w:rPr>
        <w:t>door LMWH</w:t>
      </w:r>
      <w:r>
        <w:rPr>
          <w:spacing w:val="-1"/>
          <w:sz w:val="24"/>
        </w:rPr>
        <w:t> </w:t>
      </w:r>
      <w:r>
        <w:rPr>
          <w:sz w:val="24"/>
        </w:rPr>
        <w:t>of VKA (INR 2-3) gedurende</w:t>
      </w:r>
      <w:r>
        <w:rPr>
          <w:spacing w:val="-1"/>
          <w:sz w:val="24"/>
        </w:rPr>
        <w:t> </w:t>
      </w:r>
      <w:r>
        <w:rPr>
          <w:sz w:val="24"/>
        </w:rPr>
        <w:t>3 </w:t>
      </w:r>
      <w:r>
        <w:rPr>
          <w:spacing w:val="-2"/>
          <w:sz w:val="24"/>
        </w:rPr>
        <w:t>maanden.</w:t>
      </w:r>
    </w:p>
    <w:p>
      <w:pPr>
        <w:pStyle w:val="ListParagraph"/>
        <w:numPr>
          <w:ilvl w:val="0"/>
          <w:numId w:val="3"/>
        </w:numPr>
        <w:tabs>
          <w:tab w:pos="859" w:val="left" w:leader="none"/>
          <w:tab w:pos="861" w:val="left" w:leader="none"/>
        </w:tabs>
        <w:spacing w:line="240" w:lineRule="auto" w:before="2" w:after="0"/>
        <w:ind w:left="861" w:right="455" w:hanging="360"/>
        <w:jc w:val="left"/>
        <w:rPr>
          <w:sz w:val="24"/>
        </w:rPr>
      </w:pPr>
      <w:r>
        <w:rPr>
          <w:sz w:val="24"/>
        </w:rPr>
        <w:t>Na</w:t>
      </w:r>
      <w:r>
        <w:rPr>
          <w:spacing w:val="-4"/>
          <w:sz w:val="24"/>
        </w:rPr>
        <w:t> </w:t>
      </w:r>
      <w:r>
        <w:rPr>
          <w:sz w:val="24"/>
        </w:rPr>
        <w:t>behandeling</w:t>
      </w:r>
      <w:r>
        <w:rPr>
          <w:spacing w:val="-4"/>
          <w:sz w:val="24"/>
        </w:rPr>
        <w:t> </w:t>
      </w:r>
      <w:r>
        <w:rPr>
          <w:sz w:val="24"/>
        </w:rPr>
        <w:t>van</w:t>
      </w:r>
      <w:r>
        <w:rPr>
          <w:spacing w:val="-3"/>
          <w:sz w:val="24"/>
        </w:rPr>
        <w:t> </w:t>
      </w:r>
      <w:r>
        <w:rPr>
          <w:sz w:val="24"/>
        </w:rPr>
        <w:t>intra-cardiale</w:t>
      </w:r>
      <w:r>
        <w:rPr>
          <w:spacing w:val="-5"/>
          <w:sz w:val="24"/>
        </w:rPr>
        <w:t> </w:t>
      </w:r>
      <w:r>
        <w:rPr>
          <w:sz w:val="24"/>
        </w:rPr>
        <w:t>trombose</w:t>
      </w:r>
      <w:r>
        <w:rPr>
          <w:spacing w:val="-6"/>
          <w:sz w:val="24"/>
        </w:rPr>
        <w:t> </w:t>
      </w:r>
      <w:r>
        <w:rPr>
          <w:sz w:val="24"/>
        </w:rPr>
        <w:t>bestaat</w:t>
      </w:r>
      <w:r>
        <w:rPr>
          <w:spacing w:val="-3"/>
          <w:sz w:val="24"/>
        </w:rPr>
        <w:t> </w:t>
      </w:r>
      <w:r>
        <w:rPr>
          <w:sz w:val="24"/>
        </w:rPr>
        <w:t>de</w:t>
      </w:r>
      <w:r>
        <w:rPr>
          <w:spacing w:val="-3"/>
          <w:sz w:val="24"/>
        </w:rPr>
        <w:t> </w:t>
      </w:r>
      <w:r>
        <w:rPr>
          <w:sz w:val="24"/>
        </w:rPr>
        <w:t>secundaire</w:t>
      </w:r>
      <w:r>
        <w:rPr>
          <w:spacing w:val="-5"/>
          <w:sz w:val="24"/>
        </w:rPr>
        <w:t> </w:t>
      </w:r>
      <w:r>
        <w:rPr>
          <w:sz w:val="24"/>
        </w:rPr>
        <w:t>preventie</w:t>
      </w:r>
      <w:r>
        <w:rPr>
          <w:spacing w:val="-3"/>
          <w:sz w:val="24"/>
        </w:rPr>
        <w:t> </w:t>
      </w:r>
      <w:r>
        <w:rPr>
          <w:sz w:val="24"/>
        </w:rPr>
        <w:t>van trombose uit therapeutische antistolling met LMWH of VKA.</w:t>
      </w:r>
    </w:p>
    <w:p>
      <w:pPr>
        <w:pStyle w:val="ListParagraph"/>
        <w:numPr>
          <w:ilvl w:val="0"/>
          <w:numId w:val="3"/>
        </w:numPr>
        <w:tabs>
          <w:tab w:pos="859" w:val="left" w:leader="none"/>
          <w:tab w:pos="861" w:val="left" w:leader="none"/>
        </w:tabs>
        <w:spacing w:line="240" w:lineRule="auto" w:before="0" w:after="0"/>
        <w:ind w:left="861" w:right="32" w:hanging="360"/>
        <w:jc w:val="left"/>
        <w:rPr>
          <w:sz w:val="24"/>
        </w:rPr>
      </w:pPr>
      <w:r>
        <w:rPr>
          <w:sz w:val="24"/>
        </w:rPr>
        <w:t>Primaire</w:t>
      </w:r>
      <w:r>
        <w:rPr>
          <w:spacing w:val="-5"/>
          <w:sz w:val="24"/>
        </w:rPr>
        <w:t> </w:t>
      </w:r>
      <w:r>
        <w:rPr>
          <w:sz w:val="24"/>
        </w:rPr>
        <w:t>en</w:t>
      </w:r>
      <w:r>
        <w:rPr>
          <w:spacing w:val="-4"/>
          <w:sz w:val="24"/>
        </w:rPr>
        <w:t> </w:t>
      </w:r>
      <w:r>
        <w:rPr>
          <w:sz w:val="24"/>
        </w:rPr>
        <w:t>secundaire</w:t>
      </w:r>
      <w:r>
        <w:rPr>
          <w:spacing w:val="-4"/>
          <w:sz w:val="24"/>
        </w:rPr>
        <w:t> </w:t>
      </w:r>
      <w:r>
        <w:rPr>
          <w:sz w:val="24"/>
        </w:rPr>
        <w:t>preventie</w:t>
      </w:r>
      <w:r>
        <w:rPr>
          <w:spacing w:val="-2"/>
          <w:sz w:val="24"/>
        </w:rPr>
        <w:t> </w:t>
      </w:r>
      <w:r>
        <w:rPr>
          <w:sz w:val="24"/>
        </w:rPr>
        <w:t>van</w:t>
      </w:r>
      <w:r>
        <w:rPr>
          <w:spacing w:val="-4"/>
          <w:sz w:val="24"/>
        </w:rPr>
        <w:t> </w:t>
      </w:r>
      <w:r>
        <w:rPr>
          <w:sz w:val="24"/>
        </w:rPr>
        <w:t>trombose</w:t>
      </w:r>
      <w:r>
        <w:rPr>
          <w:spacing w:val="-2"/>
          <w:sz w:val="24"/>
        </w:rPr>
        <w:t> </w:t>
      </w:r>
      <w:r>
        <w:rPr>
          <w:sz w:val="24"/>
        </w:rPr>
        <w:t>kan</w:t>
      </w:r>
      <w:r>
        <w:rPr>
          <w:spacing w:val="-2"/>
          <w:sz w:val="24"/>
        </w:rPr>
        <w:t> </w:t>
      </w:r>
      <w:r>
        <w:rPr>
          <w:sz w:val="24"/>
        </w:rPr>
        <w:t>gestaakt</w:t>
      </w:r>
      <w:r>
        <w:rPr>
          <w:spacing w:val="-2"/>
          <w:sz w:val="24"/>
        </w:rPr>
        <w:t> </w:t>
      </w:r>
      <w:r>
        <w:rPr>
          <w:sz w:val="24"/>
        </w:rPr>
        <w:t>worden</w:t>
      </w:r>
      <w:r>
        <w:rPr>
          <w:spacing w:val="-4"/>
          <w:sz w:val="24"/>
        </w:rPr>
        <w:t> </w:t>
      </w:r>
      <w:r>
        <w:rPr>
          <w:sz w:val="24"/>
        </w:rPr>
        <w:t>bij</w:t>
      </w:r>
      <w:r>
        <w:rPr>
          <w:spacing w:val="-5"/>
          <w:sz w:val="24"/>
        </w:rPr>
        <w:t> </w:t>
      </w:r>
      <w:r>
        <w:rPr>
          <w:sz w:val="24"/>
        </w:rPr>
        <w:t>gedilateerde cardiomyopathie indien de verkortingsfractie</w:t>
      </w:r>
      <w:r>
        <w:rPr>
          <w:spacing w:val="-1"/>
          <w:sz w:val="24"/>
        </w:rPr>
        <w:t> </w:t>
      </w:r>
      <w:r>
        <w:rPr>
          <w:sz w:val="24"/>
        </w:rPr>
        <w:t>gedurende 3 maanden stabiel &gt; 20% is.</w:t>
      </w:r>
    </w:p>
    <w:p>
      <w:pPr>
        <w:pStyle w:val="BodyText"/>
        <w:ind w:left="0"/>
      </w:pPr>
    </w:p>
    <w:p>
      <w:pPr>
        <w:pStyle w:val="BodyText"/>
        <w:spacing w:before="292"/>
        <w:ind w:left="0"/>
      </w:pPr>
    </w:p>
    <w:p>
      <w:pPr>
        <w:pStyle w:val="Heading1"/>
      </w:pPr>
      <w:r>
        <w:rPr>
          <w:spacing w:val="-2"/>
        </w:rPr>
        <w:t>Literatuur</w:t>
      </w:r>
    </w:p>
    <w:p>
      <w:pPr>
        <w:pStyle w:val="ListParagraph"/>
        <w:numPr>
          <w:ilvl w:val="0"/>
          <w:numId w:val="4"/>
        </w:numPr>
        <w:tabs>
          <w:tab w:pos="499" w:val="left" w:leader="none"/>
          <w:tab w:pos="501" w:val="left" w:leader="none"/>
        </w:tabs>
        <w:spacing w:line="276" w:lineRule="auto" w:before="293" w:after="0"/>
        <w:ind w:left="501" w:right="75" w:hanging="360"/>
        <w:jc w:val="left"/>
        <w:rPr>
          <w:sz w:val="24"/>
        </w:rPr>
      </w:pPr>
      <w:r>
        <w:rPr>
          <w:sz w:val="24"/>
        </w:rPr>
        <w:t>Forbes TJ, Rosenthal GL, Reul GR Jr, Ott DA, Feltes TF. Risk factors for life-threatening cavopulmonary</w:t>
      </w:r>
      <w:r>
        <w:rPr>
          <w:spacing w:val="-7"/>
          <w:sz w:val="24"/>
        </w:rPr>
        <w:t> </w:t>
      </w:r>
      <w:r>
        <w:rPr>
          <w:sz w:val="24"/>
        </w:rPr>
        <w:t>thrombosis</w:t>
      </w:r>
      <w:r>
        <w:rPr>
          <w:spacing w:val="-6"/>
          <w:sz w:val="24"/>
        </w:rPr>
        <w:t> </w:t>
      </w:r>
      <w:r>
        <w:rPr>
          <w:sz w:val="24"/>
        </w:rPr>
        <w:t>in</w:t>
      </w:r>
      <w:r>
        <w:rPr>
          <w:spacing w:val="-6"/>
          <w:sz w:val="24"/>
        </w:rPr>
        <w:t> </w:t>
      </w:r>
      <w:r>
        <w:rPr>
          <w:sz w:val="24"/>
        </w:rPr>
        <w:t>patients</w:t>
      </w:r>
      <w:r>
        <w:rPr>
          <w:spacing w:val="-7"/>
          <w:sz w:val="24"/>
        </w:rPr>
        <w:t> </w:t>
      </w:r>
      <w:r>
        <w:rPr>
          <w:sz w:val="24"/>
        </w:rPr>
        <w:t>undergoing</w:t>
      </w:r>
      <w:r>
        <w:rPr>
          <w:spacing w:val="-5"/>
          <w:sz w:val="24"/>
        </w:rPr>
        <w:t> </w:t>
      </w:r>
      <w:r>
        <w:rPr>
          <w:sz w:val="24"/>
        </w:rPr>
        <w:t>bidirectional</w:t>
      </w:r>
      <w:r>
        <w:rPr>
          <w:spacing w:val="-4"/>
          <w:sz w:val="24"/>
        </w:rPr>
        <w:t> </w:t>
      </w:r>
      <w:r>
        <w:rPr>
          <w:sz w:val="24"/>
        </w:rPr>
        <w:t>superior</w:t>
      </w:r>
      <w:r>
        <w:rPr>
          <w:spacing w:val="-4"/>
          <w:sz w:val="24"/>
        </w:rPr>
        <w:t> </w:t>
      </w:r>
      <w:r>
        <w:rPr>
          <w:sz w:val="24"/>
        </w:rPr>
        <w:t>cavopulmonary shunt: an exploratory study. Am Heart J. 1997 ;134:865-71.</w:t>
      </w:r>
    </w:p>
    <w:p>
      <w:pPr>
        <w:pStyle w:val="ListParagraph"/>
        <w:numPr>
          <w:ilvl w:val="0"/>
          <w:numId w:val="4"/>
        </w:numPr>
        <w:tabs>
          <w:tab w:pos="499" w:val="left" w:leader="none"/>
          <w:tab w:pos="501" w:val="left" w:leader="none"/>
        </w:tabs>
        <w:spacing w:line="276" w:lineRule="auto" w:before="0" w:after="0"/>
        <w:ind w:left="501" w:right="94" w:hanging="360"/>
        <w:jc w:val="left"/>
        <w:rPr>
          <w:sz w:val="24"/>
        </w:rPr>
      </w:pPr>
      <w:r>
        <w:rPr>
          <w:sz w:val="24"/>
        </w:rPr>
        <w:t>Chowdhury UK, Govindappa RM, Das P, Ray R, Kalaivani M, Reddy SM. Histomorphometric analysis of intrapulmonary vessels in patients undergoing bidirectional</w:t>
      </w:r>
      <w:r>
        <w:rPr>
          <w:spacing w:val="-4"/>
          <w:sz w:val="24"/>
        </w:rPr>
        <w:t> </w:t>
      </w:r>
      <w:r>
        <w:rPr>
          <w:sz w:val="24"/>
        </w:rPr>
        <w:t>Glenn</w:t>
      </w:r>
      <w:r>
        <w:rPr>
          <w:spacing w:val="-3"/>
          <w:sz w:val="24"/>
        </w:rPr>
        <w:t> </w:t>
      </w:r>
      <w:r>
        <w:rPr>
          <w:sz w:val="24"/>
        </w:rPr>
        <w:t>shunt</w:t>
      </w:r>
      <w:r>
        <w:rPr>
          <w:spacing w:val="-3"/>
          <w:sz w:val="24"/>
        </w:rPr>
        <w:t> </w:t>
      </w:r>
      <w:r>
        <w:rPr>
          <w:sz w:val="24"/>
        </w:rPr>
        <w:t>and</w:t>
      </w:r>
      <w:r>
        <w:rPr>
          <w:spacing w:val="-5"/>
          <w:sz w:val="24"/>
        </w:rPr>
        <w:t> </w:t>
      </w:r>
      <w:r>
        <w:rPr>
          <w:sz w:val="24"/>
        </w:rPr>
        <w:t>total</w:t>
      </w:r>
      <w:r>
        <w:rPr>
          <w:spacing w:val="-3"/>
          <w:sz w:val="24"/>
        </w:rPr>
        <w:t> </w:t>
      </w:r>
      <w:r>
        <w:rPr>
          <w:sz w:val="24"/>
        </w:rPr>
        <w:t>cavopulmonary</w:t>
      </w:r>
      <w:r>
        <w:rPr>
          <w:spacing w:val="-4"/>
          <w:sz w:val="24"/>
        </w:rPr>
        <w:t> </w:t>
      </w:r>
      <w:r>
        <w:rPr>
          <w:sz w:val="24"/>
        </w:rPr>
        <w:t>connection.</w:t>
      </w:r>
      <w:r>
        <w:rPr>
          <w:spacing w:val="-1"/>
          <w:sz w:val="24"/>
        </w:rPr>
        <w:t> </w:t>
      </w:r>
      <w:r>
        <w:rPr>
          <w:sz w:val="24"/>
        </w:rPr>
        <w:t>J</w:t>
      </w:r>
      <w:r>
        <w:rPr>
          <w:spacing w:val="-4"/>
          <w:sz w:val="24"/>
        </w:rPr>
        <w:t> </w:t>
      </w:r>
      <w:r>
        <w:rPr>
          <w:sz w:val="24"/>
        </w:rPr>
        <w:t>Thorac</w:t>
      </w:r>
      <w:r>
        <w:rPr>
          <w:spacing w:val="-4"/>
          <w:sz w:val="24"/>
        </w:rPr>
        <w:t> </w:t>
      </w:r>
      <w:r>
        <w:rPr>
          <w:sz w:val="24"/>
        </w:rPr>
        <w:t>Cardiovasc</w:t>
      </w:r>
      <w:r>
        <w:rPr>
          <w:spacing w:val="-4"/>
          <w:sz w:val="24"/>
        </w:rPr>
        <w:t> </w:t>
      </w:r>
      <w:r>
        <w:rPr>
          <w:sz w:val="24"/>
        </w:rPr>
        <w:t>Surg </w:t>
      </w:r>
      <w:r>
        <w:rPr>
          <w:spacing w:val="-2"/>
          <w:sz w:val="24"/>
        </w:rPr>
        <w:t>2010;140:1251-1256.</w:t>
      </w:r>
    </w:p>
    <w:p>
      <w:pPr>
        <w:pStyle w:val="ListParagraph"/>
        <w:numPr>
          <w:ilvl w:val="0"/>
          <w:numId w:val="4"/>
        </w:numPr>
        <w:tabs>
          <w:tab w:pos="499" w:val="left" w:leader="none"/>
          <w:tab w:pos="501" w:val="left" w:leader="none"/>
        </w:tabs>
        <w:spacing w:line="276" w:lineRule="auto" w:before="1" w:after="0"/>
        <w:ind w:left="501" w:right="149" w:hanging="360"/>
        <w:jc w:val="left"/>
        <w:rPr>
          <w:sz w:val="24"/>
        </w:rPr>
      </w:pPr>
      <w:r>
        <w:rPr>
          <w:sz w:val="24"/>
        </w:rPr>
        <w:t>Lee</w:t>
      </w:r>
      <w:r>
        <w:rPr>
          <w:spacing w:val="-2"/>
          <w:sz w:val="24"/>
        </w:rPr>
        <w:t> </w:t>
      </w:r>
      <w:r>
        <w:rPr>
          <w:sz w:val="24"/>
        </w:rPr>
        <w:t>SY1,</w:t>
      </w:r>
      <w:r>
        <w:rPr>
          <w:spacing w:val="-3"/>
          <w:sz w:val="24"/>
        </w:rPr>
        <w:t> </w:t>
      </w:r>
      <w:r>
        <w:rPr>
          <w:sz w:val="24"/>
        </w:rPr>
        <w:t>Baek</w:t>
      </w:r>
      <w:r>
        <w:rPr>
          <w:spacing w:val="-4"/>
          <w:sz w:val="24"/>
        </w:rPr>
        <w:t> </w:t>
      </w:r>
      <w:r>
        <w:rPr>
          <w:sz w:val="24"/>
        </w:rPr>
        <w:t>JS,</w:t>
      </w:r>
      <w:r>
        <w:rPr>
          <w:spacing w:val="-2"/>
          <w:sz w:val="24"/>
        </w:rPr>
        <w:t> </w:t>
      </w:r>
      <w:r>
        <w:rPr>
          <w:sz w:val="24"/>
        </w:rPr>
        <w:t>Kim</w:t>
      </w:r>
      <w:r>
        <w:rPr>
          <w:spacing w:val="-3"/>
          <w:sz w:val="24"/>
        </w:rPr>
        <w:t> </w:t>
      </w:r>
      <w:r>
        <w:rPr>
          <w:sz w:val="24"/>
        </w:rPr>
        <w:t>GB</w:t>
      </w:r>
      <w:r>
        <w:rPr>
          <w:spacing w:val="-6"/>
          <w:sz w:val="24"/>
        </w:rPr>
        <w:t> </w:t>
      </w:r>
      <w:r>
        <w:rPr>
          <w:sz w:val="24"/>
        </w:rPr>
        <w:t>et</w:t>
      </w:r>
      <w:r>
        <w:rPr>
          <w:spacing w:val="-1"/>
          <w:sz w:val="24"/>
        </w:rPr>
        <w:t> </w:t>
      </w:r>
      <w:r>
        <w:rPr>
          <w:sz w:val="24"/>
        </w:rPr>
        <w:t>al. Clinical</w:t>
      </w:r>
      <w:r>
        <w:rPr>
          <w:spacing w:val="-2"/>
          <w:sz w:val="24"/>
        </w:rPr>
        <w:t> </w:t>
      </w:r>
      <w:r>
        <w:rPr>
          <w:sz w:val="24"/>
        </w:rPr>
        <w:t>significance</w:t>
      </w:r>
      <w:r>
        <w:rPr>
          <w:spacing w:val="-5"/>
          <w:sz w:val="24"/>
        </w:rPr>
        <w:t> </w:t>
      </w:r>
      <w:r>
        <w:rPr>
          <w:sz w:val="24"/>
        </w:rPr>
        <w:t>of</w:t>
      </w:r>
      <w:r>
        <w:rPr>
          <w:spacing w:val="-4"/>
          <w:sz w:val="24"/>
        </w:rPr>
        <w:t> </w:t>
      </w:r>
      <w:r>
        <w:rPr>
          <w:sz w:val="24"/>
        </w:rPr>
        <w:t>thrombosis</w:t>
      </w:r>
      <w:r>
        <w:rPr>
          <w:spacing w:val="-4"/>
          <w:sz w:val="24"/>
        </w:rPr>
        <w:t> </w:t>
      </w:r>
      <w:r>
        <w:rPr>
          <w:sz w:val="24"/>
        </w:rPr>
        <w:t>in</w:t>
      </w:r>
      <w:r>
        <w:rPr>
          <w:spacing w:val="-4"/>
          <w:sz w:val="24"/>
        </w:rPr>
        <w:t> </w:t>
      </w:r>
      <w:r>
        <w:rPr>
          <w:sz w:val="24"/>
        </w:rPr>
        <w:t>an</w:t>
      </w:r>
      <w:r>
        <w:rPr>
          <w:spacing w:val="-4"/>
          <w:sz w:val="24"/>
        </w:rPr>
        <w:t> </w:t>
      </w:r>
      <w:r>
        <w:rPr>
          <w:sz w:val="24"/>
        </w:rPr>
        <w:t>intracardiac</w:t>
      </w:r>
      <w:r>
        <w:rPr>
          <w:spacing w:val="-3"/>
          <w:sz w:val="24"/>
        </w:rPr>
        <w:t> </w:t>
      </w:r>
      <w:r>
        <w:rPr>
          <w:sz w:val="24"/>
        </w:rPr>
        <w:t>blind pouch after a Fontan operation. Pediatr Cardiol. 2012 ;33:42-8.</w:t>
      </w:r>
    </w:p>
    <w:p>
      <w:pPr>
        <w:pStyle w:val="ListParagraph"/>
        <w:numPr>
          <w:ilvl w:val="0"/>
          <w:numId w:val="4"/>
        </w:numPr>
        <w:tabs>
          <w:tab w:pos="499" w:val="left" w:leader="none"/>
          <w:tab w:pos="501" w:val="left" w:leader="none"/>
        </w:tabs>
        <w:spacing w:line="276" w:lineRule="auto" w:before="0" w:after="0"/>
        <w:ind w:left="501" w:right="248" w:hanging="360"/>
        <w:jc w:val="left"/>
        <w:rPr>
          <w:sz w:val="24"/>
        </w:rPr>
      </w:pPr>
      <w:r>
        <w:rPr>
          <w:sz w:val="24"/>
        </w:rPr>
        <w:t>Iyer GK, Van Arsdell GS, Dicke FP, McCrindle BW, Coles JG, Williams WG. Are bilateral superior</w:t>
      </w:r>
      <w:r>
        <w:rPr>
          <w:spacing w:val="-4"/>
          <w:sz w:val="24"/>
        </w:rPr>
        <w:t> </w:t>
      </w:r>
      <w:r>
        <w:rPr>
          <w:sz w:val="24"/>
        </w:rPr>
        <w:t>venae</w:t>
      </w:r>
      <w:r>
        <w:rPr>
          <w:spacing w:val="-2"/>
          <w:sz w:val="24"/>
        </w:rPr>
        <w:t> </w:t>
      </w:r>
      <w:r>
        <w:rPr>
          <w:sz w:val="24"/>
        </w:rPr>
        <w:t>cavae</w:t>
      </w:r>
      <w:r>
        <w:rPr>
          <w:spacing w:val="-5"/>
          <w:sz w:val="24"/>
        </w:rPr>
        <w:t> </w:t>
      </w:r>
      <w:r>
        <w:rPr>
          <w:sz w:val="24"/>
        </w:rPr>
        <w:t>a</w:t>
      </w:r>
      <w:r>
        <w:rPr>
          <w:spacing w:val="-2"/>
          <w:sz w:val="24"/>
        </w:rPr>
        <w:t> </w:t>
      </w:r>
      <w:r>
        <w:rPr>
          <w:sz w:val="24"/>
        </w:rPr>
        <w:t>risk</w:t>
      </w:r>
      <w:r>
        <w:rPr>
          <w:spacing w:val="-4"/>
          <w:sz w:val="24"/>
        </w:rPr>
        <w:t> </w:t>
      </w:r>
      <w:r>
        <w:rPr>
          <w:sz w:val="24"/>
        </w:rPr>
        <w:t>factor</w:t>
      </w:r>
      <w:r>
        <w:rPr>
          <w:spacing w:val="-5"/>
          <w:sz w:val="24"/>
        </w:rPr>
        <w:t> </w:t>
      </w:r>
      <w:r>
        <w:rPr>
          <w:sz w:val="24"/>
        </w:rPr>
        <w:t>for</w:t>
      </w:r>
      <w:r>
        <w:rPr>
          <w:spacing w:val="-4"/>
          <w:sz w:val="24"/>
        </w:rPr>
        <w:t> </w:t>
      </w:r>
      <w:r>
        <w:rPr>
          <w:sz w:val="24"/>
        </w:rPr>
        <w:t>single</w:t>
      </w:r>
      <w:r>
        <w:rPr>
          <w:spacing w:val="-5"/>
          <w:sz w:val="24"/>
        </w:rPr>
        <w:t> </w:t>
      </w:r>
      <w:r>
        <w:rPr>
          <w:sz w:val="24"/>
        </w:rPr>
        <w:t>ventricle</w:t>
      </w:r>
      <w:r>
        <w:rPr>
          <w:spacing w:val="-1"/>
          <w:sz w:val="24"/>
        </w:rPr>
        <w:t> </w:t>
      </w:r>
      <w:r>
        <w:rPr>
          <w:sz w:val="24"/>
        </w:rPr>
        <w:t>palliation?</w:t>
      </w:r>
      <w:r>
        <w:rPr>
          <w:spacing w:val="2"/>
          <w:sz w:val="24"/>
        </w:rPr>
        <w:t> </w:t>
      </w:r>
      <w:r>
        <w:rPr>
          <w:sz w:val="24"/>
        </w:rPr>
        <w:t>Ann</w:t>
      </w:r>
      <w:r>
        <w:rPr>
          <w:spacing w:val="-2"/>
          <w:sz w:val="24"/>
        </w:rPr>
        <w:t> </w:t>
      </w:r>
      <w:r>
        <w:rPr>
          <w:sz w:val="24"/>
        </w:rPr>
        <w:t>Thorac</w:t>
      </w:r>
      <w:r>
        <w:rPr>
          <w:spacing w:val="-3"/>
          <w:sz w:val="24"/>
        </w:rPr>
        <w:t> </w:t>
      </w:r>
      <w:r>
        <w:rPr>
          <w:sz w:val="24"/>
        </w:rPr>
        <w:t>Surg.</w:t>
      </w:r>
      <w:r>
        <w:rPr>
          <w:spacing w:val="-3"/>
          <w:sz w:val="24"/>
        </w:rPr>
        <w:t> </w:t>
      </w:r>
      <w:r>
        <w:rPr>
          <w:spacing w:val="-4"/>
          <w:sz w:val="24"/>
        </w:rPr>
        <w:t>2000</w:t>
      </w:r>
    </w:p>
    <w:p>
      <w:pPr>
        <w:pStyle w:val="BodyText"/>
        <w:spacing w:line="291" w:lineRule="exact"/>
        <w:ind w:left="501"/>
      </w:pPr>
      <w:r>
        <w:rPr/>
        <w:t>;70: 711-</w:t>
      </w:r>
      <w:r>
        <w:rPr>
          <w:spacing w:val="-5"/>
        </w:rPr>
        <w:t>6.</w:t>
      </w:r>
    </w:p>
    <w:p>
      <w:pPr>
        <w:pStyle w:val="ListParagraph"/>
        <w:numPr>
          <w:ilvl w:val="0"/>
          <w:numId w:val="4"/>
        </w:numPr>
        <w:tabs>
          <w:tab w:pos="499" w:val="left" w:leader="none"/>
          <w:tab w:pos="501" w:val="left" w:leader="none"/>
        </w:tabs>
        <w:spacing w:line="276" w:lineRule="auto" w:before="46" w:after="0"/>
        <w:ind w:left="501" w:right="121" w:hanging="360"/>
        <w:jc w:val="left"/>
        <w:rPr>
          <w:sz w:val="24"/>
        </w:rPr>
      </w:pPr>
      <w:r>
        <w:rPr>
          <w:sz w:val="24"/>
        </w:rPr>
        <w:t>Honjo</w:t>
      </w:r>
      <w:r>
        <w:rPr>
          <w:spacing w:val="-1"/>
          <w:sz w:val="24"/>
        </w:rPr>
        <w:t> </w:t>
      </w:r>
      <w:r>
        <w:rPr>
          <w:sz w:val="24"/>
        </w:rPr>
        <w:t>O,</w:t>
      </w:r>
      <w:r>
        <w:rPr>
          <w:spacing w:val="-4"/>
          <w:sz w:val="24"/>
        </w:rPr>
        <w:t> </w:t>
      </w:r>
      <w:r>
        <w:rPr>
          <w:sz w:val="24"/>
        </w:rPr>
        <w:t>Tran</w:t>
      </w:r>
      <w:r>
        <w:rPr>
          <w:spacing w:val="-3"/>
          <w:sz w:val="24"/>
        </w:rPr>
        <w:t> </w:t>
      </w:r>
      <w:r>
        <w:rPr>
          <w:sz w:val="24"/>
        </w:rPr>
        <w:t>KC,</w:t>
      </w:r>
      <w:r>
        <w:rPr>
          <w:spacing w:val="-2"/>
          <w:sz w:val="24"/>
        </w:rPr>
        <w:t> </w:t>
      </w:r>
      <w:r>
        <w:rPr>
          <w:sz w:val="24"/>
        </w:rPr>
        <w:t>Hua</w:t>
      </w:r>
      <w:r>
        <w:rPr>
          <w:spacing w:val="-4"/>
          <w:sz w:val="24"/>
        </w:rPr>
        <w:t> </w:t>
      </w:r>
      <w:r>
        <w:rPr>
          <w:sz w:val="24"/>
        </w:rPr>
        <w:t>Z,</w:t>
      </w:r>
      <w:r>
        <w:rPr>
          <w:spacing w:val="-3"/>
          <w:sz w:val="24"/>
        </w:rPr>
        <w:t> </w:t>
      </w:r>
      <w:r>
        <w:rPr>
          <w:sz w:val="24"/>
        </w:rPr>
        <w:t>Sapra</w:t>
      </w:r>
      <w:r>
        <w:rPr>
          <w:spacing w:val="-3"/>
          <w:sz w:val="24"/>
        </w:rPr>
        <w:t> </w:t>
      </w:r>
      <w:r>
        <w:rPr>
          <w:sz w:val="24"/>
        </w:rPr>
        <w:t>P,</w:t>
      </w:r>
      <w:r>
        <w:rPr>
          <w:spacing w:val="-1"/>
          <w:sz w:val="24"/>
        </w:rPr>
        <w:t> </w:t>
      </w:r>
      <w:r>
        <w:rPr>
          <w:sz w:val="24"/>
        </w:rPr>
        <w:t>Alghamdi</w:t>
      </w:r>
      <w:r>
        <w:rPr>
          <w:spacing w:val="-4"/>
          <w:sz w:val="24"/>
        </w:rPr>
        <w:t> </w:t>
      </w:r>
      <w:r>
        <w:rPr>
          <w:sz w:val="24"/>
        </w:rPr>
        <w:t>AA,</w:t>
      </w:r>
      <w:r>
        <w:rPr>
          <w:spacing w:val="-1"/>
          <w:sz w:val="24"/>
        </w:rPr>
        <w:t> </w:t>
      </w:r>
      <w:r>
        <w:rPr>
          <w:sz w:val="24"/>
        </w:rPr>
        <w:t>Russell</w:t>
      </w:r>
      <w:r>
        <w:rPr>
          <w:spacing w:val="-2"/>
          <w:sz w:val="24"/>
        </w:rPr>
        <w:t> </w:t>
      </w:r>
      <w:r>
        <w:rPr>
          <w:sz w:val="24"/>
        </w:rPr>
        <w:t>JL,</w:t>
      </w:r>
      <w:r>
        <w:rPr>
          <w:spacing w:val="-1"/>
          <w:sz w:val="24"/>
        </w:rPr>
        <w:t> </w:t>
      </w:r>
      <w:r>
        <w:rPr>
          <w:sz w:val="24"/>
        </w:rPr>
        <w:t>Caldarone</w:t>
      </w:r>
      <w:r>
        <w:rPr>
          <w:spacing w:val="-1"/>
          <w:sz w:val="24"/>
        </w:rPr>
        <w:t> </w:t>
      </w:r>
      <w:r>
        <w:rPr>
          <w:sz w:val="24"/>
        </w:rPr>
        <w:t>CA,</w:t>
      </w:r>
      <w:r>
        <w:rPr>
          <w:spacing w:val="-5"/>
          <w:sz w:val="24"/>
        </w:rPr>
        <w:t> </w:t>
      </w:r>
      <w:r>
        <w:rPr>
          <w:sz w:val="24"/>
        </w:rPr>
        <w:t>Van</w:t>
      </w:r>
      <w:r>
        <w:rPr>
          <w:spacing w:val="-1"/>
          <w:sz w:val="24"/>
        </w:rPr>
        <w:t> </w:t>
      </w:r>
      <w:r>
        <w:rPr>
          <w:sz w:val="24"/>
        </w:rPr>
        <w:t>Arsdell</w:t>
      </w:r>
      <w:r>
        <w:rPr>
          <w:spacing w:val="-1"/>
          <w:sz w:val="24"/>
        </w:rPr>
        <w:t> </w:t>
      </w:r>
      <w:r>
        <w:rPr>
          <w:sz w:val="24"/>
        </w:rPr>
        <w:t>GS. Impact</w:t>
      </w:r>
      <w:r>
        <w:rPr>
          <w:spacing w:val="-3"/>
          <w:sz w:val="24"/>
        </w:rPr>
        <w:t> </w:t>
      </w:r>
      <w:r>
        <w:rPr>
          <w:sz w:val="24"/>
        </w:rPr>
        <w:t>of</w:t>
      </w:r>
      <w:r>
        <w:rPr>
          <w:spacing w:val="-3"/>
          <w:sz w:val="24"/>
        </w:rPr>
        <w:t> </w:t>
      </w:r>
      <w:r>
        <w:rPr>
          <w:sz w:val="24"/>
        </w:rPr>
        <w:t>evolving</w:t>
      </w:r>
      <w:r>
        <w:rPr>
          <w:spacing w:val="-4"/>
          <w:sz w:val="24"/>
        </w:rPr>
        <w:t> </w:t>
      </w:r>
      <w:r>
        <w:rPr>
          <w:sz w:val="24"/>
        </w:rPr>
        <w:t>strategy</w:t>
      </w:r>
      <w:r>
        <w:rPr>
          <w:spacing w:val="-4"/>
          <w:sz w:val="24"/>
        </w:rPr>
        <w:t> </w:t>
      </w:r>
      <w:r>
        <w:rPr>
          <w:sz w:val="24"/>
        </w:rPr>
        <w:t>on</w:t>
      </w:r>
      <w:r>
        <w:rPr>
          <w:spacing w:val="-3"/>
          <w:sz w:val="24"/>
        </w:rPr>
        <w:t> </w:t>
      </w:r>
      <w:r>
        <w:rPr>
          <w:sz w:val="24"/>
        </w:rPr>
        <w:t>clinical</w:t>
      </w:r>
      <w:r>
        <w:rPr>
          <w:spacing w:val="-5"/>
          <w:sz w:val="24"/>
        </w:rPr>
        <w:t> </w:t>
      </w:r>
      <w:r>
        <w:rPr>
          <w:sz w:val="24"/>
        </w:rPr>
        <w:t>outcomes</w:t>
      </w:r>
      <w:r>
        <w:rPr>
          <w:spacing w:val="-5"/>
          <w:sz w:val="24"/>
        </w:rPr>
        <w:t> </w:t>
      </w:r>
      <w:r>
        <w:rPr>
          <w:sz w:val="24"/>
        </w:rPr>
        <w:t>and</w:t>
      </w:r>
      <w:r>
        <w:rPr>
          <w:spacing w:val="-3"/>
          <w:sz w:val="24"/>
        </w:rPr>
        <w:t> </w:t>
      </w:r>
      <w:r>
        <w:rPr>
          <w:sz w:val="24"/>
        </w:rPr>
        <w:t>central</w:t>
      </w:r>
      <w:r>
        <w:rPr>
          <w:spacing w:val="-5"/>
          <w:sz w:val="24"/>
        </w:rPr>
        <w:t> </w:t>
      </w:r>
      <w:r>
        <w:rPr>
          <w:sz w:val="24"/>
        </w:rPr>
        <w:t>pulmonary</w:t>
      </w:r>
      <w:r>
        <w:rPr>
          <w:spacing w:val="-4"/>
          <w:sz w:val="24"/>
        </w:rPr>
        <w:t> </w:t>
      </w:r>
      <w:r>
        <w:rPr>
          <w:sz w:val="24"/>
        </w:rPr>
        <w:t>artery</w:t>
      </w:r>
      <w:r>
        <w:rPr>
          <w:spacing w:val="-4"/>
          <w:sz w:val="24"/>
        </w:rPr>
        <w:t> </w:t>
      </w:r>
      <w:r>
        <w:rPr>
          <w:sz w:val="24"/>
        </w:rPr>
        <w:t>growth</w:t>
      </w:r>
      <w:r>
        <w:rPr>
          <w:spacing w:val="-4"/>
          <w:sz w:val="24"/>
        </w:rPr>
        <w:t> </w:t>
      </w:r>
      <w:r>
        <w:rPr>
          <w:sz w:val="24"/>
        </w:rPr>
        <w:t>in patients with bilateral superior vena cava undergoing a bilateral bidirectional cavopulmonary shunt. J Thorac Cardiovasc Surg. 2010 ;140 :522-8</w:t>
      </w:r>
    </w:p>
    <w:p>
      <w:pPr>
        <w:pStyle w:val="ListParagraph"/>
        <w:numPr>
          <w:ilvl w:val="0"/>
          <w:numId w:val="4"/>
        </w:numPr>
        <w:tabs>
          <w:tab w:pos="499" w:val="left" w:leader="none"/>
          <w:tab w:pos="501" w:val="left" w:leader="none"/>
        </w:tabs>
        <w:spacing w:line="278" w:lineRule="auto" w:before="0" w:after="0"/>
        <w:ind w:left="501" w:right="42" w:hanging="360"/>
        <w:jc w:val="left"/>
        <w:rPr>
          <w:sz w:val="24"/>
        </w:rPr>
      </w:pPr>
      <w:r>
        <w:rPr>
          <w:sz w:val="24"/>
        </w:rPr>
        <w:t>Manlhiot</w:t>
      </w:r>
      <w:r>
        <w:rPr>
          <w:spacing w:val="-3"/>
          <w:sz w:val="24"/>
        </w:rPr>
        <w:t> </w:t>
      </w:r>
      <w:r>
        <w:rPr>
          <w:sz w:val="24"/>
        </w:rPr>
        <w:t>C,</w:t>
      </w:r>
      <w:r>
        <w:rPr>
          <w:spacing w:val="-3"/>
          <w:sz w:val="24"/>
        </w:rPr>
        <w:t> </w:t>
      </w:r>
      <w:r>
        <w:rPr>
          <w:sz w:val="24"/>
        </w:rPr>
        <w:t>Brandão</w:t>
      </w:r>
      <w:r>
        <w:rPr>
          <w:spacing w:val="-2"/>
          <w:sz w:val="24"/>
        </w:rPr>
        <w:t> </w:t>
      </w:r>
      <w:r>
        <w:rPr>
          <w:sz w:val="24"/>
        </w:rPr>
        <w:t>LR,</w:t>
      </w:r>
      <w:r>
        <w:rPr>
          <w:spacing w:val="-6"/>
          <w:sz w:val="24"/>
        </w:rPr>
        <w:t> </w:t>
      </w:r>
      <w:r>
        <w:rPr>
          <w:sz w:val="24"/>
        </w:rPr>
        <w:t>Kwok</w:t>
      </w:r>
      <w:r>
        <w:rPr>
          <w:spacing w:val="-4"/>
          <w:sz w:val="24"/>
        </w:rPr>
        <w:t> </w:t>
      </w:r>
      <w:r>
        <w:rPr>
          <w:sz w:val="24"/>
        </w:rPr>
        <w:t>J</w:t>
      </w:r>
      <w:r>
        <w:rPr>
          <w:spacing w:val="-3"/>
          <w:sz w:val="24"/>
        </w:rPr>
        <w:t> </w:t>
      </w:r>
      <w:r>
        <w:rPr>
          <w:sz w:val="24"/>
        </w:rPr>
        <w:t>et</w:t>
      </w:r>
      <w:r>
        <w:rPr>
          <w:spacing w:val="-1"/>
          <w:sz w:val="24"/>
        </w:rPr>
        <w:t> </w:t>
      </w:r>
      <w:r>
        <w:rPr>
          <w:sz w:val="24"/>
        </w:rPr>
        <w:t>al. Thrombotic</w:t>
      </w:r>
      <w:r>
        <w:rPr>
          <w:spacing w:val="-6"/>
          <w:sz w:val="24"/>
        </w:rPr>
        <w:t> </w:t>
      </w:r>
      <w:r>
        <w:rPr>
          <w:sz w:val="24"/>
        </w:rPr>
        <w:t>complications</w:t>
      </w:r>
      <w:r>
        <w:rPr>
          <w:spacing w:val="-3"/>
          <w:sz w:val="24"/>
        </w:rPr>
        <w:t> </w:t>
      </w:r>
      <w:r>
        <w:rPr>
          <w:sz w:val="24"/>
        </w:rPr>
        <w:t>and thromboprophylaxis across all three stages of single ventricle heart palliation. J Pediatr. 2012;161:513-519.</w:t>
      </w:r>
    </w:p>
    <w:p>
      <w:pPr>
        <w:pStyle w:val="ListParagraph"/>
        <w:spacing w:after="0" w:line="278" w:lineRule="auto"/>
        <w:jc w:val="left"/>
        <w:rPr>
          <w:sz w:val="24"/>
        </w:rPr>
        <w:sectPr>
          <w:pgSz w:w="11910" w:h="16840"/>
          <w:pgMar w:header="0" w:footer="750" w:top="1360" w:bottom="940" w:left="1275" w:right="1417"/>
        </w:sectPr>
      </w:pPr>
    </w:p>
    <w:p>
      <w:pPr>
        <w:pStyle w:val="ListParagraph"/>
        <w:numPr>
          <w:ilvl w:val="0"/>
          <w:numId w:val="4"/>
        </w:numPr>
        <w:tabs>
          <w:tab w:pos="499" w:val="left" w:leader="none"/>
          <w:tab w:pos="501" w:val="left" w:leader="none"/>
        </w:tabs>
        <w:spacing w:line="276" w:lineRule="auto" w:before="37" w:after="0"/>
        <w:ind w:left="501" w:right="293" w:hanging="360"/>
        <w:jc w:val="left"/>
        <w:rPr>
          <w:sz w:val="24"/>
        </w:rPr>
      </w:pPr>
      <w:r>
        <w:rPr>
          <w:sz w:val="24"/>
        </w:rPr>
        <w:t>Monagle P, Chan AKC, Goldenberg NA, Ichord RN, Journeycake JM, Nowak-Göttl U, Vesely SK. Antithrombotic Therapy in Neonates and Children. Antithrombotic Therapy and</w:t>
      </w:r>
      <w:r>
        <w:rPr>
          <w:spacing w:val="-4"/>
          <w:sz w:val="24"/>
        </w:rPr>
        <w:t> </w:t>
      </w:r>
      <w:r>
        <w:rPr>
          <w:sz w:val="24"/>
        </w:rPr>
        <w:t>Prevention</w:t>
      </w:r>
      <w:r>
        <w:rPr>
          <w:spacing w:val="-4"/>
          <w:sz w:val="24"/>
        </w:rPr>
        <w:t> </w:t>
      </w:r>
      <w:r>
        <w:rPr>
          <w:sz w:val="24"/>
        </w:rPr>
        <w:t>of</w:t>
      </w:r>
      <w:r>
        <w:rPr>
          <w:spacing w:val="-4"/>
          <w:sz w:val="24"/>
        </w:rPr>
        <w:t> </w:t>
      </w:r>
      <w:r>
        <w:rPr>
          <w:sz w:val="24"/>
        </w:rPr>
        <w:t>Thrombosis.</w:t>
      </w:r>
      <w:r>
        <w:rPr>
          <w:spacing w:val="-4"/>
          <w:sz w:val="24"/>
        </w:rPr>
        <w:t> </w:t>
      </w:r>
      <w:r>
        <w:rPr>
          <w:sz w:val="24"/>
        </w:rPr>
        <w:t>9th</w:t>
      </w:r>
      <w:r>
        <w:rPr>
          <w:spacing w:val="-5"/>
          <w:sz w:val="24"/>
        </w:rPr>
        <w:t> </w:t>
      </w:r>
      <w:r>
        <w:rPr>
          <w:sz w:val="24"/>
        </w:rPr>
        <w:t>ed:</w:t>
      </w:r>
      <w:r>
        <w:rPr>
          <w:spacing w:val="-5"/>
          <w:sz w:val="24"/>
        </w:rPr>
        <w:t> </w:t>
      </w:r>
      <w:r>
        <w:rPr>
          <w:sz w:val="24"/>
        </w:rPr>
        <w:t>American</w:t>
      </w:r>
      <w:r>
        <w:rPr>
          <w:spacing w:val="-4"/>
          <w:sz w:val="24"/>
        </w:rPr>
        <w:t> </w:t>
      </w:r>
      <w:r>
        <w:rPr>
          <w:sz w:val="24"/>
        </w:rPr>
        <w:t>College</w:t>
      </w:r>
      <w:r>
        <w:rPr>
          <w:spacing w:val="-2"/>
          <w:sz w:val="24"/>
        </w:rPr>
        <w:t> </w:t>
      </w:r>
      <w:r>
        <w:rPr>
          <w:sz w:val="24"/>
        </w:rPr>
        <w:t>of</w:t>
      </w:r>
      <w:r>
        <w:rPr>
          <w:spacing w:val="-2"/>
          <w:sz w:val="24"/>
        </w:rPr>
        <w:t> </w:t>
      </w:r>
      <w:r>
        <w:rPr>
          <w:sz w:val="24"/>
        </w:rPr>
        <w:t>Chest</w:t>
      </w:r>
      <w:r>
        <w:rPr>
          <w:spacing w:val="-2"/>
          <w:sz w:val="24"/>
        </w:rPr>
        <w:t> </w:t>
      </w:r>
      <w:r>
        <w:rPr>
          <w:sz w:val="24"/>
        </w:rPr>
        <w:t>Physicians</w:t>
      </w:r>
      <w:r>
        <w:rPr>
          <w:spacing w:val="-3"/>
          <w:sz w:val="24"/>
        </w:rPr>
        <w:t> </w:t>
      </w:r>
      <w:r>
        <w:rPr>
          <w:sz w:val="24"/>
        </w:rPr>
        <w:t>Evidence-Based Clinical Practice Guidelines. Chest 2012;141(suppl): e737S-e801S.</w:t>
      </w:r>
    </w:p>
    <w:p>
      <w:pPr>
        <w:pStyle w:val="ListParagraph"/>
        <w:numPr>
          <w:ilvl w:val="0"/>
          <w:numId w:val="4"/>
        </w:numPr>
        <w:tabs>
          <w:tab w:pos="499" w:val="left" w:leader="none"/>
          <w:tab w:pos="501" w:val="left" w:leader="none"/>
        </w:tabs>
        <w:spacing w:line="276" w:lineRule="auto" w:before="1" w:after="0"/>
        <w:ind w:left="501" w:right="796" w:hanging="360"/>
        <w:jc w:val="left"/>
        <w:rPr>
          <w:sz w:val="24"/>
        </w:rPr>
      </w:pPr>
      <w:hyperlink r:id="rId8">
        <w:r>
          <w:rPr>
            <w:sz w:val="24"/>
          </w:rPr>
          <w:t>Galantowicz M</w:t>
        </w:r>
      </w:hyperlink>
      <w:r>
        <w:rPr>
          <w:sz w:val="24"/>
        </w:rPr>
        <w:t>, </w:t>
      </w:r>
      <w:hyperlink r:id="rId9">
        <w:r>
          <w:rPr>
            <w:sz w:val="24"/>
          </w:rPr>
          <w:t>Yates AR.</w:t>
        </w:r>
      </w:hyperlink>
      <w:r>
        <w:rPr>
          <w:sz w:val="24"/>
        </w:rPr>
        <w:t> Improved outcomes with the comprehensive stage 2 procedure</w:t>
      </w:r>
      <w:r>
        <w:rPr>
          <w:spacing w:val="-4"/>
          <w:sz w:val="24"/>
        </w:rPr>
        <w:t> </w:t>
      </w:r>
      <w:r>
        <w:rPr>
          <w:sz w:val="24"/>
        </w:rPr>
        <w:t>after</w:t>
      </w:r>
      <w:r>
        <w:rPr>
          <w:spacing w:val="-2"/>
          <w:sz w:val="24"/>
        </w:rPr>
        <w:t> </w:t>
      </w:r>
      <w:r>
        <w:rPr>
          <w:sz w:val="24"/>
        </w:rPr>
        <w:t>an</w:t>
      </w:r>
      <w:r>
        <w:rPr>
          <w:spacing w:val="-2"/>
          <w:sz w:val="24"/>
        </w:rPr>
        <w:t> </w:t>
      </w:r>
      <w:r>
        <w:rPr>
          <w:sz w:val="24"/>
        </w:rPr>
        <w:t>initial</w:t>
      </w:r>
      <w:r>
        <w:rPr>
          <w:spacing w:val="-5"/>
          <w:sz w:val="24"/>
        </w:rPr>
        <w:t> </w:t>
      </w:r>
      <w:r>
        <w:rPr>
          <w:sz w:val="24"/>
        </w:rPr>
        <w:t>hybrid</w:t>
      </w:r>
      <w:r>
        <w:rPr>
          <w:spacing w:val="-2"/>
          <w:sz w:val="24"/>
        </w:rPr>
        <w:t> </w:t>
      </w:r>
      <w:r>
        <w:rPr>
          <w:sz w:val="24"/>
        </w:rPr>
        <w:t>stage.</w:t>
      </w:r>
      <w:r>
        <w:rPr>
          <w:spacing w:val="-3"/>
          <w:sz w:val="24"/>
        </w:rPr>
        <w:t> </w:t>
      </w:r>
      <w:hyperlink r:id="rId10">
        <w:r>
          <w:rPr>
            <w:sz w:val="24"/>
          </w:rPr>
          <w:t>J</w:t>
        </w:r>
        <w:r>
          <w:rPr>
            <w:spacing w:val="-5"/>
            <w:sz w:val="24"/>
          </w:rPr>
          <w:t> </w:t>
        </w:r>
        <w:r>
          <w:rPr>
            <w:sz w:val="24"/>
          </w:rPr>
          <w:t>Thorac</w:t>
        </w:r>
        <w:r>
          <w:rPr>
            <w:spacing w:val="-3"/>
            <w:sz w:val="24"/>
          </w:rPr>
          <w:t> </w:t>
        </w:r>
        <w:r>
          <w:rPr>
            <w:sz w:val="24"/>
          </w:rPr>
          <w:t>Cardiovasc</w:t>
        </w:r>
        <w:r>
          <w:rPr>
            <w:spacing w:val="-3"/>
            <w:sz w:val="24"/>
          </w:rPr>
          <w:t> </w:t>
        </w:r>
        <w:r>
          <w:rPr>
            <w:sz w:val="24"/>
          </w:rPr>
          <w:t>Surg.</w:t>
        </w:r>
      </w:hyperlink>
      <w:r>
        <w:rPr>
          <w:spacing w:val="-2"/>
          <w:sz w:val="24"/>
        </w:rPr>
        <w:t> </w:t>
      </w:r>
      <w:r>
        <w:rPr>
          <w:sz w:val="24"/>
        </w:rPr>
        <w:t>2016;151:424-9.</w:t>
      </w:r>
    </w:p>
    <w:p>
      <w:pPr>
        <w:pStyle w:val="ListParagraph"/>
        <w:numPr>
          <w:ilvl w:val="0"/>
          <w:numId w:val="4"/>
        </w:numPr>
        <w:tabs>
          <w:tab w:pos="499" w:val="left" w:leader="none"/>
          <w:tab w:pos="501" w:val="left" w:leader="none"/>
        </w:tabs>
        <w:spacing w:line="276" w:lineRule="auto" w:before="0" w:after="0"/>
        <w:ind w:left="501" w:right="315" w:hanging="360"/>
        <w:jc w:val="left"/>
        <w:rPr>
          <w:sz w:val="22"/>
        </w:rPr>
      </w:pPr>
      <w:r>
        <w:rPr>
          <w:sz w:val="22"/>
        </w:rPr>
        <w:t>Ahmad</w:t>
      </w:r>
      <w:r>
        <w:rPr>
          <w:spacing w:val="-2"/>
          <w:sz w:val="22"/>
        </w:rPr>
        <w:t> </w:t>
      </w:r>
      <w:r>
        <w:rPr>
          <w:sz w:val="22"/>
        </w:rPr>
        <w:t>U,</w:t>
      </w:r>
      <w:r>
        <w:rPr>
          <w:spacing w:val="-1"/>
          <w:sz w:val="22"/>
        </w:rPr>
        <w:t> </w:t>
      </w:r>
      <w:r>
        <w:rPr>
          <w:sz w:val="22"/>
        </w:rPr>
        <w:t>Fatimi</w:t>
      </w:r>
      <w:r>
        <w:rPr>
          <w:spacing w:val="-4"/>
          <w:sz w:val="22"/>
        </w:rPr>
        <w:t> </w:t>
      </w:r>
      <w:r>
        <w:rPr>
          <w:sz w:val="22"/>
        </w:rPr>
        <w:t>SH,</w:t>
      </w:r>
      <w:r>
        <w:rPr>
          <w:spacing w:val="-1"/>
          <w:sz w:val="22"/>
        </w:rPr>
        <w:t> </w:t>
      </w:r>
      <w:r>
        <w:rPr>
          <w:sz w:val="22"/>
        </w:rPr>
        <w:t>Naqvi</w:t>
      </w:r>
      <w:r>
        <w:rPr>
          <w:spacing w:val="-3"/>
          <w:sz w:val="22"/>
        </w:rPr>
        <w:t> </w:t>
      </w:r>
      <w:r>
        <w:rPr>
          <w:sz w:val="22"/>
        </w:rPr>
        <w:t>I,</w:t>
      </w:r>
      <w:r>
        <w:rPr>
          <w:spacing w:val="-1"/>
          <w:sz w:val="22"/>
        </w:rPr>
        <w:t> </w:t>
      </w:r>
      <w:r>
        <w:rPr>
          <w:sz w:val="22"/>
        </w:rPr>
        <w:t>Atiq</w:t>
      </w:r>
      <w:r>
        <w:rPr>
          <w:spacing w:val="-3"/>
          <w:sz w:val="22"/>
        </w:rPr>
        <w:t> </w:t>
      </w:r>
      <w:r>
        <w:rPr>
          <w:sz w:val="22"/>
        </w:rPr>
        <w:t>M,</w:t>
      </w:r>
      <w:r>
        <w:rPr>
          <w:spacing w:val="-4"/>
          <w:sz w:val="22"/>
        </w:rPr>
        <w:t> </w:t>
      </w:r>
      <w:r>
        <w:rPr>
          <w:sz w:val="22"/>
        </w:rPr>
        <w:t>Moizuddin</w:t>
      </w:r>
      <w:r>
        <w:rPr>
          <w:spacing w:val="-3"/>
          <w:sz w:val="22"/>
        </w:rPr>
        <w:t> </w:t>
      </w:r>
      <w:r>
        <w:rPr>
          <w:sz w:val="22"/>
        </w:rPr>
        <w:t>SS,</w:t>
      </w:r>
      <w:r>
        <w:rPr>
          <w:spacing w:val="-1"/>
          <w:sz w:val="22"/>
        </w:rPr>
        <w:t> </w:t>
      </w:r>
      <w:r>
        <w:rPr>
          <w:sz w:val="22"/>
        </w:rPr>
        <w:t>Sheikh</w:t>
      </w:r>
      <w:r>
        <w:rPr>
          <w:spacing w:val="-1"/>
          <w:sz w:val="22"/>
        </w:rPr>
        <w:t> </w:t>
      </w:r>
      <w:r>
        <w:rPr>
          <w:sz w:val="22"/>
        </w:rPr>
        <w:t>KB,</w:t>
      </w:r>
      <w:r>
        <w:rPr>
          <w:spacing w:val="-3"/>
          <w:sz w:val="22"/>
        </w:rPr>
        <w:t> </w:t>
      </w:r>
      <w:r>
        <w:rPr>
          <w:sz w:val="22"/>
        </w:rPr>
        <w:t>Shahbuddin</w:t>
      </w:r>
      <w:r>
        <w:rPr>
          <w:spacing w:val="-3"/>
          <w:sz w:val="22"/>
        </w:rPr>
        <w:t> </w:t>
      </w:r>
      <w:r>
        <w:rPr>
          <w:sz w:val="22"/>
        </w:rPr>
        <w:t>S,</w:t>
      </w:r>
      <w:r>
        <w:rPr>
          <w:spacing w:val="-1"/>
          <w:sz w:val="22"/>
        </w:rPr>
        <w:t> </w:t>
      </w:r>
      <w:r>
        <w:rPr>
          <w:sz w:val="22"/>
        </w:rPr>
        <w:t>Naseem TM</w:t>
      </w:r>
      <w:r>
        <w:rPr>
          <w:spacing w:val="-1"/>
          <w:sz w:val="22"/>
        </w:rPr>
        <w:t> </w:t>
      </w:r>
      <w:r>
        <w:rPr>
          <w:sz w:val="22"/>
        </w:rPr>
        <w:t>and Javed MA. Modified Blalock-Taussig shunt: immediate and short-term follow-up results in neonates. </w:t>
      </w:r>
      <w:r>
        <w:rPr>
          <w:i/>
          <w:sz w:val="22"/>
        </w:rPr>
        <w:t>Heart, lung &amp; circulation</w:t>
      </w:r>
      <w:r>
        <w:rPr>
          <w:sz w:val="22"/>
        </w:rPr>
        <w:t>. 2008;17:54-8</w:t>
      </w:r>
    </w:p>
    <w:p>
      <w:pPr>
        <w:pStyle w:val="ListParagraph"/>
        <w:numPr>
          <w:ilvl w:val="0"/>
          <w:numId w:val="4"/>
        </w:numPr>
        <w:tabs>
          <w:tab w:pos="498" w:val="left" w:leader="none"/>
          <w:tab w:pos="501" w:val="left" w:leader="none"/>
        </w:tabs>
        <w:spacing w:line="276" w:lineRule="auto" w:before="0" w:after="0"/>
        <w:ind w:left="501" w:right="394" w:hanging="360"/>
        <w:jc w:val="both"/>
        <w:rPr>
          <w:sz w:val="22"/>
        </w:rPr>
      </w:pPr>
      <w:r>
        <w:rPr>
          <w:sz w:val="22"/>
        </w:rPr>
        <w:t>Al Jubair KA, Al Fagih</w:t>
      </w:r>
      <w:r>
        <w:rPr>
          <w:spacing w:val="-1"/>
          <w:sz w:val="22"/>
        </w:rPr>
        <w:t> </w:t>
      </w:r>
      <w:r>
        <w:rPr>
          <w:sz w:val="22"/>
        </w:rPr>
        <w:t>MR, Al Jarallah</w:t>
      </w:r>
      <w:r>
        <w:rPr>
          <w:spacing w:val="-1"/>
          <w:sz w:val="22"/>
        </w:rPr>
        <w:t> </w:t>
      </w:r>
      <w:r>
        <w:rPr>
          <w:sz w:val="22"/>
        </w:rPr>
        <w:t>AS, Al Yousef S,</w:t>
      </w:r>
      <w:r>
        <w:rPr>
          <w:spacing w:val="-2"/>
          <w:sz w:val="22"/>
        </w:rPr>
        <w:t> </w:t>
      </w:r>
      <w:r>
        <w:rPr>
          <w:sz w:val="22"/>
        </w:rPr>
        <w:t>Ali Khan</w:t>
      </w:r>
      <w:r>
        <w:rPr>
          <w:spacing w:val="-1"/>
          <w:sz w:val="22"/>
        </w:rPr>
        <w:t> </w:t>
      </w:r>
      <w:r>
        <w:rPr>
          <w:sz w:val="22"/>
        </w:rPr>
        <w:t>MA,</w:t>
      </w:r>
      <w:r>
        <w:rPr>
          <w:spacing w:val="-2"/>
          <w:sz w:val="22"/>
        </w:rPr>
        <w:t> </w:t>
      </w:r>
      <w:r>
        <w:rPr>
          <w:sz w:val="22"/>
        </w:rPr>
        <w:t>Ashmeg A, Al Faraidi Y and Sawyer</w:t>
      </w:r>
      <w:r>
        <w:rPr>
          <w:spacing w:val="-4"/>
          <w:sz w:val="22"/>
        </w:rPr>
        <w:t> </w:t>
      </w:r>
      <w:r>
        <w:rPr>
          <w:sz w:val="22"/>
        </w:rPr>
        <w:t>W.</w:t>
      </w:r>
      <w:r>
        <w:rPr>
          <w:spacing w:val="-2"/>
          <w:sz w:val="22"/>
        </w:rPr>
        <w:t> </w:t>
      </w:r>
      <w:r>
        <w:rPr>
          <w:sz w:val="22"/>
        </w:rPr>
        <w:t>Results</w:t>
      </w:r>
      <w:r>
        <w:rPr>
          <w:spacing w:val="-4"/>
          <w:sz w:val="22"/>
        </w:rPr>
        <w:t> </w:t>
      </w:r>
      <w:r>
        <w:rPr>
          <w:sz w:val="22"/>
        </w:rPr>
        <w:t>of</w:t>
      </w:r>
      <w:r>
        <w:rPr>
          <w:spacing w:val="-4"/>
          <w:sz w:val="22"/>
        </w:rPr>
        <w:t> </w:t>
      </w:r>
      <w:r>
        <w:rPr>
          <w:sz w:val="22"/>
        </w:rPr>
        <w:t>546</w:t>
      </w:r>
      <w:r>
        <w:rPr>
          <w:spacing w:val="-2"/>
          <w:sz w:val="22"/>
        </w:rPr>
        <w:t> </w:t>
      </w:r>
      <w:r>
        <w:rPr>
          <w:sz w:val="22"/>
        </w:rPr>
        <w:t>Blalock-Taussig</w:t>
      </w:r>
      <w:r>
        <w:rPr>
          <w:spacing w:val="-3"/>
          <w:sz w:val="22"/>
        </w:rPr>
        <w:t> </w:t>
      </w:r>
      <w:r>
        <w:rPr>
          <w:sz w:val="22"/>
        </w:rPr>
        <w:t>shunts</w:t>
      </w:r>
      <w:r>
        <w:rPr>
          <w:spacing w:val="-1"/>
          <w:sz w:val="22"/>
        </w:rPr>
        <w:t> </w:t>
      </w:r>
      <w:r>
        <w:rPr>
          <w:sz w:val="22"/>
        </w:rPr>
        <w:t>performed</w:t>
      </w:r>
      <w:r>
        <w:rPr>
          <w:spacing w:val="-2"/>
          <w:sz w:val="22"/>
        </w:rPr>
        <w:t> </w:t>
      </w:r>
      <w:r>
        <w:rPr>
          <w:sz w:val="22"/>
        </w:rPr>
        <w:t>in</w:t>
      </w:r>
      <w:r>
        <w:rPr>
          <w:spacing w:val="-5"/>
          <w:sz w:val="22"/>
        </w:rPr>
        <w:t> </w:t>
      </w:r>
      <w:r>
        <w:rPr>
          <w:sz w:val="22"/>
        </w:rPr>
        <w:t>478</w:t>
      </w:r>
      <w:r>
        <w:rPr>
          <w:spacing w:val="-2"/>
          <w:sz w:val="22"/>
        </w:rPr>
        <w:t> </w:t>
      </w:r>
      <w:r>
        <w:rPr>
          <w:sz w:val="22"/>
        </w:rPr>
        <w:t>patients. </w:t>
      </w:r>
      <w:r>
        <w:rPr>
          <w:i/>
          <w:sz w:val="22"/>
        </w:rPr>
        <w:t>Cardiology</w:t>
      </w:r>
      <w:r>
        <w:rPr>
          <w:i/>
          <w:spacing w:val="-2"/>
          <w:sz w:val="22"/>
        </w:rPr>
        <w:t> </w:t>
      </w:r>
      <w:r>
        <w:rPr>
          <w:i/>
          <w:sz w:val="22"/>
        </w:rPr>
        <w:t>in</w:t>
      </w:r>
      <w:r>
        <w:rPr>
          <w:i/>
          <w:spacing w:val="-3"/>
          <w:sz w:val="22"/>
        </w:rPr>
        <w:t> </w:t>
      </w:r>
      <w:r>
        <w:rPr>
          <w:i/>
          <w:sz w:val="22"/>
        </w:rPr>
        <w:t>the</w:t>
      </w:r>
      <w:r>
        <w:rPr>
          <w:i/>
          <w:sz w:val="22"/>
        </w:rPr>
        <w:t> young</w:t>
      </w:r>
      <w:r>
        <w:rPr>
          <w:sz w:val="22"/>
        </w:rPr>
        <w:t>. 1998;8:486-90.</w:t>
      </w:r>
    </w:p>
    <w:p>
      <w:pPr>
        <w:pStyle w:val="ListParagraph"/>
        <w:numPr>
          <w:ilvl w:val="0"/>
          <w:numId w:val="4"/>
        </w:numPr>
        <w:tabs>
          <w:tab w:pos="498" w:val="left" w:leader="none"/>
          <w:tab w:pos="501" w:val="left" w:leader="none"/>
        </w:tabs>
        <w:spacing w:line="273" w:lineRule="auto" w:before="0" w:after="0"/>
        <w:ind w:left="501" w:right="213" w:hanging="360"/>
        <w:jc w:val="left"/>
        <w:rPr>
          <w:sz w:val="22"/>
        </w:rPr>
      </w:pPr>
      <w:r>
        <w:rPr>
          <w:sz w:val="22"/>
        </w:rPr>
        <w:t>Fenton</w:t>
      </w:r>
      <w:r>
        <w:rPr>
          <w:spacing w:val="-4"/>
          <w:sz w:val="22"/>
        </w:rPr>
        <w:t> </w:t>
      </w:r>
      <w:r>
        <w:rPr>
          <w:sz w:val="22"/>
        </w:rPr>
        <w:t>KN,</w:t>
      </w:r>
      <w:r>
        <w:rPr>
          <w:spacing w:val="-1"/>
          <w:sz w:val="22"/>
        </w:rPr>
        <w:t> </w:t>
      </w:r>
      <w:r>
        <w:rPr>
          <w:sz w:val="22"/>
        </w:rPr>
        <w:t>Siewers</w:t>
      </w:r>
      <w:r>
        <w:rPr>
          <w:spacing w:val="-3"/>
          <w:sz w:val="22"/>
        </w:rPr>
        <w:t> </w:t>
      </w:r>
      <w:r>
        <w:rPr>
          <w:sz w:val="22"/>
        </w:rPr>
        <w:t>RD,</w:t>
      </w:r>
      <w:r>
        <w:rPr>
          <w:spacing w:val="-4"/>
          <w:sz w:val="22"/>
        </w:rPr>
        <w:t> </w:t>
      </w:r>
      <w:r>
        <w:rPr>
          <w:sz w:val="22"/>
        </w:rPr>
        <w:t>Rebovich</w:t>
      </w:r>
      <w:r>
        <w:rPr>
          <w:spacing w:val="-4"/>
          <w:sz w:val="22"/>
        </w:rPr>
        <w:t> </w:t>
      </w:r>
      <w:r>
        <w:rPr>
          <w:sz w:val="22"/>
        </w:rPr>
        <w:t>B</w:t>
      </w:r>
      <w:r>
        <w:rPr>
          <w:spacing w:val="-1"/>
          <w:sz w:val="22"/>
        </w:rPr>
        <w:t> </w:t>
      </w:r>
      <w:r>
        <w:rPr>
          <w:sz w:val="22"/>
        </w:rPr>
        <w:t>and</w:t>
      </w:r>
      <w:r>
        <w:rPr>
          <w:spacing w:val="-3"/>
          <w:sz w:val="22"/>
        </w:rPr>
        <w:t> </w:t>
      </w:r>
      <w:r>
        <w:rPr>
          <w:sz w:val="22"/>
        </w:rPr>
        <w:t>Pigula</w:t>
      </w:r>
      <w:r>
        <w:rPr>
          <w:spacing w:val="-1"/>
          <w:sz w:val="22"/>
        </w:rPr>
        <w:t> </w:t>
      </w:r>
      <w:r>
        <w:rPr>
          <w:sz w:val="22"/>
        </w:rPr>
        <w:t>FA. Interim</w:t>
      </w:r>
      <w:r>
        <w:rPr>
          <w:spacing w:val="-3"/>
          <w:sz w:val="22"/>
        </w:rPr>
        <w:t> </w:t>
      </w:r>
      <w:r>
        <w:rPr>
          <w:sz w:val="22"/>
        </w:rPr>
        <w:t>mortality</w:t>
      </w:r>
      <w:r>
        <w:rPr>
          <w:spacing w:val="-1"/>
          <w:sz w:val="22"/>
        </w:rPr>
        <w:t> </w:t>
      </w:r>
      <w:r>
        <w:rPr>
          <w:sz w:val="22"/>
        </w:rPr>
        <w:t>in</w:t>
      </w:r>
      <w:r>
        <w:rPr>
          <w:spacing w:val="-1"/>
          <w:sz w:val="22"/>
        </w:rPr>
        <w:t> </w:t>
      </w:r>
      <w:r>
        <w:rPr>
          <w:sz w:val="22"/>
        </w:rPr>
        <w:t>infants</w:t>
      </w:r>
      <w:r>
        <w:rPr>
          <w:spacing w:val="-1"/>
          <w:sz w:val="22"/>
        </w:rPr>
        <w:t> </w:t>
      </w:r>
      <w:r>
        <w:rPr>
          <w:sz w:val="22"/>
        </w:rPr>
        <w:t>with</w:t>
      </w:r>
      <w:r>
        <w:rPr>
          <w:spacing w:val="-1"/>
          <w:sz w:val="22"/>
        </w:rPr>
        <w:t> </w:t>
      </w:r>
      <w:r>
        <w:rPr>
          <w:sz w:val="22"/>
        </w:rPr>
        <w:t>systemic-to-pulmonary artery shunts. </w:t>
      </w:r>
      <w:r>
        <w:rPr>
          <w:i/>
          <w:sz w:val="22"/>
        </w:rPr>
        <w:t>The Annals of thoracic surgery</w:t>
      </w:r>
      <w:r>
        <w:rPr>
          <w:sz w:val="22"/>
        </w:rPr>
        <w:t>. 2003;76:152-6; discussion 156-7.</w:t>
      </w:r>
    </w:p>
    <w:p>
      <w:pPr>
        <w:pStyle w:val="ListParagraph"/>
        <w:numPr>
          <w:ilvl w:val="0"/>
          <w:numId w:val="4"/>
        </w:numPr>
        <w:tabs>
          <w:tab w:pos="498" w:val="left" w:leader="none"/>
          <w:tab w:pos="501" w:val="left" w:leader="none"/>
        </w:tabs>
        <w:spacing w:line="276" w:lineRule="auto" w:before="3" w:after="0"/>
        <w:ind w:left="501" w:right="358" w:hanging="360"/>
        <w:jc w:val="left"/>
        <w:rPr>
          <w:sz w:val="22"/>
        </w:rPr>
      </w:pPr>
      <w:r>
        <w:rPr>
          <w:sz w:val="22"/>
        </w:rPr>
        <w:t>Gedicke</w:t>
      </w:r>
      <w:r>
        <w:rPr>
          <w:spacing w:val="-3"/>
          <w:sz w:val="22"/>
        </w:rPr>
        <w:t> </w:t>
      </w:r>
      <w:r>
        <w:rPr>
          <w:sz w:val="22"/>
        </w:rPr>
        <w:t>M,</w:t>
      </w:r>
      <w:r>
        <w:rPr>
          <w:spacing w:val="-4"/>
          <w:sz w:val="22"/>
        </w:rPr>
        <w:t> </w:t>
      </w:r>
      <w:r>
        <w:rPr>
          <w:sz w:val="22"/>
        </w:rPr>
        <w:t>Morgan</w:t>
      </w:r>
      <w:r>
        <w:rPr>
          <w:spacing w:val="-2"/>
          <w:sz w:val="22"/>
        </w:rPr>
        <w:t> </w:t>
      </w:r>
      <w:r>
        <w:rPr>
          <w:sz w:val="22"/>
        </w:rPr>
        <w:t>G,</w:t>
      </w:r>
      <w:r>
        <w:rPr>
          <w:spacing w:val="-3"/>
          <w:sz w:val="22"/>
        </w:rPr>
        <w:t> </w:t>
      </w:r>
      <w:r>
        <w:rPr>
          <w:sz w:val="22"/>
        </w:rPr>
        <w:t>Parry</w:t>
      </w:r>
      <w:r>
        <w:rPr>
          <w:spacing w:val="-1"/>
          <w:sz w:val="22"/>
        </w:rPr>
        <w:t> </w:t>
      </w:r>
      <w:r>
        <w:rPr>
          <w:sz w:val="22"/>
        </w:rPr>
        <w:t>A,</w:t>
      </w:r>
      <w:r>
        <w:rPr>
          <w:spacing w:val="-3"/>
          <w:sz w:val="22"/>
        </w:rPr>
        <w:t> </w:t>
      </w:r>
      <w:r>
        <w:rPr>
          <w:sz w:val="22"/>
        </w:rPr>
        <w:t>Martin</w:t>
      </w:r>
      <w:r>
        <w:rPr>
          <w:spacing w:val="-3"/>
          <w:sz w:val="22"/>
        </w:rPr>
        <w:t> </w:t>
      </w:r>
      <w:r>
        <w:rPr>
          <w:sz w:val="22"/>
        </w:rPr>
        <w:t>R</w:t>
      </w:r>
      <w:r>
        <w:rPr>
          <w:spacing w:val="-3"/>
          <w:sz w:val="22"/>
        </w:rPr>
        <w:t> </w:t>
      </w:r>
      <w:r>
        <w:rPr>
          <w:sz w:val="22"/>
        </w:rPr>
        <w:t>and</w:t>
      </w:r>
      <w:r>
        <w:rPr>
          <w:spacing w:val="-3"/>
          <w:sz w:val="22"/>
        </w:rPr>
        <w:t> </w:t>
      </w:r>
      <w:r>
        <w:rPr>
          <w:sz w:val="22"/>
        </w:rPr>
        <w:t>Tulloh</w:t>
      </w:r>
      <w:r>
        <w:rPr>
          <w:spacing w:val="-2"/>
          <w:sz w:val="22"/>
        </w:rPr>
        <w:t> </w:t>
      </w:r>
      <w:r>
        <w:rPr>
          <w:sz w:val="22"/>
        </w:rPr>
        <w:t>R.</w:t>
      </w:r>
      <w:r>
        <w:rPr>
          <w:spacing w:val="-3"/>
          <w:sz w:val="22"/>
        </w:rPr>
        <w:t> </w:t>
      </w:r>
      <w:r>
        <w:rPr>
          <w:sz w:val="22"/>
        </w:rPr>
        <w:t>Risk</w:t>
      </w:r>
      <w:r>
        <w:rPr>
          <w:spacing w:val="-1"/>
          <w:sz w:val="22"/>
        </w:rPr>
        <w:t> </w:t>
      </w:r>
      <w:r>
        <w:rPr>
          <w:sz w:val="22"/>
        </w:rPr>
        <w:t>factors</w:t>
      </w:r>
      <w:r>
        <w:rPr>
          <w:spacing w:val="-4"/>
          <w:sz w:val="22"/>
        </w:rPr>
        <w:t> </w:t>
      </w:r>
      <w:r>
        <w:rPr>
          <w:sz w:val="22"/>
        </w:rPr>
        <w:t>for</w:t>
      </w:r>
      <w:r>
        <w:rPr>
          <w:spacing w:val="-4"/>
          <w:sz w:val="22"/>
        </w:rPr>
        <w:t> </w:t>
      </w:r>
      <w:r>
        <w:rPr>
          <w:sz w:val="22"/>
        </w:rPr>
        <w:t>acute</w:t>
      </w:r>
      <w:r>
        <w:rPr>
          <w:spacing w:val="-1"/>
          <w:sz w:val="22"/>
        </w:rPr>
        <w:t> </w:t>
      </w:r>
      <w:r>
        <w:rPr>
          <w:sz w:val="22"/>
        </w:rPr>
        <w:t>shunt</w:t>
      </w:r>
      <w:r>
        <w:rPr>
          <w:spacing w:val="-3"/>
          <w:sz w:val="22"/>
        </w:rPr>
        <w:t> </w:t>
      </w:r>
      <w:r>
        <w:rPr>
          <w:sz w:val="22"/>
        </w:rPr>
        <w:t>blockage</w:t>
      </w:r>
      <w:r>
        <w:rPr>
          <w:spacing w:val="-1"/>
          <w:sz w:val="22"/>
        </w:rPr>
        <w:t> </w:t>
      </w:r>
      <w:r>
        <w:rPr>
          <w:sz w:val="22"/>
        </w:rPr>
        <w:t>in children after modified Blalock-Taussig shunt operations. </w:t>
      </w:r>
      <w:r>
        <w:rPr>
          <w:i/>
          <w:sz w:val="22"/>
        </w:rPr>
        <w:t>Heart and vessels</w:t>
      </w:r>
      <w:r>
        <w:rPr>
          <w:sz w:val="22"/>
        </w:rPr>
        <w:t>. 2010;25:405-9.</w:t>
      </w:r>
    </w:p>
    <w:p>
      <w:pPr>
        <w:pStyle w:val="ListParagraph"/>
        <w:numPr>
          <w:ilvl w:val="0"/>
          <w:numId w:val="4"/>
        </w:numPr>
        <w:tabs>
          <w:tab w:pos="498" w:val="left" w:leader="none"/>
          <w:tab w:pos="501" w:val="left" w:leader="none"/>
        </w:tabs>
        <w:spacing w:line="276" w:lineRule="auto" w:before="2" w:after="0"/>
        <w:ind w:left="501" w:right="133" w:hanging="360"/>
        <w:jc w:val="left"/>
        <w:rPr>
          <w:sz w:val="22"/>
        </w:rPr>
      </w:pPr>
      <w:r>
        <w:rPr>
          <w:sz w:val="22"/>
        </w:rPr>
        <w:t>Guzzetta NA, Foster GS, Mruthinti N, Kilgore PD, Miller BE and Kanter KR. In-hospital shunt occlusion</w:t>
      </w:r>
      <w:r>
        <w:rPr>
          <w:spacing w:val="-3"/>
          <w:sz w:val="22"/>
        </w:rPr>
        <w:t> </w:t>
      </w:r>
      <w:r>
        <w:rPr>
          <w:sz w:val="22"/>
        </w:rPr>
        <w:t>in</w:t>
      </w:r>
      <w:r>
        <w:rPr>
          <w:spacing w:val="-2"/>
          <w:sz w:val="22"/>
        </w:rPr>
        <w:t> </w:t>
      </w:r>
      <w:r>
        <w:rPr>
          <w:sz w:val="22"/>
        </w:rPr>
        <w:t>infants</w:t>
      </w:r>
      <w:r>
        <w:rPr>
          <w:spacing w:val="-1"/>
          <w:sz w:val="22"/>
        </w:rPr>
        <w:t> </w:t>
      </w:r>
      <w:r>
        <w:rPr>
          <w:sz w:val="22"/>
        </w:rPr>
        <w:t>undergoing</w:t>
      </w:r>
      <w:r>
        <w:rPr>
          <w:spacing w:val="-3"/>
          <w:sz w:val="22"/>
        </w:rPr>
        <w:t> </w:t>
      </w:r>
      <w:r>
        <w:rPr>
          <w:sz w:val="22"/>
        </w:rPr>
        <w:t>a</w:t>
      </w:r>
      <w:r>
        <w:rPr>
          <w:spacing w:val="-4"/>
          <w:sz w:val="22"/>
        </w:rPr>
        <w:t> </w:t>
      </w:r>
      <w:r>
        <w:rPr>
          <w:sz w:val="22"/>
        </w:rPr>
        <w:t>modified</w:t>
      </w:r>
      <w:r>
        <w:rPr>
          <w:spacing w:val="-2"/>
          <w:sz w:val="22"/>
        </w:rPr>
        <w:t> </w:t>
      </w:r>
      <w:r>
        <w:rPr>
          <w:sz w:val="22"/>
        </w:rPr>
        <w:t>blalock-taussig</w:t>
      </w:r>
      <w:r>
        <w:rPr>
          <w:spacing w:val="-3"/>
          <w:sz w:val="22"/>
        </w:rPr>
        <w:t> </w:t>
      </w:r>
      <w:r>
        <w:rPr>
          <w:sz w:val="22"/>
        </w:rPr>
        <w:t>shunt.</w:t>
      </w:r>
      <w:r>
        <w:rPr>
          <w:spacing w:val="-1"/>
          <w:sz w:val="22"/>
        </w:rPr>
        <w:t> </w:t>
      </w:r>
      <w:r>
        <w:rPr>
          <w:i/>
          <w:sz w:val="22"/>
        </w:rPr>
        <w:t>The</w:t>
      </w:r>
      <w:r>
        <w:rPr>
          <w:i/>
          <w:spacing w:val="-2"/>
          <w:sz w:val="22"/>
        </w:rPr>
        <w:t> </w:t>
      </w:r>
      <w:r>
        <w:rPr>
          <w:i/>
          <w:sz w:val="22"/>
        </w:rPr>
        <w:t>Annals</w:t>
      </w:r>
      <w:r>
        <w:rPr>
          <w:i/>
          <w:spacing w:val="-2"/>
          <w:sz w:val="22"/>
        </w:rPr>
        <w:t> </w:t>
      </w:r>
      <w:r>
        <w:rPr>
          <w:i/>
          <w:sz w:val="22"/>
        </w:rPr>
        <w:t>of</w:t>
      </w:r>
      <w:r>
        <w:rPr>
          <w:i/>
          <w:spacing w:val="-5"/>
          <w:sz w:val="22"/>
        </w:rPr>
        <w:t> </w:t>
      </w:r>
      <w:r>
        <w:rPr>
          <w:i/>
          <w:sz w:val="22"/>
        </w:rPr>
        <w:t>thoracic</w:t>
      </w:r>
      <w:r>
        <w:rPr>
          <w:i/>
          <w:spacing w:val="-3"/>
          <w:sz w:val="22"/>
        </w:rPr>
        <w:t> </w:t>
      </w:r>
      <w:r>
        <w:rPr>
          <w:i/>
          <w:sz w:val="22"/>
        </w:rPr>
        <w:t>surgery</w:t>
      </w:r>
      <w:r>
        <w:rPr>
          <w:sz w:val="22"/>
        </w:rPr>
        <w:t>. </w:t>
      </w:r>
      <w:r>
        <w:rPr>
          <w:spacing w:val="-2"/>
          <w:sz w:val="22"/>
        </w:rPr>
        <w:t>2013;96:176-82.</w:t>
      </w:r>
    </w:p>
    <w:p>
      <w:pPr>
        <w:pStyle w:val="ListParagraph"/>
        <w:numPr>
          <w:ilvl w:val="0"/>
          <w:numId w:val="4"/>
        </w:numPr>
        <w:tabs>
          <w:tab w:pos="498" w:val="left" w:leader="none"/>
          <w:tab w:pos="501" w:val="left" w:leader="none"/>
        </w:tabs>
        <w:spacing w:line="276" w:lineRule="auto" w:before="0" w:after="0"/>
        <w:ind w:left="501" w:right="266" w:hanging="360"/>
        <w:jc w:val="left"/>
        <w:rPr>
          <w:sz w:val="22"/>
        </w:rPr>
      </w:pPr>
      <w:r>
        <w:rPr>
          <w:sz w:val="22"/>
        </w:rPr>
        <w:t>Li JS, Yow E, Berezny KY,</w:t>
      </w:r>
      <w:r>
        <w:rPr>
          <w:spacing w:val="-1"/>
          <w:sz w:val="22"/>
        </w:rPr>
        <w:t> </w:t>
      </w:r>
      <w:r>
        <w:rPr>
          <w:sz w:val="22"/>
        </w:rPr>
        <w:t>Rhodes JF, Bokesch</w:t>
      </w:r>
      <w:r>
        <w:rPr>
          <w:spacing w:val="-1"/>
          <w:sz w:val="22"/>
        </w:rPr>
        <w:t> </w:t>
      </w:r>
      <w:r>
        <w:rPr>
          <w:sz w:val="22"/>
        </w:rPr>
        <w:t>PM, Charpie JR, Forbus</w:t>
      </w:r>
      <w:r>
        <w:rPr>
          <w:spacing w:val="-1"/>
          <w:sz w:val="22"/>
        </w:rPr>
        <w:t> </w:t>
      </w:r>
      <w:r>
        <w:rPr>
          <w:sz w:val="22"/>
        </w:rPr>
        <w:t>GA, Mahony L, Boshkov L, Lambert V,</w:t>
      </w:r>
      <w:r>
        <w:rPr>
          <w:spacing w:val="-4"/>
          <w:sz w:val="22"/>
        </w:rPr>
        <w:t> </w:t>
      </w:r>
      <w:r>
        <w:rPr>
          <w:sz w:val="22"/>
        </w:rPr>
        <w:t>Bonnet</w:t>
      </w:r>
      <w:r>
        <w:rPr>
          <w:spacing w:val="-3"/>
          <w:sz w:val="22"/>
        </w:rPr>
        <w:t> </w:t>
      </w:r>
      <w:r>
        <w:rPr>
          <w:sz w:val="22"/>
        </w:rPr>
        <w:t>D,</w:t>
      </w:r>
      <w:r>
        <w:rPr>
          <w:spacing w:val="-3"/>
          <w:sz w:val="22"/>
        </w:rPr>
        <w:t> </w:t>
      </w:r>
      <w:r>
        <w:rPr>
          <w:sz w:val="22"/>
        </w:rPr>
        <w:t>Michel-Behnke</w:t>
      </w:r>
      <w:r>
        <w:rPr>
          <w:spacing w:val="-1"/>
          <w:sz w:val="22"/>
        </w:rPr>
        <w:t> </w:t>
      </w:r>
      <w:r>
        <w:rPr>
          <w:sz w:val="22"/>
        </w:rPr>
        <w:t>I,</w:t>
      </w:r>
      <w:r>
        <w:rPr>
          <w:spacing w:val="-4"/>
          <w:sz w:val="22"/>
        </w:rPr>
        <w:t> </w:t>
      </w:r>
      <w:r>
        <w:rPr>
          <w:sz w:val="22"/>
        </w:rPr>
        <w:t>Graham TP,</w:t>
      </w:r>
      <w:r>
        <w:rPr>
          <w:spacing w:val="-3"/>
          <w:sz w:val="22"/>
        </w:rPr>
        <w:t> </w:t>
      </w:r>
      <w:r>
        <w:rPr>
          <w:sz w:val="22"/>
        </w:rPr>
        <w:t>Takahashi</w:t>
      </w:r>
      <w:r>
        <w:rPr>
          <w:spacing w:val="-2"/>
          <w:sz w:val="22"/>
        </w:rPr>
        <w:t> </w:t>
      </w:r>
      <w:r>
        <w:rPr>
          <w:sz w:val="22"/>
        </w:rPr>
        <w:t>M,</w:t>
      </w:r>
      <w:r>
        <w:rPr>
          <w:spacing w:val="-4"/>
          <w:sz w:val="22"/>
        </w:rPr>
        <w:t> </w:t>
      </w:r>
      <w:r>
        <w:rPr>
          <w:sz w:val="22"/>
        </w:rPr>
        <w:t>Jaggers</w:t>
      </w:r>
      <w:r>
        <w:rPr>
          <w:spacing w:val="-1"/>
          <w:sz w:val="22"/>
        </w:rPr>
        <w:t> </w:t>
      </w:r>
      <w:r>
        <w:rPr>
          <w:sz w:val="22"/>
        </w:rPr>
        <w:t>J,</w:t>
      </w:r>
      <w:r>
        <w:rPr>
          <w:spacing w:val="-1"/>
          <w:sz w:val="22"/>
        </w:rPr>
        <w:t> </w:t>
      </w:r>
      <w:r>
        <w:rPr>
          <w:sz w:val="22"/>
        </w:rPr>
        <w:t>Califf</w:t>
      </w:r>
      <w:r>
        <w:rPr>
          <w:spacing w:val="-6"/>
          <w:sz w:val="22"/>
        </w:rPr>
        <w:t> </w:t>
      </w:r>
      <w:r>
        <w:rPr>
          <w:sz w:val="22"/>
        </w:rPr>
        <w:t>RM,</w:t>
      </w:r>
      <w:r>
        <w:rPr>
          <w:spacing w:val="-1"/>
          <w:sz w:val="22"/>
        </w:rPr>
        <w:t> </w:t>
      </w:r>
      <w:r>
        <w:rPr>
          <w:sz w:val="22"/>
        </w:rPr>
        <w:t>Rakhit</w:t>
      </w:r>
      <w:r>
        <w:rPr>
          <w:spacing w:val="-1"/>
          <w:sz w:val="22"/>
        </w:rPr>
        <w:t> </w:t>
      </w:r>
      <w:r>
        <w:rPr>
          <w:sz w:val="22"/>
        </w:rPr>
        <w:t>A, Fontecave S and Sanders SP. Clinical outcomes of palliative surgery including a systemic-to-pulmonary artery shunt in infants with cyanotic congenital heart disease: does aspirin make a difference? </w:t>
      </w:r>
      <w:r>
        <w:rPr>
          <w:i/>
          <w:sz w:val="22"/>
        </w:rPr>
        <w:t>Circulation</w:t>
      </w:r>
      <w:r>
        <w:rPr>
          <w:sz w:val="22"/>
        </w:rPr>
        <w:t>. 2007;116:293-7.</w:t>
      </w:r>
    </w:p>
    <w:p>
      <w:pPr>
        <w:pStyle w:val="ListParagraph"/>
        <w:numPr>
          <w:ilvl w:val="0"/>
          <w:numId w:val="4"/>
        </w:numPr>
        <w:tabs>
          <w:tab w:pos="498" w:val="left" w:leader="none"/>
          <w:tab w:pos="501" w:val="left" w:leader="none"/>
        </w:tabs>
        <w:spacing w:line="276" w:lineRule="auto" w:before="0" w:after="0"/>
        <w:ind w:left="501" w:right="171" w:hanging="360"/>
        <w:jc w:val="left"/>
        <w:rPr>
          <w:sz w:val="22"/>
        </w:rPr>
      </w:pPr>
      <w:r>
        <w:rPr>
          <w:sz w:val="22"/>
        </w:rPr>
        <w:t>Wells</w:t>
      </w:r>
      <w:r>
        <w:rPr>
          <w:spacing w:val="-3"/>
          <w:sz w:val="22"/>
        </w:rPr>
        <w:t> </w:t>
      </w:r>
      <w:r>
        <w:rPr>
          <w:sz w:val="22"/>
        </w:rPr>
        <w:t>WJ,</w:t>
      </w:r>
      <w:r>
        <w:rPr>
          <w:spacing w:val="-1"/>
          <w:sz w:val="22"/>
        </w:rPr>
        <w:t> </w:t>
      </w:r>
      <w:r>
        <w:rPr>
          <w:sz w:val="22"/>
        </w:rPr>
        <w:t>Yu</w:t>
      </w:r>
      <w:r>
        <w:rPr>
          <w:spacing w:val="-1"/>
          <w:sz w:val="22"/>
        </w:rPr>
        <w:t> </w:t>
      </w:r>
      <w:r>
        <w:rPr>
          <w:sz w:val="22"/>
        </w:rPr>
        <w:t>RJ,</w:t>
      </w:r>
      <w:r>
        <w:rPr>
          <w:spacing w:val="-4"/>
          <w:sz w:val="22"/>
        </w:rPr>
        <w:t> </w:t>
      </w:r>
      <w:r>
        <w:rPr>
          <w:sz w:val="22"/>
        </w:rPr>
        <w:t>Batra</w:t>
      </w:r>
      <w:r>
        <w:rPr>
          <w:spacing w:val="-4"/>
          <w:sz w:val="22"/>
        </w:rPr>
        <w:t> </w:t>
      </w:r>
      <w:r>
        <w:rPr>
          <w:sz w:val="22"/>
        </w:rPr>
        <w:t>AS,</w:t>
      </w:r>
      <w:r>
        <w:rPr>
          <w:spacing w:val="-3"/>
          <w:sz w:val="22"/>
        </w:rPr>
        <w:t> </w:t>
      </w:r>
      <w:r>
        <w:rPr>
          <w:sz w:val="22"/>
        </w:rPr>
        <w:t>Monforte</w:t>
      </w:r>
      <w:r>
        <w:rPr>
          <w:spacing w:val="-1"/>
          <w:sz w:val="22"/>
        </w:rPr>
        <w:t> </w:t>
      </w:r>
      <w:r>
        <w:rPr>
          <w:sz w:val="22"/>
        </w:rPr>
        <w:t>H,</w:t>
      </w:r>
      <w:r>
        <w:rPr>
          <w:spacing w:val="-1"/>
          <w:sz w:val="22"/>
        </w:rPr>
        <w:t> </w:t>
      </w:r>
      <w:r>
        <w:rPr>
          <w:sz w:val="22"/>
        </w:rPr>
        <w:t>Sintek</w:t>
      </w:r>
      <w:r>
        <w:rPr>
          <w:spacing w:val="-1"/>
          <w:sz w:val="22"/>
        </w:rPr>
        <w:t> </w:t>
      </w:r>
      <w:r>
        <w:rPr>
          <w:sz w:val="22"/>
        </w:rPr>
        <w:t>C</w:t>
      </w:r>
      <w:r>
        <w:rPr>
          <w:spacing w:val="-3"/>
          <w:sz w:val="22"/>
        </w:rPr>
        <w:t> </w:t>
      </w:r>
      <w:r>
        <w:rPr>
          <w:sz w:val="22"/>
        </w:rPr>
        <w:t>and</w:t>
      </w:r>
      <w:r>
        <w:rPr>
          <w:spacing w:val="-2"/>
          <w:sz w:val="22"/>
        </w:rPr>
        <w:t> </w:t>
      </w:r>
      <w:r>
        <w:rPr>
          <w:sz w:val="22"/>
        </w:rPr>
        <w:t>Starnes VA.</w:t>
      </w:r>
      <w:r>
        <w:rPr>
          <w:spacing w:val="-1"/>
          <w:sz w:val="22"/>
        </w:rPr>
        <w:t> </w:t>
      </w:r>
      <w:r>
        <w:rPr>
          <w:sz w:val="22"/>
        </w:rPr>
        <w:t>Obstruction</w:t>
      </w:r>
      <w:r>
        <w:rPr>
          <w:spacing w:val="-2"/>
          <w:sz w:val="22"/>
        </w:rPr>
        <w:t> </w:t>
      </w:r>
      <w:r>
        <w:rPr>
          <w:sz w:val="22"/>
        </w:rPr>
        <w:t>in</w:t>
      </w:r>
      <w:r>
        <w:rPr>
          <w:spacing w:val="-4"/>
          <w:sz w:val="22"/>
        </w:rPr>
        <w:t> </w:t>
      </w:r>
      <w:r>
        <w:rPr>
          <w:sz w:val="22"/>
        </w:rPr>
        <w:t>modified</w:t>
      </w:r>
      <w:r>
        <w:rPr>
          <w:spacing w:val="-1"/>
          <w:sz w:val="22"/>
        </w:rPr>
        <w:t> </w:t>
      </w:r>
      <w:r>
        <w:rPr>
          <w:sz w:val="22"/>
        </w:rPr>
        <w:t>Blalock shunts: a quantitative analysis with clinical correlation. </w:t>
      </w:r>
      <w:r>
        <w:rPr>
          <w:i/>
          <w:sz w:val="22"/>
        </w:rPr>
        <w:t>The Annals of thoracic surgery</w:t>
      </w:r>
      <w:r>
        <w:rPr>
          <w:sz w:val="22"/>
        </w:rPr>
        <w:t>. </w:t>
      </w:r>
      <w:r>
        <w:rPr>
          <w:spacing w:val="-2"/>
          <w:sz w:val="22"/>
        </w:rPr>
        <w:t>2005;79:2072-6.</w:t>
      </w:r>
    </w:p>
    <w:p>
      <w:pPr>
        <w:pStyle w:val="ListParagraph"/>
        <w:numPr>
          <w:ilvl w:val="0"/>
          <w:numId w:val="4"/>
        </w:numPr>
        <w:tabs>
          <w:tab w:pos="498" w:val="left" w:leader="none"/>
          <w:tab w:pos="501" w:val="left" w:leader="none"/>
        </w:tabs>
        <w:spacing w:line="276" w:lineRule="auto" w:before="0" w:after="0"/>
        <w:ind w:left="501" w:right="438" w:hanging="360"/>
        <w:jc w:val="left"/>
        <w:rPr>
          <w:sz w:val="22"/>
        </w:rPr>
      </w:pPr>
      <w:r>
        <w:rPr>
          <w:sz w:val="22"/>
        </w:rPr>
        <w:t>Bove</w:t>
      </w:r>
      <w:r>
        <w:rPr>
          <w:spacing w:val="-1"/>
          <w:sz w:val="22"/>
        </w:rPr>
        <w:t> </w:t>
      </w:r>
      <w:r>
        <w:rPr>
          <w:sz w:val="22"/>
        </w:rPr>
        <w:t>T,</w:t>
      </w:r>
      <w:r>
        <w:rPr>
          <w:spacing w:val="-1"/>
          <w:sz w:val="22"/>
        </w:rPr>
        <w:t> </w:t>
      </w:r>
      <w:r>
        <w:rPr>
          <w:sz w:val="22"/>
        </w:rPr>
        <w:t>Vandekerckhove</w:t>
      </w:r>
      <w:r>
        <w:rPr>
          <w:spacing w:val="-1"/>
          <w:sz w:val="22"/>
        </w:rPr>
        <w:t> </w:t>
      </w:r>
      <w:r>
        <w:rPr>
          <w:sz w:val="22"/>
        </w:rPr>
        <w:t>K,</w:t>
      </w:r>
      <w:r>
        <w:rPr>
          <w:spacing w:val="-3"/>
          <w:sz w:val="22"/>
        </w:rPr>
        <w:t> </w:t>
      </w:r>
      <w:r>
        <w:rPr>
          <w:sz w:val="22"/>
        </w:rPr>
        <w:t>Panzer</w:t>
      </w:r>
      <w:r>
        <w:rPr>
          <w:spacing w:val="-1"/>
          <w:sz w:val="22"/>
        </w:rPr>
        <w:t> </w:t>
      </w:r>
      <w:r>
        <w:rPr>
          <w:sz w:val="22"/>
        </w:rPr>
        <w:t>J,</w:t>
      </w:r>
      <w:r>
        <w:rPr>
          <w:spacing w:val="-3"/>
          <w:sz w:val="22"/>
        </w:rPr>
        <w:t> </w:t>
      </w:r>
      <w:r>
        <w:rPr>
          <w:sz w:val="22"/>
        </w:rPr>
        <w:t>De</w:t>
      </w:r>
      <w:r>
        <w:rPr>
          <w:spacing w:val="-3"/>
          <w:sz w:val="22"/>
        </w:rPr>
        <w:t> </w:t>
      </w:r>
      <w:r>
        <w:rPr>
          <w:sz w:val="22"/>
        </w:rPr>
        <w:t>Groote</w:t>
      </w:r>
      <w:r>
        <w:rPr>
          <w:spacing w:val="-3"/>
          <w:sz w:val="22"/>
        </w:rPr>
        <w:t> </w:t>
      </w:r>
      <w:r>
        <w:rPr>
          <w:sz w:val="22"/>
        </w:rPr>
        <w:t>K,</w:t>
      </w:r>
      <w:r>
        <w:rPr>
          <w:spacing w:val="-3"/>
          <w:sz w:val="22"/>
        </w:rPr>
        <w:t> </w:t>
      </w:r>
      <w:r>
        <w:rPr>
          <w:sz w:val="22"/>
        </w:rPr>
        <w:t>De</w:t>
      </w:r>
      <w:r>
        <w:rPr>
          <w:spacing w:val="-3"/>
          <w:sz w:val="22"/>
        </w:rPr>
        <w:t> </w:t>
      </w:r>
      <w:r>
        <w:rPr>
          <w:sz w:val="22"/>
        </w:rPr>
        <w:t>Wolf</w:t>
      </w:r>
      <w:r>
        <w:rPr>
          <w:spacing w:val="-4"/>
          <w:sz w:val="22"/>
        </w:rPr>
        <w:t> </w:t>
      </w:r>
      <w:r>
        <w:rPr>
          <w:sz w:val="22"/>
        </w:rPr>
        <w:t>D and</w:t>
      </w:r>
      <w:r>
        <w:rPr>
          <w:spacing w:val="-3"/>
          <w:sz w:val="22"/>
        </w:rPr>
        <w:t> </w:t>
      </w:r>
      <w:r>
        <w:rPr>
          <w:sz w:val="22"/>
        </w:rPr>
        <w:t>Francois</w:t>
      </w:r>
      <w:r>
        <w:rPr>
          <w:spacing w:val="-4"/>
          <w:sz w:val="22"/>
        </w:rPr>
        <w:t> </w:t>
      </w:r>
      <w:r>
        <w:rPr>
          <w:sz w:val="22"/>
        </w:rPr>
        <w:t>K.</w:t>
      </w:r>
      <w:r>
        <w:rPr>
          <w:spacing w:val="-1"/>
          <w:sz w:val="22"/>
        </w:rPr>
        <w:t> </w:t>
      </w:r>
      <w:r>
        <w:rPr>
          <w:sz w:val="22"/>
        </w:rPr>
        <w:t>Disease-specific outcome analysis of palliation with the modified Blalock-Taussig shunt. </w:t>
      </w:r>
      <w:r>
        <w:rPr>
          <w:i/>
          <w:sz w:val="22"/>
        </w:rPr>
        <w:t>World journal for</w:t>
      </w:r>
      <w:r>
        <w:rPr>
          <w:i/>
          <w:sz w:val="22"/>
        </w:rPr>
        <w:t> pediatric &amp; congenital heart surgery</w:t>
      </w:r>
      <w:r>
        <w:rPr>
          <w:sz w:val="22"/>
        </w:rPr>
        <w:t>. 2015;6:67-74.</w:t>
      </w:r>
    </w:p>
    <w:p>
      <w:pPr>
        <w:pStyle w:val="ListParagraph"/>
        <w:numPr>
          <w:ilvl w:val="0"/>
          <w:numId w:val="4"/>
        </w:numPr>
        <w:tabs>
          <w:tab w:pos="498" w:val="left" w:leader="none"/>
          <w:tab w:pos="501" w:val="left" w:leader="none"/>
        </w:tabs>
        <w:spacing w:line="276" w:lineRule="auto" w:before="0" w:after="0"/>
        <w:ind w:left="501" w:right="511" w:hanging="360"/>
        <w:jc w:val="left"/>
        <w:rPr>
          <w:sz w:val="22"/>
        </w:rPr>
      </w:pPr>
      <w:r>
        <w:rPr>
          <w:sz w:val="22"/>
        </w:rPr>
        <w:t>Tsai</w:t>
      </w:r>
      <w:r>
        <w:rPr>
          <w:spacing w:val="-1"/>
          <w:sz w:val="22"/>
        </w:rPr>
        <w:t> </w:t>
      </w:r>
      <w:r>
        <w:rPr>
          <w:sz w:val="22"/>
        </w:rPr>
        <w:t>KT,</w:t>
      </w:r>
      <w:r>
        <w:rPr>
          <w:spacing w:val="-1"/>
          <w:sz w:val="22"/>
        </w:rPr>
        <w:t> </w:t>
      </w:r>
      <w:r>
        <w:rPr>
          <w:sz w:val="22"/>
        </w:rPr>
        <w:t>Chang</w:t>
      </w:r>
      <w:r>
        <w:rPr>
          <w:spacing w:val="-2"/>
          <w:sz w:val="22"/>
        </w:rPr>
        <w:t> </w:t>
      </w:r>
      <w:r>
        <w:rPr>
          <w:sz w:val="22"/>
        </w:rPr>
        <w:t>CH</w:t>
      </w:r>
      <w:r>
        <w:rPr>
          <w:spacing w:val="-1"/>
          <w:sz w:val="22"/>
        </w:rPr>
        <w:t> </w:t>
      </w:r>
      <w:r>
        <w:rPr>
          <w:sz w:val="22"/>
        </w:rPr>
        <w:t>and</w:t>
      </w:r>
      <w:r>
        <w:rPr>
          <w:spacing w:val="-4"/>
          <w:sz w:val="22"/>
        </w:rPr>
        <w:t> </w:t>
      </w:r>
      <w:r>
        <w:rPr>
          <w:sz w:val="22"/>
        </w:rPr>
        <w:t>Lin</w:t>
      </w:r>
      <w:r>
        <w:rPr>
          <w:spacing w:val="-3"/>
          <w:sz w:val="22"/>
        </w:rPr>
        <w:t> </w:t>
      </w:r>
      <w:r>
        <w:rPr>
          <w:sz w:val="22"/>
        </w:rPr>
        <w:t>PJ.</w:t>
      </w:r>
      <w:r>
        <w:rPr>
          <w:spacing w:val="-1"/>
          <w:sz w:val="22"/>
        </w:rPr>
        <w:t> </w:t>
      </w:r>
      <w:r>
        <w:rPr>
          <w:sz w:val="22"/>
        </w:rPr>
        <w:t>Modified</w:t>
      </w:r>
      <w:r>
        <w:rPr>
          <w:spacing w:val="-4"/>
          <w:sz w:val="22"/>
        </w:rPr>
        <w:t> </w:t>
      </w:r>
      <w:r>
        <w:rPr>
          <w:sz w:val="22"/>
        </w:rPr>
        <w:t>Blalock-Taussig</w:t>
      </w:r>
      <w:r>
        <w:rPr>
          <w:spacing w:val="-4"/>
          <w:sz w:val="22"/>
        </w:rPr>
        <w:t> </w:t>
      </w:r>
      <w:r>
        <w:rPr>
          <w:sz w:val="22"/>
        </w:rPr>
        <w:t>shunt: statistical</w:t>
      </w:r>
      <w:r>
        <w:rPr>
          <w:spacing w:val="-3"/>
          <w:sz w:val="22"/>
        </w:rPr>
        <w:t> </w:t>
      </w:r>
      <w:r>
        <w:rPr>
          <w:sz w:val="22"/>
        </w:rPr>
        <w:t>analysis</w:t>
      </w:r>
      <w:r>
        <w:rPr>
          <w:spacing w:val="-3"/>
          <w:sz w:val="22"/>
        </w:rPr>
        <w:t> </w:t>
      </w:r>
      <w:r>
        <w:rPr>
          <w:sz w:val="22"/>
        </w:rPr>
        <w:t>of</w:t>
      </w:r>
      <w:r>
        <w:rPr>
          <w:spacing w:val="-4"/>
          <w:sz w:val="22"/>
        </w:rPr>
        <w:t> </w:t>
      </w:r>
      <w:r>
        <w:rPr>
          <w:sz w:val="22"/>
        </w:rPr>
        <w:t>potential factors influencing shunt outcome. </w:t>
      </w:r>
      <w:r>
        <w:rPr>
          <w:i/>
          <w:sz w:val="22"/>
        </w:rPr>
        <w:t>The Journal of cardiovascular surgery</w:t>
      </w:r>
      <w:r>
        <w:rPr>
          <w:sz w:val="22"/>
        </w:rPr>
        <w:t>. 1996;37:149-52.</w:t>
      </w:r>
    </w:p>
    <w:p>
      <w:pPr>
        <w:pStyle w:val="ListParagraph"/>
        <w:numPr>
          <w:ilvl w:val="0"/>
          <w:numId w:val="4"/>
        </w:numPr>
        <w:tabs>
          <w:tab w:pos="498" w:val="left" w:leader="none"/>
          <w:tab w:pos="501" w:val="left" w:leader="none"/>
        </w:tabs>
        <w:spacing w:line="276" w:lineRule="auto" w:before="0" w:after="0"/>
        <w:ind w:left="501" w:right="557" w:hanging="360"/>
        <w:jc w:val="both"/>
        <w:rPr>
          <w:sz w:val="22"/>
        </w:rPr>
      </w:pPr>
      <w:r>
        <w:rPr>
          <w:sz w:val="22"/>
        </w:rPr>
        <w:t>Petrucci</w:t>
      </w:r>
      <w:r>
        <w:rPr>
          <w:spacing w:val="-1"/>
          <w:sz w:val="22"/>
        </w:rPr>
        <w:t> </w:t>
      </w:r>
      <w:r>
        <w:rPr>
          <w:sz w:val="22"/>
        </w:rPr>
        <w:t>O,</w:t>
      </w:r>
      <w:r>
        <w:rPr>
          <w:spacing w:val="-3"/>
          <w:sz w:val="22"/>
        </w:rPr>
        <w:t> </w:t>
      </w:r>
      <w:r>
        <w:rPr>
          <w:sz w:val="22"/>
        </w:rPr>
        <w:t>O'Brien</w:t>
      </w:r>
      <w:r>
        <w:rPr>
          <w:spacing w:val="-1"/>
          <w:sz w:val="22"/>
        </w:rPr>
        <w:t> </w:t>
      </w:r>
      <w:r>
        <w:rPr>
          <w:sz w:val="22"/>
        </w:rPr>
        <w:t>SM,</w:t>
      </w:r>
      <w:r>
        <w:rPr>
          <w:spacing w:val="-1"/>
          <w:sz w:val="22"/>
        </w:rPr>
        <w:t> </w:t>
      </w:r>
      <w:r>
        <w:rPr>
          <w:sz w:val="22"/>
        </w:rPr>
        <w:t>Jacobs</w:t>
      </w:r>
      <w:r>
        <w:rPr>
          <w:spacing w:val="-3"/>
          <w:sz w:val="22"/>
        </w:rPr>
        <w:t> </w:t>
      </w:r>
      <w:r>
        <w:rPr>
          <w:sz w:val="22"/>
        </w:rPr>
        <w:t>ML,</w:t>
      </w:r>
      <w:r>
        <w:rPr>
          <w:spacing w:val="-1"/>
          <w:sz w:val="22"/>
        </w:rPr>
        <w:t> </w:t>
      </w:r>
      <w:r>
        <w:rPr>
          <w:sz w:val="22"/>
        </w:rPr>
        <w:t>Jacobs</w:t>
      </w:r>
      <w:r>
        <w:rPr>
          <w:spacing w:val="-1"/>
          <w:sz w:val="22"/>
        </w:rPr>
        <w:t> </w:t>
      </w:r>
      <w:r>
        <w:rPr>
          <w:sz w:val="22"/>
        </w:rPr>
        <w:t>JP,</w:t>
      </w:r>
      <w:r>
        <w:rPr>
          <w:spacing w:val="-3"/>
          <w:sz w:val="22"/>
        </w:rPr>
        <w:t> </w:t>
      </w:r>
      <w:r>
        <w:rPr>
          <w:sz w:val="22"/>
        </w:rPr>
        <w:t>Manning</w:t>
      </w:r>
      <w:r>
        <w:rPr>
          <w:spacing w:val="-2"/>
          <w:sz w:val="22"/>
        </w:rPr>
        <w:t> </w:t>
      </w:r>
      <w:r>
        <w:rPr>
          <w:sz w:val="22"/>
        </w:rPr>
        <w:t>PB</w:t>
      </w:r>
      <w:r>
        <w:rPr>
          <w:spacing w:val="-1"/>
          <w:sz w:val="22"/>
        </w:rPr>
        <w:t> </w:t>
      </w:r>
      <w:r>
        <w:rPr>
          <w:sz w:val="22"/>
        </w:rPr>
        <w:t>and</w:t>
      </w:r>
      <w:r>
        <w:rPr>
          <w:spacing w:val="-3"/>
          <w:sz w:val="22"/>
        </w:rPr>
        <w:t> </w:t>
      </w:r>
      <w:r>
        <w:rPr>
          <w:sz w:val="22"/>
        </w:rPr>
        <w:t>Eghtesady</w:t>
      </w:r>
      <w:r>
        <w:rPr>
          <w:spacing w:val="-3"/>
          <w:sz w:val="22"/>
        </w:rPr>
        <w:t> </w:t>
      </w:r>
      <w:r>
        <w:rPr>
          <w:sz w:val="22"/>
        </w:rPr>
        <w:t>P.</w:t>
      </w:r>
      <w:r>
        <w:rPr>
          <w:spacing w:val="-1"/>
          <w:sz w:val="22"/>
        </w:rPr>
        <w:t> </w:t>
      </w:r>
      <w:r>
        <w:rPr>
          <w:sz w:val="22"/>
        </w:rPr>
        <w:t>Risk</w:t>
      </w:r>
      <w:r>
        <w:rPr>
          <w:spacing w:val="-3"/>
          <w:sz w:val="22"/>
        </w:rPr>
        <w:t> </w:t>
      </w:r>
      <w:r>
        <w:rPr>
          <w:sz w:val="22"/>
        </w:rPr>
        <w:t>Factors</w:t>
      </w:r>
      <w:r>
        <w:rPr>
          <w:spacing w:val="-4"/>
          <w:sz w:val="22"/>
        </w:rPr>
        <w:t> </w:t>
      </w:r>
      <w:r>
        <w:rPr>
          <w:sz w:val="22"/>
        </w:rPr>
        <w:t>for Mortality</w:t>
      </w:r>
      <w:r>
        <w:rPr>
          <w:spacing w:val="-4"/>
          <w:sz w:val="22"/>
        </w:rPr>
        <w:t> </w:t>
      </w:r>
      <w:r>
        <w:rPr>
          <w:sz w:val="22"/>
        </w:rPr>
        <w:t>and</w:t>
      </w:r>
      <w:r>
        <w:rPr>
          <w:spacing w:val="-4"/>
          <w:sz w:val="22"/>
        </w:rPr>
        <w:t> </w:t>
      </w:r>
      <w:r>
        <w:rPr>
          <w:sz w:val="22"/>
        </w:rPr>
        <w:t>Morbidity</w:t>
      </w:r>
      <w:r>
        <w:rPr>
          <w:spacing w:val="-4"/>
          <w:sz w:val="22"/>
        </w:rPr>
        <w:t> </w:t>
      </w:r>
      <w:r>
        <w:rPr>
          <w:sz w:val="22"/>
        </w:rPr>
        <w:t>After</w:t>
      </w:r>
      <w:r>
        <w:rPr>
          <w:spacing w:val="-2"/>
          <w:sz w:val="22"/>
        </w:rPr>
        <w:t> </w:t>
      </w:r>
      <w:r>
        <w:rPr>
          <w:sz w:val="22"/>
        </w:rPr>
        <w:t>the</w:t>
      </w:r>
      <w:r>
        <w:rPr>
          <w:spacing w:val="-2"/>
          <w:sz w:val="22"/>
        </w:rPr>
        <w:t> </w:t>
      </w:r>
      <w:r>
        <w:rPr>
          <w:sz w:val="22"/>
        </w:rPr>
        <w:t>Neonatal</w:t>
      </w:r>
      <w:r>
        <w:rPr>
          <w:spacing w:val="-2"/>
          <w:sz w:val="22"/>
        </w:rPr>
        <w:t> </w:t>
      </w:r>
      <w:r>
        <w:rPr>
          <w:sz w:val="22"/>
        </w:rPr>
        <w:t>Blalock-Taussig</w:t>
      </w:r>
      <w:r>
        <w:rPr>
          <w:spacing w:val="-3"/>
          <w:sz w:val="22"/>
        </w:rPr>
        <w:t> </w:t>
      </w:r>
      <w:r>
        <w:rPr>
          <w:sz w:val="22"/>
        </w:rPr>
        <w:t>Shunt</w:t>
      </w:r>
      <w:r>
        <w:rPr>
          <w:spacing w:val="-2"/>
          <w:sz w:val="22"/>
        </w:rPr>
        <w:t> </w:t>
      </w:r>
      <w:r>
        <w:rPr>
          <w:sz w:val="22"/>
        </w:rPr>
        <w:t>Procedure.</w:t>
      </w:r>
      <w:r>
        <w:rPr>
          <w:spacing w:val="-4"/>
          <w:sz w:val="22"/>
        </w:rPr>
        <w:t> </w:t>
      </w:r>
      <w:r>
        <w:rPr>
          <w:i/>
          <w:sz w:val="22"/>
        </w:rPr>
        <w:t>The</w:t>
      </w:r>
      <w:r>
        <w:rPr>
          <w:i/>
          <w:spacing w:val="-4"/>
          <w:sz w:val="22"/>
        </w:rPr>
        <w:t> </w:t>
      </w:r>
      <w:r>
        <w:rPr>
          <w:i/>
          <w:sz w:val="22"/>
        </w:rPr>
        <w:t>Annals</w:t>
      </w:r>
      <w:r>
        <w:rPr>
          <w:i/>
          <w:spacing w:val="-2"/>
          <w:sz w:val="22"/>
        </w:rPr>
        <w:t> </w:t>
      </w:r>
      <w:r>
        <w:rPr>
          <w:i/>
          <w:sz w:val="22"/>
        </w:rPr>
        <w:t>of</w:t>
      </w:r>
      <w:r>
        <w:rPr>
          <w:i/>
          <w:sz w:val="22"/>
        </w:rPr>
        <w:t> thoracic surgery</w:t>
      </w:r>
      <w:r>
        <w:rPr>
          <w:sz w:val="22"/>
        </w:rPr>
        <w:t>. 2011;92:642-652.</w:t>
      </w:r>
    </w:p>
    <w:p>
      <w:pPr>
        <w:pStyle w:val="ListParagraph"/>
        <w:numPr>
          <w:ilvl w:val="0"/>
          <w:numId w:val="4"/>
        </w:numPr>
        <w:tabs>
          <w:tab w:pos="498" w:val="left" w:leader="none"/>
          <w:tab w:pos="501" w:val="left" w:leader="none"/>
        </w:tabs>
        <w:spacing w:line="276" w:lineRule="auto" w:before="0" w:after="0"/>
        <w:ind w:left="501" w:right="815" w:hanging="360"/>
        <w:jc w:val="left"/>
        <w:rPr>
          <w:sz w:val="22"/>
        </w:rPr>
      </w:pPr>
      <w:r>
        <w:rPr>
          <w:sz w:val="22"/>
        </w:rPr>
        <w:t>Motz</w:t>
      </w:r>
      <w:r>
        <w:rPr>
          <w:spacing w:val="-1"/>
          <w:sz w:val="22"/>
        </w:rPr>
        <w:t> </w:t>
      </w:r>
      <w:r>
        <w:rPr>
          <w:sz w:val="22"/>
        </w:rPr>
        <w:t>R,</w:t>
      </w:r>
      <w:r>
        <w:rPr>
          <w:spacing w:val="-3"/>
          <w:sz w:val="22"/>
        </w:rPr>
        <w:t> </w:t>
      </w:r>
      <w:r>
        <w:rPr>
          <w:sz w:val="22"/>
        </w:rPr>
        <w:t>Wessel</w:t>
      </w:r>
      <w:r>
        <w:rPr>
          <w:spacing w:val="-1"/>
          <w:sz w:val="22"/>
        </w:rPr>
        <w:t> </w:t>
      </w:r>
      <w:r>
        <w:rPr>
          <w:sz w:val="22"/>
        </w:rPr>
        <w:t>A,</w:t>
      </w:r>
      <w:r>
        <w:rPr>
          <w:spacing w:val="-3"/>
          <w:sz w:val="22"/>
        </w:rPr>
        <w:t> </w:t>
      </w:r>
      <w:r>
        <w:rPr>
          <w:sz w:val="22"/>
        </w:rPr>
        <w:t>Ruschewski</w:t>
      </w:r>
      <w:r>
        <w:rPr>
          <w:spacing w:val="-1"/>
          <w:sz w:val="22"/>
        </w:rPr>
        <w:t> </w:t>
      </w:r>
      <w:r>
        <w:rPr>
          <w:sz w:val="22"/>
        </w:rPr>
        <w:t>W</w:t>
      </w:r>
      <w:r>
        <w:rPr>
          <w:spacing w:val="-3"/>
          <w:sz w:val="22"/>
        </w:rPr>
        <w:t> </w:t>
      </w:r>
      <w:r>
        <w:rPr>
          <w:sz w:val="22"/>
        </w:rPr>
        <w:t>and</w:t>
      </w:r>
      <w:r>
        <w:rPr>
          <w:spacing w:val="-2"/>
          <w:sz w:val="22"/>
        </w:rPr>
        <w:t> </w:t>
      </w:r>
      <w:r>
        <w:rPr>
          <w:sz w:val="22"/>
        </w:rPr>
        <w:t>Bursch</w:t>
      </w:r>
      <w:r>
        <w:rPr>
          <w:spacing w:val="-3"/>
          <w:sz w:val="22"/>
        </w:rPr>
        <w:t> </w:t>
      </w:r>
      <w:r>
        <w:rPr>
          <w:sz w:val="22"/>
        </w:rPr>
        <w:t>J.</w:t>
      </w:r>
      <w:r>
        <w:rPr>
          <w:spacing w:val="-2"/>
          <w:sz w:val="22"/>
        </w:rPr>
        <w:t> </w:t>
      </w:r>
      <w:r>
        <w:rPr>
          <w:sz w:val="22"/>
        </w:rPr>
        <w:t>Reduced</w:t>
      </w:r>
      <w:r>
        <w:rPr>
          <w:spacing w:val="-2"/>
          <w:sz w:val="22"/>
        </w:rPr>
        <w:t> </w:t>
      </w:r>
      <w:r>
        <w:rPr>
          <w:sz w:val="22"/>
        </w:rPr>
        <w:t>frequency</w:t>
      </w:r>
      <w:r>
        <w:rPr>
          <w:spacing w:val="-3"/>
          <w:sz w:val="22"/>
        </w:rPr>
        <w:t> </w:t>
      </w:r>
      <w:r>
        <w:rPr>
          <w:sz w:val="22"/>
        </w:rPr>
        <w:t>of</w:t>
      </w:r>
      <w:r>
        <w:rPr>
          <w:spacing w:val="-3"/>
          <w:sz w:val="22"/>
        </w:rPr>
        <w:t> </w:t>
      </w:r>
      <w:r>
        <w:rPr>
          <w:sz w:val="22"/>
        </w:rPr>
        <w:t>occlusion</w:t>
      </w:r>
      <w:r>
        <w:rPr>
          <w:spacing w:val="-4"/>
          <w:sz w:val="22"/>
        </w:rPr>
        <w:t> </w:t>
      </w:r>
      <w:r>
        <w:rPr>
          <w:sz w:val="22"/>
        </w:rPr>
        <w:t>of</w:t>
      </w:r>
      <w:r>
        <w:rPr>
          <w:spacing w:val="-4"/>
          <w:sz w:val="22"/>
        </w:rPr>
        <w:t> </w:t>
      </w:r>
      <w:r>
        <w:rPr>
          <w:sz w:val="22"/>
        </w:rPr>
        <w:t>aorto-pulmonary shunts in infants receiving aspirin. </w:t>
      </w:r>
      <w:r>
        <w:rPr>
          <w:i/>
          <w:sz w:val="22"/>
        </w:rPr>
        <w:t>Cardiology in the young</w:t>
      </w:r>
      <w:r>
        <w:rPr>
          <w:sz w:val="22"/>
        </w:rPr>
        <w:t>. 1999;9:474-7.</w:t>
      </w:r>
    </w:p>
    <w:p>
      <w:pPr>
        <w:pStyle w:val="ListParagraph"/>
        <w:numPr>
          <w:ilvl w:val="0"/>
          <w:numId w:val="4"/>
        </w:numPr>
        <w:tabs>
          <w:tab w:pos="498" w:val="left" w:leader="none"/>
          <w:tab w:pos="501" w:val="left" w:leader="none"/>
        </w:tabs>
        <w:spacing w:line="276" w:lineRule="auto" w:before="0" w:after="0"/>
        <w:ind w:left="501" w:right="407" w:hanging="360"/>
        <w:jc w:val="left"/>
        <w:rPr>
          <w:sz w:val="22"/>
        </w:rPr>
      </w:pPr>
      <w:r>
        <w:rPr>
          <w:sz w:val="22"/>
        </w:rPr>
        <w:t>Wessel</w:t>
      </w:r>
      <w:r>
        <w:rPr>
          <w:spacing w:val="-1"/>
          <w:sz w:val="22"/>
        </w:rPr>
        <w:t> </w:t>
      </w:r>
      <w:r>
        <w:rPr>
          <w:sz w:val="22"/>
        </w:rPr>
        <w:t>DL,</w:t>
      </w:r>
      <w:r>
        <w:rPr>
          <w:spacing w:val="-1"/>
          <w:sz w:val="22"/>
        </w:rPr>
        <w:t> </w:t>
      </w:r>
      <w:r>
        <w:rPr>
          <w:sz w:val="22"/>
        </w:rPr>
        <w:t>Berger</w:t>
      </w:r>
      <w:r>
        <w:rPr>
          <w:spacing w:val="-1"/>
          <w:sz w:val="22"/>
        </w:rPr>
        <w:t> </w:t>
      </w:r>
      <w:r>
        <w:rPr>
          <w:sz w:val="22"/>
        </w:rPr>
        <w:t>F,</w:t>
      </w:r>
      <w:r>
        <w:rPr>
          <w:spacing w:val="-4"/>
          <w:sz w:val="22"/>
        </w:rPr>
        <w:t> </w:t>
      </w:r>
      <w:r>
        <w:rPr>
          <w:sz w:val="22"/>
        </w:rPr>
        <w:t>Li</w:t>
      </w:r>
      <w:r>
        <w:rPr>
          <w:spacing w:val="-1"/>
          <w:sz w:val="22"/>
        </w:rPr>
        <w:t> </w:t>
      </w:r>
      <w:r>
        <w:rPr>
          <w:sz w:val="22"/>
        </w:rPr>
        <w:t>JS,</w:t>
      </w:r>
      <w:r>
        <w:rPr>
          <w:spacing w:val="-4"/>
          <w:sz w:val="22"/>
        </w:rPr>
        <w:t> </w:t>
      </w:r>
      <w:r>
        <w:rPr>
          <w:sz w:val="22"/>
        </w:rPr>
        <w:t>Dahnert I,</w:t>
      </w:r>
      <w:r>
        <w:rPr>
          <w:spacing w:val="-4"/>
          <w:sz w:val="22"/>
        </w:rPr>
        <w:t> </w:t>
      </w:r>
      <w:r>
        <w:rPr>
          <w:sz w:val="22"/>
        </w:rPr>
        <w:t>Rakhit</w:t>
      </w:r>
      <w:r>
        <w:rPr>
          <w:spacing w:val="-4"/>
          <w:sz w:val="22"/>
        </w:rPr>
        <w:t> </w:t>
      </w:r>
      <w:r>
        <w:rPr>
          <w:sz w:val="22"/>
        </w:rPr>
        <w:t>A,</w:t>
      </w:r>
      <w:r>
        <w:rPr>
          <w:spacing w:val="-1"/>
          <w:sz w:val="22"/>
        </w:rPr>
        <w:t> </w:t>
      </w:r>
      <w:r>
        <w:rPr>
          <w:sz w:val="22"/>
        </w:rPr>
        <w:t>Fontecave</w:t>
      </w:r>
      <w:r>
        <w:rPr>
          <w:spacing w:val="-1"/>
          <w:sz w:val="22"/>
        </w:rPr>
        <w:t> </w:t>
      </w:r>
      <w:r>
        <w:rPr>
          <w:sz w:val="22"/>
        </w:rPr>
        <w:t>S</w:t>
      </w:r>
      <w:r>
        <w:rPr>
          <w:spacing w:val="-4"/>
          <w:sz w:val="22"/>
        </w:rPr>
        <w:t> </w:t>
      </w:r>
      <w:r>
        <w:rPr>
          <w:sz w:val="22"/>
        </w:rPr>
        <w:t>and</w:t>
      </w:r>
      <w:r>
        <w:rPr>
          <w:spacing w:val="-2"/>
          <w:sz w:val="22"/>
        </w:rPr>
        <w:t> </w:t>
      </w:r>
      <w:r>
        <w:rPr>
          <w:sz w:val="22"/>
        </w:rPr>
        <w:t>Newburger</w:t>
      </w:r>
      <w:r>
        <w:rPr>
          <w:spacing w:val="-1"/>
          <w:sz w:val="22"/>
        </w:rPr>
        <w:t> </w:t>
      </w:r>
      <w:r>
        <w:rPr>
          <w:sz w:val="22"/>
        </w:rPr>
        <w:t>JW.</w:t>
      </w:r>
      <w:r>
        <w:rPr>
          <w:spacing w:val="-1"/>
          <w:sz w:val="22"/>
        </w:rPr>
        <w:t> </w:t>
      </w:r>
      <w:r>
        <w:rPr>
          <w:sz w:val="22"/>
        </w:rPr>
        <w:t>Clopidogrel</w:t>
      </w:r>
      <w:r>
        <w:rPr>
          <w:spacing w:val="-1"/>
          <w:sz w:val="22"/>
        </w:rPr>
        <w:t> </w:t>
      </w:r>
      <w:r>
        <w:rPr>
          <w:sz w:val="22"/>
        </w:rPr>
        <w:t>in infants with systemic-to-pulmonary-artery shunts. </w:t>
      </w:r>
      <w:r>
        <w:rPr>
          <w:i/>
          <w:sz w:val="22"/>
        </w:rPr>
        <w:t>The New England journal of medicine</w:t>
      </w:r>
      <w:r>
        <w:rPr>
          <w:sz w:val="22"/>
        </w:rPr>
        <w:t>. </w:t>
      </w:r>
      <w:r>
        <w:rPr>
          <w:spacing w:val="-2"/>
          <w:sz w:val="22"/>
        </w:rPr>
        <w:t>2013;368:2377-84.</w:t>
      </w:r>
    </w:p>
    <w:p>
      <w:pPr>
        <w:pStyle w:val="ListParagraph"/>
        <w:numPr>
          <w:ilvl w:val="0"/>
          <w:numId w:val="4"/>
        </w:numPr>
        <w:tabs>
          <w:tab w:pos="498" w:val="left" w:leader="none"/>
          <w:tab w:pos="501" w:val="left" w:leader="none"/>
        </w:tabs>
        <w:spacing w:line="276" w:lineRule="auto" w:before="0" w:after="0"/>
        <w:ind w:left="501" w:right="146" w:hanging="360"/>
        <w:jc w:val="left"/>
        <w:rPr>
          <w:sz w:val="22"/>
        </w:rPr>
      </w:pPr>
      <w:r>
        <w:rPr>
          <w:sz w:val="22"/>
        </w:rPr>
        <w:t>Monagle</w:t>
      </w:r>
      <w:r>
        <w:rPr>
          <w:spacing w:val="-4"/>
          <w:sz w:val="22"/>
        </w:rPr>
        <w:t> </w:t>
      </w:r>
      <w:r>
        <w:rPr>
          <w:sz w:val="22"/>
        </w:rPr>
        <w:t>P,</w:t>
      </w:r>
      <w:r>
        <w:rPr>
          <w:spacing w:val="-4"/>
          <w:sz w:val="22"/>
        </w:rPr>
        <w:t> </w:t>
      </w:r>
      <w:r>
        <w:rPr>
          <w:sz w:val="22"/>
        </w:rPr>
        <w:t>Chan</w:t>
      </w:r>
      <w:r>
        <w:rPr>
          <w:spacing w:val="-3"/>
          <w:sz w:val="22"/>
        </w:rPr>
        <w:t> </w:t>
      </w:r>
      <w:r>
        <w:rPr>
          <w:sz w:val="22"/>
        </w:rPr>
        <w:t>AK,</w:t>
      </w:r>
      <w:r>
        <w:rPr>
          <w:spacing w:val="-3"/>
          <w:sz w:val="22"/>
        </w:rPr>
        <w:t> </w:t>
      </w:r>
      <w:r>
        <w:rPr>
          <w:sz w:val="22"/>
        </w:rPr>
        <w:t>Goldenberg</w:t>
      </w:r>
      <w:r>
        <w:rPr>
          <w:spacing w:val="-1"/>
          <w:sz w:val="22"/>
        </w:rPr>
        <w:t> </w:t>
      </w:r>
      <w:r>
        <w:rPr>
          <w:sz w:val="22"/>
        </w:rPr>
        <w:t>NA,</w:t>
      </w:r>
      <w:r>
        <w:rPr>
          <w:spacing w:val="-1"/>
          <w:sz w:val="22"/>
        </w:rPr>
        <w:t> </w:t>
      </w:r>
      <w:r>
        <w:rPr>
          <w:sz w:val="22"/>
        </w:rPr>
        <w:t>Ichord</w:t>
      </w:r>
      <w:r>
        <w:rPr>
          <w:spacing w:val="-2"/>
          <w:sz w:val="22"/>
        </w:rPr>
        <w:t> </w:t>
      </w:r>
      <w:r>
        <w:rPr>
          <w:sz w:val="22"/>
        </w:rPr>
        <w:t>RN,</w:t>
      </w:r>
      <w:r>
        <w:rPr>
          <w:spacing w:val="-4"/>
          <w:sz w:val="22"/>
        </w:rPr>
        <w:t> </w:t>
      </w:r>
      <w:r>
        <w:rPr>
          <w:sz w:val="22"/>
        </w:rPr>
        <w:t>Journeycake</w:t>
      </w:r>
      <w:r>
        <w:rPr>
          <w:spacing w:val="-1"/>
          <w:sz w:val="22"/>
        </w:rPr>
        <w:t> </w:t>
      </w:r>
      <w:r>
        <w:rPr>
          <w:sz w:val="22"/>
        </w:rPr>
        <w:t>JM,</w:t>
      </w:r>
      <w:r>
        <w:rPr>
          <w:spacing w:val="-1"/>
          <w:sz w:val="22"/>
        </w:rPr>
        <w:t> </w:t>
      </w:r>
      <w:r>
        <w:rPr>
          <w:sz w:val="22"/>
        </w:rPr>
        <w:t>Nowak-Gottl</w:t>
      </w:r>
      <w:r>
        <w:rPr>
          <w:spacing w:val="-1"/>
          <w:sz w:val="22"/>
        </w:rPr>
        <w:t> </w:t>
      </w:r>
      <w:r>
        <w:rPr>
          <w:sz w:val="22"/>
        </w:rPr>
        <w:t>U</w:t>
      </w:r>
      <w:r>
        <w:rPr>
          <w:spacing w:val="-3"/>
          <w:sz w:val="22"/>
        </w:rPr>
        <w:t> </w:t>
      </w:r>
      <w:r>
        <w:rPr>
          <w:sz w:val="22"/>
        </w:rPr>
        <w:t>and</w:t>
      </w:r>
      <w:r>
        <w:rPr>
          <w:spacing w:val="-2"/>
          <w:sz w:val="22"/>
        </w:rPr>
        <w:t> </w:t>
      </w:r>
      <w:r>
        <w:rPr>
          <w:sz w:val="22"/>
        </w:rPr>
        <w:t>Vesely</w:t>
      </w:r>
      <w:r>
        <w:rPr>
          <w:spacing w:val="-3"/>
          <w:sz w:val="22"/>
        </w:rPr>
        <w:t> </w:t>
      </w:r>
      <w:r>
        <w:rPr>
          <w:sz w:val="22"/>
        </w:rPr>
        <w:t>SK. Antithrombotic therapy in neonates and children: Antithrombotic Therapy and Prevention of Thrombosis, 9th ed: American College of Chest Physicians Evidence-Based Clinical Practice Guidelines. </w:t>
      </w:r>
      <w:r>
        <w:rPr>
          <w:i/>
          <w:sz w:val="22"/>
        </w:rPr>
        <w:t>Chest</w:t>
      </w:r>
      <w:r>
        <w:rPr>
          <w:sz w:val="22"/>
        </w:rPr>
        <w:t>. 2012;141:e737S-801S.</w:t>
      </w:r>
    </w:p>
    <w:p>
      <w:pPr>
        <w:pStyle w:val="ListParagraph"/>
        <w:spacing w:after="0" w:line="276" w:lineRule="auto"/>
        <w:jc w:val="left"/>
        <w:rPr>
          <w:sz w:val="22"/>
        </w:rPr>
        <w:sectPr>
          <w:pgSz w:w="11910" w:h="16840"/>
          <w:pgMar w:header="0" w:footer="750" w:top="1360" w:bottom="940" w:left="1275" w:right="1417"/>
        </w:sectPr>
      </w:pPr>
    </w:p>
    <w:p>
      <w:pPr>
        <w:pStyle w:val="ListParagraph"/>
        <w:numPr>
          <w:ilvl w:val="0"/>
          <w:numId w:val="4"/>
        </w:numPr>
        <w:tabs>
          <w:tab w:pos="498" w:val="left" w:leader="none"/>
          <w:tab w:pos="501" w:val="left" w:leader="none"/>
        </w:tabs>
        <w:spacing w:line="276" w:lineRule="auto" w:before="35" w:after="0"/>
        <w:ind w:left="501" w:right="167" w:hanging="360"/>
        <w:jc w:val="left"/>
        <w:rPr>
          <w:sz w:val="22"/>
        </w:rPr>
      </w:pPr>
      <w:r>
        <w:rPr>
          <w:sz w:val="22"/>
        </w:rPr>
        <w:t>Giglia TM, Massicotte MP, Tweddell JS, Barst RJ, Bauman M, Erickson CC, Feltes TF, Foster E, Hinoki</w:t>
      </w:r>
      <w:r>
        <w:rPr>
          <w:spacing w:val="-2"/>
          <w:sz w:val="22"/>
        </w:rPr>
        <w:t> </w:t>
      </w:r>
      <w:r>
        <w:rPr>
          <w:sz w:val="22"/>
        </w:rPr>
        <w:t>K,</w:t>
      </w:r>
      <w:r>
        <w:rPr>
          <w:spacing w:val="-4"/>
          <w:sz w:val="22"/>
        </w:rPr>
        <w:t> </w:t>
      </w:r>
      <w:r>
        <w:rPr>
          <w:sz w:val="22"/>
        </w:rPr>
        <w:t>Ichord</w:t>
      </w:r>
      <w:r>
        <w:rPr>
          <w:spacing w:val="-4"/>
          <w:sz w:val="22"/>
        </w:rPr>
        <w:t> </w:t>
      </w:r>
      <w:r>
        <w:rPr>
          <w:sz w:val="22"/>
        </w:rPr>
        <w:t>RN,</w:t>
      </w:r>
      <w:r>
        <w:rPr>
          <w:spacing w:val="-2"/>
          <w:sz w:val="22"/>
        </w:rPr>
        <w:t> </w:t>
      </w:r>
      <w:r>
        <w:rPr>
          <w:sz w:val="22"/>
        </w:rPr>
        <w:t>Kreutzer</w:t>
      </w:r>
      <w:r>
        <w:rPr>
          <w:spacing w:val="-2"/>
          <w:sz w:val="22"/>
        </w:rPr>
        <w:t> </w:t>
      </w:r>
      <w:r>
        <w:rPr>
          <w:sz w:val="22"/>
        </w:rPr>
        <w:t>J,</w:t>
      </w:r>
      <w:r>
        <w:rPr>
          <w:spacing w:val="-2"/>
          <w:sz w:val="22"/>
        </w:rPr>
        <w:t> </w:t>
      </w:r>
      <w:r>
        <w:rPr>
          <w:sz w:val="22"/>
        </w:rPr>
        <w:t>McCrindle</w:t>
      </w:r>
      <w:r>
        <w:rPr>
          <w:spacing w:val="-2"/>
          <w:sz w:val="22"/>
        </w:rPr>
        <w:t> </w:t>
      </w:r>
      <w:r>
        <w:rPr>
          <w:sz w:val="22"/>
        </w:rPr>
        <w:t>BW,</w:t>
      </w:r>
      <w:r>
        <w:rPr>
          <w:spacing w:val="-2"/>
          <w:sz w:val="22"/>
        </w:rPr>
        <w:t> </w:t>
      </w:r>
      <w:r>
        <w:rPr>
          <w:sz w:val="22"/>
        </w:rPr>
        <w:t>Newburger</w:t>
      </w:r>
      <w:r>
        <w:rPr>
          <w:spacing w:val="-2"/>
          <w:sz w:val="22"/>
        </w:rPr>
        <w:t> </w:t>
      </w:r>
      <w:r>
        <w:rPr>
          <w:sz w:val="22"/>
        </w:rPr>
        <w:t>JW,</w:t>
      </w:r>
      <w:r>
        <w:rPr>
          <w:spacing w:val="-3"/>
          <w:sz w:val="22"/>
        </w:rPr>
        <w:t> </w:t>
      </w:r>
      <w:r>
        <w:rPr>
          <w:sz w:val="22"/>
        </w:rPr>
        <w:t>Tabbutt</w:t>
      </w:r>
      <w:r>
        <w:rPr>
          <w:spacing w:val="-2"/>
          <w:sz w:val="22"/>
        </w:rPr>
        <w:t> </w:t>
      </w:r>
      <w:r>
        <w:rPr>
          <w:sz w:val="22"/>
        </w:rPr>
        <w:t>S,</w:t>
      </w:r>
      <w:r>
        <w:rPr>
          <w:spacing w:val="-3"/>
          <w:sz w:val="22"/>
        </w:rPr>
        <w:t> </w:t>
      </w:r>
      <w:r>
        <w:rPr>
          <w:sz w:val="22"/>
        </w:rPr>
        <w:t>Todd</w:t>
      </w:r>
      <w:r>
        <w:rPr>
          <w:spacing w:val="-3"/>
          <w:sz w:val="22"/>
        </w:rPr>
        <w:t> </w:t>
      </w:r>
      <w:r>
        <w:rPr>
          <w:sz w:val="22"/>
        </w:rPr>
        <w:t>JL</w:t>
      </w:r>
      <w:r>
        <w:rPr>
          <w:spacing w:val="-3"/>
          <w:sz w:val="22"/>
        </w:rPr>
        <w:t> </w:t>
      </w:r>
      <w:r>
        <w:rPr>
          <w:sz w:val="22"/>
        </w:rPr>
        <w:t>and</w:t>
      </w:r>
      <w:r>
        <w:rPr>
          <w:spacing w:val="-4"/>
          <w:sz w:val="22"/>
        </w:rPr>
        <w:t> </w:t>
      </w:r>
      <w:r>
        <w:rPr>
          <w:sz w:val="22"/>
        </w:rPr>
        <w:t>Webb</w:t>
      </w:r>
      <w:r>
        <w:rPr>
          <w:spacing w:val="-3"/>
          <w:sz w:val="22"/>
        </w:rPr>
        <w:t> </w:t>
      </w:r>
      <w:r>
        <w:rPr>
          <w:sz w:val="22"/>
        </w:rPr>
        <w:t>CL. Prevention and treatment of thrombosis in pediatric and congenital heart disease: a scientific statement from the American Heart Association. </w:t>
      </w:r>
      <w:r>
        <w:rPr>
          <w:i/>
          <w:sz w:val="22"/>
        </w:rPr>
        <w:t>Circulation</w:t>
      </w:r>
      <w:r>
        <w:rPr>
          <w:sz w:val="22"/>
        </w:rPr>
        <w:t>. 2013;128:2622-703.</w:t>
      </w:r>
    </w:p>
    <w:p>
      <w:pPr>
        <w:pStyle w:val="ListParagraph"/>
        <w:numPr>
          <w:ilvl w:val="0"/>
          <w:numId w:val="4"/>
        </w:numPr>
        <w:tabs>
          <w:tab w:pos="498" w:val="left" w:leader="none"/>
          <w:tab w:pos="501" w:val="left" w:leader="none"/>
        </w:tabs>
        <w:spacing w:line="276" w:lineRule="auto" w:before="0" w:after="0"/>
        <w:ind w:left="501" w:right="180" w:hanging="360"/>
        <w:jc w:val="left"/>
        <w:rPr>
          <w:sz w:val="22"/>
        </w:rPr>
      </w:pPr>
      <w:r>
        <w:rPr>
          <w:sz w:val="22"/>
        </w:rPr>
        <w:t>Firdouse</w:t>
      </w:r>
      <w:r>
        <w:rPr>
          <w:spacing w:val="-4"/>
          <w:sz w:val="22"/>
        </w:rPr>
        <w:t> </w:t>
      </w:r>
      <w:r>
        <w:rPr>
          <w:sz w:val="22"/>
        </w:rPr>
        <w:t>M,</w:t>
      </w:r>
      <w:r>
        <w:rPr>
          <w:spacing w:val="-2"/>
          <w:sz w:val="22"/>
        </w:rPr>
        <w:t> </w:t>
      </w:r>
      <w:r>
        <w:rPr>
          <w:sz w:val="22"/>
        </w:rPr>
        <w:t>Agarwal</w:t>
      </w:r>
      <w:r>
        <w:rPr>
          <w:spacing w:val="-2"/>
          <w:sz w:val="22"/>
        </w:rPr>
        <w:t> </w:t>
      </w:r>
      <w:r>
        <w:rPr>
          <w:sz w:val="22"/>
        </w:rPr>
        <w:t>A,</w:t>
      </w:r>
      <w:r>
        <w:rPr>
          <w:spacing w:val="-2"/>
          <w:sz w:val="22"/>
        </w:rPr>
        <w:t> </w:t>
      </w:r>
      <w:r>
        <w:rPr>
          <w:sz w:val="22"/>
        </w:rPr>
        <w:t>Chan</w:t>
      </w:r>
      <w:r>
        <w:rPr>
          <w:spacing w:val="-3"/>
          <w:sz w:val="22"/>
        </w:rPr>
        <w:t> </w:t>
      </w:r>
      <w:r>
        <w:rPr>
          <w:sz w:val="22"/>
        </w:rPr>
        <w:t>AK</w:t>
      </w:r>
      <w:r>
        <w:rPr>
          <w:spacing w:val="-2"/>
          <w:sz w:val="22"/>
        </w:rPr>
        <w:t> </w:t>
      </w:r>
      <w:r>
        <w:rPr>
          <w:sz w:val="22"/>
        </w:rPr>
        <w:t>and</w:t>
      </w:r>
      <w:r>
        <w:rPr>
          <w:spacing w:val="-3"/>
          <w:sz w:val="22"/>
        </w:rPr>
        <w:t> </w:t>
      </w:r>
      <w:r>
        <w:rPr>
          <w:sz w:val="22"/>
        </w:rPr>
        <w:t>Mondal</w:t>
      </w:r>
      <w:r>
        <w:rPr>
          <w:spacing w:val="-2"/>
          <w:sz w:val="22"/>
        </w:rPr>
        <w:t> </w:t>
      </w:r>
      <w:r>
        <w:rPr>
          <w:sz w:val="22"/>
        </w:rPr>
        <w:t>T.</w:t>
      </w:r>
      <w:r>
        <w:rPr>
          <w:spacing w:val="-5"/>
          <w:sz w:val="22"/>
        </w:rPr>
        <w:t> </w:t>
      </w:r>
      <w:r>
        <w:rPr>
          <w:sz w:val="22"/>
        </w:rPr>
        <w:t>Thrombosis</w:t>
      </w:r>
      <w:r>
        <w:rPr>
          <w:spacing w:val="-2"/>
          <w:sz w:val="22"/>
        </w:rPr>
        <w:t> </w:t>
      </w:r>
      <w:r>
        <w:rPr>
          <w:sz w:val="22"/>
        </w:rPr>
        <w:t>and</w:t>
      </w:r>
      <w:r>
        <w:rPr>
          <w:spacing w:val="-4"/>
          <w:sz w:val="22"/>
        </w:rPr>
        <w:t> </w:t>
      </w:r>
      <w:r>
        <w:rPr>
          <w:sz w:val="22"/>
        </w:rPr>
        <w:t>thromboembolic</w:t>
      </w:r>
      <w:r>
        <w:rPr>
          <w:spacing w:val="-2"/>
          <w:sz w:val="22"/>
        </w:rPr>
        <w:t> </w:t>
      </w:r>
      <w:r>
        <w:rPr>
          <w:sz w:val="22"/>
        </w:rPr>
        <w:t>complications in fontan patients: a literature review. </w:t>
      </w:r>
      <w:r>
        <w:rPr>
          <w:i/>
          <w:sz w:val="22"/>
        </w:rPr>
        <w:t>Clinical and applied thrombosis/hemostasis : official</w:t>
      </w:r>
      <w:r>
        <w:rPr>
          <w:i/>
          <w:sz w:val="22"/>
        </w:rPr>
        <w:t> journal of the International Academy of Clinical and Applied Thrombosis/Hemostasis</w:t>
      </w:r>
      <w:r>
        <w:rPr>
          <w:sz w:val="22"/>
        </w:rPr>
        <w:t>. </w:t>
      </w:r>
      <w:r>
        <w:rPr>
          <w:spacing w:val="-2"/>
          <w:sz w:val="22"/>
        </w:rPr>
        <w:t>2014;20:484-92.</w:t>
      </w:r>
    </w:p>
    <w:p>
      <w:pPr>
        <w:pStyle w:val="ListParagraph"/>
        <w:numPr>
          <w:ilvl w:val="0"/>
          <w:numId w:val="4"/>
        </w:numPr>
        <w:tabs>
          <w:tab w:pos="498" w:val="left" w:leader="none"/>
        </w:tabs>
        <w:spacing w:line="240" w:lineRule="auto" w:before="1" w:after="0"/>
        <w:ind w:left="498" w:right="0" w:hanging="357"/>
        <w:jc w:val="left"/>
        <w:rPr>
          <w:sz w:val="22"/>
        </w:rPr>
      </w:pPr>
      <w:r>
        <w:rPr>
          <w:sz w:val="22"/>
        </w:rPr>
        <w:t>Ohuchi</w:t>
      </w:r>
      <w:r>
        <w:rPr>
          <w:spacing w:val="-6"/>
          <w:sz w:val="22"/>
        </w:rPr>
        <w:t> </w:t>
      </w:r>
      <w:r>
        <w:rPr>
          <w:sz w:val="22"/>
        </w:rPr>
        <w:t>H,</w:t>
      </w:r>
      <w:r>
        <w:rPr>
          <w:spacing w:val="-3"/>
          <w:sz w:val="22"/>
        </w:rPr>
        <w:t> </w:t>
      </w:r>
      <w:r>
        <w:rPr>
          <w:sz w:val="22"/>
        </w:rPr>
        <w:t>Yasuda</w:t>
      </w:r>
      <w:r>
        <w:rPr>
          <w:spacing w:val="-4"/>
          <w:sz w:val="22"/>
        </w:rPr>
        <w:t> </w:t>
      </w:r>
      <w:r>
        <w:rPr>
          <w:sz w:val="22"/>
        </w:rPr>
        <w:t>K,</w:t>
      </w:r>
      <w:r>
        <w:rPr>
          <w:spacing w:val="-5"/>
          <w:sz w:val="22"/>
        </w:rPr>
        <w:t> </w:t>
      </w:r>
      <w:r>
        <w:rPr>
          <w:sz w:val="22"/>
        </w:rPr>
        <w:t>Miyazaki</w:t>
      </w:r>
      <w:r>
        <w:rPr>
          <w:spacing w:val="-3"/>
          <w:sz w:val="22"/>
        </w:rPr>
        <w:t> </w:t>
      </w:r>
      <w:r>
        <w:rPr>
          <w:sz w:val="22"/>
        </w:rPr>
        <w:t>A,</w:t>
      </w:r>
      <w:r>
        <w:rPr>
          <w:spacing w:val="-2"/>
          <w:sz w:val="22"/>
        </w:rPr>
        <w:t> </w:t>
      </w:r>
      <w:r>
        <w:rPr>
          <w:sz w:val="22"/>
        </w:rPr>
        <w:t>Ono</w:t>
      </w:r>
      <w:r>
        <w:rPr>
          <w:spacing w:val="-2"/>
          <w:sz w:val="22"/>
        </w:rPr>
        <w:t> </w:t>
      </w:r>
      <w:r>
        <w:rPr>
          <w:sz w:val="22"/>
        </w:rPr>
        <w:t>S,</w:t>
      </w:r>
      <w:r>
        <w:rPr>
          <w:spacing w:val="-3"/>
          <w:sz w:val="22"/>
        </w:rPr>
        <w:t> </w:t>
      </w:r>
      <w:r>
        <w:rPr>
          <w:sz w:val="22"/>
        </w:rPr>
        <w:t>Hayama</w:t>
      </w:r>
      <w:r>
        <w:rPr>
          <w:spacing w:val="-2"/>
          <w:sz w:val="22"/>
        </w:rPr>
        <w:t> </w:t>
      </w:r>
      <w:r>
        <w:rPr>
          <w:sz w:val="22"/>
        </w:rPr>
        <w:t>Y,</w:t>
      </w:r>
      <w:r>
        <w:rPr>
          <w:spacing w:val="-3"/>
          <w:sz w:val="22"/>
        </w:rPr>
        <w:t> </w:t>
      </w:r>
      <w:r>
        <w:rPr>
          <w:sz w:val="22"/>
        </w:rPr>
        <w:t>Negishi</w:t>
      </w:r>
      <w:r>
        <w:rPr>
          <w:spacing w:val="-3"/>
          <w:sz w:val="22"/>
        </w:rPr>
        <w:t> </w:t>
      </w:r>
      <w:r>
        <w:rPr>
          <w:sz w:val="22"/>
        </w:rPr>
        <w:t>J,</w:t>
      </w:r>
      <w:r>
        <w:rPr>
          <w:spacing w:val="-2"/>
          <w:sz w:val="22"/>
        </w:rPr>
        <w:t> </w:t>
      </w:r>
      <w:r>
        <w:rPr>
          <w:sz w:val="22"/>
        </w:rPr>
        <w:t>Noritake</w:t>
      </w:r>
      <w:r>
        <w:rPr>
          <w:spacing w:val="-3"/>
          <w:sz w:val="22"/>
        </w:rPr>
        <w:t> </w:t>
      </w:r>
      <w:r>
        <w:rPr>
          <w:sz w:val="22"/>
        </w:rPr>
        <w:t>K,</w:t>
      </w:r>
      <w:r>
        <w:rPr>
          <w:spacing w:val="-3"/>
          <w:sz w:val="22"/>
        </w:rPr>
        <w:t> </w:t>
      </w:r>
      <w:r>
        <w:rPr>
          <w:sz w:val="22"/>
        </w:rPr>
        <w:t>Mizuno</w:t>
      </w:r>
      <w:r>
        <w:rPr>
          <w:spacing w:val="-3"/>
          <w:sz w:val="22"/>
        </w:rPr>
        <w:t> </w:t>
      </w:r>
      <w:r>
        <w:rPr>
          <w:sz w:val="22"/>
        </w:rPr>
        <w:t>M</w:t>
      </w:r>
      <w:r>
        <w:rPr>
          <w:spacing w:val="-3"/>
          <w:sz w:val="22"/>
        </w:rPr>
        <w:t> </w:t>
      </w:r>
      <w:r>
        <w:rPr>
          <w:sz w:val="22"/>
        </w:rPr>
        <w:t>and</w:t>
      </w:r>
      <w:r>
        <w:rPr>
          <w:spacing w:val="-4"/>
          <w:sz w:val="22"/>
        </w:rPr>
        <w:t> </w:t>
      </w:r>
      <w:r>
        <w:rPr>
          <w:spacing w:val="-2"/>
          <w:sz w:val="22"/>
        </w:rPr>
        <w:t>Yamada</w:t>
      </w:r>
    </w:p>
    <w:p>
      <w:pPr>
        <w:spacing w:line="276" w:lineRule="auto" w:before="41"/>
        <w:ind w:left="501" w:right="0" w:firstLine="0"/>
        <w:jc w:val="left"/>
        <w:rPr>
          <w:sz w:val="22"/>
        </w:rPr>
      </w:pPr>
      <w:r>
        <w:rPr>
          <w:sz w:val="22"/>
        </w:rPr>
        <w:t>O.</w:t>
      </w:r>
      <w:r>
        <w:rPr>
          <w:spacing w:val="-3"/>
          <w:sz w:val="22"/>
        </w:rPr>
        <w:t> </w:t>
      </w:r>
      <w:r>
        <w:rPr>
          <w:sz w:val="22"/>
        </w:rPr>
        <w:t>Prevalence</w:t>
      </w:r>
      <w:r>
        <w:rPr>
          <w:spacing w:val="-3"/>
          <w:sz w:val="22"/>
        </w:rPr>
        <w:t> </w:t>
      </w:r>
      <w:r>
        <w:rPr>
          <w:sz w:val="22"/>
        </w:rPr>
        <w:t>and</w:t>
      </w:r>
      <w:r>
        <w:rPr>
          <w:spacing w:val="-4"/>
          <w:sz w:val="22"/>
        </w:rPr>
        <w:t> </w:t>
      </w:r>
      <w:r>
        <w:rPr>
          <w:sz w:val="22"/>
        </w:rPr>
        <w:t>predictors</w:t>
      </w:r>
      <w:r>
        <w:rPr>
          <w:spacing w:val="-3"/>
          <w:sz w:val="22"/>
        </w:rPr>
        <w:t> </w:t>
      </w:r>
      <w:r>
        <w:rPr>
          <w:sz w:val="22"/>
        </w:rPr>
        <w:t>of</w:t>
      </w:r>
      <w:r>
        <w:rPr>
          <w:spacing w:val="-3"/>
          <w:sz w:val="22"/>
        </w:rPr>
        <w:t> </w:t>
      </w:r>
      <w:r>
        <w:rPr>
          <w:sz w:val="22"/>
        </w:rPr>
        <w:t>haemostatic</w:t>
      </w:r>
      <w:r>
        <w:rPr>
          <w:spacing w:val="-4"/>
          <w:sz w:val="22"/>
        </w:rPr>
        <w:t> </w:t>
      </w:r>
      <w:r>
        <w:rPr>
          <w:sz w:val="22"/>
        </w:rPr>
        <w:t>complications</w:t>
      </w:r>
      <w:r>
        <w:rPr>
          <w:spacing w:val="-3"/>
          <w:sz w:val="22"/>
        </w:rPr>
        <w:t> </w:t>
      </w:r>
      <w:r>
        <w:rPr>
          <w:sz w:val="22"/>
        </w:rPr>
        <w:t>in</w:t>
      </w:r>
      <w:r>
        <w:rPr>
          <w:spacing w:val="-5"/>
          <w:sz w:val="22"/>
        </w:rPr>
        <w:t> </w:t>
      </w:r>
      <w:r>
        <w:rPr>
          <w:sz w:val="22"/>
        </w:rPr>
        <w:t>412</w:t>
      </w:r>
      <w:r>
        <w:rPr>
          <w:spacing w:val="-3"/>
          <w:sz w:val="22"/>
        </w:rPr>
        <w:t> </w:t>
      </w:r>
      <w:r>
        <w:rPr>
          <w:sz w:val="22"/>
        </w:rPr>
        <w:t>Fontan</w:t>
      </w:r>
      <w:r>
        <w:rPr>
          <w:spacing w:val="-3"/>
          <w:sz w:val="22"/>
        </w:rPr>
        <w:t> </w:t>
      </w:r>
      <w:r>
        <w:rPr>
          <w:sz w:val="22"/>
        </w:rPr>
        <w:t>patients:</w:t>
      </w:r>
      <w:r>
        <w:rPr>
          <w:spacing w:val="-3"/>
          <w:sz w:val="22"/>
        </w:rPr>
        <w:t> </w:t>
      </w:r>
      <w:r>
        <w:rPr>
          <w:sz w:val="22"/>
        </w:rPr>
        <w:t>their</w:t>
      </w:r>
      <w:r>
        <w:rPr>
          <w:spacing w:val="-5"/>
          <w:sz w:val="22"/>
        </w:rPr>
        <w:t> </w:t>
      </w:r>
      <w:r>
        <w:rPr>
          <w:sz w:val="22"/>
        </w:rPr>
        <w:t>relation to anticoagulation and haemodynamics. </w:t>
      </w:r>
      <w:r>
        <w:rPr>
          <w:i/>
          <w:sz w:val="22"/>
        </w:rPr>
        <w:t>European journal of cardio-thoracic surgery : official</w:t>
      </w:r>
      <w:r>
        <w:rPr>
          <w:i/>
          <w:sz w:val="22"/>
        </w:rPr>
        <w:t> journal of the European Association for Cardio-thoracic Surgery</w:t>
      </w:r>
      <w:r>
        <w:rPr>
          <w:sz w:val="22"/>
        </w:rPr>
        <w:t>. 2015;47:511-9.</w:t>
      </w:r>
    </w:p>
    <w:p>
      <w:pPr>
        <w:pStyle w:val="ListParagraph"/>
        <w:numPr>
          <w:ilvl w:val="0"/>
          <w:numId w:val="4"/>
        </w:numPr>
        <w:tabs>
          <w:tab w:pos="498" w:val="left" w:leader="none"/>
          <w:tab w:pos="501" w:val="left" w:leader="none"/>
        </w:tabs>
        <w:spacing w:line="276" w:lineRule="auto" w:before="0" w:after="0"/>
        <w:ind w:left="501" w:right="29" w:hanging="360"/>
        <w:jc w:val="left"/>
        <w:rPr>
          <w:sz w:val="22"/>
        </w:rPr>
      </w:pPr>
      <w:r>
        <w:rPr>
          <w:sz w:val="22"/>
        </w:rPr>
        <w:t>Seipelt</w:t>
      </w:r>
      <w:r>
        <w:rPr>
          <w:spacing w:val="-1"/>
          <w:sz w:val="22"/>
        </w:rPr>
        <w:t> </w:t>
      </w:r>
      <w:r>
        <w:rPr>
          <w:sz w:val="22"/>
        </w:rPr>
        <w:t>RG,</w:t>
      </w:r>
      <w:r>
        <w:rPr>
          <w:spacing w:val="-4"/>
          <w:sz w:val="22"/>
        </w:rPr>
        <w:t> </w:t>
      </w:r>
      <w:r>
        <w:rPr>
          <w:sz w:val="22"/>
        </w:rPr>
        <w:t>Franke</w:t>
      </w:r>
      <w:r>
        <w:rPr>
          <w:spacing w:val="-3"/>
          <w:sz w:val="22"/>
        </w:rPr>
        <w:t> </w:t>
      </w:r>
      <w:r>
        <w:rPr>
          <w:sz w:val="22"/>
        </w:rPr>
        <w:t>A,</w:t>
      </w:r>
      <w:r>
        <w:rPr>
          <w:spacing w:val="-1"/>
          <w:sz w:val="22"/>
        </w:rPr>
        <w:t> </w:t>
      </w:r>
      <w:r>
        <w:rPr>
          <w:sz w:val="22"/>
        </w:rPr>
        <w:t>Vazquez-Jimenez</w:t>
      </w:r>
      <w:r>
        <w:rPr>
          <w:spacing w:val="-1"/>
          <w:sz w:val="22"/>
        </w:rPr>
        <w:t> </w:t>
      </w:r>
      <w:r>
        <w:rPr>
          <w:sz w:val="22"/>
        </w:rPr>
        <w:t>JF,</w:t>
      </w:r>
      <w:r>
        <w:rPr>
          <w:spacing w:val="-1"/>
          <w:sz w:val="22"/>
        </w:rPr>
        <w:t> </w:t>
      </w:r>
      <w:r>
        <w:rPr>
          <w:sz w:val="22"/>
        </w:rPr>
        <w:t>Hanrath</w:t>
      </w:r>
      <w:r>
        <w:rPr>
          <w:spacing w:val="-5"/>
          <w:sz w:val="22"/>
        </w:rPr>
        <w:t> </w:t>
      </w:r>
      <w:r>
        <w:rPr>
          <w:sz w:val="22"/>
        </w:rPr>
        <w:t>P,</w:t>
      </w:r>
      <w:r>
        <w:rPr>
          <w:spacing w:val="-6"/>
          <w:sz w:val="22"/>
        </w:rPr>
        <w:t> </w:t>
      </w:r>
      <w:r>
        <w:rPr>
          <w:sz w:val="22"/>
        </w:rPr>
        <w:t>von</w:t>
      </w:r>
      <w:r>
        <w:rPr>
          <w:spacing w:val="-2"/>
          <w:sz w:val="22"/>
        </w:rPr>
        <w:t> </w:t>
      </w:r>
      <w:r>
        <w:rPr>
          <w:sz w:val="22"/>
        </w:rPr>
        <w:t>Bernuth</w:t>
      </w:r>
      <w:r>
        <w:rPr>
          <w:spacing w:val="-1"/>
          <w:sz w:val="22"/>
        </w:rPr>
        <w:t> </w:t>
      </w:r>
      <w:r>
        <w:rPr>
          <w:sz w:val="22"/>
        </w:rPr>
        <w:t>G,</w:t>
      </w:r>
      <w:r>
        <w:rPr>
          <w:spacing w:val="-3"/>
          <w:sz w:val="22"/>
        </w:rPr>
        <w:t> </w:t>
      </w:r>
      <w:r>
        <w:rPr>
          <w:sz w:val="22"/>
        </w:rPr>
        <w:t>Messmer</w:t>
      </w:r>
      <w:r>
        <w:rPr>
          <w:spacing w:val="-1"/>
          <w:sz w:val="22"/>
        </w:rPr>
        <w:t> </w:t>
      </w:r>
      <w:r>
        <w:rPr>
          <w:sz w:val="22"/>
        </w:rPr>
        <w:t>BJ</w:t>
      </w:r>
      <w:r>
        <w:rPr>
          <w:spacing w:val="-2"/>
          <w:sz w:val="22"/>
        </w:rPr>
        <w:t> </w:t>
      </w:r>
      <w:r>
        <w:rPr>
          <w:sz w:val="22"/>
        </w:rPr>
        <w:t>and</w:t>
      </w:r>
      <w:r>
        <w:rPr>
          <w:spacing w:val="-3"/>
          <w:sz w:val="22"/>
        </w:rPr>
        <w:t> </w:t>
      </w:r>
      <w:r>
        <w:rPr>
          <w:sz w:val="22"/>
        </w:rPr>
        <w:t>Muhler</w:t>
      </w:r>
      <w:r>
        <w:rPr>
          <w:spacing w:val="-1"/>
          <w:sz w:val="22"/>
        </w:rPr>
        <w:t> </w:t>
      </w:r>
      <w:r>
        <w:rPr>
          <w:sz w:val="22"/>
        </w:rPr>
        <w:t>EG. Thromboembolic complications after Fontan procedures: comparison of different therapeutic approaches. </w:t>
      </w:r>
      <w:r>
        <w:rPr>
          <w:i/>
          <w:sz w:val="22"/>
        </w:rPr>
        <w:t>The Annals of thoracic surgery</w:t>
      </w:r>
      <w:r>
        <w:rPr>
          <w:sz w:val="22"/>
        </w:rPr>
        <w:t>. 2002;74:556-62.</w:t>
      </w:r>
    </w:p>
    <w:p>
      <w:pPr>
        <w:pStyle w:val="ListParagraph"/>
        <w:numPr>
          <w:ilvl w:val="0"/>
          <w:numId w:val="4"/>
        </w:numPr>
        <w:tabs>
          <w:tab w:pos="498" w:val="left" w:leader="none"/>
          <w:tab w:pos="501" w:val="left" w:leader="none"/>
        </w:tabs>
        <w:spacing w:line="273" w:lineRule="auto" w:before="0" w:after="0"/>
        <w:ind w:left="501" w:right="463" w:hanging="360"/>
        <w:jc w:val="left"/>
        <w:rPr>
          <w:sz w:val="22"/>
        </w:rPr>
      </w:pPr>
      <w:r>
        <w:rPr>
          <w:sz w:val="22"/>
        </w:rPr>
        <w:t>Jacobs</w:t>
      </w:r>
      <w:r>
        <w:rPr>
          <w:spacing w:val="-4"/>
          <w:sz w:val="22"/>
        </w:rPr>
        <w:t> </w:t>
      </w:r>
      <w:r>
        <w:rPr>
          <w:sz w:val="22"/>
        </w:rPr>
        <w:t>ML</w:t>
      </w:r>
      <w:r>
        <w:rPr>
          <w:spacing w:val="-2"/>
          <w:sz w:val="22"/>
        </w:rPr>
        <w:t> </w:t>
      </w:r>
      <w:r>
        <w:rPr>
          <w:sz w:val="22"/>
        </w:rPr>
        <w:t>and</w:t>
      </w:r>
      <w:r>
        <w:rPr>
          <w:spacing w:val="-6"/>
          <w:sz w:val="22"/>
        </w:rPr>
        <w:t> </w:t>
      </w:r>
      <w:r>
        <w:rPr>
          <w:sz w:val="22"/>
        </w:rPr>
        <w:t>Pourmoghadam</w:t>
      </w:r>
      <w:r>
        <w:rPr>
          <w:spacing w:val="-1"/>
          <w:sz w:val="22"/>
        </w:rPr>
        <w:t> </w:t>
      </w:r>
      <w:r>
        <w:rPr>
          <w:sz w:val="22"/>
        </w:rPr>
        <w:t>KK.</w:t>
      </w:r>
      <w:r>
        <w:rPr>
          <w:spacing w:val="-2"/>
          <w:sz w:val="22"/>
        </w:rPr>
        <w:t> </w:t>
      </w:r>
      <w:r>
        <w:rPr>
          <w:sz w:val="22"/>
        </w:rPr>
        <w:t>Thromboembolism</w:t>
      </w:r>
      <w:r>
        <w:rPr>
          <w:spacing w:val="-1"/>
          <w:sz w:val="22"/>
        </w:rPr>
        <w:t> </w:t>
      </w:r>
      <w:r>
        <w:rPr>
          <w:sz w:val="22"/>
        </w:rPr>
        <w:t>and</w:t>
      </w:r>
      <w:r>
        <w:rPr>
          <w:spacing w:val="-4"/>
          <w:sz w:val="22"/>
        </w:rPr>
        <w:t> </w:t>
      </w:r>
      <w:r>
        <w:rPr>
          <w:sz w:val="22"/>
        </w:rPr>
        <w:t>the</w:t>
      </w:r>
      <w:r>
        <w:rPr>
          <w:spacing w:val="-2"/>
          <w:sz w:val="22"/>
        </w:rPr>
        <w:t> </w:t>
      </w:r>
      <w:r>
        <w:rPr>
          <w:sz w:val="22"/>
        </w:rPr>
        <w:t>role</w:t>
      </w:r>
      <w:r>
        <w:rPr>
          <w:spacing w:val="-4"/>
          <w:sz w:val="22"/>
        </w:rPr>
        <w:t> </w:t>
      </w:r>
      <w:r>
        <w:rPr>
          <w:sz w:val="22"/>
        </w:rPr>
        <w:t>of</w:t>
      </w:r>
      <w:r>
        <w:rPr>
          <w:spacing w:val="-2"/>
          <w:sz w:val="22"/>
        </w:rPr>
        <w:t> </w:t>
      </w:r>
      <w:r>
        <w:rPr>
          <w:sz w:val="22"/>
        </w:rPr>
        <w:t>anticoagulation</w:t>
      </w:r>
      <w:r>
        <w:rPr>
          <w:spacing w:val="-3"/>
          <w:sz w:val="22"/>
        </w:rPr>
        <w:t> </w:t>
      </w:r>
      <w:r>
        <w:rPr>
          <w:sz w:val="22"/>
        </w:rPr>
        <w:t>in</w:t>
      </w:r>
      <w:r>
        <w:rPr>
          <w:spacing w:val="-2"/>
          <w:sz w:val="22"/>
        </w:rPr>
        <w:t> </w:t>
      </w:r>
      <w:r>
        <w:rPr>
          <w:sz w:val="22"/>
        </w:rPr>
        <w:t>the Fontan patient. </w:t>
      </w:r>
      <w:r>
        <w:rPr>
          <w:i/>
          <w:sz w:val="22"/>
        </w:rPr>
        <w:t>Pediatric cardiology</w:t>
      </w:r>
      <w:r>
        <w:rPr>
          <w:sz w:val="22"/>
        </w:rPr>
        <w:t>. 2007;28:457-64.</w:t>
      </w:r>
    </w:p>
    <w:p>
      <w:pPr>
        <w:pStyle w:val="ListParagraph"/>
        <w:numPr>
          <w:ilvl w:val="0"/>
          <w:numId w:val="4"/>
        </w:numPr>
        <w:tabs>
          <w:tab w:pos="498" w:val="left" w:leader="none"/>
          <w:tab w:pos="501" w:val="left" w:leader="none"/>
        </w:tabs>
        <w:spacing w:line="276" w:lineRule="auto" w:before="5" w:after="0"/>
        <w:ind w:left="501" w:right="692" w:hanging="360"/>
        <w:jc w:val="left"/>
        <w:rPr>
          <w:sz w:val="22"/>
        </w:rPr>
      </w:pPr>
      <w:r>
        <w:rPr>
          <w:sz w:val="22"/>
        </w:rPr>
        <w:t>Alsaied T, Alsidawi S, Allen CC, Faircloth J, Palumbo JS and Veldtman GR. Strategies for thromboprophylaxis</w:t>
      </w:r>
      <w:r>
        <w:rPr>
          <w:spacing w:val="-5"/>
          <w:sz w:val="22"/>
        </w:rPr>
        <w:t> </w:t>
      </w:r>
      <w:r>
        <w:rPr>
          <w:sz w:val="22"/>
        </w:rPr>
        <w:t>in</w:t>
      </w:r>
      <w:r>
        <w:rPr>
          <w:spacing w:val="-3"/>
          <w:sz w:val="22"/>
        </w:rPr>
        <w:t> </w:t>
      </w:r>
      <w:r>
        <w:rPr>
          <w:sz w:val="22"/>
        </w:rPr>
        <w:t>Fontan</w:t>
      </w:r>
      <w:r>
        <w:rPr>
          <w:spacing w:val="-3"/>
          <w:sz w:val="22"/>
        </w:rPr>
        <w:t> </w:t>
      </w:r>
      <w:r>
        <w:rPr>
          <w:sz w:val="22"/>
        </w:rPr>
        <w:t>circulation:</w:t>
      </w:r>
      <w:r>
        <w:rPr>
          <w:spacing w:val="-3"/>
          <w:sz w:val="22"/>
        </w:rPr>
        <w:t> </w:t>
      </w:r>
      <w:r>
        <w:rPr>
          <w:sz w:val="22"/>
        </w:rPr>
        <w:t>a</w:t>
      </w:r>
      <w:r>
        <w:rPr>
          <w:spacing w:val="-4"/>
          <w:sz w:val="22"/>
        </w:rPr>
        <w:t> </w:t>
      </w:r>
      <w:r>
        <w:rPr>
          <w:sz w:val="22"/>
        </w:rPr>
        <w:t>meta-analysis.</w:t>
      </w:r>
      <w:r>
        <w:rPr>
          <w:spacing w:val="-2"/>
          <w:sz w:val="22"/>
        </w:rPr>
        <w:t> </w:t>
      </w:r>
      <w:r>
        <w:rPr>
          <w:i/>
          <w:sz w:val="22"/>
        </w:rPr>
        <w:t>Heart</w:t>
      </w:r>
      <w:r>
        <w:rPr>
          <w:i/>
          <w:spacing w:val="-3"/>
          <w:sz w:val="22"/>
        </w:rPr>
        <w:t> </w:t>
      </w:r>
      <w:r>
        <w:rPr>
          <w:i/>
          <w:sz w:val="22"/>
        </w:rPr>
        <w:t>(British</w:t>
      </w:r>
      <w:r>
        <w:rPr>
          <w:i/>
          <w:spacing w:val="-5"/>
          <w:sz w:val="22"/>
        </w:rPr>
        <w:t> </w:t>
      </w:r>
      <w:r>
        <w:rPr>
          <w:i/>
          <w:sz w:val="22"/>
        </w:rPr>
        <w:t>Cardiac</w:t>
      </w:r>
      <w:r>
        <w:rPr>
          <w:i/>
          <w:spacing w:val="-5"/>
          <w:sz w:val="22"/>
        </w:rPr>
        <w:t> </w:t>
      </w:r>
      <w:r>
        <w:rPr>
          <w:i/>
          <w:sz w:val="22"/>
        </w:rPr>
        <w:t>Society)</w:t>
      </w:r>
      <w:r>
        <w:rPr>
          <w:sz w:val="22"/>
        </w:rPr>
        <w:t>. </w:t>
      </w:r>
      <w:r>
        <w:rPr>
          <w:spacing w:val="-2"/>
          <w:sz w:val="22"/>
        </w:rPr>
        <w:t>2015;101:1731-7.</w:t>
      </w:r>
    </w:p>
    <w:p>
      <w:pPr>
        <w:pStyle w:val="ListParagraph"/>
        <w:numPr>
          <w:ilvl w:val="0"/>
          <w:numId w:val="4"/>
        </w:numPr>
        <w:tabs>
          <w:tab w:pos="498" w:val="left" w:leader="none"/>
          <w:tab w:pos="501" w:val="left" w:leader="none"/>
        </w:tabs>
        <w:spacing w:line="276" w:lineRule="auto" w:before="0" w:after="0"/>
        <w:ind w:left="501" w:right="253" w:hanging="360"/>
        <w:jc w:val="left"/>
        <w:rPr>
          <w:sz w:val="22"/>
        </w:rPr>
      </w:pPr>
      <w:r>
        <w:rPr>
          <w:sz w:val="22"/>
        </w:rPr>
        <w:t>Monagle P, Cochrane A, McCrindle B, Benson L, Williams W and Andrew M. Thromboembolic complications</w:t>
      </w:r>
      <w:r>
        <w:rPr>
          <w:spacing w:val="-3"/>
          <w:sz w:val="22"/>
        </w:rPr>
        <w:t> </w:t>
      </w:r>
      <w:r>
        <w:rPr>
          <w:sz w:val="22"/>
        </w:rPr>
        <w:t>after</w:t>
      </w:r>
      <w:r>
        <w:rPr>
          <w:spacing w:val="-3"/>
          <w:sz w:val="22"/>
        </w:rPr>
        <w:t> </w:t>
      </w:r>
      <w:r>
        <w:rPr>
          <w:sz w:val="22"/>
        </w:rPr>
        <w:t>fontan</w:t>
      </w:r>
      <w:r>
        <w:rPr>
          <w:spacing w:val="-6"/>
          <w:sz w:val="22"/>
        </w:rPr>
        <w:t> </w:t>
      </w:r>
      <w:r>
        <w:rPr>
          <w:sz w:val="22"/>
        </w:rPr>
        <w:t>procedures--the</w:t>
      </w:r>
      <w:r>
        <w:rPr>
          <w:spacing w:val="-3"/>
          <w:sz w:val="22"/>
        </w:rPr>
        <w:t> </w:t>
      </w:r>
      <w:r>
        <w:rPr>
          <w:sz w:val="22"/>
        </w:rPr>
        <w:t>role</w:t>
      </w:r>
      <w:r>
        <w:rPr>
          <w:spacing w:val="-5"/>
          <w:sz w:val="22"/>
        </w:rPr>
        <w:t> </w:t>
      </w:r>
      <w:r>
        <w:rPr>
          <w:sz w:val="22"/>
        </w:rPr>
        <w:t>of</w:t>
      </w:r>
      <w:r>
        <w:rPr>
          <w:spacing w:val="-3"/>
          <w:sz w:val="22"/>
        </w:rPr>
        <w:t> </w:t>
      </w:r>
      <w:r>
        <w:rPr>
          <w:sz w:val="22"/>
        </w:rPr>
        <w:t>prophylactic</w:t>
      </w:r>
      <w:r>
        <w:rPr>
          <w:spacing w:val="-3"/>
          <w:sz w:val="22"/>
        </w:rPr>
        <w:t> </w:t>
      </w:r>
      <w:r>
        <w:rPr>
          <w:sz w:val="22"/>
        </w:rPr>
        <w:t>anticoagulation.</w:t>
      </w:r>
      <w:r>
        <w:rPr>
          <w:spacing w:val="-3"/>
          <w:sz w:val="22"/>
        </w:rPr>
        <w:t> </w:t>
      </w:r>
      <w:r>
        <w:rPr>
          <w:i/>
          <w:sz w:val="22"/>
        </w:rPr>
        <w:t>The</w:t>
      </w:r>
      <w:r>
        <w:rPr>
          <w:i/>
          <w:spacing w:val="-3"/>
          <w:sz w:val="22"/>
        </w:rPr>
        <w:t> </w:t>
      </w:r>
      <w:r>
        <w:rPr>
          <w:i/>
          <w:sz w:val="22"/>
        </w:rPr>
        <w:t>Journal</w:t>
      </w:r>
      <w:r>
        <w:rPr>
          <w:i/>
          <w:spacing w:val="-3"/>
          <w:sz w:val="22"/>
        </w:rPr>
        <w:t> </w:t>
      </w:r>
      <w:r>
        <w:rPr>
          <w:i/>
          <w:sz w:val="22"/>
        </w:rPr>
        <w:t>of</w:t>
      </w:r>
      <w:r>
        <w:rPr>
          <w:i/>
          <w:sz w:val="22"/>
        </w:rPr>
        <w:t> thoracic and cardiovascular surgery</w:t>
      </w:r>
      <w:r>
        <w:rPr>
          <w:sz w:val="22"/>
        </w:rPr>
        <w:t>. 1998;115:493-8.</w:t>
      </w:r>
    </w:p>
    <w:p>
      <w:pPr>
        <w:pStyle w:val="ListParagraph"/>
        <w:numPr>
          <w:ilvl w:val="0"/>
          <w:numId w:val="4"/>
        </w:numPr>
        <w:tabs>
          <w:tab w:pos="498" w:val="left" w:leader="none"/>
          <w:tab w:pos="501" w:val="left" w:leader="none"/>
        </w:tabs>
        <w:spacing w:line="276" w:lineRule="auto" w:before="0" w:after="0"/>
        <w:ind w:left="501" w:right="664" w:hanging="360"/>
        <w:jc w:val="left"/>
        <w:rPr>
          <w:sz w:val="22"/>
        </w:rPr>
      </w:pPr>
      <w:r>
        <w:rPr>
          <w:sz w:val="22"/>
        </w:rPr>
        <w:t>Varma C, Warr MR, Hendler AL, Paul NS, Webb GD and Therrien J. Prevalence of "silent" pulmonary</w:t>
      </w:r>
      <w:r>
        <w:rPr>
          <w:spacing w:val="-2"/>
          <w:sz w:val="22"/>
        </w:rPr>
        <w:t> </w:t>
      </w:r>
      <w:r>
        <w:rPr>
          <w:sz w:val="22"/>
        </w:rPr>
        <w:t>emboli</w:t>
      </w:r>
      <w:r>
        <w:rPr>
          <w:spacing w:val="-5"/>
          <w:sz w:val="22"/>
        </w:rPr>
        <w:t> </w:t>
      </w:r>
      <w:r>
        <w:rPr>
          <w:sz w:val="22"/>
        </w:rPr>
        <w:t>in</w:t>
      </w:r>
      <w:r>
        <w:rPr>
          <w:spacing w:val="-2"/>
          <w:sz w:val="22"/>
        </w:rPr>
        <w:t> </w:t>
      </w:r>
      <w:r>
        <w:rPr>
          <w:sz w:val="22"/>
        </w:rPr>
        <w:t>adults</w:t>
      </w:r>
      <w:r>
        <w:rPr>
          <w:spacing w:val="-5"/>
          <w:sz w:val="22"/>
        </w:rPr>
        <w:t> </w:t>
      </w:r>
      <w:r>
        <w:rPr>
          <w:sz w:val="22"/>
        </w:rPr>
        <w:t>after</w:t>
      </w:r>
      <w:r>
        <w:rPr>
          <w:spacing w:val="-4"/>
          <w:sz w:val="22"/>
        </w:rPr>
        <w:t> </w:t>
      </w:r>
      <w:r>
        <w:rPr>
          <w:sz w:val="22"/>
        </w:rPr>
        <w:t>the</w:t>
      </w:r>
      <w:r>
        <w:rPr>
          <w:spacing w:val="-2"/>
          <w:sz w:val="22"/>
        </w:rPr>
        <w:t> </w:t>
      </w:r>
      <w:r>
        <w:rPr>
          <w:sz w:val="22"/>
        </w:rPr>
        <w:t>Fontan</w:t>
      </w:r>
      <w:r>
        <w:rPr>
          <w:spacing w:val="-5"/>
          <w:sz w:val="22"/>
        </w:rPr>
        <w:t> </w:t>
      </w:r>
      <w:r>
        <w:rPr>
          <w:sz w:val="22"/>
        </w:rPr>
        <w:t>operation.</w:t>
      </w:r>
      <w:r>
        <w:rPr>
          <w:spacing w:val="-1"/>
          <w:sz w:val="22"/>
        </w:rPr>
        <w:t> </w:t>
      </w:r>
      <w:r>
        <w:rPr>
          <w:i/>
          <w:sz w:val="22"/>
        </w:rPr>
        <w:t>Journal</w:t>
      </w:r>
      <w:r>
        <w:rPr>
          <w:i/>
          <w:spacing w:val="-2"/>
          <w:sz w:val="22"/>
        </w:rPr>
        <w:t> </w:t>
      </w:r>
      <w:r>
        <w:rPr>
          <w:i/>
          <w:sz w:val="22"/>
        </w:rPr>
        <w:t>of</w:t>
      </w:r>
      <w:r>
        <w:rPr>
          <w:i/>
          <w:spacing w:val="-2"/>
          <w:sz w:val="22"/>
        </w:rPr>
        <w:t> </w:t>
      </w:r>
      <w:r>
        <w:rPr>
          <w:i/>
          <w:sz w:val="22"/>
        </w:rPr>
        <w:t>the</w:t>
      </w:r>
      <w:r>
        <w:rPr>
          <w:i/>
          <w:spacing w:val="-2"/>
          <w:sz w:val="22"/>
        </w:rPr>
        <w:t> </w:t>
      </w:r>
      <w:r>
        <w:rPr>
          <w:i/>
          <w:sz w:val="22"/>
        </w:rPr>
        <w:t>American</w:t>
      </w:r>
      <w:r>
        <w:rPr>
          <w:i/>
          <w:spacing w:val="-3"/>
          <w:sz w:val="22"/>
        </w:rPr>
        <w:t> </w:t>
      </w:r>
      <w:r>
        <w:rPr>
          <w:i/>
          <w:sz w:val="22"/>
        </w:rPr>
        <w:t>College</w:t>
      </w:r>
      <w:r>
        <w:rPr>
          <w:i/>
          <w:spacing w:val="-2"/>
          <w:sz w:val="22"/>
        </w:rPr>
        <w:t> </w:t>
      </w:r>
      <w:r>
        <w:rPr>
          <w:i/>
          <w:sz w:val="22"/>
        </w:rPr>
        <w:t>of</w:t>
      </w:r>
      <w:r>
        <w:rPr>
          <w:i/>
          <w:sz w:val="22"/>
        </w:rPr>
        <w:t> Cardiology</w:t>
      </w:r>
      <w:r>
        <w:rPr>
          <w:sz w:val="22"/>
        </w:rPr>
        <w:t>. 2003;41:2252-8.</w:t>
      </w:r>
    </w:p>
    <w:p>
      <w:pPr>
        <w:pStyle w:val="ListParagraph"/>
        <w:numPr>
          <w:ilvl w:val="0"/>
          <w:numId w:val="4"/>
        </w:numPr>
        <w:tabs>
          <w:tab w:pos="498" w:val="left" w:leader="none"/>
          <w:tab w:pos="501" w:val="left" w:leader="none"/>
        </w:tabs>
        <w:spacing w:line="276" w:lineRule="auto" w:before="0" w:after="0"/>
        <w:ind w:left="501" w:right="215" w:hanging="360"/>
        <w:jc w:val="left"/>
        <w:rPr>
          <w:sz w:val="22"/>
        </w:rPr>
      </w:pPr>
      <w:r>
        <w:rPr>
          <w:sz w:val="22"/>
        </w:rPr>
        <w:t>Cheung YF, Chay GW, Chiu CS and Cheng LC. Long-term anticoagulation therapy and thromboembolic</w:t>
      </w:r>
      <w:r>
        <w:rPr>
          <w:spacing w:val="-4"/>
          <w:sz w:val="22"/>
        </w:rPr>
        <w:t> </w:t>
      </w:r>
      <w:r>
        <w:rPr>
          <w:sz w:val="22"/>
        </w:rPr>
        <w:t>complications</w:t>
      </w:r>
      <w:r>
        <w:rPr>
          <w:spacing w:val="-4"/>
          <w:sz w:val="22"/>
        </w:rPr>
        <w:t> </w:t>
      </w:r>
      <w:r>
        <w:rPr>
          <w:sz w:val="22"/>
        </w:rPr>
        <w:t>after</w:t>
      </w:r>
      <w:r>
        <w:rPr>
          <w:spacing w:val="-4"/>
          <w:sz w:val="22"/>
        </w:rPr>
        <w:t> </w:t>
      </w:r>
      <w:r>
        <w:rPr>
          <w:sz w:val="22"/>
        </w:rPr>
        <w:t>the</w:t>
      </w:r>
      <w:r>
        <w:rPr>
          <w:spacing w:val="-6"/>
          <w:sz w:val="22"/>
        </w:rPr>
        <w:t> </w:t>
      </w:r>
      <w:r>
        <w:rPr>
          <w:sz w:val="22"/>
        </w:rPr>
        <w:t>Fontan</w:t>
      </w:r>
      <w:r>
        <w:rPr>
          <w:spacing w:val="-5"/>
          <w:sz w:val="22"/>
        </w:rPr>
        <w:t> </w:t>
      </w:r>
      <w:r>
        <w:rPr>
          <w:sz w:val="22"/>
        </w:rPr>
        <w:t>procedure.</w:t>
      </w:r>
      <w:r>
        <w:rPr>
          <w:spacing w:val="-1"/>
          <w:sz w:val="22"/>
        </w:rPr>
        <w:t> </w:t>
      </w:r>
      <w:r>
        <w:rPr>
          <w:i/>
          <w:sz w:val="22"/>
        </w:rPr>
        <w:t>International</w:t>
      </w:r>
      <w:r>
        <w:rPr>
          <w:i/>
          <w:spacing w:val="-4"/>
          <w:sz w:val="22"/>
        </w:rPr>
        <w:t> </w:t>
      </w:r>
      <w:r>
        <w:rPr>
          <w:i/>
          <w:sz w:val="22"/>
        </w:rPr>
        <w:t>journal</w:t>
      </w:r>
      <w:r>
        <w:rPr>
          <w:i/>
          <w:spacing w:val="-6"/>
          <w:sz w:val="22"/>
        </w:rPr>
        <w:t> </w:t>
      </w:r>
      <w:r>
        <w:rPr>
          <w:i/>
          <w:sz w:val="22"/>
        </w:rPr>
        <w:t>of</w:t>
      </w:r>
      <w:r>
        <w:rPr>
          <w:i/>
          <w:spacing w:val="-4"/>
          <w:sz w:val="22"/>
        </w:rPr>
        <w:t> </w:t>
      </w:r>
      <w:r>
        <w:rPr>
          <w:i/>
          <w:sz w:val="22"/>
        </w:rPr>
        <w:t>cardiology</w:t>
      </w:r>
      <w:r>
        <w:rPr>
          <w:sz w:val="22"/>
        </w:rPr>
        <w:t>. </w:t>
      </w:r>
      <w:r>
        <w:rPr>
          <w:spacing w:val="-2"/>
          <w:sz w:val="22"/>
        </w:rPr>
        <w:t>2005;102:509-13.</w:t>
      </w:r>
    </w:p>
    <w:p>
      <w:pPr>
        <w:pStyle w:val="ListParagraph"/>
        <w:numPr>
          <w:ilvl w:val="0"/>
          <w:numId w:val="4"/>
        </w:numPr>
        <w:tabs>
          <w:tab w:pos="498" w:val="left" w:leader="none"/>
          <w:tab w:pos="501" w:val="left" w:leader="none"/>
        </w:tabs>
        <w:spacing w:line="276" w:lineRule="auto" w:before="0" w:after="0"/>
        <w:ind w:left="501" w:right="226" w:hanging="360"/>
        <w:jc w:val="left"/>
        <w:rPr>
          <w:sz w:val="22"/>
        </w:rPr>
      </w:pPr>
      <w:r>
        <w:rPr>
          <w:sz w:val="22"/>
        </w:rPr>
        <w:t>Kaulitz R, Ziemer G, Rauch R, Girisch M, Bertram H, Wessel A and Hofbeck M. Prophylaxis of thromboembolic</w:t>
      </w:r>
      <w:r>
        <w:rPr>
          <w:spacing w:val="-4"/>
          <w:sz w:val="22"/>
        </w:rPr>
        <w:t> </w:t>
      </w:r>
      <w:r>
        <w:rPr>
          <w:sz w:val="22"/>
        </w:rPr>
        <w:t>complications</w:t>
      </w:r>
      <w:r>
        <w:rPr>
          <w:spacing w:val="-4"/>
          <w:sz w:val="22"/>
        </w:rPr>
        <w:t> </w:t>
      </w:r>
      <w:r>
        <w:rPr>
          <w:sz w:val="22"/>
        </w:rPr>
        <w:t>after</w:t>
      </w:r>
      <w:r>
        <w:rPr>
          <w:spacing w:val="-4"/>
          <w:sz w:val="22"/>
        </w:rPr>
        <w:t> </w:t>
      </w:r>
      <w:r>
        <w:rPr>
          <w:sz w:val="22"/>
        </w:rPr>
        <w:t>the</w:t>
      </w:r>
      <w:r>
        <w:rPr>
          <w:spacing w:val="-6"/>
          <w:sz w:val="22"/>
        </w:rPr>
        <w:t> </w:t>
      </w:r>
      <w:r>
        <w:rPr>
          <w:sz w:val="22"/>
        </w:rPr>
        <w:t>Fontan</w:t>
      </w:r>
      <w:r>
        <w:rPr>
          <w:spacing w:val="-5"/>
          <w:sz w:val="22"/>
        </w:rPr>
        <w:t> </w:t>
      </w:r>
      <w:r>
        <w:rPr>
          <w:sz w:val="22"/>
        </w:rPr>
        <w:t>operation</w:t>
      </w:r>
      <w:r>
        <w:rPr>
          <w:spacing w:val="-5"/>
          <w:sz w:val="22"/>
        </w:rPr>
        <w:t> </w:t>
      </w:r>
      <w:r>
        <w:rPr>
          <w:sz w:val="22"/>
        </w:rPr>
        <w:t>(total</w:t>
      </w:r>
      <w:r>
        <w:rPr>
          <w:spacing w:val="-4"/>
          <w:sz w:val="22"/>
        </w:rPr>
        <w:t> </w:t>
      </w:r>
      <w:r>
        <w:rPr>
          <w:sz w:val="22"/>
        </w:rPr>
        <w:t>cavopulmonary</w:t>
      </w:r>
      <w:r>
        <w:rPr>
          <w:spacing w:val="-6"/>
          <w:sz w:val="22"/>
        </w:rPr>
        <w:t> </w:t>
      </w:r>
      <w:r>
        <w:rPr>
          <w:sz w:val="22"/>
        </w:rPr>
        <w:t>anastomosis). </w:t>
      </w:r>
      <w:r>
        <w:rPr>
          <w:i/>
          <w:sz w:val="22"/>
        </w:rPr>
        <w:t>The Journal of thoracic and cardiovascular surgery</w:t>
      </w:r>
      <w:r>
        <w:rPr>
          <w:sz w:val="22"/>
        </w:rPr>
        <w:t>. 2005;129:569-75.</w:t>
      </w:r>
    </w:p>
    <w:p>
      <w:pPr>
        <w:pStyle w:val="ListParagraph"/>
        <w:numPr>
          <w:ilvl w:val="0"/>
          <w:numId w:val="4"/>
        </w:numPr>
        <w:tabs>
          <w:tab w:pos="498" w:val="left" w:leader="none"/>
          <w:tab w:pos="501" w:val="left" w:leader="none"/>
        </w:tabs>
        <w:spacing w:line="276" w:lineRule="auto" w:before="0" w:after="0"/>
        <w:ind w:left="501" w:right="261" w:hanging="360"/>
        <w:jc w:val="left"/>
        <w:rPr>
          <w:sz w:val="22"/>
        </w:rPr>
      </w:pPr>
      <w:r>
        <w:rPr>
          <w:sz w:val="22"/>
        </w:rPr>
        <w:t>Khairy</w:t>
      </w:r>
      <w:r>
        <w:rPr>
          <w:spacing w:val="-3"/>
          <w:sz w:val="22"/>
        </w:rPr>
        <w:t> </w:t>
      </w:r>
      <w:r>
        <w:rPr>
          <w:sz w:val="22"/>
        </w:rPr>
        <w:t>P,</w:t>
      </w:r>
      <w:r>
        <w:rPr>
          <w:spacing w:val="-1"/>
          <w:sz w:val="22"/>
        </w:rPr>
        <w:t> </w:t>
      </w:r>
      <w:r>
        <w:rPr>
          <w:sz w:val="22"/>
        </w:rPr>
        <w:t>Fernandes</w:t>
      </w:r>
      <w:r>
        <w:rPr>
          <w:spacing w:val="-1"/>
          <w:sz w:val="22"/>
        </w:rPr>
        <w:t> </w:t>
      </w:r>
      <w:r>
        <w:rPr>
          <w:sz w:val="22"/>
        </w:rPr>
        <w:t>SM,</w:t>
      </w:r>
      <w:r>
        <w:rPr>
          <w:spacing w:val="-4"/>
          <w:sz w:val="22"/>
        </w:rPr>
        <w:t> </w:t>
      </w:r>
      <w:r>
        <w:rPr>
          <w:sz w:val="22"/>
        </w:rPr>
        <w:t>Mayer</w:t>
      </w:r>
      <w:r>
        <w:rPr>
          <w:spacing w:val="-1"/>
          <w:sz w:val="22"/>
        </w:rPr>
        <w:t> </w:t>
      </w:r>
      <w:r>
        <w:rPr>
          <w:sz w:val="22"/>
        </w:rPr>
        <w:t>JE,</w:t>
      </w:r>
      <w:r>
        <w:rPr>
          <w:spacing w:val="-3"/>
          <w:sz w:val="22"/>
        </w:rPr>
        <w:t> </w:t>
      </w:r>
      <w:r>
        <w:rPr>
          <w:sz w:val="22"/>
        </w:rPr>
        <w:t>Jr.,</w:t>
      </w:r>
      <w:r>
        <w:rPr>
          <w:spacing w:val="-1"/>
          <w:sz w:val="22"/>
        </w:rPr>
        <w:t> </w:t>
      </w:r>
      <w:r>
        <w:rPr>
          <w:sz w:val="22"/>
        </w:rPr>
        <w:t>Triedman</w:t>
      </w:r>
      <w:r>
        <w:rPr>
          <w:spacing w:val="-2"/>
          <w:sz w:val="22"/>
        </w:rPr>
        <w:t> </w:t>
      </w:r>
      <w:r>
        <w:rPr>
          <w:sz w:val="22"/>
        </w:rPr>
        <w:t>JK,</w:t>
      </w:r>
      <w:r>
        <w:rPr>
          <w:spacing w:val="-1"/>
          <w:sz w:val="22"/>
        </w:rPr>
        <w:t> </w:t>
      </w:r>
      <w:r>
        <w:rPr>
          <w:sz w:val="22"/>
        </w:rPr>
        <w:t>Walsh</w:t>
      </w:r>
      <w:r>
        <w:rPr>
          <w:spacing w:val="-3"/>
          <w:sz w:val="22"/>
        </w:rPr>
        <w:t> </w:t>
      </w:r>
      <w:r>
        <w:rPr>
          <w:sz w:val="22"/>
        </w:rPr>
        <w:t>EP,</w:t>
      </w:r>
      <w:r>
        <w:rPr>
          <w:spacing w:val="-4"/>
          <w:sz w:val="22"/>
        </w:rPr>
        <w:t> </w:t>
      </w:r>
      <w:r>
        <w:rPr>
          <w:sz w:val="22"/>
        </w:rPr>
        <w:t>Lock</w:t>
      </w:r>
      <w:r>
        <w:rPr>
          <w:spacing w:val="-3"/>
          <w:sz w:val="22"/>
        </w:rPr>
        <w:t> </w:t>
      </w:r>
      <w:r>
        <w:rPr>
          <w:sz w:val="22"/>
        </w:rPr>
        <w:t>JE</w:t>
      </w:r>
      <w:r>
        <w:rPr>
          <w:spacing w:val="-1"/>
          <w:sz w:val="22"/>
        </w:rPr>
        <w:t> </w:t>
      </w:r>
      <w:r>
        <w:rPr>
          <w:sz w:val="22"/>
        </w:rPr>
        <w:t>and</w:t>
      </w:r>
      <w:r>
        <w:rPr>
          <w:spacing w:val="-3"/>
          <w:sz w:val="22"/>
        </w:rPr>
        <w:t> </w:t>
      </w:r>
      <w:r>
        <w:rPr>
          <w:sz w:val="22"/>
        </w:rPr>
        <w:t>Landzberg</w:t>
      </w:r>
      <w:r>
        <w:rPr>
          <w:spacing w:val="-1"/>
          <w:sz w:val="22"/>
        </w:rPr>
        <w:t> </w:t>
      </w:r>
      <w:r>
        <w:rPr>
          <w:sz w:val="22"/>
        </w:rPr>
        <w:t>MJ.</w:t>
      </w:r>
      <w:r>
        <w:rPr>
          <w:spacing w:val="-4"/>
          <w:sz w:val="22"/>
        </w:rPr>
        <w:t> </w:t>
      </w:r>
      <w:r>
        <w:rPr>
          <w:sz w:val="22"/>
        </w:rPr>
        <w:t>Long-term survival, modes of death, and predictors of mortality in patients with Fontan surgery. </w:t>
      </w:r>
      <w:r>
        <w:rPr>
          <w:i/>
          <w:sz w:val="22"/>
        </w:rPr>
        <w:t>Circulation</w:t>
      </w:r>
      <w:r>
        <w:rPr>
          <w:sz w:val="22"/>
        </w:rPr>
        <w:t>. 2008;117:85-92.</w:t>
      </w:r>
    </w:p>
    <w:p>
      <w:pPr>
        <w:pStyle w:val="ListParagraph"/>
        <w:numPr>
          <w:ilvl w:val="0"/>
          <w:numId w:val="4"/>
        </w:numPr>
        <w:tabs>
          <w:tab w:pos="498" w:val="left" w:leader="none"/>
          <w:tab w:pos="501" w:val="left" w:leader="none"/>
        </w:tabs>
        <w:spacing w:line="276" w:lineRule="auto" w:before="0" w:after="0"/>
        <w:ind w:left="501" w:right="71" w:hanging="360"/>
        <w:jc w:val="left"/>
        <w:rPr>
          <w:sz w:val="22"/>
        </w:rPr>
      </w:pPr>
      <w:r>
        <w:rPr>
          <w:sz w:val="22"/>
        </w:rPr>
        <w:t>Marrone C, Galasso G, Piccolo R, de Leva F, Paladini R, Piscione F and Santoro G. Antiplatelet versus</w:t>
      </w:r>
      <w:r>
        <w:rPr>
          <w:spacing w:val="-5"/>
          <w:sz w:val="22"/>
        </w:rPr>
        <w:t> </w:t>
      </w:r>
      <w:r>
        <w:rPr>
          <w:sz w:val="22"/>
        </w:rPr>
        <w:t>anticoagulation</w:t>
      </w:r>
      <w:r>
        <w:rPr>
          <w:spacing w:val="-5"/>
          <w:sz w:val="22"/>
        </w:rPr>
        <w:t> </w:t>
      </w:r>
      <w:r>
        <w:rPr>
          <w:sz w:val="22"/>
        </w:rPr>
        <w:t>therapy</w:t>
      </w:r>
      <w:r>
        <w:rPr>
          <w:spacing w:val="-2"/>
          <w:sz w:val="22"/>
        </w:rPr>
        <w:t> </w:t>
      </w:r>
      <w:r>
        <w:rPr>
          <w:sz w:val="22"/>
        </w:rPr>
        <w:t>after</w:t>
      </w:r>
      <w:r>
        <w:rPr>
          <w:spacing w:val="-2"/>
          <w:sz w:val="22"/>
        </w:rPr>
        <w:t> </w:t>
      </w:r>
      <w:r>
        <w:rPr>
          <w:sz w:val="22"/>
        </w:rPr>
        <w:t>extracardiac</w:t>
      </w:r>
      <w:r>
        <w:rPr>
          <w:spacing w:val="-5"/>
          <w:sz w:val="22"/>
        </w:rPr>
        <w:t> </w:t>
      </w:r>
      <w:r>
        <w:rPr>
          <w:sz w:val="22"/>
        </w:rPr>
        <w:t>conduit</w:t>
      </w:r>
      <w:r>
        <w:rPr>
          <w:spacing w:val="-2"/>
          <w:sz w:val="22"/>
        </w:rPr>
        <w:t> </w:t>
      </w:r>
      <w:r>
        <w:rPr>
          <w:sz w:val="22"/>
        </w:rPr>
        <w:t>Fontan:</w:t>
      </w:r>
      <w:r>
        <w:rPr>
          <w:spacing w:val="-4"/>
          <w:sz w:val="22"/>
        </w:rPr>
        <w:t> </w:t>
      </w:r>
      <w:r>
        <w:rPr>
          <w:sz w:val="22"/>
        </w:rPr>
        <w:t>a</w:t>
      </w:r>
      <w:r>
        <w:rPr>
          <w:spacing w:val="-2"/>
          <w:sz w:val="22"/>
        </w:rPr>
        <w:t> </w:t>
      </w:r>
      <w:r>
        <w:rPr>
          <w:sz w:val="22"/>
        </w:rPr>
        <w:t>systematic</w:t>
      </w:r>
      <w:r>
        <w:rPr>
          <w:spacing w:val="-2"/>
          <w:sz w:val="22"/>
        </w:rPr>
        <w:t> </w:t>
      </w:r>
      <w:r>
        <w:rPr>
          <w:sz w:val="22"/>
        </w:rPr>
        <w:t>review</w:t>
      </w:r>
      <w:r>
        <w:rPr>
          <w:spacing w:val="-4"/>
          <w:sz w:val="22"/>
        </w:rPr>
        <w:t> </w:t>
      </w:r>
      <w:r>
        <w:rPr>
          <w:sz w:val="22"/>
        </w:rPr>
        <w:t>and</w:t>
      </w:r>
      <w:r>
        <w:rPr>
          <w:spacing w:val="-4"/>
          <w:sz w:val="22"/>
        </w:rPr>
        <w:t> </w:t>
      </w:r>
      <w:r>
        <w:rPr>
          <w:sz w:val="22"/>
        </w:rPr>
        <w:t>meta-analysis. </w:t>
      </w:r>
      <w:r>
        <w:rPr>
          <w:i/>
          <w:sz w:val="22"/>
        </w:rPr>
        <w:t>Pediatric cardiology</w:t>
      </w:r>
      <w:r>
        <w:rPr>
          <w:sz w:val="22"/>
        </w:rPr>
        <w:t>. 2011;32:32-9.</w:t>
      </w:r>
    </w:p>
    <w:p>
      <w:pPr>
        <w:pStyle w:val="ListParagraph"/>
        <w:numPr>
          <w:ilvl w:val="0"/>
          <w:numId w:val="4"/>
        </w:numPr>
        <w:tabs>
          <w:tab w:pos="498" w:val="left" w:leader="none"/>
          <w:tab w:pos="501" w:val="left" w:leader="none"/>
        </w:tabs>
        <w:spacing w:line="276" w:lineRule="auto" w:before="0" w:after="0"/>
        <w:ind w:left="501" w:right="34" w:hanging="360"/>
        <w:jc w:val="left"/>
        <w:rPr>
          <w:sz w:val="22"/>
        </w:rPr>
      </w:pPr>
      <w:r>
        <w:rPr>
          <w:sz w:val="22"/>
        </w:rPr>
        <w:t>Monagle</w:t>
      </w:r>
      <w:r>
        <w:rPr>
          <w:spacing w:val="-4"/>
          <w:sz w:val="22"/>
        </w:rPr>
        <w:t> </w:t>
      </w:r>
      <w:r>
        <w:rPr>
          <w:sz w:val="22"/>
        </w:rPr>
        <w:t>P,</w:t>
      </w:r>
      <w:r>
        <w:rPr>
          <w:spacing w:val="-4"/>
          <w:sz w:val="22"/>
        </w:rPr>
        <w:t> </w:t>
      </w:r>
      <w:r>
        <w:rPr>
          <w:sz w:val="22"/>
        </w:rPr>
        <w:t>Cochrane</w:t>
      </w:r>
      <w:r>
        <w:rPr>
          <w:spacing w:val="-1"/>
          <w:sz w:val="22"/>
        </w:rPr>
        <w:t> </w:t>
      </w:r>
      <w:r>
        <w:rPr>
          <w:sz w:val="22"/>
        </w:rPr>
        <w:t>A,</w:t>
      </w:r>
      <w:r>
        <w:rPr>
          <w:spacing w:val="-4"/>
          <w:sz w:val="22"/>
        </w:rPr>
        <w:t> </w:t>
      </w:r>
      <w:r>
        <w:rPr>
          <w:sz w:val="22"/>
        </w:rPr>
        <w:t>Roberts</w:t>
      </w:r>
      <w:r>
        <w:rPr>
          <w:spacing w:val="-1"/>
          <w:sz w:val="22"/>
        </w:rPr>
        <w:t> </w:t>
      </w:r>
      <w:r>
        <w:rPr>
          <w:sz w:val="22"/>
        </w:rPr>
        <w:t>R,</w:t>
      </w:r>
      <w:r>
        <w:rPr>
          <w:spacing w:val="-3"/>
          <w:sz w:val="22"/>
        </w:rPr>
        <w:t> </w:t>
      </w:r>
      <w:r>
        <w:rPr>
          <w:sz w:val="22"/>
        </w:rPr>
        <w:t>Manlhiot</w:t>
      </w:r>
      <w:r>
        <w:rPr>
          <w:spacing w:val="-1"/>
          <w:sz w:val="22"/>
        </w:rPr>
        <w:t> </w:t>
      </w:r>
      <w:r>
        <w:rPr>
          <w:sz w:val="22"/>
        </w:rPr>
        <w:t>C,</w:t>
      </w:r>
      <w:r>
        <w:rPr>
          <w:spacing w:val="-4"/>
          <w:sz w:val="22"/>
        </w:rPr>
        <w:t> </w:t>
      </w:r>
      <w:r>
        <w:rPr>
          <w:sz w:val="22"/>
        </w:rPr>
        <w:t>Weintraub</w:t>
      </w:r>
      <w:r>
        <w:rPr>
          <w:spacing w:val="-2"/>
          <w:sz w:val="22"/>
        </w:rPr>
        <w:t> </w:t>
      </w:r>
      <w:r>
        <w:rPr>
          <w:sz w:val="22"/>
        </w:rPr>
        <w:t>R, Szechtman</w:t>
      </w:r>
      <w:r>
        <w:rPr>
          <w:spacing w:val="-2"/>
          <w:sz w:val="22"/>
        </w:rPr>
        <w:t> </w:t>
      </w:r>
      <w:r>
        <w:rPr>
          <w:sz w:val="22"/>
        </w:rPr>
        <w:t>B,</w:t>
      </w:r>
      <w:r>
        <w:rPr>
          <w:spacing w:val="-3"/>
          <w:sz w:val="22"/>
        </w:rPr>
        <w:t> </w:t>
      </w:r>
      <w:r>
        <w:rPr>
          <w:sz w:val="22"/>
        </w:rPr>
        <w:t>Hughes M,</w:t>
      </w:r>
      <w:r>
        <w:rPr>
          <w:spacing w:val="-1"/>
          <w:sz w:val="22"/>
        </w:rPr>
        <w:t> </w:t>
      </w:r>
      <w:r>
        <w:rPr>
          <w:sz w:val="22"/>
        </w:rPr>
        <w:t>Andrew</w:t>
      </w:r>
      <w:r>
        <w:rPr>
          <w:spacing w:val="-3"/>
          <w:sz w:val="22"/>
        </w:rPr>
        <w:t> </w:t>
      </w:r>
      <w:r>
        <w:rPr>
          <w:sz w:val="22"/>
        </w:rPr>
        <w:t>M and McCrindle BW. A multicenter, randomized trial comparing heparin/warfarin and acetylsalicylic acid as primary thromboprophylaxis for 2 years after the Fontan procedure in children. </w:t>
      </w:r>
      <w:r>
        <w:rPr>
          <w:i/>
          <w:sz w:val="22"/>
        </w:rPr>
        <w:t>Journal of the American College of Cardiology</w:t>
      </w:r>
      <w:r>
        <w:rPr>
          <w:sz w:val="22"/>
        </w:rPr>
        <w:t>. 2011;58:645-51.</w:t>
      </w:r>
    </w:p>
    <w:p>
      <w:pPr>
        <w:pStyle w:val="ListParagraph"/>
        <w:numPr>
          <w:ilvl w:val="0"/>
          <w:numId w:val="4"/>
        </w:numPr>
        <w:tabs>
          <w:tab w:pos="498" w:val="left" w:leader="none"/>
          <w:tab w:pos="501" w:val="left" w:leader="none"/>
        </w:tabs>
        <w:spacing w:line="276" w:lineRule="auto" w:before="1" w:after="0"/>
        <w:ind w:left="501" w:right="334" w:hanging="360"/>
        <w:jc w:val="left"/>
        <w:rPr>
          <w:sz w:val="22"/>
        </w:rPr>
      </w:pPr>
      <w:r>
        <w:rPr>
          <w:sz w:val="22"/>
        </w:rPr>
        <w:t>McCrindle BW, Manlhiot C, Cochrane A, Roberts R, Hughes M, Szechtman B, Weintraub R, Andrew</w:t>
      </w:r>
      <w:r>
        <w:rPr>
          <w:spacing w:val="-2"/>
          <w:sz w:val="22"/>
        </w:rPr>
        <w:t> </w:t>
      </w:r>
      <w:r>
        <w:rPr>
          <w:sz w:val="22"/>
        </w:rPr>
        <w:t>M</w:t>
      </w:r>
      <w:r>
        <w:rPr>
          <w:spacing w:val="-3"/>
          <w:sz w:val="22"/>
        </w:rPr>
        <w:t> </w:t>
      </w:r>
      <w:r>
        <w:rPr>
          <w:sz w:val="22"/>
        </w:rPr>
        <w:t>and</w:t>
      </w:r>
      <w:r>
        <w:rPr>
          <w:spacing w:val="-4"/>
          <w:sz w:val="22"/>
        </w:rPr>
        <w:t> </w:t>
      </w:r>
      <w:r>
        <w:rPr>
          <w:sz w:val="22"/>
        </w:rPr>
        <w:t>Monagle</w:t>
      </w:r>
      <w:r>
        <w:rPr>
          <w:spacing w:val="-4"/>
          <w:sz w:val="22"/>
        </w:rPr>
        <w:t> </w:t>
      </w:r>
      <w:r>
        <w:rPr>
          <w:sz w:val="22"/>
        </w:rPr>
        <w:t>P.</w:t>
      </w:r>
      <w:r>
        <w:rPr>
          <w:spacing w:val="-5"/>
          <w:sz w:val="22"/>
        </w:rPr>
        <w:t> </w:t>
      </w:r>
      <w:r>
        <w:rPr>
          <w:sz w:val="22"/>
        </w:rPr>
        <w:t>Factors</w:t>
      </w:r>
      <w:r>
        <w:rPr>
          <w:spacing w:val="-5"/>
          <w:sz w:val="22"/>
        </w:rPr>
        <w:t> </w:t>
      </w:r>
      <w:r>
        <w:rPr>
          <w:sz w:val="22"/>
        </w:rPr>
        <w:t>associated</w:t>
      </w:r>
      <w:r>
        <w:rPr>
          <w:spacing w:val="-2"/>
          <w:sz w:val="22"/>
        </w:rPr>
        <w:t> </w:t>
      </w:r>
      <w:r>
        <w:rPr>
          <w:sz w:val="22"/>
        </w:rPr>
        <w:t>with</w:t>
      </w:r>
      <w:r>
        <w:rPr>
          <w:spacing w:val="-6"/>
          <w:sz w:val="22"/>
        </w:rPr>
        <w:t> </w:t>
      </w:r>
      <w:r>
        <w:rPr>
          <w:sz w:val="22"/>
        </w:rPr>
        <w:t>thrombotic</w:t>
      </w:r>
      <w:r>
        <w:rPr>
          <w:spacing w:val="-5"/>
          <w:sz w:val="22"/>
        </w:rPr>
        <w:t> </w:t>
      </w:r>
      <w:r>
        <w:rPr>
          <w:sz w:val="22"/>
        </w:rPr>
        <w:t>complications</w:t>
      </w:r>
      <w:r>
        <w:rPr>
          <w:spacing w:val="-5"/>
          <w:sz w:val="22"/>
        </w:rPr>
        <w:t> </w:t>
      </w:r>
      <w:r>
        <w:rPr>
          <w:sz w:val="22"/>
        </w:rPr>
        <w:t>after</w:t>
      </w:r>
      <w:r>
        <w:rPr>
          <w:spacing w:val="-2"/>
          <w:sz w:val="22"/>
        </w:rPr>
        <w:t> </w:t>
      </w:r>
      <w:r>
        <w:rPr>
          <w:sz w:val="22"/>
        </w:rPr>
        <w:t>the</w:t>
      </w:r>
      <w:r>
        <w:rPr>
          <w:spacing w:val="-2"/>
          <w:sz w:val="22"/>
        </w:rPr>
        <w:t> </w:t>
      </w:r>
      <w:r>
        <w:rPr>
          <w:sz w:val="22"/>
        </w:rPr>
        <w:t>Fontan procedure: a secondary analysis of a multicenter, randomized trial of primary</w:t>
      </w:r>
    </w:p>
    <w:p>
      <w:pPr>
        <w:pStyle w:val="ListParagraph"/>
        <w:spacing w:after="0" w:line="276" w:lineRule="auto"/>
        <w:jc w:val="left"/>
        <w:rPr>
          <w:sz w:val="22"/>
        </w:rPr>
        <w:sectPr>
          <w:pgSz w:w="11910" w:h="16840"/>
          <w:pgMar w:header="0" w:footer="750" w:top="1360" w:bottom="940" w:left="1275" w:right="1417"/>
        </w:sectPr>
      </w:pPr>
    </w:p>
    <w:p>
      <w:pPr>
        <w:spacing w:line="276" w:lineRule="auto" w:before="35"/>
        <w:ind w:left="501" w:right="0" w:firstLine="0"/>
        <w:jc w:val="left"/>
        <w:rPr>
          <w:sz w:val="22"/>
        </w:rPr>
      </w:pPr>
      <w:r>
        <w:rPr>
          <w:sz w:val="22"/>
        </w:rPr>
        <w:t>thromboprophylaxis</w:t>
      </w:r>
      <w:r>
        <w:rPr>
          <w:spacing w:val="-5"/>
          <w:sz w:val="22"/>
        </w:rPr>
        <w:t> </w:t>
      </w:r>
      <w:r>
        <w:rPr>
          <w:sz w:val="22"/>
        </w:rPr>
        <w:t>for</w:t>
      </w:r>
      <w:r>
        <w:rPr>
          <w:spacing w:val="-5"/>
          <w:sz w:val="22"/>
        </w:rPr>
        <w:t> </w:t>
      </w:r>
      <w:r>
        <w:rPr>
          <w:sz w:val="22"/>
        </w:rPr>
        <w:t>2</w:t>
      </w:r>
      <w:r>
        <w:rPr>
          <w:spacing w:val="-3"/>
          <w:sz w:val="22"/>
        </w:rPr>
        <w:t> </w:t>
      </w:r>
      <w:r>
        <w:rPr>
          <w:sz w:val="22"/>
        </w:rPr>
        <w:t>years</w:t>
      </w:r>
      <w:r>
        <w:rPr>
          <w:spacing w:val="-2"/>
          <w:sz w:val="22"/>
        </w:rPr>
        <w:t> </w:t>
      </w:r>
      <w:r>
        <w:rPr>
          <w:sz w:val="22"/>
        </w:rPr>
        <w:t>after</w:t>
      </w:r>
      <w:r>
        <w:rPr>
          <w:spacing w:val="-2"/>
          <w:sz w:val="22"/>
        </w:rPr>
        <w:t> </w:t>
      </w:r>
      <w:r>
        <w:rPr>
          <w:sz w:val="22"/>
        </w:rPr>
        <w:t>the</w:t>
      </w:r>
      <w:r>
        <w:rPr>
          <w:spacing w:val="-2"/>
          <w:sz w:val="22"/>
        </w:rPr>
        <w:t> </w:t>
      </w:r>
      <w:r>
        <w:rPr>
          <w:sz w:val="22"/>
        </w:rPr>
        <w:t>Fontan</w:t>
      </w:r>
      <w:r>
        <w:rPr>
          <w:spacing w:val="-3"/>
          <w:sz w:val="22"/>
        </w:rPr>
        <w:t> </w:t>
      </w:r>
      <w:r>
        <w:rPr>
          <w:sz w:val="22"/>
        </w:rPr>
        <w:t>procedure. </w:t>
      </w:r>
      <w:r>
        <w:rPr>
          <w:i/>
          <w:sz w:val="22"/>
        </w:rPr>
        <w:t>Journal</w:t>
      </w:r>
      <w:r>
        <w:rPr>
          <w:i/>
          <w:spacing w:val="-2"/>
          <w:sz w:val="22"/>
        </w:rPr>
        <w:t> </w:t>
      </w:r>
      <w:r>
        <w:rPr>
          <w:i/>
          <w:sz w:val="22"/>
        </w:rPr>
        <w:t>of</w:t>
      </w:r>
      <w:r>
        <w:rPr>
          <w:i/>
          <w:spacing w:val="-2"/>
          <w:sz w:val="22"/>
        </w:rPr>
        <w:t> </w:t>
      </w:r>
      <w:r>
        <w:rPr>
          <w:i/>
          <w:sz w:val="22"/>
        </w:rPr>
        <w:t>the</w:t>
      </w:r>
      <w:r>
        <w:rPr>
          <w:i/>
          <w:spacing w:val="-2"/>
          <w:sz w:val="22"/>
        </w:rPr>
        <w:t> </w:t>
      </w:r>
      <w:r>
        <w:rPr>
          <w:i/>
          <w:sz w:val="22"/>
        </w:rPr>
        <w:t>American</w:t>
      </w:r>
      <w:r>
        <w:rPr>
          <w:i/>
          <w:spacing w:val="-3"/>
          <w:sz w:val="22"/>
        </w:rPr>
        <w:t> </w:t>
      </w:r>
      <w:r>
        <w:rPr>
          <w:i/>
          <w:sz w:val="22"/>
        </w:rPr>
        <w:t>College</w:t>
      </w:r>
      <w:r>
        <w:rPr>
          <w:i/>
          <w:spacing w:val="-2"/>
          <w:sz w:val="22"/>
        </w:rPr>
        <w:t> </w:t>
      </w:r>
      <w:r>
        <w:rPr>
          <w:i/>
          <w:sz w:val="22"/>
        </w:rPr>
        <w:t>of</w:t>
      </w:r>
      <w:r>
        <w:rPr>
          <w:i/>
          <w:sz w:val="22"/>
        </w:rPr>
        <w:t> Cardiology</w:t>
      </w:r>
      <w:r>
        <w:rPr>
          <w:sz w:val="22"/>
        </w:rPr>
        <w:t>. 2013;61:346-53.</w:t>
      </w:r>
    </w:p>
    <w:p>
      <w:pPr>
        <w:pStyle w:val="ListParagraph"/>
        <w:numPr>
          <w:ilvl w:val="0"/>
          <w:numId w:val="4"/>
        </w:numPr>
        <w:tabs>
          <w:tab w:pos="498" w:val="left" w:leader="none"/>
          <w:tab w:pos="501" w:val="left" w:leader="none"/>
        </w:tabs>
        <w:spacing w:line="276" w:lineRule="auto" w:before="1" w:after="0"/>
        <w:ind w:left="501" w:right="270" w:hanging="360"/>
        <w:jc w:val="left"/>
        <w:rPr>
          <w:sz w:val="22"/>
        </w:rPr>
      </w:pPr>
      <w:r>
        <w:rPr>
          <w:sz w:val="22"/>
        </w:rPr>
        <w:t>Potter</w:t>
      </w:r>
      <w:r>
        <w:rPr>
          <w:spacing w:val="-4"/>
          <w:sz w:val="22"/>
        </w:rPr>
        <w:t> </w:t>
      </w:r>
      <w:r>
        <w:rPr>
          <w:sz w:val="22"/>
        </w:rPr>
        <w:t>BJ,</w:t>
      </w:r>
      <w:r>
        <w:rPr>
          <w:spacing w:val="-2"/>
          <w:sz w:val="22"/>
        </w:rPr>
        <w:t> </w:t>
      </w:r>
      <w:r>
        <w:rPr>
          <w:sz w:val="22"/>
        </w:rPr>
        <w:t>Leong-Sit</w:t>
      </w:r>
      <w:r>
        <w:rPr>
          <w:spacing w:val="-4"/>
          <w:sz w:val="22"/>
        </w:rPr>
        <w:t> </w:t>
      </w:r>
      <w:r>
        <w:rPr>
          <w:sz w:val="22"/>
        </w:rPr>
        <w:t>P,</w:t>
      </w:r>
      <w:r>
        <w:rPr>
          <w:spacing w:val="-2"/>
          <w:sz w:val="22"/>
        </w:rPr>
        <w:t> </w:t>
      </w:r>
      <w:r>
        <w:rPr>
          <w:sz w:val="22"/>
        </w:rPr>
        <w:t>Fernandes</w:t>
      </w:r>
      <w:r>
        <w:rPr>
          <w:spacing w:val="-1"/>
          <w:sz w:val="22"/>
        </w:rPr>
        <w:t> </w:t>
      </w:r>
      <w:r>
        <w:rPr>
          <w:sz w:val="22"/>
        </w:rPr>
        <w:t>SM,</w:t>
      </w:r>
      <w:r>
        <w:rPr>
          <w:spacing w:val="-2"/>
          <w:sz w:val="22"/>
        </w:rPr>
        <w:t> </w:t>
      </w:r>
      <w:r>
        <w:rPr>
          <w:sz w:val="22"/>
        </w:rPr>
        <w:t>Feifer</w:t>
      </w:r>
      <w:r>
        <w:rPr>
          <w:spacing w:val="-2"/>
          <w:sz w:val="22"/>
        </w:rPr>
        <w:t> </w:t>
      </w:r>
      <w:r>
        <w:rPr>
          <w:sz w:val="22"/>
        </w:rPr>
        <w:t>A,</w:t>
      </w:r>
      <w:r>
        <w:rPr>
          <w:spacing w:val="-2"/>
          <w:sz w:val="22"/>
        </w:rPr>
        <w:t> </w:t>
      </w:r>
      <w:r>
        <w:rPr>
          <w:sz w:val="22"/>
        </w:rPr>
        <w:t>Mayer</w:t>
      </w:r>
      <w:r>
        <w:rPr>
          <w:spacing w:val="-5"/>
          <w:sz w:val="22"/>
        </w:rPr>
        <w:t> </w:t>
      </w:r>
      <w:r>
        <w:rPr>
          <w:sz w:val="22"/>
        </w:rPr>
        <w:t>JE,</w:t>
      </w:r>
      <w:r>
        <w:rPr>
          <w:spacing w:val="-2"/>
          <w:sz w:val="22"/>
        </w:rPr>
        <w:t> </w:t>
      </w:r>
      <w:r>
        <w:rPr>
          <w:sz w:val="22"/>
        </w:rPr>
        <w:t>Jr.,</w:t>
      </w:r>
      <w:r>
        <w:rPr>
          <w:spacing w:val="-2"/>
          <w:sz w:val="22"/>
        </w:rPr>
        <w:t> </w:t>
      </w:r>
      <w:r>
        <w:rPr>
          <w:sz w:val="22"/>
        </w:rPr>
        <w:t>Triedman</w:t>
      </w:r>
      <w:r>
        <w:rPr>
          <w:spacing w:val="-3"/>
          <w:sz w:val="22"/>
        </w:rPr>
        <w:t> </w:t>
      </w:r>
      <w:r>
        <w:rPr>
          <w:sz w:val="22"/>
        </w:rPr>
        <w:t>JK,</w:t>
      </w:r>
      <w:r>
        <w:rPr>
          <w:spacing w:val="-5"/>
          <w:sz w:val="22"/>
        </w:rPr>
        <w:t> </w:t>
      </w:r>
      <w:r>
        <w:rPr>
          <w:sz w:val="22"/>
        </w:rPr>
        <w:t>Walsh</w:t>
      </w:r>
      <w:r>
        <w:rPr>
          <w:spacing w:val="-5"/>
          <w:sz w:val="22"/>
        </w:rPr>
        <w:t> </w:t>
      </w:r>
      <w:r>
        <w:rPr>
          <w:sz w:val="22"/>
        </w:rPr>
        <w:t>EP,</w:t>
      </w:r>
      <w:r>
        <w:rPr>
          <w:spacing w:val="-4"/>
          <w:sz w:val="22"/>
        </w:rPr>
        <w:t> </w:t>
      </w:r>
      <w:r>
        <w:rPr>
          <w:sz w:val="22"/>
        </w:rPr>
        <w:t>Landzberg MJ and Khairy P. Effect of aspirin and warfarin therapy on thromboembolic events in patients with univentricular hearts and Fontan palliation. </w:t>
      </w:r>
      <w:r>
        <w:rPr>
          <w:i/>
          <w:sz w:val="22"/>
        </w:rPr>
        <w:t>International journal of cardiology</w:t>
      </w:r>
      <w:r>
        <w:rPr>
          <w:sz w:val="22"/>
        </w:rPr>
        <w:t>. </w:t>
      </w:r>
      <w:r>
        <w:rPr>
          <w:spacing w:val="-2"/>
          <w:sz w:val="22"/>
        </w:rPr>
        <w:t>2013;168:3940-3.</w:t>
      </w:r>
    </w:p>
    <w:p>
      <w:pPr>
        <w:pStyle w:val="ListParagraph"/>
        <w:numPr>
          <w:ilvl w:val="0"/>
          <w:numId w:val="4"/>
        </w:numPr>
        <w:tabs>
          <w:tab w:pos="498" w:val="left" w:leader="none"/>
          <w:tab w:pos="501" w:val="left" w:leader="none"/>
        </w:tabs>
        <w:spacing w:line="276" w:lineRule="auto" w:before="1" w:after="0"/>
        <w:ind w:left="501" w:right="210" w:hanging="360"/>
        <w:jc w:val="left"/>
        <w:rPr>
          <w:sz w:val="22"/>
        </w:rPr>
      </w:pPr>
      <w:r>
        <w:rPr>
          <w:sz w:val="22"/>
        </w:rPr>
        <w:t>Hirsh J, Dalen J, Anderson DR, Poller L, Bussey H, Ansell J and Deykin D. Oral anticoagulants: mechanism</w:t>
      </w:r>
      <w:r>
        <w:rPr>
          <w:spacing w:val="-4"/>
          <w:sz w:val="22"/>
        </w:rPr>
        <w:t> </w:t>
      </w:r>
      <w:r>
        <w:rPr>
          <w:sz w:val="22"/>
        </w:rPr>
        <w:t>of</w:t>
      </w:r>
      <w:r>
        <w:rPr>
          <w:spacing w:val="-3"/>
          <w:sz w:val="22"/>
        </w:rPr>
        <w:t> </w:t>
      </w:r>
      <w:r>
        <w:rPr>
          <w:sz w:val="22"/>
        </w:rPr>
        <w:t>action,</w:t>
      </w:r>
      <w:r>
        <w:rPr>
          <w:spacing w:val="-6"/>
          <w:sz w:val="22"/>
        </w:rPr>
        <w:t> </w:t>
      </w:r>
      <w:r>
        <w:rPr>
          <w:sz w:val="22"/>
        </w:rPr>
        <w:t>clinical</w:t>
      </w:r>
      <w:r>
        <w:rPr>
          <w:spacing w:val="-3"/>
          <w:sz w:val="22"/>
        </w:rPr>
        <w:t> </w:t>
      </w:r>
      <w:r>
        <w:rPr>
          <w:sz w:val="22"/>
        </w:rPr>
        <w:t>effectiveness,</w:t>
      </w:r>
      <w:r>
        <w:rPr>
          <w:spacing w:val="-5"/>
          <w:sz w:val="22"/>
        </w:rPr>
        <w:t> </w:t>
      </w:r>
      <w:r>
        <w:rPr>
          <w:sz w:val="22"/>
        </w:rPr>
        <w:t>and</w:t>
      </w:r>
      <w:r>
        <w:rPr>
          <w:spacing w:val="-5"/>
          <w:sz w:val="22"/>
        </w:rPr>
        <w:t> </w:t>
      </w:r>
      <w:r>
        <w:rPr>
          <w:sz w:val="22"/>
        </w:rPr>
        <w:t>optimal</w:t>
      </w:r>
      <w:r>
        <w:rPr>
          <w:spacing w:val="-3"/>
          <w:sz w:val="22"/>
        </w:rPr>
        <w:t> </w:t>
      </w:r>
      <w:r>
        <w:rPr>
          <w:sz w:val="22"/>
        </w:rPr>
        <w:t>therapeutic</w:t>
      </w:r>
      <w:r>
        <w:rPr>
          <w:spacing w:val="-3"/>
          <w:sz w:val="22"/>
        </w:rPr>
        <w:t> </w:t>
      </w:r>
      <w:r>
        <w:rPr>
          <w:sz w:val="22"/>
        </w:rPr>
        <w:t>range.</w:t>
      </w:r>
      <w:r>
        <w:rPr>
          <w:spacing w:val="-1"/>
          <w:sz w:val="22"/>
        </w:rPr>
        <w:t> </w:t>
      </w:r>
      <w:r>
        <w:rPr>
          <w:i/>
          <w:sz w:val="22"/>
        </w:rPr>
        <w:t>Chest</w:t>
      </w:r>
      <w:r>
        <w:rPr>
          <w:sz w:val="22"/>
        </w:rPr>
        <w:t>.</w:t>
      </w:r>
      <w:r>
        <w:rPr>
          <w:spacing w:val="-3"/>
          <w:sz w:val="22"/>
        </w:rPr>
        <w:t> </w:t>
      </w:r>
      <w:r>
        <w:rPr>
          <w:sz w:val="22"/>
        </w:rPr>
        <w:t>2001;119:8s-</w:t>
      </w:r>
      <w:r>
        <w:rPr>
          <w:spacing w:val="-4"/>
          <w:sz w:val="22"/>
        </w:rPr>
        <w:t>21s.</w:t>
      </w:r>
    </w:p>
    <w:p>
      <w:pPr>
        <w:pStyle w:val="ListParagraph"/>
        <w:numPr>
          <w:ilvl w:val="0"/>
          <w:numId w:val="4"/>
        </w:numPr>
        <w:tabs>
          <w:tab w:pos="498" w:val="left" w:leader="none"/>
          <w:tab w:pos="501" w:val="left" w:leader="none"/>
        </w:tabs>
        <w:spacing w:line="276" w:lineRule="auto" w:before="0" w:after="0"/>
        <w:ind w:left="501" w:right="13" w:hanging="360"/>
        <w:jc w:val="left"/>
        <w:rPr>
          <w:sz w:val="22"/>
        </w:rPr>
      </w:pPr>
      <w:r>
        <w:rPr>
          <w:sz w:val="22"/>
        </w:rPr>
        <w:t>Maltz</w:t>
      </w:r>
      <w:r>
        <w:rPr>
          <w:spacing w:val="-3"/>
          <w:sz w:val="22"/>
        </w:rPr>
        <w:t> </w:t>
      </w:r>
      <w:r>
        <w:rPr>
          <w:sz w:val="22"/>
        </w:rPr>
        <w:t>LA,</w:t>
      </w:r>
      <w:r>
        <w:rPr>
          <w:spacing w:val="-2"/>
          <w:sz w:val="22"/>
        </w:rPr>
        <w:t> </w:t>
      </w:r>
      <w:r>
        <w:rPr>
          <w:sz w:val="22"/>
        </w:rPr>
        <w:t>Gauvreau</w:t>
      </w:r>
      <w:r>
        <w:rPr>
          <w:spacing w:val="-5"/>
          <w:sz w:val="22"/>
        </w:rPr>
        <w:t> </w:t>
      </w:r>
      <w:r>
        <w:rPr>
          <w:sz w:val="22"/>
        </w:rPr>
        <w:t>K,</w:t>
      </w:r>
      <w:r>
        <w:rPr>
          <w:spacing w:val="-2"/>
          <w:sz w:val="22"/>
        </w:rPr>
        <w:t> </w:t>
      </w:r>
      <w:r>
        <w:rPr>
          <w:sz w:val="22"/>
        </w:rPr>
        <w:t>Connor</w:t>
      </w:r>
      <w:r>
        <w:rPr>
          <w:spacing w:val="-2"/>
          <w:sz w:val="22"/>
        </w:rPr>
        <w:t> </w:t>
      </w:r>
      <w:r>
        <w:rPr>
          <w:sz w:val="22"/>
        </w:rPr>
        <w:t>JA</w:t>
      </w:r>
      <w:r>
        <w:rPr>
          <w:spacing w:val="-4"/>
          <w:sz w:val="22"/>
        </w:rPr>
        <w:t> </w:t>
      </w:r>
      <w:r>
        <w:rPr>
          <w:sz w:val="22"/>
        </w:rPr>
        <w:t>and</w:t>
      </w:r>
      <w:r>
        <w:rPr>
          <w:spacing w:val="-4"/>
          <w:sz w:val="22"/>
        </w:rPr>
        <w:t> </w:t>
      </w:r>
      <w:r>
        <w:rPr>
          <w:sz w:val="22"/>
        </w:rPr>
        <w:t>Jenkins</w:t>
      </w:r>
      <w:r>
        <w:rPr>
          <w:spacing w:val="-4"/>
          <w:sz w:val="22"/>
        </w:rPr>
        <w:t> </w:t>
      </w:r>
      <w:r>
        <w:rPr>
          <w:sz w:val="22"/>
        </w:rPr>
        <w:t>KJ.</w:t>
      </w:r>
      <w:r>
        <w:rPr>
          <w:spacing w:val="-3"/>
          <w:sz w:val="22"/>
        </w:rPr>
        <w:t> </w:t>
      </w:r>
      <w:r>
        <w:rPr>
          <w:sz w:val="22"/>
        </w:rPr>
        <w:t>Clopidogrel</w:t>
      </w:r>
      <w:r>
        <w:rPr>
          <w:spacing w:val="-2"/>
          <w:sz w:val="22"/>
        </w:rPr>
        <w:t> </w:t>
      </w:r>
      <w:r>
        <w:rPr>
          <w:sz w:val="22"/>
        </w:rPr>
        <w:t>in</w:t>
      </w:r>
      <w:r>
        <w:rPr>
          <w:spacing w:val="-3"/>
          <w:sz w:val="22"/>
        </w:rPr>
        <w:t> </w:t>
      </w:r>
      <w:r>
        <w:rPr>
          <w:sz w:val="22"/>
        </w:rPr>
        <w:t>a</w:t>
      </w:r>
      <w:r>
        <w:rPr>
          <w:spacing w:val="-2"/>
          <w:sz w:val="22"/>
        </w:rPr>
        <w:t> </w:t>
      </w:r>
      <w:r>
        <w:rPr>
          <w:sz w:val="22"/>
        </w:rPr>
        <w:t>pediatric</w:t>
      </w:r>
      <w:r>
        <w:rPr>
          <w:spacing w:val="-2"/>
          <w:sz w:val="22"/>
        </w:rPr>
        <w:t> </w:t>
      </w:r>
      <w:r>
        <w:rPr>
          <w:sz w:val="22"/>
        </w:rPr>
        <w:t>population:</w:t>
      </w:r>
      <w:r>
        <w:rPr>
          <w:spacing w:val="-2"/>
          <w:sz w:val="22"/>
        </w:rPr>
        <w:t> </w:t>
      </w:r>
      <w:r>
        <w:rPr>
          <w:sz w:val="22"/>
        </w:rPr>
        <w:t>prescribing practice and outcomes from a single center. </w:t>
      </w:r>
      <w:r>
        <w:rPr>
          <w:i/>
          <w:sz w:val="22"/>
        </w:rPr>
        <w:t>Pediatric cardiology</w:t>
      </w:r>
      <w:r>
        <w:rPr>
          <w:sz w:val="22"/>
        </w:rPr>
        <w:t>. 2009;30:99-105.</w:t>
      </w:r>
    </w:p>
    <w:p>
      <w:pPr>
        <w:pStyle w:val="ListParagraph"/>
        <w:numPr>
          <w:ilvl w:val="0"/>
          <w:numId w:val="4"/>
        </w:numPr>
        <w:tabs>
          <w:tab w:pos="498" w:val="left" w:leader="none"/>
          <w:tab w:pos="501" w:val="left" w:leader="none"/>
        </w:tabs>
        <w:spacing w:line="276" w:lineRule="auto" w:before="0" w:after="0"/>
        <w:ind w:left="501" w:right="480" w:hanging="360"/>
        <w:jc w:val="left"/>
        <w:rPr>
          <w:sz w:val="22"/>
        </w:rPr>
      </w:pPr>
      <w:r>
        <w:rPr>
          <w:sz w:val="22"/>
        </w:rPr>
        <w:t>Hanke</w:t>
      </w:r>
      <w:r>
        <w:rPr>
          <w:spacing w:val="-2"/>
          <w:sz w:val="22"/>
        </w:rPr>
        <w:t> </w:t>
      </w:r>
      <w:r>
        <w:rPr>
          <w:sz w:val="22"/>
        </w:rPr>
        <w:t>CA,</w:t>
      </w:r>
      <w:r>
        <w:rPr>
          <w:spacing w:val="-2"/>
          <w:sz w:val="22"/>
        </w:rPr>
        <w:t> </w:t>
      </w:r>
      <w:r>
        <w:rPr>
          <w:sz w:val="22"/>
        </w:rPr>
        <w:t>Stiller</w:t>
      </w:r>
      <w:r>
        <w:rPr>
          <w:spacing w:val="-2"/>
          <w:sz w:val="22"/>
        </w:rPr>
        <w:t> </w:t>
      </w:r>
      <w:r>
        <w:rPr>
          <w:sz w:val="22"/>
        </w:rPr>
        <w:t>B,</w:t>
      </w:r>
      <w:r>
        <w:rPr>
          <w:spacing w:val="-4"/>
          <w:sz w:val="22"/>
        </w:rPr>
        <w:t> </w:t>
      </w:r>
      <w:r>
        <w:rPr>
          <w:sz w:val="22"/>
        </w:rPr>
        <w:t>Nakamura</w:t>
      </w:r>
      <w:r>
        <w:rPr>
          <w:spacing w:val="-2"/>
          <w:sz w:val="22"/>
        </w:rPr>
        <w:t> </w:t>
      </w:r>
      <w:r>
        <w:rPr>
          <w:sz w:val="22"/>
        </w:rPr>
        <w:t>L,</w:t>
      </w:r>
      <w:r>
        <w:rPr>
          <w:spacing w:val="-2"/>
          <w:sz w:val="22"/>
        </w:rPr>
        <w:t> </w:t>
      </w:r>
      <w:r>
        <w:rPr>
          <w:sz w:val="22"/>
        </w:rPr>
        <w:t>Grohmann</w:t>
      </w:r>
      <w:r>
        <w:rPr>
          <w:spacing w:val="-3"/>
          <w:sz w:val="22"/>
        </w:rPr>
        <w:t> </w:t>
      </w:r>
      <w:r>
        <w:rPr>
          <w:sz w:val="22"/>
        </w:rPr>
        <w:t>J</w:t>
      </w:r>
      <w:r>
        <w:rPr>
          <w:spacing w:val="-2"/>
          <w:sz w:val="22"/>
        </w:rPr>
        <w:t> </w:t>
      </w:r>
      <w:r>
        <w:rPr>
          <w:sz w:val="22"/>
        </w:rPr>
        <w:t>and</w:t>
      </w:r>
      <w:r>
        <w:rPr>
          <w:spacing w:val="-3"/>
          <w:sz w:val="22"/>
        </w:rPr>
        <w:t> </w:t>
      </w:r>
      <w:r>
        <w:rPr>
          <w:sz w:val="22"/>
        </w:rPr>
        <w:t>Zieger</w:t>
      </w:r>
      <w:r>
        <w:rPr>
          <w:spacing w:val="-2"/>
          <w:sz w:val="22"/>
        </w:rPr>
        <w:t> </w:t>
      </w:r>
      <w:r>
        <w:rPr>
          <w:sz w:val="22"/>
        </w:rPr>
        <w:t>B.</w:t>
      </w:r>
      <w:r>
        <w:rPr>
          <w:spacing w:val="-4"/>
          <w:sz w:val="22"/>
        </w:rPr>
        <w:t> </w:t>
      </w:r>
      <w:r>
        <w:rPr>
          <w:sz w:val="22"/>
        </w:rPr>
        <w:t>Prophylactic</w:t>
      </w:r>
      <w:r>
        <w:rPr>
          <w:spacing w:val="-4"/>
          <w:sz w:val="22"/>
        </w:rPr>
        <w:t> </w:t>
      </w:r>
      <w:r>
        <w:rPr>
          <w:sz w:val="22"/>
        </w:rPr>
        <w:t>use</w:t>
      </w:r>
      <w:r>
        <w:rPr>
          <w:spacing w:val="-4"/>
          <w:sz w:val="22"/>
        </w:rPr>
        <w:t> </w:t>
      </w:r>
      <w:r>
        <w:rPr>
          <w:sz w:val="22"/>
        </w:rPr>
        <w:t>of</w:t>
      </w:r>
      <w:r>
        <w:rPr>
          <w:spacing w:val="-2"/>
          <w:sz w:val="22"/>
        </w:rPr>
        <w:t> </w:t>
      </w:r>
      <w:r>
        <w:rPr>
          <w:sz w:val="22"/>
        </w:rPr>
        <w:t>clopidogrel</w:t>
      </w:r>
      <w:r>
        <w:rPr>
          <w:spacing w:val="-2"/>
          <w:sz w:val="22"/>
        </w:rPr>
        <w:t> </w:t>
      </w:r>
      <w:r>
        <w:rPr>
          <w:sz w:val="22"/>
        </w:rPr>
        <w:t>in paediatric cardiac patients. </w:t>
      </w:r>
      <w:r>
        <w:rPr>
          <w:i/>
          <w:sz w:val="22"/>
        </w:rPr>
        <w:t>Klinische Padiatrie</w:t>
      </w:r>
      <w:r>
        <w:rPr>
          <w:sz w:val="22"/>
        </w:rPr>
        <w:t>. 2012;224:166-9.</w:t>
      </w:r>
    </w:p>
    <w:p>
      <w:pPr>
        <w:pStyle w:val="ListParagraph"/>
        <w:numPr>
          <w:ilvl w:val="0"/>
          <w:numId w:val="4"/>
        </w:numPr>
        <w:tabs>
          <w:tab w:pos="498" w:val="left" w:leader="none"/>
          <w:tab w:pos="501" w:val="left" w:leader="none"/>
        </w:tabs>
        <w:spacing w:line="276" w:lineRule="auto" w:before="0" w:after="0"/>
        <w:ind w:left="501" w:right="402" w:hanging="360"/>
        <w:jc w:val="left"/>
        <w:rPr>
          <w:sz w:val="22"/>
        </w:rPr>
      </w:pPr>
      <w:r>
        <w:rPr>
          <w:sz w:val="22"/>
        </w:rPr>
        <w:t>Wessel</w:t>
      </w:r>
      <w:r>
        <w:rPr>
          <w:spacing w:val="-1"/>
          <w:sz w:val="22"/>
        </w:rPr>
        <w:t> </w:t>
      </w:r>
      <w:r>
        <w:rPr>
          <w:sz w:val="22"/>
        </w:rPr>
        <w:t>DL,</w:t>
      </w:r>
      <w:r>
        <w:rPr>
          <w:spacing w:val="-1"/>
          <w:sz w:val="22"/>
        </w:rPr>
        <w:t> </w:t>
      </w:r>
      <w:r>
        <w:rPr>
          <w:sz w:val="22"/>
        </w:rPr>
        <w:t>Berger</w:t>
      </w:r>
      <w:r>
        <w:rPr>
          <w:spacing w:val="-1"/>
          <w:sz w:val="22"/>
        </w:rPr>
        <w:t> </w:t>
      </w:r>
      <w:r>
        <w:rPr>
          <w:sz w:val="22"/>
        </w:rPr>
        <w:t>F,</w:t>
      </w:r>
      <w:r>
        <w:rPr>
          <w:spacing w:val="-4"/>
          <w:sz w:val="22"/>
        </w:rPr>
        <w:t> </w:t>
      </w:r>
      <w:r>
        <w:rPr>
          <w:sz w:val="22"/>
        </w:rPr>
        <w:t>Li</w:t>
      </w:r>
      <w:r>
        <w:rPr>
          <w:spacing w:val="-1"/>
          <w:sz w:val="22"/>
        </w:rPr>
        <w:t> </w:t>
      </w:r>
      <w:r>
        <w:rPr>
          <w:sz w:val="22"/>
        </w:rPr>
        <w:t>JS,</w:t>
      </w:r>
      <w:r>
        <w:rPr>
          <w:spacing w:val="-4"/>
          <w:sz w:val="22"/>
        </w:rPr>
        <w:t> </w:t>
      </w:r>
      <w:r>
        <w:rPr>
          <w:sz w:val="22"/>
        </w:rPr>
        <w:t>Dahnert I,</w:t>
      </w:r>
      <w:r>
        <w:rPr>
          <w:spacing w:val="-4"/>
          <w:sz w:val="22"/>
        </w:rPr>
        <w:t> </w:t>
      </w:r>
      <w:r>
        <w:rPr>
          <w:sz w:val="22"/>
        </w:rPr>
        <w:t>Rakhit</w:t>
      </w:r>
      <w:r>
        <w:rPr>
          <w:spacing w:val="-4"/>
          <w:sz w:val="22"/>
        </w:rPr>
        <w:t> </w:t>
      </w:r>
      <w:r>
        <w:rPr>
          <w:sz w:val="22"/>
        </w:rPr>
        <w:t>A,</w:t>
      </w:r>
      <w:r>
        <w:rPr>
          <w:spacing w:val="-1"/>
          <w:sz w:val="22"/>
        </w:rPr>
        <w:t> </w:t>
      </w:r>
      <w:r>
        <w:rPr>
          <w:sz w:val="22"/>
        </w:rPr>
        <w:t>Fontecave</w:t>
      </w:r>
      <w:r>
        <w:rPr>
          <w:spacing w:val="-1"/>
          <w:sz w:val="22"/>
        </w:rPr>
        <w:t> </w:t>
      </w:r>
      <w:r>
        <w:rPr>
          <w:sz w:val="22"/>
        </w:rPr>
        <w:t>S</w:t>
      </w:r>
      <w:r>
        <w:rPr>
          <w:spacing w:val="-4"/>
          <w:sz w:val="22"/>
        </w:rPr>
        <w:t> </w:t>
      </w:r>
      <w:r>
        <w:rPr>
          <w:sz w:val="22"/>
        </w:rPr>
        <w:t>and</w:t>
      </w:r>
      <w:r>
        <w:rPr>
          <w:spacing w:val="-2"/>
          <w:sz w:val="22"/>
        </w:rPr>
        <w:t> </w:t>
      </w:r>
      <w:r>
        <w:rPr>
          <w:sz w:val="22"/>
        </w:rPr>
        <w:t>Newburger</w:t>
      </w:r>
      <w:r>
        <w:rPr>
          <w:spacing w:val="-1"/>
          <w:sz w:val="22"/>
        </w:rPr>
        <w:t> </w:t>
      </w:r>
      <w:r>
        <w:rPr>
          <w:sz w:val="22"/>
        </w:rPr>
        <w:t>JW.</w:t>
      </w:r>
      <w:r>
        <w:rPr>
          <w:spacing w:val="-1"/>
          <w:sz w:val="22"/>
        </w:rPr>
        <w:t> </w:t>
      </w:r>
      <w:r>
        <w:rPr>
          <w:sz w:val="22"/>
        </w:rPr>
        <w:t>Clopidogrel in infants with systemic-to-pulmonary-artery shunts. </w:t>
      </w:r>
      <w:r>
        <w:rPr>
          <w:i/>
          <w:sz w:val="22"/>
        </w:rPr>
        <w:t>The New England journal of medicine</w:t>
      </w:r>
      <w:r>
        <w:rPr>
          <w:sz w:val="22"/>
        </w:rPr>
        <w:t>. </w:t>
      </w:r>
      <w:r>
        <w:rPr>
          <w:spacing w:val="-2"/>
          <w:sz w:val="22"/>
        </w:rPr>
        <w:t>2013;368:2377-84.</w:t>
      </w:r>
    </w:p>
    <w:p>
      <w:pPr>
        <w:pStyle w:val="ListParagraph"/>
        <w:numPr>
          <w:ilvl w:val="0"/>
          <w:numId w:val="4"/>
        </w:numPr>
        <w:tabs>
          <w:tab w:pos="498" w:val="left" w:leader="none"/>
          <w:tab w:pos="501" w:val="left" w:leader="none"/>
        </w:tabs>
        <w:spacing w:line="276" w:lineRule="auto" w:before="0" w:after="0"/>
        <w:ind w:left="501" w:right="55" w:hanging="360"/>
        <w:jc w:val="left"/>
        <w:rPr>
          <w:sz w:val="22"/>
        </w:rPr>
      </w:pPr>
      <w:r>
        <w:rPr>
          <w:sz w:val="22"/>
        </w:rPr>
        <w:t>Chun DS, Schamberger MS, Flaspohler T, Turrentine MW, Brown JW, Farrell AG and Girod DA. Incidence,</w:t>
      </w:r>
      <w:r>
        <w:rPr>
          <w:spacing w:val="-4"/>
          <w:sz w:val="22"/>
        </w:rPr>
        <w:t> </w:t>
      </w:r>
      <w:r>
        <w:rPr>
          <w:sz w:val="22"/>
        </w:rPr>
        <w:t>outcome,</w:t>
      </w:r>
      <w:r>
        <w:rPr>
          <w:spacing w:val="-2"/>
          <w:sz w:val="22"/>
        </w:rPr>
        <w:t> </w:t>
      </w:r>
      <w:r>
        <w:rPr>
          <w:sz w:val="22"/>
        </w:rPr>
        <w:t>and</w:t>
      </w:r>
      <w:r>
        <w:rPr>
          <w:spacing w:val="-3"/>
          <w:sz w:val="22"/>
        </w:rPr>
        <w:t> </w:t>
      </w:r>
      <w:r>
        <w:rPr>
          <w:sz w:val="22"/>
        </w:rPr>
        <w:t>risk</w:t>
      </w:r>
      <w:r>
        <w:rPr>
          <w:spacing w:val="-2"/>
          <w:sz w:val="22"/>
        </w:rPr>
        <w:t> </w:t>
      </w:r>
      <w:r>
        <w:rPr>
          <w:sz w:val="22"/>
        </w:rPr>
        <w:t>factors</w:t>
      </w:r>
      <w:r>
        <w:rPr>
          <w:spacing w:val="-5"/>
          <w:sz w:val="22"/>
        </w:rPr>
        <w:t> </w:t>
      </w:r>
      <w:r>
        <w:rPr>
          <w:sz w:val="22"/>
        </w:rPr>
        <w:t>for</w:t>
      </w:r>
      <w:r>
        <w:rPr>
          <w:spacing w:val="-4"/>
          <w:sz w:val="22"/>
        </w:rPr>
        <w:t> </w:t>
      </w:r>
      <w:r>
        <w:rPr>
          <w:sz w:val="22"/>
        </w:rPr>
        <w:t>stroke</w:t>
      </w:r>
      <w:r>
        <w:rPr>
          <w:spacing w:val="-4"/>
          <w:sz w:val="22"/>
        </w:rPr>
        <w:t> </w:t>
      </w:r>
      <w:r>
        <w:rPr>
          <w:sz w:val="22"/>
        </w:rPr>
        <w:t>after</w:t>
      </w:r>
      <w:r>
        <w:rPr>
          <w:spacing w:val="-5"/>
          <w:sz w:val="22"/>
        </w:rPr>
        <w:t> </w:t>
      </w:r>
      <w:r>
        <w:rPr>
          <w:sz w:val="22"/>
        </w:rPr>
        <w:t>the</w:t>
      </w:r>
      <w:r>
        <w:rPr>
          <w:spacing w:val="-2"/>
          <w:sz w:val="22"/>
        </w:rPr>
        <w:t> </w:t>
      </w:r>
      <w:r>
        <w:rPr>
          <w:sz w:val="22"/>
        </w:rPr>
        <w:t>Fontan</w:t>
      </w:r>
      <w:r>
        <w:rPr>
          <w:spacing w:val="-2"/>
          <w:sz w:val="22"/>
        </w:rPr>
        <w:t> </w:t>
      </w:r>
      <w:r>
        <w:rPr>
          <w:sz w:val="22"/>
        </w:rPr>
        <w:t>procedure.</w:t>
      </w:r>
      <w:r>
        <w:rPr>
          <w:spacing w:val="-1"/>
          <w:sz w:val="22"/>
        </w:rPr>
        <w:t> </w:t>
      </w:r>
      <w:r>
        <w:rPr>
          <w:i/>
          <w:sz w:val="22"/>
        </w:rPr>
        <w:t>The</w:t>
      </w:r>
      <w:r>
        <w:rPr>
          <w:i/>
          <w:spacing w:val="-4"/>
          <w:sz w:val="22"/>
        </w:rPr>
        <w:t> </w:t>
      </w:r>
      <w:r>
        <w:rPr>
          <w:i/>
          <w:sz w:val="22"/>
        </w:rPr>
        <w:t>American</w:t>
      </w:r>
      <w:r>
        <w:rPr>
          <w:i/>
          <w:spacing w:val="-3"/>
          <w:sz w:val="22"/>
        </w:rPr>
        <w:t> </w:t>
      </w:r>
      <w:r>
        <w:rPr>
          <w:i/>
          <w:sz w:val="22"/>
        </w:rPr>
        <w:t>journal</w:t>
      </w:r>
      <w:r>
        <w:rPr>
          <w:i/>
          <w:sz w:val="22"/>
        </w:rPr>
        <w:t> of cardiology</w:t>
      </w:r>
      <w:r>
        <w:rPr>
          <w:sz w:val="22"/>
        </w:rPr>
        <w:t>. 2004;93:117-9.</w:t>
      </w:r>
    </w:p>
    <w:p>
      <w:pPr>
        <w:pStyle w:val="ListParagraph"/>
        <w:numPr>
          <w:ilvl w:val="0"/>
          <w:numId w:val="4"/>
        </w:numPr>
        <w:tabs>
          <w:tab w:pos="498" w:val="left" w:leader="none"/>
          <w:tab w:pos="501" w:val="left" w:leader="none"/>
        </w:tabs>
        <w:spacing w:line="276" w:lineRule="auto" w:before="0" w:after="0"/>
        <w:ind w:left="501" w:right="82" w:hanging="360"/>
        <w:jc w:val="left"/>
        <w:rPr>
          <w:sz w:val="22"/>
        </w:rPr>
      </w:pPr>
      <w:r>
        <w:rPr>
          <w:sz w:val="22"/>
        </w:rPr>
        <w:t>Atz</w:t>
      </w:r>
      <w:r>
        <w:rPr>
          <w:spacing w:val="-2"/>
          <w:sz w:val="22"/>
        </w:rPr>
        <w:t> </w:t>
      </w:r>
      <w:r>
        <w:rPr>
          <w:sz w:val="22"/>
        </w:rPr>
        <w:t>AM,</w:t>
      </w:r>
      <w:r>
        <w:rPr>
          <w:spacing w:val="-3"/>
          <w:sz w:val="22"/>
        </w:rPr>
        <w:t> </w:t>
      </w:r>
      <w:r>
        <w:rPr>
          <w:sz w:val="22"/>
        </w:rPr>
        <w:t>Travison</w:t>
      </w:r>
      <w:r>
        <w:rPr>
          <w:spacing w:val="-4"/>
          <w:sz w:val="22"/>
        </w:rPr>
        <w:t> </w:t>
      </w:r>
      <w:r>
        <w:rPr>
          <w:sz w:val="22"/>
        </w:rPr>
        <w:t>TG,</w:t>
      </w:r>
      <w:r>
        <w:rPr>
          <w:spacing w:val="-3"/>
          <w:sz w:val="22"/>
        </w:rPr>
        <w:t> </w:t>
      </w:r>
      <w:r>
        <w:rPr>
          <w:sz w:val="22"/>
        </w:rPr>
        <w:t>McCrindle</w:t>
      </w:r>
      <w:r>
        <w:rPr>
          <w:spacing w:val="-1"/>
          <w:sz w:val="22"/>
        </w:rPr>
        <w:t> </w:t>
      </w:r>
      <w:r>
        <w:rPr>
          <w:sz w:val="22"/>
        </w:rPr>
        <w:t>BW,</w:t>
      </w:r>
      <w:r>
        <w:rPr>
          <w:spacing w:val="-3"/>
          <w:sz w:val="22"/>
        </w:rPr>
        <w:t> </w:t>
      </w:r>
      <w:r>
        <w:rPr>
          <w:sz w:val="22"/>
        </w:rPr>
        <w:t>Mahony</w:t>
      </w:r>
      <w:r>
        <w:rPr>
          <w:spacing w:val="-3"/>
          <w:sz w:val="22"/>
        </w:rPr>
        <w:t> </w:t>
      </w:r>
      <w:r>
        <w:rPr>
          <w:sz w:val="22"/>
        </w:rPr>
        <w:t>L,</w:t>
      </w:r>
      <w:r>
        <w:rPr>
          <w:spacing w:val="-1"/>
          <w:sz w:val="22"/>
        </w:rPr>
        <w:t> </w:t>
      </w:r>
      <w:r>
        <w:rPr>
          <w:sz w:val="22"/>
        </w:rPr>
        <w:t>Quartermain</w:t>
      </w:r>
      <w:r>
        <w:rPr>
          <w:spacing w:val="-5"/>
          <w:sz w:val="22"/>
        </w:rPr>
        <w:t> </w:t>
      </w:r>
      <w:r>
        <w:rPr>
          <w:sz w:val="22"/>
        </w:rPr>
        <w:t>M,</w:t>
      </w:r>
      <w:r>
        <w:rPr>
          <w:spacing w:val="-3"/>
          <w:sz w:val="22"/>
        </w:rPr>
        <w:t> </w:t>
      </w:r>
      <w:r>
        <w:rPr>
          <w:sz w:val="22"/>
        </w:rPr>
        <w:t>Williams</w:t>
      </w:r>
      <w:r>
        <w:rPr>
          <w:spacing w:val="-1"/>
          <w:sz w:val="22"/>
        </w:rPr>
        <w:t> </w:t>
      </w:r>
      <w:r>
        <w:rPr>
          <w:sz w:val="22"/>
        </w:rPr>
        <w:t>RV,</w:t>
      </w:r>
      <w:r>
        <w:rPr>
          <w:spacing w:val="-4"/>
          <w:sz w:val="22"/>
        </w:rPr>
        <w:t> </w:t>
      </w:r>
      <w:r>
        <w:rPr>
          <w:sz w:val="22"/>
        </w:rPr>
        <w:t>Breitbart</w:t>
      </w:r>
      <w:r>
        <w:rPr>
          <w:spacing w:val="-1"/>
          <w:sz w:val="22"/>
        </w:rPr>
        <w:t> </w:t>
      </w:r>
      <w:r>
        <w:rPr>
          <w:sz w:val="22"/>
        </w:rPr>
        <w:t>RE,</w:t>
      </w:r>
      <w:r>
        <w:rPr>
          <w:spacing w:val="-4"/>
          <w:sz w:val="22"/>
        </w:rPr>
        <w:t> </w:t>
      </w:r>
      <w:r>
        <w:rPr>
          <w:sz w:val="22"/>
        </w:rPr>
        <w:t>Lu</w:t>
      </w:r>
      <w:r>
        <w:rPr>
          <w:spacing w:val="-4"/>
          <w:sz w:val="22"/>
        </w:rPr>
        <w:t> </w:t>
      </w:r>
      <w:r>
        <w:rPr>
          <w:sz w:val="22"/>
        </w:rPr>
        <w:t>M, Radojewski E, Margossian R, Covitz W and Gersony WM. Late status of Fontan patients with persistent</w:t>
      </w:r>
      <w:r>
        <w:rPr>
          <w:spacing w:val="-4"/>
          <w:sz w:val="22"/>
        </w:rPr>
        <w:t> </w:t>
      </w:r>
      <w:r>
        <w:rPr>
          <w:sz w:val="22"/>
        </w:rPr>
        <w:t>surgical</w:t>
      </w:r>
      <w:r>
        <w:rPr>
          <w:spacing w:val="-3"/>
          <w:sz w:val="22"/>
        </w:rPr>
        <w:t> </w:t>
      </w:r>
      <w:r>
        <w:rPr>
          <w:sz w:val="22"/>
        </w:rPr>
        <w:t>fenestration.</w:t>
      </w:r>
      <w:r>
        <w:rPr>
          <w:spacing w:val="-1"/>
          <w:sz w:val="22"/>
        </w:rPr>
        <w:t> </w:t>
      </w:r>
      <w:r>
        <w:rPr>
          <w:i/>
          <w:sz w:val="22"/>
        </w:rPr>
        <w:t>Journal</w:t>
      </w:r>
      <w:r>
        <w:rPr>
          <w:i/>
          <w:spacing w:val="-2"/>
          <w:sz w:val="22"/>
        </w:rPr>
        <w:t> </w:t>
      </w:r>
      <w:r>
        <w:rPr>
          <w:i/>
          <w:sz w:val="22"/>
        </w:rPr>
        <w:t>of</w:t>
      </w:r>
      <w:r>
        <w:rPr>
          <w:i/>
          <w:spacing w:val="-5"/>
          <w:sz w:val="22"/>
        </w:rPr>
        <w:t> </w:t>
      </w:r>
      <w:r>
        <w:rPr>
          <w:i/>
          <w:sz w:val="22"/>
        </w:rPr>
        <w:t>the</w:t>
      </w:r>
      <w:r>
        <w:rPr>
          <w:i/>
          <w:spacing w:val="-2"/>
          <w:sz w:val="22"/>
        </w:rPr>
        <w:t> </w:t>
      </w:r>
      <w:r>
        <w:rPr>
          <w:i/>
          <w:sz w:val="22"/>
        </w:rPr>
        <w:t>American</w:t>
      </w:r>
      <w:r>
        <w:rPr>
          <w:i/>
          <w:spacing w:val="-3"/>
          <w:sz w:val="22"/>
        </w:rPr>
        <w:t> </w:t>
      </w:r>
      <w:r>
        <w:rPr>
          <w:i/>
          <w:sz w:val="22"/>
        </w:rPr>
        <w:t>College</w:t>
      </w:r>
      <w:r>
        <w:rPr>
          <w:i/>
          <w:spacing w:val="-2"/>
          <w:sz w:val="22"/>
        </w:rPr>
        <w:t> </w:t>
      </w:r>
      <w:r>
        <w:rPr>
          <w:i/>
          <w:sz w:val="22"/>
        </w:rPr>
        <w:t>of</w:t>
      </w:r>
      <w:r>
        <w:rPr>
          <w:i/>
          <w:spacing w:val="-3"/>
          <w:sz w:val="22"/>
        </w:rPr>
        <w:t> </w:t>
      </w:r>
      <w:r>
        <w:rPr>
          <w:i/>
          <w:sz w:val="22"/>
        </w:rPr>
        <w:t>Cardiology</w:t>
      </w:r>
      <w:r>
        <w:rPr>
          <w:sz w:val="22"/>
        </w:rPr>
        <w:t>.</w:t>
      </w:r>
      <w:r>
        <w:rPr>
          <w:spacing w:val="-5"/>
          <w:sz w:val="22"/>
        </w:rPr>
        <w:t> </w:t>
      </w:r>
      <w:r>
        <w:rPr>
          <w:sz w:val="22"/>
        </w:rPr>
        <w:t>2011;57:2437-43.</w:t>
      </w:r>
    </w:p>
    <w:p>
      <w:pPr>
        <w:pStyle w:val="ListParagraph"/>
        <w:numPr>
          <w:ilvl w:val="0"/>
          <w:numId w:val="4"/>
        </w:numPr>
        <w:tabs>
          <w:tab w:pos="498" w:val="left" w:leader="none"/>
          <w:tab w:pos="501" w:val="left" w:leader="none"/>
        </w:tabs>
        <w:spacing w:line="276" w:lineRule="auto" w:before="0" w:after="0"/>
        <w:ind w:left="501" w:right="437" w:hanging="360"/>
        <w:jc w:val="left"/>
        <w:rPr>
          <w:sz w:val="22"/>
        </w:rPr>
      </w:pPr>
      <w:r>
        <w:rPr>
          <w:sz w:val="22"/>
        </w:rPr>
        <w:t>Cromme-Dijkhuis AH, Henkens CM, Bijleveld CM, Hillege HL, Bom VJ and van der Meer J. Coagulation</w:t>
      </w:r>
      <w:r>
        <w:rPr>
          <w:spacing w:val="-3"/>
          <w:sz w:val="22"/>
        </w:rPr>
        <w:t> </w:t>
      </w:r>
      <w:r>
        <w:rPr>
          <w:sz w:val="22"/>
        </w:rPr>
        <w:t>factor</w:t>
      </w:r>
      <w:r>
        <w:rPr>
          <w:spacing w:val="-2"/>
          <w:sz w:val="22"/>
        </w:rPr>
        <w:t> </w:t>
      </w:r>
      <w:r>
        <w:rPr>
          <w:sz w:val="22"/>
        </w:rPr>
        <w:t>abnormalities</w:t>
      </w:r>
      <w:r>
        <w:rPr>
          <w:spacing w:val="-1"/>
          <w:sz w:val="22"/>
        </w:rPr>
        <w:t> </w:t>
      </w:r>
      <w:r>
        <w:rPr>
          <w:sz w:val="22"/>
        </w:rPr>
        <w:t>as</w:t>
      </w:r>
      <w:r>
        <w:rPr>
          <w:spacing w:val="-5"/>
          <w:sz w:val="22"/>
        </w:rPr>
        <w:t> </w:t>
      </w:r>
      <w:r>
        <w:rPr>
          <w:sz w:val="22"/>
        </w:rPr>
        <w:t>possible</w:t>
      </w:r>
      <w:r>
        <w:rPr>
          <w:spacing w:val="-2"/>
          <w:sz w:val="22"/>
        </w:rPr>
        <w:t> </w:t>
      </w:r>
      <w:r>
        <w:rPr>
          <w:sz w:val="22"/>
        </w:rPr>
        <w:t>thrombotic</w:t>
      </w:r>
      <w:r>
        <w:rPr>
          <w:spacing w:val="-2"/>
          <w:sz w:val="22"/>
        </w:rPr>
        <w:t> </w:t>
      </w:r>
      <w:r>
        <w:rPr>
          <w:sz w:val="22"/>
        </w:rPr>
        <w:t>risk</w:t>
      </w:r>
      <w:r>
        <w:rPr>
          <w:spacing w:val="-5"/>
          <w:sz w:val="22"/>
        </w:rPr>
        <w:t> </w:t>
      </w:r>
      <w:r>
        <w:rPr>
          <w:sz w:val="22"/>
        </w:rPr>
        <w:t>factors</w:t>
      </w:r>
      <w:r>
        <w:rPr>
          <w:spacing w:val="-2"/>
          <w:sz w:val="22"/>
        </w:rPr>
        <w:t> </w:t>
      </w:r>
      <w:r>
        <w:rPr>
          <w:sz w:val="22"/>
        </w:rPr>
        <w:t>after</w:t>
      </w:r>
      <w:r>
        <w:rPr>
          <w:spacing w:val="-2"/>
          <w:sz w:val="22"/>
        </w:rPr>
        <w:t> </w:t>
      </w:r>
      <w:r>
        <w:rPr>
          <w:sz w:val="22"/>
        </w:rPr>
        <w:t>Fontan</w:t>
      </w:r>
      <w:r>
        <w:rPr>
          <w:spacing w:val="-6"/>
          <w:sz w:val="22"/>
        </w:rPr>
        <w:t> </w:t>
      </w:r>
      <w:r>
        <w:rPr>
          <w:sz w:val="22"/>
        </w:rPr>
        <w:t>operations. </w:t>
      </w:r>
      <w:r>
        <w:rPr>
          <w:i/>
          <w:sz w:val="22"/>
        </w:rPr>
        <w:t>Lancet (London, England)</w:t>
      </w:r>
      <w:r>
        <w:rPr>
          <w:sz w:val="22"/>
        </w:rPr>
        <w:t>. 1990;336:1087-90.</w:t>
      </w:r>
    </w:p>
    <w:p>
      <w:pPr>
        <w:pStyle w:val="ListParagraph"/>
        <w:numPr>
          <w:ilvl w:val="0"/>
          <w:numId w:val="4"/>
        </w:numPr>
        <w:tabs>
          <w:tab w:pos="498" w:val="left" w:leader="none"/>
          <w:tab w:pos="501" w:val="left" w:leader="none"/>
        </w:tabs>
        <w:spacing w:line="276" w:lineRule="auto" w:before="0" w:after="0"/>
        <w:ind w:left="501" w:right="11" w:hanging="360"/>
        <w:jc w:val="left"/>
        <w:rPr>
          <w:sz w:val="22"/>
        </w:rPr>
      </w:pPr>
      <w:r>
        <w:rPr>
          <w:sz w:val="22"/>
        </w:rPr>
        <w:t>van</w:t>
      </w:r>
      <w:r>
        <w:rPr>
          <w:spacing w:val="-2"/>
          <w:sz w:val="22"/>
        </w:rPr>
        <w:t> </w:t>
      </w:r>
      <w:r>
        <w:rPr>
          <w:sz w:val="22"/>
        </w:rPr>
        <w:t>Nieuwenhuizen</w:t>
      </w:r>
      <w:r>
        <w:rPr>
          <w:spacing w:val="-1"/>
          <w:sz w:val="22"/>
        </w:rPr>
        <w:t> </w:t>
      </w:r>
      <w:r>
        <w:rPr>
          <w:sz w:val="22"/>
        </w:rPr>
        <w:t>RC,</w:t>
      </w:r>
      <w:r>
        <w:rPr>
          <w:spacing w:val="-3"/>
          <w:sz w:val="22"/>
        </w:rPr>
        <w:t> </w:t>
      </w:r>
      <w:r>
        <w:rPr>
          <w:sz w:val="22"/>
        </w:rPr>
        <w:t>Peters</w:t>
      </w:r>
      <w:r>
        <w:rPr>
          <w:spacing w:val="-1"/>
          <w:sz w:val="22"/>
        </w:rPr>
        <w:t> </w:t>
      </w:r>
      <w:r>
        <w:rPr>
          <w:sz w:val="22"/>
        </w:rPr>
        <w:t>M,</w:t>
      </w:r>
      <w:r>
        <w:rPr>
          <w:spacing w:val="-1"/>
          <w:sz w:val="22"/>
        </w:rPr>
        <w:t> </w:t>
      </w:r>
      <w:r>
        <w:rPr>
          <w:sz w:val="22"/>
        </w:rPr>
        <w:t>Lubbers</w:t>
      </w:r>
      <w:r>
        <w:rPr>
          <w:spacing w:val="-4"/>
          <w:sz w:val="22"/>
        </w:rPr>
        <w:t> </w:t>
      </w:r>
      <w:r>
        <w:rPr>
          <w:sz w:val="22"/>
        </w:rPr>
        <w:t>LJ,</w:t>
      </w:r>
      <w:r>
        <w:rPr>
          <w:spacing w:val="-3"/>
          <w:sz w:val="22"/>
        </w:rPr>
        <w:t> </w:t>
      </w:r>
      <w:r>
        <w:rPr>
          <w:sz w:val="22"/>
        </w:rPr>
        <w:t>Trip</w:t>
      </w:r>
      <w:r>
        <w:rPr>
          <w:spacing w:val="-2"/>
          <w:sz w:val="22"/>
        </w:rPr>
        <w:t> </w:t>
      </w:r>
      <w:r>
        <w:rPr>
          <w:sz w:val="22"/>
        </w:rPr>
        <w:t>MD,</w:t>
      </w:r>
      <w:r>
        <w:rPr>
          <w:spacing w:val="-4"/>
          <w:sz w:val="22"/>
        </w:rPr>
        <w:t> </w:t>
      </w:r>
      <w:r>
        <w:rPr>
          <w:sz w:val="22"/>
        </w:rPr>
        <w:t>Tijssen</w:t>
      </w:r>
      <w:r>
        <w:rPr>
          <w:spacing w:val="-1"/>
          <w:sz w:val="22"/>
        </w:rPr>
        <w:t> </w:t>
      </w:r>
      <w:r>
        <w:rPr>
          <w:sz w:val="22"/>
        </w:rPr>
        <w:t>JG</w:t>
      </w:r>
      <w:r>
        <w:rPr>
          <w:spacing w:val="-4"/>
          <w:sz w:val="22"/>
        </w:rPr>
        <w:t> </w:t>
      </w:r>
      <w:r>
        <w:rPr>
          <w:sz w:val="22"/>
        </w:rPr>
        <w:t>and</w:t>
      </w:r>
      <w:r>
        <w:rPr>
          <w:spacing w:val="-3"/>
          <w:sz w:val="22"/>
        </w:rPr>
        <w:t> </w:t>
      </w:r>
      <w:r>
        <w:rPr>
          <w:sz w:val="22"/>
        </w:rPr>
        <w:t>Mulder</w:t>
      </w:r>
      <w:r>
        <w:rPr>
          <w:spacing w:val="-3"/>
          <w:sz w:val="22"/>
        </w:rPr>
        <w:t> </w:t>
      </w:r>
      <w:r>
        <w:rPr>
          <w:sz w:val="22"/>
        </w:rPr>
        <w:t>BJ. Abnormalities in liver function and coagulation profile following the Fontan procedure. </w:t>
      </w:r>
      <w:r>
        <w:rPr>
          <w:i/>
          <w:sz w:val="22"/>
        </w:rPr>
        <w:t>Heart (British Cardiac</w:t>
      </w:r>
      <w:r>
        <w:rPr>
          <w:i/>
          <w:sz w:val="22"/>
        </w:rPr>
        <w:t> Society)</w:t>
      </w:r>
      <w:r>
        <w:rPr>
          <w:sz w:val="22"/>
        </w:rPr>
        <w:t>. 1999;82:40-6.</w:t>
      </w:r>
    </w:p>
    <w:p>
      <w:pPr>
        <w:pStyle w:val="ListParagraph"/>
        <w:numPr>
          <w:ilvl w:val="0"/>
          <w:numId w:val="4"/>
        </w:numPr>
        <w:tabs>
          <w:tab w:pos="498" w:val="left" w:leader="none"/>
          <w:tab w:pos="501" w:val="left" w:leader="none"/>
        </w:tabs>
        <w:spacing w:line="276" w:lineRule="auto" w:before="1" w:after="0"/>
        <w:ind w:left="501" w:right="91" w:hanging="360"/>
        <w:jc w:val="left"/>
        <w:rPr>
          <w:sz w:val="22"/>
        </w:rPr>
      </w:pPr>
      <w:r>
        <w:rPr>
          <w:sz w:val="22"/>
        </w:rPr>
        <w:t>Rauch</w:t>
      </w:r>
      <w:r>
        <w:rPr>
          <w:spacing w:val="-2"/>
          <w:sz w:val="22"/>
        </w:rPr>
        <w:t> </w:t>
      </w:r>
      <w:r>
        <w:rPr>
          <w:sz w:val="22"/>
        </w:rPr>
        <w:t>R,</w:t>
      </w:r>
      <w:r>
        <w:rPr>
          <w:spacing w:val="-2"/>
          <w:sz w:val="22"/>
        </w:rPr>
        <w:t> </w:t>
      </w:r>
      <w:r>
        <w:rPr>
          <w:sz w:val="22"/>
        </w:rPr>
        <w:t>Ries</w:t>
      </w:r>
      <w:r>
        <w:rPr>
          <w:spacing w:val="-4"/>
          <w:sz w:val="22"/>
        </w:rPr>
        <w:t> </w:t>
      </w:r>
      <w:r>
        <w:rPr>
          <w:sz w:val="22"/>
        </w:rPr>
        <w:t>M,</w:t>
      </w:r>
      <w:r>
        <w:rPr>
          <w:spacing w:val="-2"/>
          <w:sz w:val="22"/>
        </w:rPr>
        <w:t> </w:t>
      </w:r>
      <w:r>
        <w:rPr>
          <w:sz w:val="22"/>
        </w:rPr>
        <w:t>Hofbeck</w:t>
      </w:r>
      <w:r>
        <w:rPr>
          <w:spacing w:val="-6"/>
          <w:sz w:val="22"/>
        </w:rPr>
        <w:t> </w:t>
      </w:r>
      <w:r>
        <w:rPr>
          <w:sz w:val="22"/>
        </w:rPr>
        <w:t>M,</w:t>
      </w:r>
      <w:r>
        <w:rPr>
          <w:spacing w:val="-2"/>
          <w:sz w:val="22"/>
        </w:rPr>
        <w:t> </w:t>
      </w:r>
      <w:r>
        <w:rPr>
          <w:sz w:val="22"/>
        </w:rPr>
        <w:t>Buheitel</w:t>
      </w:r>
      <w:r>
        <w:rPr>
          <w:spacing w:val="-2"/>
          <w:sz w:val="22"/>
        </w:rPr>
        <w:t> </w:t>
      </w:r>
      <w:r>
        <w:rPr>
          <w:sz w:val="22"/>
        </w:rPr>
        <w:t>G,</w:t>
      </w:r>
      <w:r>
        <w:rPr>
          <w:spacing w:val="-4"/>
          <w:sz w:val="22"/>
        </w:rPr>
        <w:t> </w:t>
      </w:r>
      <w:r>
        <w:rPr>
          <w:sz w:val="22"/>
        </w:rPr>
        <w:t>Singer</w:t>
      </w:r>
      <w:r>
        <w:rPr>
          <w:spacing w:val="-2"/>
          <w:sz w:val="22"/>
        </w:rPr>
        <w:t> </w:t>
      </w:r>
      <w:r>
        <w:rPr>
          <w:sz w:val="22"/>
        </w:rPr>
        <w:t>H</w:t>
      </w:r>
      <w:r>
        <w:rPr>
          <w:spacing w:val="-3"/>
          <w:sz w:val="22"/>
        </w:rPr>
        <w:t> </w:t>
      </w:r>
      <w:r>
        <w:rPr>
          <w:sz w:val="22"/>
        </w:rPr>
        <w:t>and</w:t>
      </w:r>
      <w:r>
        <w:rPr>
          <w:spacing w:val="-3"/>
          <w:sz w:val="22"/>
        </w:rPr>
        <w:t> </w:t>
      </w:r>
      <w:r>
        <w:rPr>
          <w:sz w:val="22"/>
        </w:rPr>
        <w:t>Klinge</w:t>
      </w:r>
      <w:r>
        <w:rPr>
          <w:spacing w:val="-2"/>
          <w:sz w:val="22"/>
        </w:rPr>
        <w:t> </w:t>
      </w:r>
      <w:r>
        <w:rPr>
          <w:sz w:val="22"/>
        </w:rPr>
        <w:t>J.</w:t>
      </w:r>
      <w:r>
        <w:rPr>
          <w:spacing w:val="-2"/>
          <w:sz w:val="22"/>
        </w:rPr>
        <w:t> </w:t>
      </w:r>
      <w:r>
        <w:rPr>
          <w:sz w:val="22"/>
        </w:rPr>
        <w:t>Hemostatic</w:t>
      </w:r>
      <w:r>
        <w:rPr>
          <w:spacing w:val="-5"/>
          <w:sz w:val="22"/>
        </w:rPr>
        <w:t> </w:t>
      </w:r>
      <w:r>
        <w:rPr>
          <w:sz w:val="22"/>
        </w:rPr>
        <w:t>changes</w:t>
      </w:r>
      <w:r>
        <w:rPr>
          <w:spacing w:val="-1"/>
          <w:sz w:val="22"/>
        </w:rPr>
        <w:t> </w:t>
      </w:r>
      <w:r>
        <w:rPr>
          <w:sz w:val="22"/>
        </w:rPr>
        <w:t>following</w:t>
      </w:r>
      <w:r>
        <w:rPr>
          <w:spacing w:val="-6"/>
          <w:sz w:val="22"/>
        </w:rPr>
        <w:t> </w:t>
      </w:r>
      <w:r>
        <w:rPr>
          <w:sz w:val="22"/>
        </w:rPr>
        <w:t>the modified Fontan operation (total cavopulmonary connection). </w:t>
      </w:r>
      <w:r>
        <w:rPr>
          <w:i/>
          <w:sz w:val="22"/>
        </w:rPr>
        <w:t>Thrombosis and haemostasis</w:t>
      </w:r>
      <w:r>
        <w:rPr>
          <w:sz w:val="22"/>
        </w:rPr>
        <w:t>. </w:t>
      </w:r>
      <w:r>
        <w:rPr>
          <w:spacing w:val="-2"/>
          <w:sz w:val="22"/>
        </w:rPr>
        <w:t>2000;83:678-82.</w:t>
      </w:r>
    </w:p>
    <w:p>
      <w:pPr>
        <w:pStyle w:val="ListParagraph"/>
        <w:numPr>
          <w:ilvl w:val="0"/>
          <w:numId w:val="4"/>
        </w:numPr>
        <w:tabs>
          <w:tab w:pos="498" w:val="left" w:leader="none"/>
          <w:tab w:pos="501" w:val="left" w:leader="none"/>
        </w:tabs>
        <w:spacing w:line="276" w:lineRule="auto" w:before="0" w:after="0"/>
        <w:ind w:left="501" w:right="92" w:hanging="360"/>
        <w:jc w:val="left"/>
        <w:rPr>
          <w:sz w:val="22"/>
        </w:rPr>
      </w:pPr>
      <w:r>
        <w:rPr>
          <w:sz w:val="22"/>
        </w:rPr>
        <w:t>Tomita H, Yamada O, Ohuchi H, Ono Y, Arakaki Y, Yagihara T and Echigo S. Coagulation profile, hepatic</w:t>
      </w:r>
      <w:r>
        <w:rPr>
          <w:spacing w:val="-3"/>
          <w:sz w:val="22"/>
        </w:rPr>
        <w:t> </w:t>
      </w:r>
      <w:r>
        <w:rPr>
          <w:sz w:val="22"/>
        </w:rPr>
        <w:t>function,</w:t>
      </w:r>
      <w:r>
        <w:rPr>
          <w:spacing w:val="-3"/>
          <w:sz w:val="22"/>
        </w:rPr>
        <w:t> </w:t>
      </w:r>
      <w:r>
        <w:rPr>
          <w:sz w:val="22"/>
        </w:rPr>
        <w:t>and</w:t>
      </w:r>
      <w:r>
        <w:rPr>
          <w:spacing w:val="-5"/>
          <w:sz w:val="22"/>
        </w:rPr>
        <w:t> </w:t>
      </w:r>
      <w:r>
        <w:rPr>
          <w:sz w:val="22"/>
        </w:rPr>
        <w:t>hemodynamics</w:t>
      </w:r>
      <w:r>
        <w:rPr>
          <w:spacing w:val="-3"/>
          <w:sz w:val="22"/>
        </w:rPr>
        <w:t> </w:t>
      </w:r>
      <w:r>
        <w:rPr>
          <w:sz w:val="22"/>
        </w:rPr>
        <w:t>following</w:t>
      </w:r>
      <w:r>
        <w:rPr>
          <w:spacing w:val="-5"/>
          <w:sz w:val="22"/>
        </w:rPr>
        <w:t> </w:t>
      </w:r>
      <w:r>
        <w:rPr>
          <w:sz w:val="22"/>
        </w:rPr>
        <w:t>Fontan-type</w:t>
      </w:r>
      <w:r>
        <w:rPr>
          <w:spacing w:val="-5"/>
          <w:sz w:val="22"/>
        </w:rPr>
        <w:t> </w:t>
      </w:r>
      <w:r>
        <w:rPr>
          <w:sz w:val="22"/>
        </w:rPr>
        <w:t>operations.</w:t>
      </w:r>
      <w:r>
        <w:rPr>
          <w:spacing w:val="-3"/>
          <w:sz w:val="22"/>
        </w:rPr>
        <w:t> </w:t>
      </w:r>
      <w:r>
        <w:rPr>
          <w:i/>
          <w:sz w:val="22"/>
        </w:rPr>
        <w:t>Cardiology</w:t>
      </w:r>
      <w:r>
        <w:rPr>
          <w:i/>
          <w:spacing w:val="-3"/>
          <w:sz w:val="22"/>
        </w:rPr>
        <w:t> </w:t>
      </w:r>
      <w:r>
        <w:rPr>
          <w:i/>
          <w:sz w:val="22"/>
        </w:rPr>
        <w:t>in</w:t>
      </w:r>
      <w:r>
        <w:rPr>
          <w:i/>
          <w:spacing w:val="-4"/>
          <w:sz w:val="22"/>
        </w:rPr>
        <w:t> </w:t>
      </w:r>
      <w:r>
        <w:rPr>
          <w:i/>
          <w:sz w:val="22"/>
        </w:rPr>
        <w:t>the</w:t>
      </w:r>
      <w:r>
        <w:rPr>
          <w:i/>
          <w:spacing w:val="-3"/>
          <w:sz w:val="22"/>
        </w:rPr>
        <w:t> </w:t>
      </w:r>
      <w:r>
        <w:rPr>
          <w:i/>
          <w:sz w:val="22"/>
        </w:rPr>
        <w:t>young</w:t>
      </w:r>
      <w:r>
        <w:rPr>
          <w:sz w:val="22"/>
        </w:rPr>
        <w:t>. </w:t>
      </w:r>
      <w:r>
        <w:rPr>
          <w:spacing w:val="-2"/>
          <w:sz w:val="22"/>
        </w:rPr>
        <w:t>2001;11:62-6.</w:t>
      </w:r>
    </w:p>
    <w:p>
      <w:pPr>
        <w:pStyle w:val="ListParagraph"/>
        <w:numPr>
          <w:ilvl w:val="0"/>
          <w:numId w:val="4"/>
        </w:numPr>
        <w:tabs>
          <w:tab w:pos="498" w:val="left" w:leader="none"/>
          <w:tab w:pos="501" w:val="left" w:leader="none"/>
        </w:tabs>
        <w:spacing w:line="276" w:lineRule="auto" w:before="0" w:after="0"/>
        <w:ind w:left="501" w:right="90" w:hanging="360"/>
        <w:jc w:val="left"/>
        <w:rPr>
          <w:sz w:val="22"/>
        </w:rPr>
      </w:pPr>
      <w:r>
        <w:rPr>
          <w:sz w:val="22"/>
        </w:rPr>
        <w:t>Ravn HB, Hjortdal VE, Stenbog EV, Emmertsen K, Kromann O, Pedersen J and Sorensen KE. Increased</w:t>
      </w:r>
      <w:r>
        <w:rPr>
          <w:spacing w:val="-2"/>
          <w:sz w:val="22"/>
        </w:rPr>
        <w:t> </w:t>
      </w:r>
      <w:r>
        <w:rPr>
          <w:sz w:val="22"/>
        </w:rPr>
        <w:t>platelet</w:t>
      </w:r>
      <w:r>
        <w:rPr>
          <w:spacing w:val="-4"/>
          <w:sz w:val="22"/>
        </w:rPr>
        <w:t> </w:t>
      </w:r>
      <w:r>
        <w:rPr>
          <w:sz w:val="22"/>
        </w:rPr>
        <w:t>reactivity</w:t>
      </w:r>
      <w:r>
        <w:rPr>
          <w:spacing w:val="-2"/>
          <w:sz w:val="22"/>
        </w:rPr>
        <w:t> </w:t>
      </w:r>
      <w:r>
        <w:rPr>
          <w:sz w:val="22"/>
        </w:rPr>
        <w:t>and</w:t>
      </w:r>
      <w:r>
        <w:rPr>
          <w:spacing w:val="-4"/>
          <w:sz w:val="22"/>
        </w:rPr>
        <w:t> </w:t>
      </w:r>
      <w:r>
        <w:rPr>
          <w:sz w:val="22"/>
        </w:rPr>
        <w:t>significant</w:t>
      </w:r>
      <w:r>
        <w:rPr>
          <w:spacing w:val="-4"/>
          <w:sz w:val="22"/>
        </w:rPr>
        <w:t> </w:t>
      </w:r>
      <w:r>
        <w:rPr>
          <w:sz w:val="22"/>
        </w:rPr>
        <w:t>changes</w:t>
      </w:r>
      <w:r>
        <w:rPr>
          <w:spacing w:val="-1"/>
          <w:sz w:val="22"/>
        </w:rPr>
        <w:t> </w:t>
      </w:r>
      <w:r>
        <w:rPr>
          <w:sz w:val="22"/>
        </w:rPr>
        <w:t>in</w:t>
      </w:r>
      <w:r>
        <w:rPr>
          <w:spacing w:val="-6"/>
          <w:sz w:val="22"/>
        </w:rPr>
        <w:t> </w:t>
      </w:r>
      <w:r>
        <w:rPr>
          <w:sz w:val="22"/>
        </w:rPr>
        <w:t>coagulation</w:t>
      </w:r>
      <w:r>
        <w:rPr>
          <w:spacing w:val="-5"/>
          <w:sz w:val="22"/>
        </w:rPr>
        <w:t> </w:t>
      </w:r>
      <w:r>
        <w:rPr>
          <w:sz w:val="22"/>
        </w:rPr>
        <w:t>markers</w:t>
      </w:r>
      <w:r>
        <w:rPr>
          <w:spacing w:val="-2"/>
          <w:sz w:val="22"/>
        </w:rPr>
        <w:t> </w:t>
      </w:r>
      <w:r>
        <w:rPr>
          <w:sz w:val="22"/>
        </w:rPr>
        <w:t>after</w:t>
      </w:r>
      <w:r>
        <w:rPr>
          <w:spacing w:val="-4"/>
          <w:sz w:val="22"/>
        </w:rPr>
        <w:t> </w:t>
      </w:r>
      <w:r>
        <w:rPr>
          <w:sz w:val="22"/>
        </w:rPr>
        <w:t>cavopulmonary connection. </w:t>
      </w:r>
      <w:r>
        <w:rPr>
          <w:i/>
          <w:sz w:val="22"/>
        </w:rPr>
        <w:t>Heart (British Cardiac Society)</w:t>
      </w:r>
      <w:r>
        <w:rPr>
          <w:sz w:val="22"/>
        </w:rPr>
        <w:t>. 2001;85:61-5.</w:t>
      </w:r>
    </w:p>
    <w:p>
      <w:pPr>
        <w:pStyle w:val="ListParagraph"/>
        <w:numPr>
          <w:ilvl w:val="0"/>
          <w:numId w:val="4"/>
        </w:numPr>
        <w:tabs>
          <w:tab w:pos="498" w:val="left" w:leader="none"/>
          <w:tab w:pos="501" w:val="left" w:leader="none"/>
        </w:tabs>
        <w:spacing w:line="276" w:lineRule="auto" w:before="0" w:after="0"/>
        <w:ind w:left="501" w:right="149" w:hanging="360"/>
        <w:jc w:val="left"/>
        <w:rPr>
          <w:sz w:val="22"/>
        </w:rPr>
      </w:pPr>
      <w:r>
        <w:rPr>
          <w:sz w:val="22"/>
        </w:rPr>
        <w:t>Odegard</w:t>
      </w:r>
      <w:r>
        <w:rPr>
          <w:spacing w:val="-3"/>
          <w:sz w:val="22"/>
        </w:rPr>
        <w:t> </w:t>
      </w:r>
      <w:r>
        <w:rPr>
          <w:sz w:val="22"/>
        </w:rPr>
        <w:t>KC,</w:t>
      </w:r>
      <w:r>
        <w:rPr>
          <w:spacing w:val="-4"/>
          <w:sz w:val="22"/>
        </w:rPr>
        <w:t> </w:t>
      </w:r>
      <w:r>
        <w:rPr>
          <w:sz w:val="22"/>
        </w:rPr>
        <w:t>McGowan</w:t>
      </w:r>
      <w:r>
        <w:rPr>
          <w:spacing w:val="-1"/>
          <w:sz w:val="22"/>
        </w:rPr>
        <w:t> </w:t>
      </w:r>
      <w:r>
        <w:rPr>
          <w:sz w:val="22"/>
        </w:rPr>
        <w:t>FX,</w:t>
      </w:r>
      <w:r>
        <w:rPr>
          <w:spacing w:val="-5"/>
          <w:sz w:val="22"/>
        </w:rPr>
        <w:t> </w:t>
      </w:r>
      <w:r>
        <w:rPr>
          <w:sz w:val="22"/>
        </w:rPr>
        <w:t>Jr.,</w:t>
      </w:r>
      <w:r>
        <w:rPr>
          <w:spacing w:val="-1"/>
          <w:sz w:val="22"/>
        </w:rPr>
        <w:t> </w:t>
      </w:r>
      <w:r>
        <w:rPr>
          <w:sz w:val="22"/>
        </w:rPr>
        <w:t>Zurakowski</w:t>
      </w:r>
      <w:r>
        <w:rPr>
          <w:spacing w:val="-3"/>
          <w:sz w:val="22"/>
        </w:rPr>
        <w:t> </w:t>
      </w:r>
      <w:r>
        <w:rPr>
          <w:sz w:val="22"/>
        </w:rPr>
        <w:t>D,</w:t>
      </w:r>
      <w:r>
        <w:rPr>
          <w:spacing w:val="-3"/>
          <w:sz w:val="22"/>
        </w:rPr>
        <w:t> </w:t>
      </w:r>
      <w:r>
        <w:rPr>
          <w:sz w:val="22"/>
        </w:rPr>
        <w:t>Dinardo</w:t>
      </w:r>
      <w:r>
        <w:rPr>
          <w:spacing w:val="-3"/>
          <w:sz w:val="22"/>
        </w:rPr>
        <w:t> </w:t>
      </w:r>
      <w:r>
        <w:rPr>
          <w:sz w:val="22"/>
        </w:rPr>
        <w:t>JA,</w:t>
      </w:r>
      <w:r>
        <w:rPr>
          <w:spacing w:val="-1"/>
          <w:sz w:val="22"/>
        </w:rPr>
        <w:t> </w:t>
      </w:r>
      <w:r>
        <w:rPr>
          <w:sz w:val="22"/>
        </w:rPr>
        <w:t>Castro RA,</w:t>
      </w:r>
      <w:r>
        <w:rPr>
          <w:spacing w:val="-4"/>
          <w:sz w:val="22"/>
        </w:rPr>
        <w:t> </w:t>
      </w:r>
      <w:r>
        <w:rPr>
          <w:sz w:val="22"/>
        </w:rPr>
        <w:t>del</w:t>
      </w:r>
      <w:r>
        <w:rPr>
          <w:spacing w:val="-1"/>
          <w:sz w:val="22"/>
        </w:rPr>
        <w:t> </w:t>
      </w:r>
      <w:r>
        <w:rPr>
          <w:sz w:val="22"/>
        </w:rPr>
        <w:t>Nido</w:t>
      </w:r>
      <w:r>
        <w:rPr>
          <w:spacing w:val="-3"/>
          <w:sz w:val="22"/>
        </w:rPr>
        <w:t> </w:t>
      </w:r>
      <w:r>
        <w:rPr>
          <w:sz w:val="22"/>
        </w:rPr>
        <w:t>PJ</w:t>
      </w:r>
      <w:r>
        <w:rPr>
          <w:spacing w:val="-2"/>
          <w:sz w:val="22"/>
        </w:rPr>
        <w:t> </w:t>
      </w:r>
      <w:r>
        <w:rPr>
          <w:sz w:val="22"/>
        </w:rPr>
        <w:t>and</w:t>
      </w:r>
      <w:r>
        <w:rPr>
          <w:spacing w:val="-2"/>
          <w:sz w:val="22"/>
        </w:rPr>
        <w:t> </w:t>
      </w:r>
      <w:r>
        <w:rPr>
          <w:sz w:val="22"/>
        </w:rPr>
        <w:t>Laussen</w:t>
      </w:r>
      <w:r>
        <w:rPr>
          <w:spacing w:val="-3"/>
          <w:sz w:val="22"/>
        </w:rPr>
        <w:t> </w:t>
      </w:r>
      <w:r>
        <w:rPr>
          <w:sz w:val="22"/>
        </w:rPr>
        <w:t>PC. Procoagulant</w:t>
      </w:r>
      <w:r>
        <w:rPr>
          <w:spacing w:val="-5"/>
          <w:sz w:val="22"/>
        </w:rPr>
        <w:t> </w:t>
      </w:r>
      <w:r>
        <w:rPr>
          <w:sz w:val="22"/>
        </w:rPr>
        <w:t>and</w:t>
      </w:r>
      <w:r>
        <w:rPr>
          <w:spacing w:val="-5"/>
          <w:sz w:val="22"/>
        </w:rPr>
        <w:t> </w:t>
      </w:r>
      <w:r>
        <w:rPr>
          <w:sz w:val="22"/>
        </w:rPr>
        <w:t>anticoagulant</w:t>
      </w:r>
      <w:r>
        <w:rPr>
          <w:spacing w:val="-4"/>
          <w:sz w:val="22"/>
        </w:rPr>
        <w:t> </w:t>
      </w:r>
      <w:r>
        <w:rPr>
          <w:sz w:val="22"/>
        </w:rPr>
        <w:t>factor</w:t>
      </w:r>
      <w:r>
        <w:rPr>
          <w:spacing w:val="-4"/>
          <w:sz w:val="22"/>
        </w:rPr>
        <w:t> </w:t>
      </w:r>
      <w:r>
        <w:rPr>
          <w:sz w:val="22"/>
        </w:rPr>
        <w:t>abnormalities</w:t>
      </w:r>
      <w:r>
        <w:rPr>
          <w:spacing w:val="-3"/>
          <w:sz w:val="22"/>
        </w:rPr>
        <w:t> </w:t>
      </w:r>
      <w:r>
        <w:rPr>
          <w:sz w:val="22"/>
        </w:rPr>
        <w:t>following</w:t>
      </w:r>
      <w:r>
        <w:rPr>
          <w:spacing w:val="-6"/>
          <w:sz w:val="22"/>
        </w:rPr>
        <w:t> </w:t>
      </w:r>
      <w:r>
        <w:rPr>
          <w:sz w:val="22"/>
        </w:rPr>
        <w:t>the</w:t>
      </w:r>
      <w:r>
        <w:rPr>
          <w:spacing w:val="-4"/>
          <w:sz w:val="22"/>
        </w:rPr>
        <w:t> </w:t>
      </w:r>
      <w:r>
        <w:rPr>
          <w:sz w:val="22"/>
        </w:rPr>
        <w:t>Fontan</w:t>
      </w:r>
      <w:r>
        <w:rPr>
          <w:spacing w:val="-4"/>
          <w:sz w:val="22"/>
        </w:rPr>
        <w:t> </w:t>
      </w:r>
      <w:r>
        <w:rPr>
          <w:sz w:val="22"/>
        </w:rPr>
        <w:t>procedure:</w:t>
      </w:r>
      <w:r>
        <w:rPr>
          <w:spacing w:val="-3"/>
          <w:sz w:val="22"/>
        </w:rPr>
        <w:t> </w:t>
      </w:r>
      <w:r>
        <w:rPr>
          <w:sz w:val="22"/>
        </w:rPr>
        <w:t>increased factor VIII may predispose to thrombosis. </w:t>
      </w:r>
      <w:r>
        <w:rPr>
          <w:i/>
          <w:sz w:val="22"/>
        </w:rPr>
        <w:t>The Journal of thoracic and cardiovascular surgery</w:t>
      </w:r>
      <w:r>
        <w:rPr>
          <w:sz w:val="22"/>
        </w:rPr>
        <w:t>. </w:t>
      </w:r>
      <w:r>
        <w:rPr>
          <w:spacing w:val="-2"/>
          <w:sz w:val="22"/>
        </w:rPr>
        <w:t>2003;125:1260-7.</w:t>
      </w:r>
    </w:p>
    <w:p>
      <w:pPr>
        <w:pStyle w:val="ListParagraph"/>
        <w:numPr>
          <w:ilvl w:val="0"/>
          <w:numId w:val="4"/>
        </w:numPr>
        <w:tabs>
          <w:tab w:pos="498" w:val="left" w:leader="none"/>
          <w:tab w:pos="501" w:val="left" w:leader="none"/>
        </w:tabs>
        <w:spacing w:line="276" w:lineRule="auto" w:before="0" w:after="0"/>
        <w:ind w:left="501" w:right="422" w:hanging="360"/>
        <w:jc w:val="left"/>
        <w:rPr>
          <w:sz w:val="22"/>
        </w:rPr>
      </w:pPr>
      <w:r>
        <w:rPr>
          <w:sz w:val="22"/>
        </w:rPr>
        <w:t>Jahangiri M, Kreutzer J, Zurakowski D, Bacha E and Jonas RA. Evaluation of hemostatic and coagulation</w:t>
      </w:r>
      <w:r>
        <w:rPr>
          <w:spacing w:val="-4"/>
          <w:sz w:val="22"/>
        </w:rPr>
        <w:t> </w:t>
      </w:r>
      <w:r>
        <w:rPr>
          <w:sz w:val="22"/>
        </w:rPr>
        <w:t>factor</w:t>
      </w:r>
      <w:r>
        <w:rPr>
          <w:spacing w:val="-3"/>
          <w:sz w:val="22"/>
        </w:rPr>
        <w:t> </w:t>
      </w:r>
      <w:r>
        <w:rPr>
          <w:sz w:val="22"/>
        </w:rPr>
        <w:t>abnormalities</w:t>
      </w:r>
      <w:r>
        <w:rPr>
          <w:spacing w:val="-2"/>
          <w:sz w:val="22"/>
        </w:rPr>
        <w:t> </w:t>
      </w:r>
      <w:r>
        <w:rPr>
          <w:sz w:val="22"/>
        </w:rPr>
        <w:t>in</w:t>
      </w:r>
      <w:r>
        <w:rPr>
          <w:spacing w:val="-5"/>
          <w:sz w:val="22"/>
        </w:rPr>
        <w:t> </w:t>
      </w:r>
      <w:r>
        <w:rPr>
          <w:sz w:val="22"/>
        </w:rPr>
        <w:t>patients</w:t>
      </w:r>
      <w:r>
        <w:rPr>
          <w:spacing w:val="-3"/>
          <w:sz w:val="22"/>
        </w:rPr>
        <w:t> </w:t>
      </w:r>
      <w:r>
        <w:rPr>
          <w:sz w:val="22"/>
        </w:rPr>
        <w:t>undergoing</w:t>
      </w:r>
      <w:r>
        <w:rPr>
          <w:spacing w:val="-4"/>
          <w:sz w:val="22"/>
        </w:rPr>
        <w:t> </w:t>
      </w:r>
      <w:r>
        <w:rPr>
          <w:sz w:val="22"/>
        </w:rPr>
        <w:t>the</w:t>
      </w:r>
      <w:r>
        <w:rPr>
          <w:spacing w:val="-3"/>
          <w:sz w:val="22"/>
        </w:rPr>
        <w:t> </w:t>
      </w:r>
      <w:r>
        <w:rPr>
          <w:sz w:val="22"/>
        </w:rPr>
        <w:t>Fontan</w:t>
      </w:r>
      <w:r>
        <w:rPr>
          <w:spacing w:val="-4"/>
          <w:sz w:val="22"/>
        </w:rPr>
        <w:t> </w:t>
      </w:r>
      <w:r>
        <w:rPr>
          <w:sz w:val="22"/>
        </w:rPr>
        <w:t>operation.</w:t>
      </w:r>
      <w:r>
        <w:rPr>
          <w:spacing w:val="-1"/>
          <w:sz w:val="22"/>
        </w:rPr>
        <w:t> </w:t>
      </w:r>
      <w:r>
        <w:rPr>
          <w:i/>
          <w:sz w:val="22"/>
        </w:rPr>
        <w:t>The</w:t>
      </w:r>
      <w:r>
        <w:rPr>
          <w:i/>
          <w:spacing w:val="-3"/>
          <w:sz w:val="22"/>
        </w:rPr>
        <w:t> </w:t>
      </w:r>
      <w:r>
        <w:rPr>
          <w:i/>
          <w:sz w:val="22"/>
        </w:rPr>
        <w:t>Journal</w:t>
      </w:r>
      <w:r>
        <w:rPr>
          <w:i/>
          <w:spacing w:val="-3"/>
          <w:sz w:val="22"/>
        </w:rPr>
        <w:t> </w:t>
      </w:r>
      <w:r>
        <w:rPr>
          <w:i/>
          <w:sz w:val="22"/>
        </w:rPr>
        <w:t>of</w:t>
      </w:r>
      <w:r>
        <w:rPr>
          <w:i/>
          <w:sz w:val="22"/>
        </w:rPr>
        <w:t> thoracic and cardiovascular surgery</w:t>
      </w:r>
      <w:r>
        <w:rPr>
          <w:sz w:val="22"/>
        </w:rPr>
        <w:t>. 2000;120:778-82.</w:t>
      </w:r>
    </w:p>
    <w:p>
      <w:pPr>
        <w:pStyle w:val="ListParagraph"/>
        <w:spacing w:after="0" w:line="276" w:lineRule="auto"/>
        <w:jc w:val="left"/>
        <w:rPr>
          <w:sz w:val="22"/>
        </w:rPr>
        <w:sectPr>
          <w:pgSz w:w="11910" w:h="16840"/>
          <w:pgMar w:header="0" w:footer="750" w:top="1360" w:bottom="940" w:left="1275" w:right="1417"/>
        </w:sectPr>
      </w:pPr>
    </w:p>
    <w:p>
      <w:pPr>
        <w:pStyle w:val="ListParagraph"/>
        <w:numPr>
          <w:ilvl w:val="0"/>
          <w:numId w:val="4"/>
        </w:numPr>
        <w:tabs>
          <w:tab w:pos="498" w:val="left" w:leader="none"/>
          <w:tab w:pos="501" w:val="left" w:leader="none"/>
        </w:tabs>
        <w:spacing w:line="278" w:lineRule="auto" w:before="35" w:after="0"/>
        <w:ind w:left="501" w:right="310" w:hanging="360"/>
        <w:jc w:val="left"/>
        <w:rPr>
          <w:sz w:val="22"/>
        </w:rPr>
      </w:pPr>
      <w:r>
        <w:rPr>
          <w:sz w:val="22"/>
        </w:rPr>
        <w:t>Jahangiri</w:t>
      </w:r>
      <w:r>
        <w:rPr>
          <w:spacing w:val="-3"/>
          <w:sz w:val="22"/>
        </w:rPr>
        <w:t> </w:t>
      </w:r>
      <w:r>
        <w:rPr>
          <w:sz w:val="22"/>
        </w:rPr>
        <w:t>M,</w:t>
      </w:r>
      <w:r>
        <w:rPr>
          <w:spacing w:val="-2"/>
          <w:sz w:val="22"/>
        </w:rPr>
        <w:t> </w:t>
      </w:r>
      <w:r>
        <w:rPr>
          <w:sz w:val="22"/>
        </w:rPr>
        <w:t>Shore</w:t>
      </w:r>
      <w:r>
        <w:rPr>
          <w:spacing w:val="-2"/>
          <w:sz w:val="22"/>
        </w:rPr>
        <w:t> </w:t>
      </w:r>
      <w:r>
        <w:rPr>
          <w:sz w:val="22"/>
        </w:rPr>
        <w:t>D,</w:t>
      </w:r>
      <w:r>
        <w:rPr>
          <w:spacing w:val="-2"/>
          <w:sz w:val="22"/>
        </w:rPr>
        <w:t> </w:t>
      </w:r>
      <w:r>
        <w:rPr>
          <w:sz w:val="22"/>
        </w:rPr>
        <w:t>Kakkar</w:t>
      </w:r>
      <w:r>
        <w:rPr>
          <w:spacing w:val="-2"/>
          <w:sz w:val="22"/>
        </w:rPr>
        <w:t> </w:t>
      </w:r>
      <w:r>
        <w:rPr>
          <w:sz w:val="22"/>
        </w:rPr>
        <w:t>V,</w:t>
      </w:r>
      <w:r>
        <w:rPr>
          <w:spacing w:val="-2"/>
          <w:sz w:val="22"/>
        </w:rPr>
        <w:t> </w:t>
      </w:r>
      <w:r>
        <w:rPr>
          <w:sz w:val="22"/>
        </w:rPr>
        <w:t>Lincoln</w:t>
      </w:r>
      <w:r>
        <w:rPr>
          <w:spacing w:val="-4"/>
          <w:sz w:val="22"/>
        </w:rPr>
        <w:t> </w:t>
      </w:r>
      <w:r>
        <w:rPr>
          <w:sz w:val="22"/>
        </w:rPr>
        <w:t>C</w:t>
      </w:r>
      <w:r>
        <w:rPr>
          <w:spacing w:val="-2"/>
          <w:sz w:val="22"/>
        </w:rPr>
        <w:t> </w:t>
      </w:r>
      <w:r>
        <w:rPr>
          <w:sz w:val="22"/>
        </w:rPr>
        <w:t>and</w:t>
      </w:r>
      <w:r>
        <w:rPr>
          <w:spacing w:val="-3"/>
          <w:sz w:val="22"/>
        </w:rPr>
        <w:t> </w:t>
      </w:r>
      <w:r>
        <w:rPr>
          <w:sz w:val="22"/>
        </w:rPr>
        <w:t>Shinebourne</w:t>
      </w:r>
      <w:r>
        <w:rPr>
          <w:spacing w:val="-2"/>
          <w:sz w:val="22"/>
        </w:rPr>
        <w:t> </w:t>
      </w:r>
      <w:r>
        <w:rPr>
          <w:sz w:val="22"/>
        </w:rPr>
        <w:t>E.</w:t>
      </w:r>
      <w:r>
        <w:rPr>
          <w:spacing w:val="-2"/>
          <w:sz w:val="22"/>
        </w:rPr>
        <w:t> </w:t>
      </w:r>
      <w:r>
        <w:rPr>
          <w:sz w:val="22"/>
        </w:rPr>
        <w:t>Coagulation</w:t>
      </w:r>
      <w:r>
        <w:rPr>
          <w:spacing w:val="-3"/>
          <w:sz w:val="22"/>
        </w:rPr>
        <w:t> </w:t>
      </w:r>
      <w:r>
        <w:rPr>
          <w:sz w:val="22"/>
        </w:rPr>
        <w:t>factor</w:t>
      </w:r>
      <w:r>
        <w:rPr>
          <w:spacing w:val="-4"/>
          <w:sz w:val="22"/>
        </w:rPr>
        <w:t> </w:t>
      </w:r>
      <w:r>
        <w:rPr>
          <w:sz w:val="22"/>
        </w:rPr>
        <w:t>abnormalities after the Fontan procedure and its modifications. </w:t>
      </w:r>
      <w:r>
        <w:rPr>
          <w:i/>
          <w:sz w:val="22"/>
        </w:rPr>
        <w:t>The Journal of thoracic and cardiovascular</w:t>
      </w:r>
      <w:r>
        <w:rPr>
          <w:i/>
          <w:sz w:val="22"/>
        </w:rPr>
        <w:t> surgery</w:t>
      </w:r>
      <w:r>
        <w:rPr>
          <w:sz w:val="22"/>
        </w:rPr>
        <w:t>. 1997;113:989-92; discussion 992-3.</w:t>
      </w:r>
    </w:p>
    <w:p>
      <w:pPr>
        <w:pStyle w:val="ListParagraph"/>
        <w:numPr>
          <w:ilvl w:val="0"/>
          <w:numId w:val="4"/>
        </w:numPr>
        <w:tabs>
          <w:tab w:pos="498" w:val="left" w:leader="none"/>
          <w:tab w:pos="501" w:val="left" w:leader="none"/>
        </w:tabs>
        <w:spacing w:line="240" w:lineRule="auto" w:before="193" w:after="0"/>
        <w:ind w:left="501" w:right="155" w:hanging="360"/>
        <w:jc w:val="left"/>
        <w:rPr>
          <w:sz w:val="22"/>
        </w:rPr>
      </w:pPr>
      <w:r>
        <w:rPr>
          <w:sz w:val="22"/>
        </w:rPr>
        <w:t>Rask O, Hanseus K, Ljung R, Strandberg K and Berntorp E. Lower incidence of procoagulant abnormalities</w:t>
      </w:r>
      <w:r>
        <w:rPr>
          <w:spacing w:val="-1"/>
          <w:sz w:val="22"/>
        </w:rPr>
        <w:t> </w:t>
      </w:r>
      <w:r>
        <w:rPr>
          <w:sz w:val="22"/>
        </w:rPr>
        <w:t>during</w:t>
      </w:r>
      <w:r>
        <w:rPr>
          <w:spacing w:val="-3"/>
          <w:sz w:val="22"/>
        </w:rPr>
        <w:t> </w:t>
      </w:r>
      <w:r>
        <w:rPr>
          <w:sz w:val="22"/>
        </w:rPr>
        <w:t>follow-up</w:t>
      </w:r>
      <w:r>
        <w:rPr>
          <w:spacing w:val="-3"/>
          <w:sz w:val="22"/>
        </w:rPr>
        <w:t> </w:t>
      </w:r>
      <w:r>
        <w:rPr>
          <w:sz w:val="22"/>
        </w:rPr>
        <w:t>after</w:t>
      </w:r>
      <w:r>
        <w:rPr>
          <w:spacing w:val="-4"/>
          <w:sz w:val="22"/>
        </w:rPr>
        <w:t> </w:t>
      </w:r>
      <w:r>
        <w:rPr>
          <w:sz w:val="22"/>
        </w:rPr>
        <w:t>creation</w:t>
      </w:r>
      <w:r>
        <w:rPr>
          <w:spacing w:val="-5"/>
          <w:sz w:val="22"/>
        </w:rPr>
        <w:t> </w:t>
      </w:r>
      <w:r>
        <w:rPr>
          <w:sz w:val="22"/>
        </w:rPr>
        <w:t>of</w:t>
      </w:r>
      <w:r>
        <w:rPr>
          <w:spacing w:val="-2"/>
          <w:sz w:val="22"/>
        </w:rPr>
        <w:t> </w:t>
      </w:r>
      <w:r>
        <w:rPr>
          <w:sz w:val="22"/>
        </w:rPr>
        <w:t>the</w:t>
      </w:r>
      <w:r>
        <w:rPr>
          <w:spacing w:val="-4"/>
          <w:sz w:val="22"/>
        </w:rPr>
        <w:t> </w:t>
      </w:r>
      <w:r>
        <w:rPr>
          <w:sz w:val="22"/>
        </w:rPr>
        <w:t>Fontan</w:t>
      </w:r>
      <w:r>
        <w:rPr>
          <w:spacing w:val="-2"/>
          <w:sz w:val="22"/>
        </w:rPr>
        <w:t> </w:t>
      </w:r>
      <w:r>
        <w:rPr>
          <w:sz w:val="22"/>
        </w:rPr>
        <w:t>circulation</w:t>
      </w:r>
      <w:r>
        <w:rPr>
          <w:spacing w:val="-3"/>
          <w:sz w:val="22"/>
        </w:rPr>
        <w:t> </w:t>
      </w:r>
      <w:r>
        <w:rPr>
          <w:sz w:val="22"/>
        </w:rPr>
        <w:t>in</w:t>
      </w:r>
      <w:r>
        <w:rPr>
          <w:spacing w:val="-5"/>
          <w:sz w:val="22"/>
        </w:rPr>
        <w:t> </w:t>
      </w:r>
      <w:r>
        <w:rPr>
          <w:sz w:val="22"/>
        </w:rPr>
        <w:t>children. </w:t>
      </w:r>
      <w:r>
        <w:rPr>
          <w:i/>
          <w:sz w:val="22"/>
        </w:rPr>
        <w:t>Cardiology</w:t>
      </w:r>
      <w:r>
        <w:rPr>
          <w:i/>
          <w:spacing w:val="-2"/>
          <w:sz w:val="22"/>
        </w:rPr>
        <w:t> </w:t>
      </w:r>
      <w:r>
        <w:rPr>
          <w:i/>
          <w:sz w:val="22"/>
        </w:rPr>
        <w:t>in</w:t>
      </w:r>
      <w:r>
        <w:rPr>
          <w:i/>
          <w:sz w:val="22"/>
        </w:rPr>
        <w:t> the young</w:t>
      </w:r>
      <w:r>
        <w:rPr>
          <w:sz w:val="22"/>
        </w:rPr>
        <w:t>. 2009;19:152-8.</w:t>
      </w:r>
    </w:p>
    <w:p>
      <w:pPr>
        <w:pStyle w:val="ListParagraph"/>
        <w:numPr>
          <w:ilvl w:val="0"/>
          <w:numId w:val="4"/>
        </w:numPr>
        <w:tabs>
          <w:tab w:pos="498" w:val="left" w:leader="none"/>
          <w:tab w:pos="501" w:val="left" w:leader="none"/>
        </w:tabs>
        <w:spacing w:line="240" w:lineRule="auto" w:before="0" w:after="0"/>
        <w:ind w:left="501" w:right="588" w:hanging="360"/>
        <w:jc w:val="left"/>
        <w:rPr>
          <w:sz w:val="22"/>
        </w:rPr>
      </w:pPr>
      <w:r>
        <w:rPr>
          <w:sz w:val="22"/>
        </w:rPr>
        <w:t>Monagle</w:t>
      </w:r>
      <w:r>
        <w:rPr>
          <w:spacing w:val="-5"/>
          <w:sz w:val="22"/>
        </w:rPr>
        <w:t> </w:t>
      </w:r>
      <w:r>
        <w:rPr>
          <w:sz w:val="22"/>
        </w:rPr>
        <w:t>P</w:t>
      </w:r>
      <w:r>
        <w:rPr>
          <w:spacing w:val="-3"/>
          <w:sz w:val="22"/>
        </w:rPr>
        <w:t> </w:t>
      </w:r>
      <w:r>
        <w:rPr>
          <w:sz w:val="22"/>
        </w:rPr>
        <w:t>and</w:t>
      </w:r>
      <w:r>
        <w:rPr>
          <w:spacing w:val="-4"/>
          <w:sz w:val="22"/>
        </w:rPr>
        <w:t> </w:t>
      </w:r>
      <w:r>
        <w:rPr>
          <w:sz w:val="22"/>
        </w:rPr>
        <w:t>Karl</w:t>
      </w:r>
      <w:r>
        <w:rPr>
          <w:spacing w:val="-5"/>
          <w:sz w:val="22"/>
        </w:rPr>
        <w:t> </w:t>
      </w:r>
      <w:r>
        <w:rPr>
          <w:sz w:val="22"/>
        </w:rPr>
        <w:t>TR.</w:t>
      </w:r>
      <w:r>
        <w:rPr>
          <w:spacing w:val="-2"/>
          <w:sz w:val="22"/>
        </w:rPr>
        <w:t> </w:t>
      </w:r>
      <w:r>
        <w:rPr>
          <w:sz w:val="22"/>
        </w:rPr>
        <w:t>Thromboembolic</w:t>
      </w:r>
      <w:r>
        <w:rPr>
          <w:spacing w:val="-2"/>
          <w:sz w:val="22"/>
        </w:rPr>
        <w:t> </w:t>
      </w:r>
      <w:r>
        <w:rPr>
          <w:sz w:val="22"/>
        </w:rPr>
        <w:t>problems</w:t>
      </w:r>
      <w:r>
        <w:rPr>
          <w:spacing w:val="-2"/>
          <w:sz w:val="22"/>
        </w:rPr>
        <w:t> </w:t>
      </w:r>
      <w:r>
        <w:rPr>
          <w:sz w:val="22"/>
        </w:rPr>
        <w:t>after</w:t>
      </w:r>
      <w:r>
        <w:rPr>
          <w:spacing w:val="-2"/>
          <w:sz w:val="22"/>
        </w:rPr>
        <w:t> </w:t>
      </w:r>
      <w:r>
        <w:rPr>
          <w:sz w:val="22"/>
        </w:rPr>
        <w:t>the</w:t>
      </w:r>
      <w:r>
        <w:rPr>
          <w:spacing w:val="-2"/>
          <w:sz w:val="22"/>
        </w:rPr>
        <w:t> </w:t>
      </w:r>
      <w:r>
        <w:rPr>
          <w:sz w:val="22"/>
        </w:rPr>
        <w:t>Fontan</w:t>
      </w:r>
      <w:r>
        <w:rPr>
          <w:spacing w:val="-5"/>
          <w:sz w:val="22"/>
        </w:rPr>
        <w:t> </w:t>
      </w:r>
      <w:r>
        <w:rPr>
          <w:sz w:val="22"/>
        </w:rPr>
        <w:t>operation.</w:t>
      </w:r>
      <w:r>
        <w:rPr>
          <w:spacing w:val="-1"/>
          <w:sz w:val="22"/>
        </w:rPr>
        <w:t> </w:t>
      </w:r>
      <w:r>
        <w:rPr>
          <w:i/>
          <w:sz w:val="22"/>
        </w:rPr>
        <w:t>Seminars</w:t>
      </w:r>
      <w:r>
        <w:rPr>
          <w:i/>
          <w:spacing w:val="-1"/>
          <w:sz w:val="22"/>
        </w:rPr>
        <w:t> </w:t>
      </w:r>
      <w:r>
        <w:rPr>
          <w:i/>
          <w:sz w:val="22"/>
        </w:rPr>
        <w:t>in</w:t>
      </w:r>
      <w:r>
        <w:rPr>
          <w:i/>
          <w:sz w:val="22"/>
        </w:rPr>
        <w:t> thoracic and cardiovascular surgery Pediatric cardiac surgery annual</w:t>
      </w:r>
      <w:r>
        <w:rPr>
          <w:sz w:val="22"/>
        </w:rPr>
        <w:t>. 2002;5:36-47.</w:t>
      </w:r>
    </w:p>
    <w:p>
      <w:pPr>
        <w:pStyle w:val="ListParagraph"/>
        <w:numPr>
          <w:ilvl w:val="0"/>
          <w:numId w:val="4"/>
        </w:numPr>
        <w:tabs>
          <w:tab w:pos="498" w:val="left" w:leader="none"/>
          <w:tab w:pos="501" w:val="left" w:leader="none"/>
        </w:tabs>
        <w:spacing w:line="240" w:lineRule="auto" w:before="0" w:after="0"/>
        <w:ind w:left="501" w:right="84" w:hanging="360"/>
        <w:jc w:val="left"/>
        <w:rPr>
          <w:sz w:val="22"/>
        </w:rPr>
      </w:pPr>
      <w:r>
        <w:rPr>
          <w:sz w:val="22"/>
        </w:rPr>
        <w:t>Madan</w:t>
      </w:r>
      <w:r>
        <w:rPr>
          <w:spacing w:val="-2"/>
          <w:sz w:val="22"/>
        </w:rPr>
        <w:t> </w:t>
      </w:r>
      <w:r>
        <w:rPr>
          <w:sz w:val="22"/>
        </w:rPr>
        <w:t>N,</w:t>
      </w:r>
      <w:r>
        <w:rPr>
          <w:spacing w:val="-1"/>
          <w:sz w:val="22"/>
        </w:rPr>
        <w:t> </w:t>
      </w:r>
      <w:r>
        <w:rPr>
          <w:sz w:val="22"/>
        </w:rPr>
        <w:t>Robinson</w:t>
      </w:r>
      <w:r>
        <w:rPr>
          <w:spacing w:val="-4"/>
          <w:sz w:val="22"/>
        </w:rPr>
        <w:t> </w:t>
      </w:r>
      <w:r>
        <w:rPr>
          <w:sz w:val="22"/>
        </w:rPr>
        <w:t>BW</w:t>
      </w:r>
      <w:r>
        <w:rPr>
          <w:spacing w:val="-1"/>
          <w:sz w:val="22"/>
        </w:rPr>
        <w:t> </w:t>
      </w:r>
      <w:r>
        <w:rPr>
          <w:sz w:val="22"/>
        </w:rPr>
        <w:t>and</w:t>
      </w:r>
      <w:r>
        <w:rPr>
          <w:spacing w:val="-2"/>
          <w:sz w:val="22"/>
        </w:rPr>
        <w:t> </w:t>
      </w:r>
      <w:r>
        <w:rPr>
          <w:sz w:val="22"/>
        </w:rPr>
        <w:t>Jacobs</w:t>
      </w:r>
      <w:r>
        <w:rPr>
          <w:spacing w:val="-3"/>
          <w:sz w:val="22"/>
        </w:rPr>
        <w:t> </w:t>
      </w:r>
      <w:r>
        <w:rPr>
          <w:sz w:val="22"/>
        </w:rPr>
        <w:t>ML.</w:t>
      </w:r>
      <w:r>
        <w:rPr>
          <w:spacing w:val="-4"/>
          <w:sz w:val="22"/>
        </w:rPr>
        <w:t> </w:t>
      </w:r>
      <w:r>
        <w:rPr>
          <w:sz w:val="22"/>
        </w:rPr>
        <w:t>Thrombosis</w:t>
      </w:r>
      <w:r>
        <w:rPr>
          <w:spacing w:val="-1"/>
          <w:sz w:val="22"/>
        </w:rPr>
        <w:t> </w:t>
      </w:r>
      <w:r>
        <w:rPr>
          <w:sz w:val="22"/>
        </w:rPr>
        <w:t>in</w:t>
      </w:r>
      <w:r>
        <w:rPr>
          <w:spacing w:val="-5"/>
          <w:sz w:val="22"/>
        </w:rPr>
        <w:t> </w:t>
      </w:r>
      <w:r>
        <w:rPr>
          <w:sz w:val="22"/>
        </w:rPr>
        <w:t>the</w:t>
      </w:r>
      <w:r>
        <w:rPr>
          <w:spacing w:val="-1"/>
          <w:sz w:val="22"/>
        </w:rPr>
        <w:t> </w:t>
      </w:r>
      <w:r>
        <w:rPr>
          <w:sz w:val="22"/>
        </w:rPr>
        <w:t>proximal</w:t>
      </w:r>
      <w:r>
        <w:rPr>
          <w:spacing w:val="-1"/>
          <w:sz w:val="22"/>
        </w:rPr>
        <w:t> </w:t>
      </w:r>
      <w:r>
        <w:rPr>
          <w:sz w:val="22"/>
        </w:rPr>
        <w:t>pulmonary</w:t>
      </w:r>
      <w:r>
        <w:rPr>
          <w:spacing w:val="-3"/>
          <w:sz w:val="22"/>
        </w:rPr>
        <w:t> </w:t>
      </w:r>
      <w:r>
        <w:rPr>
          <w:sz w:val="22"/>
        </w:rPr>
        <w:t>artery</w:t>
      </w:r>
      <w:r>
        <w:rPr>
          <w:spacing w:val="-3"/>
          <w:sz w:val="22"/>
        </w:rPr>
        <w:t> </w:t>
      </w:r>
      <w:r>
        <w:rPr>
          <w:sz w:val="22"/>
        </w:rPr>
        <w:t>stump</w:t>
      </w:r>
      <w:r>
        <w:rPr>
          <w:spacing w:val="-2"/>
          <w:sz w:val="22"/>
        </w:rPr>
        <w:t> </w:t>
      </w:r>
      <w:r>
        <w:rPr>
          <w:sz w:val="22"/>
        </w:rPr>
        <w:t>in</w:t>
      </w:r>
      <w:r>
        <w:rPr>
          <w:spacing w:val="-1"/>
          <w:sz w:val="22"/>
        </w:rPr>
        <w:t> </w:t>
      </w:r>
      <w:r>
        <w:rPr>
          <w:sz w:val="22"/>
        </w:rPr>
        <w:t>a Fontan patient. </w:t>
      </w:r>
      <w:r>
        <w:rPr>
          <w:i/>
          <w:sz w:val="22"/>
        </w:rPr>
        <w:t>Heart (British Cardiac Society)</w:t>
      </w:r>
      <w:r>
        <w:rPr>
          <w:sz w:val="22"/>
        </w:rPr>
        <w:t>. 2002;88:396.</w:t>
      </w:r>
    </w:p>
    <w:p>
      <w:pPr>
        <w:pStyle w:val="ListParagraph"/>
        <w:numPr>
          <w:ilvl w:val="0"/>
          <w:numId w:val="4"/>
        </w:numPr>
        <w:tabs>
          <w:tab w:pos="498" w:val="left" w:leader="none"/>
          <w:tab w:pos="501" w:val="left" w:leader="none"/>
        </w:tabs>
        <w:spacing w:line="240" w:lineRule="auto" w:before="0" w:after="0"/>
        <w:ind w:left="501" w:right="381" w:hanging="360"/>
        <w:jc w:val="left"/>
        <w:rPr>
          <w:sz w:val="22"/>
        </w:rPr>
      </w:pPr>
      <w:r>
        <w:rPr>
          <w:sz w:val="22"/>
        </w:rPr>
        <w:t>Lee</w:t>
      </w:r>
      <w:r>
        <w:rPr>
          <w:spacing w:val="-3"/>
          <w:sz w:val="22"/>
        </w:rPr>
        <w:t> </w:t>
      </w:r>
      <w:r>
        <w:rPr>
          <w:sz w:val="22"/>
        </w:rPr>
        <w:t>SY,</w:t>
      </w:r>
      <w:r>
        <w:rPr>
          <w:spacing w:val="-1"/>
          <w:sz w:val="22"/>
        </w:rPr>
        <w:t> </w:t>
      </w:r>
      <w:r>
        <w:rPr>
          <w:sz w:val="22"/>
        </w:rPr>
        <w:t>Baek</w:t>
      </w:r>
      <w:r>
        <w:rPr>
          <w:spacing w:val="-1"/>
          <w:sz w:val="22"/>
        </w:rPr>
        <w:t> </w:t>
      </w:r>
      <w:r>
        <w:rPr>
          <w:sz w:val="22"/>
        </w:rPr>
        <w:t>JS,</w:t>
      </w:r>
      <w:r>
        <w:rPr>
          <w:spacing w:val="-3"/>
          <w:sz w:val="22"/>
        </w:rPr>
        <w:t> </w:t>
      </w:r>
      <w:r>
        <w:rPr>
          <w:sz w:val="22"/>
        </w:rPr>
        <w:t>Kim</w:t>
      </w:r>
      <w:r>
        <w:rPr>
          <w:spacing w:val="-3"/>
          <w:sz w:val="22"/>
        </w:rPr>
        <w:t> </w:t>
      </w:r>
      <w:r>
        <w:rPr>
          <w:sz w:val="22"/>
        </w:rPr>
        <w:t>GB,</w:t>
      </w:r>
      <w:r>
        <w:rPr>
          <w:spacing w:val="-3"/>
          <w:sz w:val="22"/>
        </w:rPr>
        <w:t> </w:t>
      </w:r>
      <w:r>
        <w:rPr>
          <w:sz w:val="22"/>
        </w:rPr>
        <w:t>Kwon</w:t>
      </w:r>
      <w:r>
        <w:rPr>
          <w:spacing w:val="-2"/>
          <w:sz w:val="22"/>
        </w:rPr>
        <w:t> </w:t>
      </w:r>
      <w:r>
        <w:rPr>
          <w:sz w:val="22"/>
        </w:rPr>
        <w:t>BS,</w:t>
      </w:r>
      <w:r>
        <w:rPr>
          <w:spacing w:val="-4"/>
          <w:sz w:val="22"/>
        </w:rPr>
        <w:t> </w:t>
      </w:r>
      <w:r>
        <w:rPr>
          <w:sz w:val="22"/>
        </w:rPr>
        <w:t>Bae</w:t>
      </w:r>
      <w:r>
        <w:rPr>
          <w:spacing w:val="-3"/>
          <w:sz w:val="22"/>
        </w:rPr>
        <w:t> </w:t>
      </w:r>
      <w:r>
        <w:rPr>
          <w:sz w:val="22"/>
        </w:rPr>
        <w:t>EJ,</w:t>
      </w:r>
      <w:r>
        <w:rPr>
          <w:spacing w:val="-1"/>
          <w:sz w:val="22"/>
        </w:rPr>
        <w:t> </w:t>
      </w:r>
      <w:r>
        <w:rPr>
          <w:sz w:val="22"/>
        </w:rPr>
        <w:t>Noh</w:t>
      </w:r>
      <w:r>
        <w:rPr>
          <w:spacing w:val="-5"/>
          <w:sz w:val="22"/>
        </w:rPr>
        <w:t> </w:t>
      </w:r>
      <w:r>
        <w:rPr>
          <w:sz w:val="22"/>
        </w:rPr>
        <w:t>CI,</w:t>
      </w:r>
      <w:r>
        <w:rPr>
          <w:spacing w:val="-1"/>
          <w:sz w:val="22"/>
        </w:rPr>
        <w:t> </w:t>
      </w:r>
      <w:r>
        <w:rPr>
          <w:sz w:val="22"/>
        </w:rPr>
        <w:t>Choi</w:t>
      </w:r>
      <w:r>
        <w:rPr>
          <w:spacing w:val="-1"/>
          <w:sz w:val="22"/>
        </w:rPr>
        <w:t> </w:t>
      </w:r>
      <w:r>
        <w:rPr>
          <w:sz w:val="22"/>
        </w:rPr>
        <w:t>JY,</w:t>
      </w:r>
      <w:r>
        <w:rPr>
          <w:spacing w:val="-3"/>
          <w:sz w:val="22"/>
        </w:rPr>
        <w:t> </w:t>
      </w:r>
      <w:r>
        <w:rPr>
          <w:sz w:val="22"/>
        </w:rPr>
        <w:t>Lim HK,</w:t>
      </w:r>
      <w:r>
        <w:rPr>
          <w:spacing w:val="-3"/>
          <w:sz w:val="22"/>
        </w:rPr>
        <w:t> </w:t>
      </w:r>
      <w:r>
        <w:rPr>
          <w:sz w:val="22"/>
        </w:rPr>
        <w:t>Kim WH,</w:t>
      </w:r>
      <w:r>
        <w:rPr>
          <w:spacing w:val="-4"/>
          <w:sz w:val="22"/>
        </w:rPr>
        <w:t> </w:t>
      </w:r>
      <w:r>
        <w:rPr>
          <w:sz w:val="22"/>
        </w:rPr>
        <w:t>Lee</w:t>
      </w:r>
      <w:r>
        <w:rPr>
          <w:spacing w:val="-3"/>
          <w:sz w:val="22"/>
        </w:rPr>
        <w:t> </w:t>
      </w:r>
      <w:r>
        <w:rPr>
          <w:sz w:val="22"/>
        </w:rPr>
        <w:t>JR and</w:t>
      </w:r>
      <w:r>
        <w:rPr>
          <w:spacing w:val="-2"/>
          <w:sz w:val="22"/>
        </w:rPr>
        <w:t> </w:t>
      </w:r>
      <w:r>
        <w:rPr>
          <w:sz w:val="22"/>
        </w:rPr>
        <w:t>Kim</w:t>
      </w:r>
      <w:r>
        <w:rPr>
          <w:spacing w:val="-3"/>
          <w:sz w:val="22"/>
        </w:rPr>
        <w:t> </w:t>
      </w:r>
      <w:r>
        <w:rPr>
          <w:sz w:val="22"/>
        </w:rPr>
        <w:t>YJ. Clinical significance of thrombosis in an intracardiac blind pouch after a Fontan operation. </w:t>
      </w:r>
      <w:r>
        <w:rPr>
          <w:i/>
          <w:sz w:val="22"/>
        </w:rPr>
        <w:t>Pediatric cardiology</w:t>
      </w:r>
      <w:r>
        <w:rPr>
          <w:sz w:val="22"/>
        </w:rPr>
        <w:t>. 2012;33:42-8.</w:t>
      </w:r>
    </w:p>
    <w:p>
      <w:pPr>
        <w:pStyle w:val="ListParagraph"/>
        <w:numPr>
          <w:ilvl w:val="0"/>
          <w:numId w:val="4"/>
        </w:numPr>
        <w:tabs>
          <w:tab w:pos="498" w:val="left" w:leader="none"/>
          <w:tab w:pos="501" w:val="left" w:leader="none"/>
        </w:tabs>
        <w:spacing w:line="240" w:lineRule="auto" w:before="1" w:after="0"/>
        <w:ind w:left="501" w:right="291" w:hanging="360"/>
        <w:jc w:val="left"/>
        <w:rPr>
          <w:sz w:val="22"/>
        </w:rPr>
      </w:pPr>
      <w:r>
        <w:rPr>
          <w:sz w:val="22"/>
        </w:rPr>
        <w:t>Towbin JA, Lowe AM, Colan SD, Sleeper LA, Orav EJ, Clunie S, et al. Incidence, causes, and outcomes</w:t>
      </w:r>
      <w:r>
        <w:rPr>
          <w:spacing w:val="-5"/>
          <w:sz w:val="22"/>
        </w:rPr>
        <w:t> </w:t>
      </w:r>
      <w:r>
        <w:rPr>
          <w:sz w:val="22"/>
        </w:rPr>
        <w:t>of</w:t>
      </w:r>
      <w:r>
        <w:rPr>
          <w:spacing w:val="-3"/>
          <w:sz w:val="22"/>
        </w:rPr>
        <w:t> </w:t>
      </w:r>
      <w:r>
        <w:rPr>
          <w:sz w:val="22"/>
        </w:rPr>
        <w:t>dilated</w:t>
      </w:r>
      <w:r>
        <w:rPr>
          <w:spacing w:val="-3"/>
          <w:sz w:val="22"/>
        </w:rPr>
        <w:t> </w:t>
      </w:r>
      <w:r>
        <w:rPr>
          <w:sz w:val="22"/>
        </w:rPr>
        <w:t>cardiomyopathy</w:t>
      </w:r>
      <w:r>
        <w:rPr>
          <w:spacing w:val="-5"/>
          <w:sz w:val="22"/>
        </w:rPr>
        <w:t> </w:t>
      </w:r>
      <w:r>
        <w:rPr>
          <w:sz w:val="22"/>
        </w:rPr>
        <w:t>in</w:t>
      </w:r>
      <w:r>
        <w:rPr>
          <w:spacing w:val="-3"/>
          <w:sz w:val="22"/>
        </w:rPr>
        <w:t> </w:t>
      </w:r>
      <w:r>
        <w:rPr>
          <w:sz w:val="22"/>
        </w:rPr>
        <w:t>children.</w:t>
      </w:r>
      <w:r>
        <w:rPr>
          <w:spacing w:val="-4"/>
          <w:sz w:val="22"/>
        </w:rPr>
        <w:t> </w:t>
      </w:r>
      <w:r>
        <w:rPr>
          <w:sz w:val="22"/>
        </w:rPr>
        <w:t>Journal</w:t>
      </w:r>
      <w:r>
        <w:rPr>
          <w:spacing w:val="-3"/>
          <w:sz w:val="22"/>
        </w:rPr>
        <w:t> </w:t>
      </w:r>
      <w:r>
        <w:rPr>
          <w:sz w:val="22"/>
        </w:rPr>
        <w:t>of</w:t>
      </w:r>
      <w:r>
        <w:rPr>
          <w:spacing w:val="-3"/>
          <w:sz w:val="22"/>
        </w:rPr>
        <w:t> </w:t>
      </w:r>
      <w:r>
        <w:rPr>
          <w:sz w:val="22"/>
        </w:rPr>
        <w:t>the</w:t>
      </w:r>
      <w:r>
        <w:rPr>
          <w:spacing w:val="-3"/>
          <w:sz w:val="22"/>
        </w:rPr>
        <w:t> </w:t>
      </w:r>
      <w:r>
        <w:rPr>
          <w:sz w:val="22"/>
        </w:rPr>
        <w:t>American</w:t>
      </w:r>
      <w:r>
        <w:rPr>
          <w:spacing w:val="-6"/>
          <w:sz w:val="22"/>
        </w:rPr>
        <w:t> </w:t>
      </w:r>
      <w:r>
        <w:rPr>
          <w:sz w:val="22"/>
        </w:rPr>
        <w:t>Medical</w:t>
      </w:r>
      <w:r>
        <w:rPr>
          <w:spacing w:val="-3"/>
          <w:sz w:val="22"/>
        </w:rPr>
        <w:t> </w:t>
      </w:r>
      <w:r>
        <w:rPr>
          <w:sz w:val="22"/>
        </w:rPr>
        <w:t>Association. </w:t>
      </w:r>
      <w:r>
        <w:rPr>
          <w:spacing w:val="-2"/>
          <w:sz w:val="22"/>
        </w:rPr>
        <w:t>2006;296:1867-76.</w:t>
      </w:r>
    </w:p>
    <w:p>
      <w:pPr>
        <w:pStyle w:val="ListParagraph"/>
        <w:numPr>
          <w:ilvl w:val="0"/>
          <w:numId w:val="4"/>
        </w:numPr>
        <w:tabs>
          <w:tab w:pos="498" w:val="left" w:leader="none"/>
          <w:tab w:pos="501" w:val="left" w:leader="none"/>
        </w:tabs>
        <w:spacing w:line="240" w:lineRule="auto" w:before="0" w:after="0"/>
        <w:ind w:left="501" w:right="482" w:hanging="360"/>
        <w:jc w:val="left"/>
        <w:rPr>
          <w:sz w:val="22"/>
        </w:rPr>
      </w:pPr>
      <w:r>
        <w:rPr>
          <w:sz w:val="22"/>
        </w:rPr>
        <w:t>Arola</w:t>
      </w:r>
      <w:r>
        <w:rPr>
          <w:spacing w:val="-2"/>
          <w:sz w:val="22"/>
        </w:rPr>
        <w:t> </w:t>
      </w:r>
      <w:r>
        <w:rPr>
          <w:sz w:val="22"/>
        </w:rPr>
        <w:t>A,</w:t>
      </w:r>
      <w:r>
        <w:rPr>
          <w:spacing w:val="-4"/>
          <w:sz w:val="22"/>
        </w:rPr>
        <w:t> </w:t>
      </w:r>
      <w:r>
        <w:rPr>
          <w:sz w:val="22"/>
        </w:rPr>
        <w:t>Tuominen</w:t>
      </w:r>
      <w:r>
        <w:rPr>
          <w:spacing w:val="-2"/>
          <w:sz w:val="22"/>
        </w:rPr>
        <w:t> </w:t>
      </w:r>
      <w:r>
        <w:rPr>
          <w:sz w:val="22"/>
        </w:rPr>
        <w:t>J,</w:t>
      </w:r>
      <w:r>
        <w:rPr>
          <w:spacing w:val="-5"/>
          <w:sz w:val="22"/>
        </w:rPr>
        <w:t> </w:t>
      </w:r>
      <w:r>
        <w:rPr>
          <w:sz w:val="22"/>
        </w:rPr>
        <w:t>Ruuskanen</w:t>
      </w:r>
      <w:r>
        <w:rPr>
          <w:spacing w:val="-2"/>
          <w:sz w:val="22"/>
        </w:rPr>
        <w:t> </w:t>
      </w:r>
      <w:r>
        <w:rPr>
          <w:sz w:val="22"/>
        </w:rPr>
        <w:t>O,</w:t>
      </w:r>
      <w:r>
        <w:rPr>
          <w:spacing w:val="-2"/>
          <w:sz w:val="22"/>
        </w:rPr>
        <w:t> </w:t>
      </w:r>
      <w:r>
        <w:rPr>
          <w:sz w:val="22"/>
        </w:rPr>
        <w:t>Jokinen</w:t>
      </w:r>
      <w:r>
        <w:rPr>
          <w:spacing w:val="-2"/>
          <w:sz w:val="22"/>
        </w:rPr>
        <w:t> </w:t>
      </w:r>
      <w:r>
        <w:rPr>
          <w:sz w:val="22"/>
        </w:rPr>
        <w:t>E.</w:t>
      </w:r>
      <w:r>
        <w:rPr>
          <w:spacing w:val="-5"/>
          <w:sz w:val="22"/>
        </w:rPr>
        <w:t> </w:t>
      </w:r>
      <w:r>
        <w:rPr>
          <w:sz w:val="22"/>
        </w:rPr>
        <w:t>Idiopathic</w:t>
      </w:r>
      <w:r>
        <w:rPr>
          <w:spacing w:val="-2"/>
          <w:sz w:val="22"/>
        </w:rPr>
        <w:t> </w:t>
      </w:r>
      <w:r>
        <w:rPr>
          <w:sz w:val="22"/>
        </w:rPr>
        <w:t>dilated</w:t>
      </w:r>
      <w:r>
        <w:rPr>
          <w:spacing w:val="-2"/>
          <w:sz w:val="22"/>
        </w:rPr>
        <w:t> </w:t>
      </w:r>
      <w:r>
        <w:rPr>
          <w:sz w:val="22"/>
        </w:rPr>
        <w:t>cardiomyopathy</w:t>
      </w:r>
      <w:r>
        <w:rPr>
          <w:spacing w:val="-4"/>
          <w:sz w:val="22"/>
        </w:rPr>
        <w:t> </w:t>
      </w:r>
      <w:r>
        <w:rPr>
          <w:sz w:val="22"/>
        </w:rPr>
        <w:t>in</w:t>
      </w:r>
      <w:r>
        <w:rPr>
          <w:spacing w:val="-3"/>
          <w:sz w:val="22"/>
        </w:rPr>
        <w:t> </w:t>
      </w:r>
      <w:r>
        <w:rPr>
          <w:sz w:val="22"/>
        </w:rPr>
        <w:t>children: prognostic indicators and outcome. Pediatrics. 1998;101(3 Pt 1):369-76.</w:t>
      </w:r>
    </w:p>
    <w:p>
      <w:pPr>
        <w:pStyle w:val="ListParagraph"/>
        <w:numPr>
          <w:ilvl w:val="0"/>
          <w:numId w:val="4"/>
        </w:numPr>
        <w:tabs>
          <w:tab w:pos="498" w:val="left" w:leader="none"/>
          <w:tab w:pos="501" w:val="left" w:leader="none"/>
        </w:tabs>
        <w:spacing w:line="240" w:lineRule="auto" w:before="0" w:after="0"/>
        <w:ind w:left="501" w:right="199" w:hanging="360"/>
        <w:jc w:val="left"/>
        <w:rPr>
          <w:sz w:val="22"/>
        </w:rPr>
      </w:pPr>
      <w:r>
        <w:rPr>
          <w:sz w:val="22"/>
        </w:rPr>
        <w:t>Hsu</w:t>
      </w:r>
      <w:r>
        <w:rPr>
          <w:spacing w:val="-3"/>
          <w:sz w:val="22"/>
        </w:rPr>
        <w:t> </w:t>
      </w:r>
      <w:r>
        <w:rPr>
          <w:sz w:val="22"/>
        </w:rPr>
        <w:t>DT,</w:t>
      </w:r>
      <w:r>
        <w:rPr>
          <w:spacing w:val="-2"/>
          <w:sz w:val="22"/>
        </w:rPr>
        <w:t> </w:t>
      </w:r>
      <w:r>
        <w:rPr>
          <w:sz w:val="22"/>
        </w:rPr>
        <w:t>Addonizio</w:t>
      </w:r>
      <w:r>
        <w:rPr>
          <w:spacing w:val="-4"/>
          <w:sz w:val="22"/>
        </w:rPr>
        <w:t> </w:t>
      </w:r>
      <w:r>
        <w:rPr>
          <w:sz w:val="22"/>
        </w:rPr>
        <w:t>LJ,</w:t>
      </w:r>
      <w:r>
        <w:rPr>
          <w:spacing w:val="-2"/>
          <w:sz w:val="22"/>
        </w:rPr>
        <w:t> </w:t>
      </w:r>
      <w:r>
        <w:rPr>
          <w:sz w:val="22"/>
        </w:rPr>
        <w:t>Hordof</w:t>
      </w:r>
      <w:r>
        <w:rPr>
          <w:spacing w:val="-2"/>
          <w:sz w:val="22"/>
        </w:rPr>
        <w:t> </w:t>
      </w:r>
      <w:r>
        <w:rPr>
          <w:sz w:val="22"/>
        </w:rPr>
        <w:t>AJ,</w:t>
      </w:r>
      <w:r>
        <w:rPr>
          <w:spacing w:val="-2"/>
          <w:sz w:val="22"/>
        </w:rPr>
        <w:t> </w:t>
      </w:r>
      <w:r>
        <w:rPr>
          <w:sz w:val="22"/>
        </w:rPr>
        <w:t>Gersony</w:t>
      </w:r>
      <w:r>
        <w:rPr>
          <w:spacing w:val="-4"/>
          <w:sz w:val="22"/>
        </w:rPr>
        <w:t> </w:t>
      </w:r>
      <w:r>
        <w:rPr>
          <w:sz w:val="22"/>
        </w:rPr>
        <w:t>WM.</w:t>
      </w:r>
      <w:r>
        <w:rPr>
          <w:spacing w:val="-2"/>
          <w:sz w:val="22"/>
        </w:rPr>
        <w:t> </w:t>
      </w:r>
      <w:r>
        <w:rPr>
          <w:sz w:val="22"/>
        </w:rPr>
        <w:t>Acute</w:t>
      </w:r>
      <w:r>
        <w:rPr>
          <w:spacing w:val="-4"/>
          <w:sz w:val="22"/>
        </w:rPr>
        <w:t> </w:t>
      </w:r>
      <w:r>
        <w:rPr>
          <w:sz w:val="22"/>
        </w:rPr>
        <w:t>pulmonary</w:t>
      </w:r>
      <w:r>
        <w:rPr>
          <w:spacing w:val="-2"/>
          <w:sz w:val="22"/>
        </w:rPr>
        <w:t> </w:t>
      </w:r>
      <w:r>
        <w:rPr>
          <w:sz w:val="22"/>
        </w:rPr>
        <w:t>embolism</w:t>
      </w:r>
      <w:r>
        <w:rPr>
          <w:spacing w:val="-3"/>
          <w:sz w:val="22"/>
        </w:rPr>
        <w:t> </w:t>
      </w:r>
      <w:r>
        <w:rPr>
          <w:sz w:val="22"/>
        </w:rPr>
        <w:t>in</w:t>
      </w:r>
      <w:r>
        <w:rPr>
          <w:spacing w:val="-2"/>
          <w:sz w:val="22"/>
        </w:rPr>
        <w:t> </w:t>
      </w:r>
      <w:r>
        <w:rPr>
          <w:sz w:val="22"/>
        </w:rPr>
        <w:t>pediatric</w:t>
      </w:r>
      <w:r>
        <w:rPr>
          <w:spacing w:val="-2"/>
          <w:sz w:val="22"/>
        </w:rPr>
        <w:t> </w:t>
      </w:r>
      <w:r>
        <w:rPr>
          <w:sz w:val="22"/>
        </w:rPr>
        <w:t>patients awaiting heart transplantation. J Am Coll Cardiol 1991;17:1621-5.</w:t>
      </w:r>
    </w:p>
    <w:p>
      <w:pPr>
        <w:pStyle w:val="ListParagraph"/>
        <w:numPr>
          <w:ilvl w:val="0"/>
          <w:numId w:val="4"/>
        </w:numPr>
        <w:tabs>
          <w:tab w:pos="498" w:val="left" w:leader="none"/>
          <w:tab w:pos="501" w:val="left" w:leader="none"/>
        </w:tabs>
        <w:spacing w:line="240" w:lineRule="auto" w:before="0" w:after="0"/>
        <w:ind w:left="501" w:right="316" w:hanging="360"/>
        <w:jc w:val="left"/>
        <w:rPr>
          <w:sz w:val="22"/>
        </w:rPr>
      </w:pPr>
      <w:r>
        <w:rPr>
          <w:sz w:val="22"/>
        </w:rPr>
        <w:t>Gunthard</w:t>
      </w:r>
      <w:r>
        <w:rPr>
          <w:spacing w:val="-2"/>
          <w:sz w:val="22"/>
        </w:rPr>
        <w:t> </w:t>
      </w:r>
      <w:r>
        <w:rPr>
          <w:sz w:val="22"/>
        </w:rPr>
        <w:t>J,</w:t>
      </w:r>
      <w:r>
        <w:rPr>
          <w:spacing w:val="-1"/>
          <w:sz w:val="22"/>
        </w:rPr>
        <w:t> </w:t>
      </w:r>
      <w:r>
        <w:rPr>
          <w:sz w:val="22"/>
        </w:rPr>
        <w:t>Stocker</w:t>
      </w:r>
      <w:r>
        <w:rPr>
          <w:spacing w:val="-1"/>
          <w:sz w:val="22"/>
        </w:rPr>
        <w:t> </w:t>
      </w:r>
      <w:r>
        <w:rPr>
          <w:sz w:val="22"/>
        </w:rPr>
        <w:t>F,</w:t>
      </w:r>
      <w:r>
        <w:rPr>
          <w:spacing w:val="-4"/>
          <w:sz w:val="22"/>
        </w:rPr>
        <w:t> </w:t>
      </w:r>
      <w:r>
        <w:rPr>
          <w:sz w:val="22"/>
        </w:rPr>
        <w:t>Bolz</w:t>
      </w:r>
      <w:r>
        <w:rPr>
          <w:spacing w:val="-4"/>
          <w:sz w:val="22"/>
        </w:rPr>
        <w:t> </w:t>
      </w:r>
      <w:r>
        <w:rPr>
          <w:sz w:val="22"/>
        </w:rPr>
        <w:t>D,</w:t>
      </w:r>
      <w:r>
        <w:rPr>
          <w:spacing w:val="-1"/>
          <w:sz w:val="22"/>
        </w:rPr>
        <w:t> </w:t>
      </w:r>
      <w:r>
        <w:rPr>
          <w:sz w:val="22"/>
        </w:rPr>
        <w:t>Jaggi</w:t>
      </w:r>
      <w:r>
        <w:rPr>
          <w:spacing w:val="-1"/>
          <w:sz w:val="22"/>
        </w:rPr>
        <w:t> </w:t>
      </w:r>
      <w:r>
        <w:rPr>
          <w:sz w:val="22"/>
        </w:rPr>
        <w:t>E,</w:t>
      </w:r>
      <w:r>
        <w:rPr>
          <w:spacing w:val="-3"/>
          <w:sz w:val="22"/>
        </w:rPr>
        <w:t> </w:t>
      </w:r>
      <w:r>
        <w:rPr>
          <w:sz w:val="22"/>
        </w:rPr>
        <w:t>Ghisla</w:t>
      </w:r>
      <w:r>
        <w:rPr>
          <w:spacing w:val="-1"/>
          <w:sz w:val="22"/>
        </w:rPr>
        <w:t> </w:t>
      </w:r>
      <w:r>
        <w:rPr>
          <w:sz w:val="22"/>
        </w:rPr>
        <w:t>R,</w:t>
      </w:r>
      <w:r>
        <w:rPr>
          <w:spacing w:val="-3"/>
          <w:sz w:val="22"/>
        </w:rPr>
        <w:t> </w:t>
      </w:r>
      <w:r>
        <w:rPr>
          <w:sz w:val="22"/>
        </w:rPr>
        <w:t>Oberhansli</w:t>
      </w:r>
      <w:r>
        <w:rPr>
          <w:spacing w:val="-2"/>
          <w:sz w:val="22"/>
        </w:rPr>
        <w:t> </w:t>
      </w:r>
      <w:r>
        <w:rPr>
          <w:sz w:val="22"/>
        </w:rPr>
        <w:t>I,</w:t>
      </w:r>
      <w:r>
        <w:rPr>
          <w:spacing w:val="-1"/>
          <w:sz w:val="22"/>
        </w:rPr>
        <w:t> </w:t>
      </w:r>
      <w:r>
        <w:rPr>
          <w:sz w:val="22"/>
        </w:rPr>
        <w:t>et</w:t>
      </w:r>
      <w:r>
        <w:rPr>
          <w:spacing w:val="-3"/>
          <w:sz w:val="22"/>
        </w:rPr>
        <w:t> </w:t>
      </w:r>
      <w:r>
        <w:rPr>
          <w:sz w:val="22"/>
        </w:rPr>
        <w:t>al.</w:t>
      </w:r>
      <w:r>
        <w:rPr>
          <w:spacing w:val="-2"/>
          <w:sz w:val="22"/>
        </w:rPr>
        <w:t> </w:t>
      </w:r>
      <w:r>
        <w:rPr>
          <w:sz w:val="22"/>
        </w:rPr>
        <w:t>Dilated</w:t>
      </w:r>
      <w:r>
        <w:rPr>
          <w:spacing w:val="-2"/>
          <w:sz w:val="22"/>
        </w:rPr>
        <w:t> </w:t>
      </w:r>
      <w:r>
        <w:rPr>
          <w:sz w:val="22"/>
        </w:rPr>
        <w:t>cardiomyopathy</w:t>
      </w:r>
      <w:r>
        <w:rPr>
          <w:spacing w:val="-1"/>
          <w:sz w:val="22"/>
        </w:rPr>
        <w:t> </w:t>
      </w:r>
      <w:r>
        <w:rPr>
          <w:sz w:val="22"/>
        </w:rPr>
        <w:t>and thrombo-embolism. Eur J Pediatr. 1997;156(1):3-6.</w:t>
      </w:r>
    </w:p>
    <w:p>
      <w:pPr>
        <w:pStyle w:val="ListParagraph"/>
        <w:numPr>
          <w:ilvl w:val="0"/>
          <w:numId w:val="4"/>
        </w:numPr>
        <w:tabs>
          <w:tab w:pos="498" w:val="left" w:leader="none"/>
          <w:tab w:pos="501" w:val="left" w:leader="none"/>
        </w:tabs>
        <w:spacing w:line="240" w:lineRule="auto" w:before="0" w:after="0"/>
        <w:ind w:left="501" w:right="665" w:hanging="360"/>
        <w:jc w:val="left"/>
        <w:rPr>
          <w:sz w:val="22"/>
        </w:rPr>
      </w:pPr>
      <w:r>
        <w:rPr>
          <w:sz w:val="22"/>
        </w:rPr>
        <w:t>McCrindle BW, Karamlou T, Wong H, Gangam N, Trivedi KR, Lee KJ, et al. Presentation, management</w:t>
      </w:r>
      <w:r>
        <w:rPr>
          <w:spacing w:val="-6"/>
          <w:sz w:val="22"/>
        </w:rPr>
        <w:t> </w:t>
      </w:r>
      <w:r>
        <w:rPr>
          <w:sz w:val="22"/>
        </w:rPr>
        <w:t>and</w:t>
      </w:r>
      <w:r>
        <w:rPr>
          <w:spacing w:val="-5"/>
          <w:sz w:val="22"/>
        </w:rPr>
        <w:t> </w:t>
      </w:r>
      <w:r>
        <w:rPr>
          <w:sz w:val="22"/>
        </w:rPr>
        <w:t>outcomes</w:t>
      </w:r>
      <w:r>
        <w:rPr>
          <w:spacing w:val="-4"/>
          <w:sz w:val="22"/>
        </w:rPr>
        <w:t> </w:t>
      </w:r>
      <w:r>
        <w:rPr>
          <w:sz w:val="22"/>
        </w:rPr>
        <w:t>of</w:t>
      </w:r>
      <w:r>
        <w:rPr>
          <w:spacing w:val="-5"/>
          <w:sz w:val="22"/>
        </w:rPr>
        <w:t> </w:t>
      </w:r>
      <w:r>
        <w:rPr>
          <w:sz w:val="22"/>
        </w:rPr>
        <w:t>thrombosis</w:t>
      </w:r>
      <w:r>
        <w:rPr>
          <w:spacing w:val="-4"/>
          <w:sz w:val="22"/>
        </w:rPr>
        <w:t> </w:t>
      </w:r>
      <w:r>
        <w:rPr>
          <w:sz w:val="22"/>
        </w:rPr>
        <w:t>for</w:t>
      </w:r>
      <w:r>
        <w:rPr>
          <w:spacing w:val="-4"/>
          <w:sz w:val="22"/>
        </w:rPr>
        <w:t> </w:t>
      </w:r>
      <w:r>
        <w:rPr>
          <w:sz w:val="22"/>
        </w:rPr>
        <w:t>children</w:t>
      </w:r>
      <w:r>
        <w:rPr>
          <w:spacing w:val="-5"/>
          <w:sz w:val="22"/>
        </w:rPr>
        <w:t> </w:t>
      </w:r>
      <w:r>
        <w:rPr>
          <w:sz w:val="22"/>
        </w:rPr>
        <w:t>with</w:t>
      </w:r>
      <w:r>
        <w:rPr>
          <w:spacing w:val="-5"/>
          <w:sz w:val="22"/>
        </w:rPr>
        <w:t> </w:t>
      </w:r>
      <w:r>
        <w:rPr>
          <w:sz w:val="22"/>
        </w:rPr>
        <w:t>cardiomyopathy.</w:t>
      </w:r>
      <w:r>
        <w:rPr>
          <w:spacing w:val="-4"/>
          <w:sz w:val="22"/>
        </w:rPr>
        <w:t> </w:t>
      </w:r>
      <w:r>
        <w:rPr>
          <w:sz w:val="22"/>
        </w:rPr>
        <w:t>CanJCardiol. </w:t>
      </w:r>
      <w:r>
        <w:rPr>
          <w:spacing w:val="-2"/>
          <w:sz w:val="22"/>
        </w:rPr>
        <w:t>2006;22(8):685-90.</w:t>
      </w:r>
    </w:p>
    <w:p>
      <w:pPr>
        <w:pStyle w:val="ListParagraph"/>
        <w:numPr>
          <w:ilvl w:val="0"/>
          <w:numId w:val="4"/>
        </w:numPr>
        <w:tabs>
          <w:tab w:pos="498" w:val="left" w:leader="none"/>
          <w:tab w:pos="501" w:val="left" w:leader="none"/>
        </w:tabs>
        <w:spacing w:line="237" w:lineRule="auto" w:before="3" w:after="0"/>
        <w:ind w:left="501" w:right="482" w:hanging="360"/>
        <w:jc w:val="left"/>
        <w:rPr>
          <w:sz w:val="22"/>
        </w:rPr>
      </w:pPr>
      <w:r>
        <w:rPr>
          <w:sz w:val="22"/>
        </w:rPr>
        <w:t>John</w:t>
      </w:r>
      <w:r>
        <w:rPr>
          <w:spacing w:val="-3"/>
          <w:sz w:val="22"/>
        </w:rPr>
        <w:t> </w:t>
      </w:r>
      <w:r>
        <w:rPr>
          <w:sz w:val="22"/>
        </w:rPr>
        <w:t>JB,</w:t>
      </w:r>
      <w:r>
        <w:rPr>
          <w:spacing w:val="-2"/>
          <w:sz w:val="22"/>
        </w:rPr>
        <w:t> </w:t>
      </w:r>
      <w:r>
        <w:rPr>
          <w:sz w:val="22"/>
        </w:rPr>
        <w:t>Cron</w:t>
      </w:r>
      <w:r>
        <w:rPr>
          <w:spacing w:val="-6"/>
          <w:sz w:val="22"/>
        </w:rPr>
        <w:t> </w:t>
      </w:r>
      <w:r>
        <w:rPr>
          <w:sz w:val="22"/>
        </w:rPr>
        <w:t>SG,</w:t>
      </w:r>
      <w:r>
        <w:rPr>
          <w:spacing w:val="-2"/>
          <w:sz w:val="22"/>
        </w:rPr>
        <w:t> </w:t>
      </w:r>
      <w:r>
        <w:rPr>
          <w:sz w:val="22"/>
        </w:rPr>
        <w:t>Kung</w:t>
      </w:r>
      <w:r>
        <w:rPr>
          <w:spacing w:val="-2"/>
          <w:sz w:val="22"/>
        </w:rPr>
        <w:t> </w:t>
      </w:r>
      <w:r>
        <w:rPr>
          <w:sz w:val="22"/>
        </w:rPr>
        <w:t>GC,</w:t>
      </w:r>
      <w:r>
        <w:rPr>
          <w:spacing w:val="-4"/>
          <w:sz w:val="22"/>
        </w:rPr>
        <w:t> </w:t>
      </w:r>
      <w:r>
        <w:rPr>
          <w:sz w:val="22"/>
        </w:rPr>
        <w:t>Mott</w:t>
      </w:r>
      <w:r>
        <w:rPr>
          <w:spacing w:val="-2"/>
          <w:sz w:val="22"/>
        </w:rPr>
        <w:t> </w:t>
      </w:r>
      <w:r>
        <w:rPr>
          <w:sz w:val="22"/>
        </w:rPr>
        <w:t>AR.</w:t>
      </w:r>
      <w:r>
        <w:rPr>
          <w:spacing w:val="-2"/>
          <w:sz w:val="22"/>
        </w:rPr>
        <w:t> </w:t>
      </w:r>
      <w:r>
        <w:rPr>
          <w:sz w:val="22"/>
        </w:rPr>
        <w:t>Intracardiac</w:t>
      </w:r>
      <w:r>
        <w:rPr>
          <w:spacing w:val="-5"/>
          <w:sz w:val="22"/>
        </w:rPr>
        <w:t> </w:t>
      </w:r>
      <w:r>
        <w:rPr>
          <w:sz w:val="22"/>
        </w:rPr>
        <w:t>thrombi</w:t>
      </w:r>
      <w:r>
        <w:rPr>
          <w:spacing w:val="-2"/>
          <w:sz w:val="22"/>
        </w:rPr>
        <w:t> </w:t>
      </w:r>
      <w:r>
        <w:rPr>
          <w:sz w:val="22"/>
        </w:rPr>
        <w:t>in</w:t>
      </w:r>
      <w:r>
        <w:rPr>
          <w:spacing w:val="-3"/>
          <w:sz w:val="22"/>
        </w:rPr>
        <w:t> </w:t>
      </w:r>
      <w:r>
        <w:rPr>
          <w:sz w:val="22"/>
        </w:rPr>
        <w:t>pediatric</w:t>
      </w:r>
      <w:r>
        <w:rPr>
          <w:spacing w:val="-2"/>
          <w:sz w:val="22"/>
        </w:rPr>
        <w:t> </w:t>
      </w:r>
      <w:r>
        <w:rPr>
          <w:sz w:val="22"/>
        </w:rPr>
        <w:t>patients:</w:t>
      </w:r>
      <w:r>
        <w:rPr>
          <w:spacing w:val="-1"/>
          <w:sz w:val="22"/>
        </w:rPr>
        <w:t> </w:t>
      </w:r>
      <w:r>
        <w:rPr>
          <w:sz w:val="22"/>
        </w:rPr>
        <w:t>presentation profiles and clinical outcomes. Pediatr Cardiol. 2007;28(3):213-20.</w:t>
      </w:r>
    </w:p>
    <w:p>
      <w:pPr>
        <w:pStyle w:val="ListParagraph"/>
        <w:numPr>
          <w:ilvl w:val="0"/>
          <w:numId w:val="4"/>
        </w:numPr>
        <w:tabs>
          <w:tab w:pos="498" w:val="left" w:leader="none"/>
          <w:tab w:pos="501" w:val="left" w:leader="none"/>
        </w:tabs>
        <w:spacing w:line="240" w:lineRule="auto" w:before="1" w:after="0"/>
        <w:ind w:left="501" w:right="47" w:hanging="360"/>
        <w:jc w:val="left"/>
        <w:rPr>
          <w:sz w:val="22"/>
        </w:rPr>
      </w:pPr>
      <w:r>
        <w:rPr>
          <w:sz w:val="22"/>
        </w:rPr>
        <w:t>Choi SH, Jeong SI, Yang JH, Kang IS, Jun TG, Lee HJ, et al. A single-center experience with intracardiac</w:t>
      </w:r>
      <w:r>
        <w:rPr>
          <w:spacing w:val="-3"/>
          <w:sz w:val="22"/>
        </w:rPr>
        <w:t> </w:t>
      </w:r>
      <w:r>
        <w:rPr>
          <w:sz w:val="22"/>
        </w:rPr>
        <w:t>thrombosis</w:t>
      </w:r>
      <w:r>
        <w:rPr>
          <w:spacing w:val="-6"/>
          <w:sz w:val="22"/>
        </w:rPr>
        <w:t> </w:t>
      </w:r>
      <w:r>
        <w:rPr>
          <w:sz w:val="22"/>
        </w:rPr>
        <w:t>in</w:t>
      </w:r>
      <w:r>
        <w:rPr>
          <w:spacing w:val="-6"/>
          <w:sz w:val="22"/>
        </w:rPr>
        <w:t> </w:t>
      </w:r>
      <w:r>
        <w:rPr>
          <w:sz w:val="22"/>
        </w:rPr>
        <w:t>children</w:t>
      </w:r>
      <w:r>
        <w:rPr>
          <w:spacing w:val="-3"/>
          <w:sz w:val="22"/>
        </w:rPr>
        <w:t> </w:t>
      </w:r>
      <w:r>
        <w:rPr>
          <w:sz w:val="22"/>
        </w:rPr>
        <w:t>with</w:t>
      </w:r>
      <w:r>
        <w:rPr>
          <w:spacing w:val="-3"/>
          <w:sz w:val="22"/>
        </w:rPr>
        <w:t> </w:t>
      </w:r>
      <w:r>
        <w:rPr>
          <w:sz w:val="22"/>
        </w:rPr>
        <w:t>dilated</w:t>
      </w:r>
      <w:r>
        <w:rPr>
          <w:spacing w:val="-3"/>
          <w:sz w:val="22"/>
        </w:rPr>
        <w:t> </w:t>
      </w:r>
      <w:r>
        <w:rPr>
          <w:sz w:val="22"/>
        </w:rPr>
        <w:t>cardiomyopathy.</w:t>
      </w:r>
      <w:r>
        <w:rPr>
          <w:spacing w:val="-6"/>
          <w:sz w:val="22"/>
        </w:rPr>
        <w:t> </w:t>
      </w:r>
      <w:r>
        <w:rPr>
          <w:sz w:val="22"/>
        </w:rPr>
        <w:t>PediatrCardiol.</w:t>
      </w:r>
      <w:r>
        <w:rPr>
          <w:spacing w:val="-6"/>
          <w:sz w:val="22"/>
        </w:rPr>
        <w:t> </w:t>
      </w:r>
      <w:r>
        <w:rPr>
          <w:sz w:val="22"/>
        </w:rPr>
        <w:t>2010;31(2):264-</w:t>
      </w:r>
      <w:r>
        <w:rPr>
          <w:spacing w:val="-6"/>
          <w:sz w:val="22"/>
        </w:rPr>
        <w:t>9.</w:t>
      </w:r>
    </w:p>
    <w:p>
      <w:pPr>
        <w:pStyle w:val="ListParagraph"/>
        <w:numPr>
          <w:ilvl w:val="0"/>
          <w:numId w:val="4"/>
        </w:numPr>
        <w:tabs>
          <w:tab w:pos="498" w:val="left" w:leader="none"/>
          <w:tab w:pos="501" w:val="left" w:leader="none"/>
        </w:tabs>
        <w:spacing w:line="240" w:lineRule="auto" w:before="1" w:after="0"/>
        <w:ind w:left="501" w:right="1500" w:hanging="360"/>
        <w:jc w:val="left"/>
        <w:rPr>
          <w:sz w:val="22"/>
        </w:rPr>
      </w:pPr>
      <w:r>
        <w:rPr>
          <w:sz w:val="22"/>
        </w:rPr>
        <w:t>Monagle</w:t>
      </w:r>
      <w:r>
        <w:rPr>
          <w:spacing w:val="-4"/>
          <w:sz w:val="22"/>
        </w:rPr>
        <w:t> </w:t>
      </w:r>
      <w:r>
        <w:rPr>
          <w:sz w:val="22"/>
        </w:rPr>
        <w:t>K,</w:t>
      </w:r>
      <w:r>
        <w:rPr>
          <w:spacing w:val="-1"/>
          <w:sz w:val="22"/>
        </w:rPr>
        <w:t> </w:t>
      </w:r>
      <w:r>
        <w:rPr>
          <w:sz w:val="22"/>
        </w:rPr>
        <w:t>Jones</w:t>
      </w:r>
      <w:r>
        <w:rPr>
          <w:spacing w:val="-3"/>
          <w:sz w:val="22"/>
        </w:rPr>
        <w:t> </w:t>
      </w:r>
      <w:r>
        <w:rPr>
          <w:sz w:val="22"/>
        </w:rPr>
        <w:t>S,</w:t>
      </w:r>
      <w:r>
        <w:rPr>
          <w:spacing w:val="-1"/>
          <w:sz w:val="22"/>
        </w:rPr>
        <w:t> </w:t>
      </w:r>
      <w:r>
        <w:rPr>
          <w:sz w:val="22"/>
        </w:rPr>
        <w:t>King</w:t>
      </w:r>
      <w:r>
        <w:rPr>
          <w:spacing w:val="-2"/>
          <w:sz w:val="22"/>
        </w:rPr>
        <w:t> </w:t>
      </w:r>
      <w:r>
        <w:rPr>
          <w:sz w:val="22"/>
        </w:rPr>
        <w:t>I,</w:t>
      </w:r>
      <w:r>
        <w:rPr>
          <w:spacing w:val="-3"/>
          <w:sz w:val="22"/>
        </w:rPr>
        <w:t> </w:t>
      </w:r>
      <w:r>
        <w:rPr>
          <w:sz w:val="22"/>
        </w:rPr>
        <w:t>Weintraub</w:t>
      </w:r>
      <w:r>
        <w:rPr>
          <w:spacing w:val="-2"/>
          <w:sz w:val="22"/>
        </w:rPr>
        <w:t> </w:t>
      </w:r>
      <w:r>
        <w:rPr>
          <w:sz w:val="22"/>
        </w:rPr>
        <w:t>R,</w:t>
      </w:r>
      <w:r>
        <w:rPr>
          <w:spacing w:val="-3"/>
          <w:sz w:val="22"/>
        </w:rPr>
        <w:t> </w:t>
      </w:r>
      <w:r>
        <w:rPr>
          <w:sz w:val="22"/>
        </w:rPr>
        <w:t>Monagle</w:t>
      </w:r>
      <w:r>
        <w:rPr>
          <w:spacing w:val="-3"/>
          <w:sz w:val="22"/>
        </w:rPr>
        <w:t> </w:t>
      </w:r>
      <w:r>
        <w:rPr>
          <w:sz w:val="22"/>
        </w:rPr>
        <w:t>P,</w:t>
      </w:r>
      <w:r>
        <w:rPr>
          <w:spacing w:val="-1"/>
          <w:sz w:val="22"/>
        </w:rPr>
        <w:t> </w:t>
      </w:r>
      <w:r>
        <w:rPr>
          <w:sz w:val="22"/>
        </w:rPr>
        <w:t>Newall</w:t>
      </w:r>
      <w:r>
        <w:rPr>
          <w:spacing w:val="-2"/>
          <w:sz w:val="22"/>
        </w:rPr>
        <w:t> </w:t>
      </w:r>
      <w:r>
        <w:rPr>
          <w:sz w:val="22"/>
        </w:rPr>
        <w:t>F.</w:t>
      </w:r>
      <w:r>
        <w:rPr>
          <w:spacing w:val="-1"/>
          <w:sz w:val="22"/>
        </w:rPr>
        <w:t> </w:t>
      </w:r>
      <w:r>
        <w:rPr>
          <w:sz w:val="22"/>
        </w:rPr>
        <w:t>Anticoagulation</w:t>
      </w:r>
      <w:r>
        <w:rPr>
          <w:spacing w:val="-4"/>
          <w:sz w:val="22"/>
        </w:rPr>
        <w:t> </w:t>
      </w:r>
      <w:r>
        <w:rPr>
          <w:sz w:val="22"/>
        </w:rPr>
        <w:t>of cardiomyopathy in children. Thromb Res. 2014;134(2):255-8.</w:t>
      </w:r>
    </w:p>
    <w:p>
      <w:pPr>
        <w:pStyle w:val="ListParagraph"/>
        <w:numPr>
          <w:ilvl w:val="0"/>
          <w:numId w:val="4"/>
        </w:numPr>
        <w:tabs>
          <w:tab w:pos="498" w:val="left" w:leader="none"/>
          <w:tab w:pos="501" w:val="left" w:leader="none"/>
        </w:tabs>
        <w:spacing w:line="240" w:lineRule="auto" w:before="0" w:after="0"/>
        <w:ind w:left="501" w:right="181" w:hanging="360"/>
        <w:jc w:val="left"/>
        <w:rPr>
          <w:sz w:val="22"/>
        </w:rPr>
      </w:pPr>
      <w:r>
        <w:rPr>
          <w:sz w:val="22"/>
        </w:rPr>
        <w:t>Massie BM, Collins JF, Ammon SE, Armstrong PW, Cleland JG, Ezekowitz M, et al. Randomized trial</w:t>
      </w:r>
      <w:r>
        <w:rPr>
          <w:spacing w:val="-3"/>
          <w:sz w:val="22"/>
        </w:rPr>
        <w:t> </w:t>
      </w:r>
      <w:r>
        <w:rPr>
          <w:sz w:val="22"/>
        </w:rPr>
        <w:t>of</w:t>
      </w:r>
      <w:r>
        <w:rPr>
          <w:spacing w:val="-5"/>
          <w:sz w:val="22"/>
        </w:rPr>
        <w:t> </w:t>
      </w:r>
      <w:r>
        <w:rPr>
          <w:sz w:val="22"/>
        </w:rPr>
        <w:t>warfarin,</w:t>
      </w:r>
      <w:r>
        <w:rPr>
          <w:spacing w:val="-5"/>
          <w:sz w:val="22"/>
        </w:rPr>
        <w:t> </w:t>
      </w:r>
      <w:r>
        <w:rPr>
          <w:sz w:val="22"/>
        </w:rPr>
        <w:t>aspirin,</w:t>
      </w:r>
      <w:r>
        <w:rPr>
          <w:spacing w:val="-2"/>
          <w:sz w:val="22"/>
        </w:rPr>
        <w:t> </w:t>
      </w:r>
      <w:r>
        <w:rPr>
          <w:sz w:val="22"/>
        </w:rPr>
        <w:t>and</w:t>
      </w:r>
      <w:r>
        <w:rPr>
          <w:spacing w:val="-3"/>
          <w:sz w:val="22"/>
        </w:rPr>
        <w:t> </w:t>
      </w:r>
      <w:r>
        <w:rPr>
          <w:sz w:val="22"/>
        </w:rPr>
        <w:t>clopidogrel</w:t>
      </w:r>
      <w:r>
        <w:rPr>
          <w:spacing w:val="-2"/>
          <w:sz w:val="22"/>
        </w:rPr>
        <w:t> </w:t>
      </w:r>
      <w:r>
        <w:rPr>
          <w:sz w:val="22"/>
        </w:rPr>
        <w:t>in</w:t>
      </w:r>
      <w:r>
        <w:rPr>
          <w:spacing w:val="-2"/>
          <w:sz w:val="22"/>
        </w:rPr>
        <w:t> </w:t>
      </w:r>
      <w:r>
        <w:rPr>
          <w:sz w:val="22"/>
        </w:rPr>
        <w:t>patients</w:t>
      </w:r>
      <w:r>
        <w:rPr>
          <w:spacing w:val="-1"/>
          <w:sz w:val="22"/>
        </w:rPr>
        <w:t> </w:t>
      </w:r>
      <w:r>
        <w:rPr>
          <w:sz w:val="22"/>
        </w:rPr>
        <w:t>with</w:t>
      </w:r>
      <w:r>
        <w:rPr>
          <w:spacing w:val="-2"/>
          <w:sz w:val="22"/>
        </w:rPr>
        <w:t> </w:t>
      </w:r>
      <w:r>
        <w:rPr>
          <w:sz w:val="22"/>
        </w:rPr>
        <w:t>chronic</w:t>
      </w:r>
      <w:r>
        <w:rPr>
          <w:spacing w:val="-2"/>
          <w:sz w:val="22"/>
        </w:rPr>
        <w:t> </w:t>
      </w:r>
      <w:r>
        <w:rPr>
          <w:sz w:val="22"/>
        </w:rPr>
        <w:t>heart</w:t>
      </w:r>
      <w:r>
        <w:rPr>
          <w:spacing w:val="-2"/>
          <w:sz w:val="22"/>
        </w:rPr>
        <w:t> </w:t>
      </w:r>
      <w:r>
        <w:rPr>
          <w:sz w:val="22"/>
        </w:rPr>
        <w:t>failure:</w:t>
      </w:r>
      <w:r>
        <w:rPr>
          <w:spacing w:val="-3"/>
          <w:sz w:val="22"/>
        </w:rPr>
        <w:t> </w:t>
      </w:r>
      <w:r>
        <w:rPr>
          <w:sz w:val="22"/>
        </w:rPr>
        <w:t>the</w:t>
      </w:r>
      <w:r>
        <w:rPr>
          <w:spacing w:val="-2"/>
          <w:sz w:val="22"/>
        </w:rPr>
        <w:t> </w:t>
      </w:r>
      <w:r>
        <w:rPr>
          <w:sz w:val="22"/>
        </w:rPr>
        <w:t>Warfarin</w:t>
      </w:r>
      <w:r>
        <w:rPr>
          <w:spacing w:val="-6"/>
          <w:sz w:val="22"/>
        </w:rPr>
        <w:t> </w:t>
      </w:r>
      <w:r>
        <w:rPr>
          <w:sz w:val="22"/>
        </w:rPr>
        <w:t>and Antiplatelet</w:t>
      </w:r>
      <w:r>
        <w:rPr>
          <w:spacing w:val="-1"/>
          <w:sz w:val="22"/>
        </w:rPr>
        <w:t> </w:t>
      </w:r>
      <w:r>
        <w:rPr>
          <w:sz w:val="22"/>
        </w:rPr>
        <w:t>Therapy in Chronic Heart Failure</w:t>
      </w:r>
      <w:r>
        <w:rPr>
          <w:spacing w:val="-1"/>
          <w:sz w:val="22"/>
        </w:rPr>
        <w:t> </w:t>
      </w:r>
      <w:r>
        <w:rPr>
          <w:sz w:val="22"/>
        </w:rPr>
        <w:t>(WATCH)</w:t>
      </w:r>
      <w:r>
        <w:rPr>
          <w:spacing w:val="-2"/>
          <w:sz w:val="22"/>
        </w:rPr>
        <w:t> </w:t>
      </w:r>
      <w:r>
        <w:rPr>
          <w:sz w:val="22"/>
        </w:rPr>
        <w:t>trial. Circulation. 2009;119(12):1616-24.</w:t>
      </w:r>
    </w:p>
    <w:p>
      <w:pPr>
        <w:pStyle w:val="ListParagraph"/>
        <w:numPr>
          <w:ilvl w:val="0"/>
          <w:numId w:val="4"/>
        </w:numPr>
        <w:tabs>
          <w:tab w:pos="498" w:val="left" w:leader="none"/>
          <w:tab w:pos="501" w:val="left" w:leader="none"/>
        </w:tabs>
        <w:spacing w:line="240" w:lineRule="auto" w:before="2" w:after="0"/>
        <w:ind w:left="501" w:right="78" w:hanging="360"/>
        <w:jc w:val="left"/>
        <w:rPr>
          <w:sz w:val="22"/>
        </w:rPr>
      </w:pPr>
      <w:r>
        <w:rPr>
          <w:sz w:val="22"/>
        </w:rPr>
        <w:t>Homma</w:t>
      </w:r>
      <w:r>
        <w:rPr>
          <w:spacing w:val="-1"/>
          <w:sz w:val="22"/>
        </w:rPr>
        <w:t> </w:t>
      </w:r>
      <w:r>
        <w:rPr>
          <w:sz w:val="22"/>
        </w:rPr>
        <w:t>S,</w:t>
      </w:r>
      <w:r>
        <w:rPr>
          <w:spacing w:val="-4"/>
          <w:sz w:val="22"/>
        </w:rPr>
        <w:t> </w:t>
      </w:r>
      <w:r>
        <w:rPr>
          <w:sz w:val="22"/>
        </w:rPr>
        <w:t>Thompson</w:t>
      </w:r>
      <w:r>
        <w:rPr>
          <w:spacing w:val="-2"/>
          <w:sz w:val="22"/>
        </w:rPr>
        <w:t> </w:t>
      </w:r>
      <w:r>
        <w:rPr>
          <w:sz w:val="22"/>
        </w:rPr>
        <w:t>JL,</w:t>
      </w:r>
      <w:r>
        <w:rPr>
          <w:spacing w:val="-3"/>
          <w:sz w:val="22"/>
        </w:rPr>
        <w:t> </w:t>
      </w:r>
      <w:r>
        <w:rPr>
          <w:sz w:val="22"/>
        </w:rPr>
        <w:t>Pullicino PM,</w:t>
      </w:r>
      <w:r>
        <w:rPr>
          <w:spacing w:val="-3"/>
          <w:sz w:val="22"/>
        </w:rPr>
        <w:t> </w:t>
      </w:r>
      <w:r>
        <w:rPr>
          <w:sz w:val="22"/>
        </w:rPr>
        <w:t>Levin</w:t>
      </w:r>
      <w:r>
        <w:rPr>
          <w:spacing w:val="-3"/>
          <w:sz w:val="22"/>
        </w:rPr>
        <w:t> </w:t>
      </w:r>
      <w:r>
        <w:rPr>
          <w:sz w:val="22"/>
        </w:rPr>
        <w:t>B,</w:t>
      </w:r>
      <w:r>
        <w:rPr>
          <w:spacing w:val="-1"/>
          <w:sz w:val="22"/>
        </w:rPr>
        <w:t> </w:t>
      </w:r>
      <w:r>
        <w:rPr>
          <w:sz w:val="22"/>
        </w:rPr>
        <w:t>Freudenberger</w:t>
      </w:r>
      <w:r>
        <w:rPr>
          <w:spacing w:val="-1"/>
          <w:sz w:val="22"/>
        </w:rPr>
        <w:t> </w:t>
      </w:r>
      <w:r>
        <w:rPr>
          <w:sz w:val="22"/>
        </w:rPr>
        <w:t>RS,</w:t>
      </w:r>
      <w:r>
        <w:rPr>
          <w:spacing w:val="-4"/>
          <w:sz w:val="22"/>
        </w:rPr>
        <w:t> </w:t>
      </w:r>
      <w:r>
        <w:rPr>
          <w:sz w:val="22"/>
        </w:rPr>
        <w:t>Teerlink</w:t>
      </w:r>
      <w:r>
        <w:rPr>
          <w:spacing w:val="-1"/>
          <w:sz w:val="22"/>
        </w:rPr>
        <w:t> </w:t>
      </w:r>
      <w:r>
        <w:rPr>
          <w:sz w:val="22"/>
        </w:rPr>
        <w:t>JR,</w:t>
      </w:r>
      <w:r>
        <w:rPr>
          <w:spacing w:val="-3"/>
          <w:sz w:val="22"/>
        </w:rPr>
        <w:t> </w:t>
      </w:r>
      <w:r>
        <w:rPr>
          <w:sz w:val="22"/>
        </w:rPr>
        <w:t>et</w:t>
      </w:r>
      <w:r>
        <w:rPr>
          <w:spacing w:val="-3"/>
          <w:sz w:val="22"/>
        </w:rPr>
        <w:t> </w:t>
      </w:r>
      <w:r>
        <w:rPr>
          <w:sz w:val="22"/>
        </w:rPr>
        <w:t>al.</w:t>
      </w:r>
      <w:r>
        <w:rPr>
          <w:spacing w:val="-1"/>
          <w:sz w:val="22"/>
        </w:rPr>
        <w:t> </w:t>
      </w:r>
      <w:r>
        <w:rPr>
          <w:sz w:val="22"/>
        </w:rPr>
        <w:t>Warfarin</w:t>
      </w:r>
      <w:r>
        <w:rPr>
          <w:spacing w:val="-3"/>
          <w:sz w:val="22"/>
        </w:rPr>
        <w:t> </w:t>
      </w:r>
      <w:r>
        <w:rPr>
          <w:sz w:val="22"/>
        </w:rPr>
        <w:t>and aspirin in patients with heart failure and sinus rhythm. The New England journal of medicine. </w:t>
      </w:r>
      <w:r>
        <w:rPr>
          <w:spacing w:val="-2"/>
          <w:sz w:val="22"/>
        </w:rPr>
        <w:t>2012;366(20):1859-69.</w:t>
      </w:r>
    </w:p>
    <w:p>
      <w:pPr>
        <w:pStyle w:val="ListParagraph"/>
        <w:numPr>
          <w:ilvl w:val="0"/>
          <w:numId w:val="4"/>
        </w:numPr>
        <w:tabs>
          <w:tab w:pos="498" w:val="left" w:leader="none"/>
          <w:tab w:pos="501" w:val="left" w:leader="none"/>
        </w:tabs>
        <w:spacing w:line="240" w:lineRule="auto" w:before="0" w:after="0"/>
        <w:ind w:left="501" w:right="955" w:hanging="360"/>
        <w:jc w:val="left"/>
        <w:rPr>
          <w:sz w:val="22"/>
        </w:rPr>
      </w:pPr>
      <w:r>
        <w:rPr>
          <w:sz w:val="22"/>
        </w:rPr>
        <w:t>C.H.</w:t>
      </w:r>
      <w:r>
        <w:rPr>
          <w:spacing w:val="-2"/>
          <w:sz w:val="22"/>
        </w:rPr>
        <w:t> </w:t>
      </w:r>
      <w:r>
        <w:rPr>
          <w:sz w:val="22"/>
        </w:rPr>
        <w:t>van</w:t>
      </w:r>
      <w:r>
        <w:rPr>
          <w:spacing w:val="-3"/>
          <w:sz w:val="22"/>
        </w:rPr>
        <w:t> </w:t>
      </w:r>
      <w:r>
        <w:rPr>
          <w:sz w:val="22"/>
        </w:rPr>
        <w:t>Ommen.</w:t>
      </w:r>
      <w:r>
        <w:rPr>
          <w:spacing w:val="-3"/>
          <w:sz w:val="22"/>
        </w:rPr>
        <w:t> </w:t>
      </w:r>
      <w:r>
        <w:rPr>
          <w:sz w:val="22"/>
        </w:rPr>
        <w:t>Kinderen</w:t>
      </w:r>
      <w:r>
        <w:rPr>
          <w:spacing w:val="-5"/>
          <w:sz w:val="22"/>
        </w:rPr>
        <w:t> </w:t>
      </w:r>
      <w:r>
        <w:rPr>
          <w:sz w:val="22"/>
        </w:rPr>
        <w:t>en</w:t>
      </w:r>
      <w:r>
        <w:rPr>
          <w:spacing w:val="-3"/>
          <w:sz w:val="22"/>
        </w:rPr>
        <w:t> </w:t>
      </w:r>
      <w:r>
        <w:rPr>
          <w:sz w:val="22"/>
        </w:rPr>
        <w:t>orale</w:t>
      </w:r>
      <w:r>
        <w:rPr>
          <w:spacing w:val="-2"/>
          <w:sz w:val="22"/>
        </w:rPr>
        <w:t> </w:t>
      </w:r>
      <w:r>
        <w:rPr>
          <w:sz w:val="22"/>
        </w:rPr>
        <w:t>antistolling:</w:t>
      </w:r>
      <w:r>
        <w:rPr>
          <w:spacing w:val="-4"/>
          <w:sz w:val="22"/>
        </w:rPr>
        <w:t> </w:t>
      </w:r>
      <w:r>
        <w:rPr>
          <w:sz w:val="22"/>
        </w:rPr>
        <w:t>een</w:t>
      </w:r>
      <w:r>
        <w:rPr>
          <w:spacing w:val="-2"/>
          <w:sz w:val="22"/>
        </w:rPr>
        <w:t> </w:t>
      </w:r>
      <w:r>
        <w:rPr>
          <w:sz w:val="22"/>
        </w:rPr>
        <w:t>enquête</w:t>
      </w:r>
      <w:r>
        <w:rPr>
          <w:spacing w:val="-2"/>
          <w:sz w:val="22"/>
        </w:rPr>
        <w:t> </w:t>
      </w:r>
      <w:r>
        <w:rPr>
          <w:sz w:val="22"/>
        </w:rPr>
        <w:t>in</w:t>
      </w:r>
      <w:r>
        <w:rPr>
          <w:spacing w:val="-4"/>
          <w:sz w:val="22"/>
        </w:rPr>
        <w:t> </w:t>
      </w:r>
      <w:r>
        <w:rPr>
          <w:sz w:val="22"/>
        </w:rPr>
        <w:t>Nederland.</w:t>
      </w:r>
      <w:r>
        <w:rPr>
          <w:spacing w:val="-3"/>
          <w:sz w:val="22"/>
        </w:rPr>
        <w:t> </w:t>
      </w:r>
      <w:r>
        <w:rPr>
          <w:sz w:val="22"/>
        </w:rPr>
        <w:t>Tromnibus </w:t>
      </w:r>
      <w:r>
        <w:rPr>
          <w:spacing w:val="-2"/>
          <w:sz w:val="22"/>
        </w:rPr>
        <w:t>2011;3:44.</w:t>
      </w:r>
    </w:p>
    <w:p>
      <w:pPr>
        <w:pStyle w:val="ListParagraph"/>
        <w:spacing w:after="0" w:line="240" w:lineRule="auto"/>
        <w:jc w:val="left"/>
        <w:rPr>
          <w:sz w:val="22"/>
        </w:rPr>
        <w:sectPr>
          <w:pgSz w:w="11910" w:h="16840"/>
          <w:pgMar w:header="0" w:footer="750" w:top="1360" w:bottom="940" w:left="1275" w:right="1417"/>
        </w:sectPr>
      </w:pPr>
    </w:p>
    <w:p>
      <w:pPr>
        <w:pStyle w:val="BodyText"/>
        <w:spacing w:before="37"/>
      </w:pPr>
      <w:r>
        <w:rPr/>
        <w:t>Bijlage</w:t>
      </w:r>
      <w:r>
        <w:rPr>
          <w:spacing w:val="-2"/>
        </w:rPr>
        <w:t> </w:t>
      </w:r>
      <w:r>
        <w:rPr/>
        <w:t>1</w:t>
      </w:r>
      <w:r>
        <w:rPr>
          <w:spacing w:val="-2"/>
        </w:rPr>
        <w:t> </w:t>
      </w:r>
      <w:r>
        <w:rPr/>
        <w:t>Indeling</w:t>
      </w:r>
      <w:r>
        <w:rPr>
          <w:spacing w:val="-3"/>
        </w:rPr>
        <w:t> </w:t>
      </w:r>
      <w:r>
        <w:rPr/>
        <w:t>van</w:t>
      </w:r>
      <w:r>
        <w:rPr>
          <w:spacing w:val="-4"/>
        </w:rPr>
        <w:t> </w:t>
      </w:r>
      <w:r>
        <w:rPr/>
        <w:t>de</w:t>
      </w:r>
      <w:r>
        <w:rPr>
          <w:spacing w:val="-7"/>
        </w:rPr>
        <w:t> </w:t>
      </w:r>
      <w:r>
        <w:rPr/>
        <w:t>literatuur</w:t>
      </w:r>
      <w:r>
        <w:rPr>
          <w:spacing w:val="-2"/>
        </w:rPr>
        <w:t> </w:t>
      </w:r>
      <w:r>
        <w:rPr/>
        <w:t>naar</w:t>
      </w:r>
      <w:r>
        <w:rPr>
          <w:spacing w:val="-4"/>
        </w:rPr>
        <w:t> </w:t>
      </w:r>
      <w:r>
        <w:rPr/>
        <w:t>de</w:t>
      </w:r>
      <w:r>
        <w:rPr>
          <w:spacing w:val="-2"/>
        </w:rPr>
        <w:t> </w:t>
      </w:r>
      <w:r>
        <w:rPr/>
        <w:t>mate van</w:t>
      </w:r>
      <w:r>
        <w:rPr>
          <w:spacing w:val="-2"/>
        </w:rPr>
        <w:t> </w:t>
      </w:r>
      <w:r>
        <w:rPr/>
        <w:t>bewijskracht</w:t>
      </w:r>
      <w:r>
        <w:rPr>
          <w:spacing w:val="-2"/>
        </w:rPr>
        <w:t> </w:t>
      </w:r>
      <w:r>
        <w:rPr/>
        <w:t>en</w:t>
      </w:r>
      <w:r>
        <w:rPr>
          <w:spacing w:val="-4"/>
        </w:rPr>
        <w:t> </w:t>
      </w:r>
      <w:r>
        <w:rPr/>
        <w:t>niveaus</w:t>
      </w:r>
      <w:r>
        <w:rPr>
          <w:spacing w:val="-3"/>
        </w:rPr>
        <w:t> </w:t>
      </w:r>
      <w:r>
        <w:rPr/>
        <w:t>van</w:t>
      </w:r>
      <w:r>
        <w:rPr>
          <w:spacing w:val="-4"/>
        </w:rPr>
        <w:t> </w:t>
      </w:r>
      <w:r>
        <w:rPr/>
        <w:t>bewijs</w:t>
      </w:r>
      <w:r>
        <w:rPr>
          <w:spacing w:val="-4"/>
        </w:rPr>
        <w:t> </w:t>
      </w:r>
      <w:r>
        <w:rPr/>
        <w:t>van de conclusies (EBRO-gradering)</w:t>
      </w:r>
    </w:p>
    <w:p>
      <w:pPr>
        <w:pStyle w:val="BodyText"/>
        <w:spacing w:before="2"/>
        <w:ind w:left="0"/>
      </w:pPr>
    </w:p>
    <w:p>
      <w:pPr>
        <w:pStyle w:val="Heading1"/>
      </w:pPr>
      <w:r>
        <w:rPr/>
        <w:t>Voor</w:t>
      </w:r>
      <w:r>
        <w:rPr>
          <w:spacing w:val="-4"/>
        </w:rPr>
        <w:t> </w:t>
      </w:r>
      <w:r>
        <w:rPr/>
        <w:t>artikelen</w:t>
      </w:r>
      <w:r>
        <w:rPr>
          <w:spacing w:val="-5"/>
        </w:rPr>
        <w:t> </w:t>
      </w:r>
      <w:r>
        <w:rPr/>
        <w:t>betreffende:</w:t>
      </w:r>
      <w:r>
        <w:rPr>
          <w:spacing w:val="-3"/>
        </w:rPr>
        <w:t> </w:t>
      </w:r>
      <w:r>
        <w:rPr>
          <w:spacing w:val="-2"/>
        </w:rPr>
        <w:t>diagnostiek</w:t>
      </w:r>
    </w:p>
    <w:p>
      <w:pPr>
        <w:pStyle w:val="BodyText"/>
        <w:tabs>
          <w:tab w:pos="849" w:val="left" w:leader="none"/>
        </w:tabs>
        <w:ind w:left="849" w:right="372" w:hanging="708"/>
      </w:pPr>
      <w:r>
        <w:rPr>
          <w:spacing w:val="-6"/>
        </w:rPr>
        <w:t>A1</w:t>
      </w:r>
      <w:r>
        <w:rPr/>
        <w:tab/>
        <w:t>onderzoek naar de effecten van diagnostiek op klinische uitkomsten bij een prospectief gevolgde goed gedefinieerde patiëntengroep met een tevoren gedefinieerd</w:t>
      </w:r>
      <w:r>
        <w:rPr>
          <w:spacing w:val="-4"/>
        </w:rPr>
        <w:t> </w:t>
      </w:r>
      <w:r>
        <w:rPr/>
        <w:t>beleid</w:t>
      </w:r>
      <w:r>
        <w:rPr>
          <w:spacing w:val="-4"/>
        </w:rPr>
        <w:t> </w:t>
      </w:r>
      <w:r>
        <w:rPr/>
        <w:t>op</w:t>
      </w:r>
      <w:r>
        <w:rPr>
          <w:spacing w:val="-3"/>
        </w:rPr>
        <w:t> </w:t>
      </w:r>
      <w:r>
        <w:rPr/>
        <w:t>grond</w:t>
      </w:r>
      <w:r>
        <w:rPr>
          <w:spacing w:val="-4"/>
        </w:rPr>
        <w:t> </w:t>
      </w:r>
      <w:r>
        <w:rPr/>
        <w:t>van</w:t>
      </w:r>
      <w:r>
        <w:rPr>
          <w:spacing w:val="-4"/>
        </w:rPr>
        <w:t> </w:t>
      </w:r>
      <w:r>
        <w:rPr/>
        <w:t>de</w:t>
      </w:r>
      <w:r>
        <w:rPr>
          <w:spacing w:val="-4"/>
        </w:rPr>
        <w:t> </w:t>
      </w:r>
      <w:r>
        <w:rPr/>
        <w:t>te</w:t>
      </w:r>
      <w:r>
        <w:rPr>
          <w:spacing w:val="-5"/>
        </w:rPr>
        <w:t> </w:t>
      </w:r>
      <w:r>
        <w:rPr/>
        <w:t>onderzoeken</w:t>
      </w:r>
      <w:r>
        <w:rPr>
          <w:spacing w:val="-4"/>
        </w:rPr>
        <w:t> </w:t>
      </w:r>
      <w:r>
        <w:rPr/>
        <w:t>testuitslagen,</w:t>
      </w:r>
      <w:r>
        <w:rPr>
          <w:spacing w:val="-5"/>
        </w:rPr>
        <w:t> </w:t>
      </w:r>
      <w:r>
        <w:rPr/>
        <w:t>of</w:t>
      </w:r>
      <w:r>
        <w:rPr>
          <w:spacing w:val="-4"/>
        </w:rPr>
        <w:t> </w:t>
      </w:r>
      <w:r>
        <w:rPr/>
        <w:t>besliskundig onderzoek naar de effecten van diagnostiek op klinische uitkomsten,</w:t>
      </w:r>
    </w:p>
    <w:p>
      <w:pPr>
        <w:pStyle w:val="BodyText"/>
        <w:ind w:left="849" w:right="903"/>
      </w:pPr>
      <w:r>
        <w:rPr/>
        <w:t>waarbij resultaten van onderzoek van A2-niveau als basis worden gebruikt en</w:t>
      </w:r>
      <w:r>
        <w:rPr>
          <w:spacing w:val="-3"/>
        </w:rPr>
        <w:t> </w:t>
      </w:r>
      <w:r>
        <w:rPr/>
        <w:t>voldoende</w:t>
      </w:r>
      <w:r>
        <w:rPr>
          <w:spacing w:val="-7"/>
        </w:rPr>
        <w:t> </w:t>
      </w:r>
      <w:r>
        <w:rPr/>
        <w:t>rekening</w:t>
      </w:r>
      <w:r>
        <w:rPr>
          <w:spacing w:val="-7"/>
        </w:rPr>
        <w:t> </w:t>
      </w:r>
      <w:r>
        <w:rPr/>
        <w:t>wordt</w:t>
      </w:r>
      <w:r>
        <w:rPr>
          <w:spacing w:val="-4"/>
        </w:rPr>
        <w:t> </w:t>
      </w:r>
      <w:r>
        <w:rPr/>
        <w:t>gehouden</w:t>
      </w:r>
      <w:r>
        <w:rPr>
          <w:spacing w:val="-4"/>
        </w:rPr>
        <w:t> </w:t>
      </w:r>
      <w:r>
        <w:rPr/>
        <w:t>met</w:t>
      </w:r>
      <w:r>
        <w:rPr>
          <w:spacing w:val="-6"/>
        </w:rPr>
        <w:t> </w:t>
      </w:r>
      <w:r>
        <w:rPr/>
        <w:t>onderlinge</w:t>
      </w:r>
      <w:r>
        <w:rPr>
          <w:spacing w:val="-4"/>
        </w:rPr>
        <w:t> </w:t>
      </w:r>
      <w:r>
        <w:rPr/>
        <w:t>afhankelijkheid</w:t>
      </w:r>
      <w:r>
        <w:rPr>
          <w:spacing w:val="-8"/>
        </w:rPr>
        <w:t> </w:t>
      </w:r>
      <w:r>
        <w:rPr/>
        <w:t>van diagnostische tests;</w:t>
      </w:r>
    </w:p>
    <w:p>
      <w:pPr>
        <w:pStyle w:val="BodyText"/>
        <w:tabs>
          <w:tab w:pos="849" w:val="left" w:leader="none"/>
        </w:tabs>
        <w:ind w:left="849" w:right="800" w:hanging="708"/>
      </w:pPr>
      <w:r>
        <w:rPr>
          <w:spacing w:val="-6"/>
        </w:rPr>
        <w:t>A2</w:t>
      </w:r>
      <w:r>
        <w:rPr/>
        <w:tab/>
        <w:t>onderzoek ten opzichte van een referentietest, waarbij van tevoren criteria zijn</w:t>
      </w:r>
      <w:r>
        <w:rPr>
          <w:spacing w:val="-3"/>
        </w:rPr>
        <w:t> </w:t>
      </w:r>
      <w:r>
        <w:rPr/>
        <w:t>gedefinieerd</w:t>
      </w:r>
      <w:r>
        <w:rPr>
          <w:spacing w:val="-4"/>
        </w:rPr>
        <w:t> </w:t>
      </w:r>
      <w:r>
        <w:rPr/>
        <w:t>voor</w:t>
      </w:r>
      <w:r>
        <w:rPr>
          <w:spacing w:val="-5"/>
        </w:rPr>
        <w:t> </w:t>
      </w:r>
      <w:r>
        <w:rPr/>
        <w:t>de</w:t>
      </w:r>
      <w:r>
        <w:rPr>
          <w:spacing w:val="-5"/>
        </w:rPr>
        <w:t> </w:t>
      </w:r>
      <w:r>
        <w:rPr/>
        <w:t>te</w:t>
      </w:r>
      <w:r>
        <w:rPr>
          <w:spacing w:val="-5"/>
        </w:rPr>
        <w:t> </w:t>
      </w:r>
      <w:r>
        <w:rPr/>
        <w:t>onderzoeken</w:t>
      </w:r>
      <w:r>
        <w:rPr>
          <w:spacing w:val="-4"/>
        </w:rPr>
        <w:t> </w:t>
      </w:r>
      <w:r>
        <w:rPr/>
        <w:t>test</w:t>
      </w:r>
      <w:r>
        <w:rPr>
          <w:spacing w:val="-3"/>
        </w:rPr>
        <w:t> </w:t>
      </w:r>
      <w:r>
        <w:rPr/>
        <w:t>en</w:t>
      </w:r>
      <w:r>
        <w:rPr>
          <w:spacing w:val="-4"/>
        </w:rPr>
        <w:t> </w:t>
      </w:r>
      <w:r>
        <w:rPr/>
        <w:t>voor</w:t>
      </w:r>
      <w:r>
        <w:rPr>
          <w:spacing w:val="-3"/>
        </w:rPr>
        <w:t> </w:t>
      </w:r>
      <w:r>
        <w:rPr/>
        <w:t>een</w:t>
      </w:r>
      <w:r>
        <w:rPr>
          <w:spacing w:val="-3"/>
        </w:rPr>
        <w:t> </w:t>
      </w:r>
      <w:r>
        <w:rPr/>
        <w:t>referentietest,</w:t>
      </w:r>
      <w:r>
        <w:rPr>
          <w:spacing w:val="-5"/>
        </w:rPr>
        <w:t> </w:t>
      </w:r>
      <w:r>
        <w:rPr/>
        <w:t>met een goede beschrijving van de test en de onderzochte klinische populatie;</w:t>
      </w:r>
      <w:r>
        <w:rPr>
          <w:spacing w:val="40"/>
        </w:rPr>
        <w:t> </w:t>
      </w:r>
      <w:r>
        <w:rPr/>
        <w:t>het moet een voldoende grote serie van opeenvolgende patiënten betreffen, er moet gebruikgemaakt zijn van tevoren gedefinieerde afkapwaarden en</w:t>
      </w:r>
    </w:p>
    <w:p>
      <w:pPr>
        <w:pStyle w:val="BodyText"/>
        <w:spacing w:before="1"/>
        <w:ind w:left="849" w:right="1115"/>
        <w:jc w:val="both"/>
      </w:pPr>
      <w:r>
        <w:rPr/>
        <w:t>de resultaten van de test en de ‘gouden standaard’ moeten onafhankelijk zijn beoordeeld. Bij</w:t>
      </w:r>
      <w:r>
        <w:rPr>
          <w:spacing w:val="-1"/>
        </w:rPr>
        <w:t> </w:t>
      </w:r>
      <w:r>
        <w:rPr/>
        <w:t>situaties waarbij</w:t>
      </w:r>
      <w:r>
        <w:rPr>
          <w:spacing w:val="-1"/>
        </w:rPr>
        <w:t> </w:t>
      </w:r>
      <w:r>
        <w:rPr/>
        <w:t>multipele,</w:t>
      </w:r>
      <w:r>
        <w:rPr>
          <w:spacing w:val="-1"/>
        </w:rPr>
        <w:t> </w:t>
      </w:r>
      <w:r>
        <w:rPr/>
        <w:t>diagnostische</w:t>
      </w:r>
      <w:r>
        <w:rPr>
          <w:spacing w:val="-1"/>
        </w:rPr>
        <w:t> </w:t>
      </w:r>
      <w:r>
        <w:rPr/>
        <w:t>tests</w:t>
      </w:r>
      <w:r>
        <w:rPr>
          <w:spacing w:val="-1"/>
        </w:rPr>
        <w:t> </w:t>
      </w:r>
      <w:r>
        <w:rPr/>
        <w:t>een rol spelen,</w:t>
      </w:r>
      <w:r>
        <w:rPr>
          <w:spacing w:val="-6"/>
        </w:rPr>
        <w:t> </w:t>
      </w:r>
      <w:r>
        <w:rPr/>
        <w:t>is</w:t>
      </w:r>
      <w:r>
        <w:rPr>
          <w:spacing w:val="-4"/>
        </w:rPr>
        <w:t> </w:t>
      </w:r>
      <w:r>
        <w:rPr/>
        <w:t>er</w:t>
      </w:r>
      <w:r>
        <w:rPr>
          <w:spacing w:val="-5"/>
        </w:rPr>
        <w:t> </w:t>
      </w:r>
      <w:r>
        <w:rPr/>
        <w:t>in</w:t>
      </w:r>
      <w:r>
        <w:rPr>
          <w:spacing w:val="-5"/>
        </w:rPr>
        <w:t> </w:t>
      </w:r>
      <w:r>
        <w:rPr/>
        <w:t>principe</w:t>
      </w:r>
      <w:r>
        <w:rPr>
          <w:spacing w:val="-6"/>
        </w:rPr>
        <w:t> </w:t>
      </w:r>
      <w:r>
        <w:rPr/>
        <w:t>een</w:t>
      </w:r>
      <w:r>
        <w:rPr>
          <w:spacing w:val="-2"/>
        </w:rPr>
        <w:t> </w:t>
      </w:r>
      <w:r>
        <w:rPr/>
        <w:t>onderlinge</w:t>
      </w:r>
      <w:r>
        <w:rPr>
          <w:spacing w:val="-6"/>
        </w:rPr>
        <w:t> </w:t>
      </w:r>
      <w:r>
        <w:rPr/>
        <w:t>afhankelijkheid</w:t>
      </w:r>
      <w:r>
        <w:rPr>
          <w:spacing w:val="-2"/>
        </w:rPr>
        <w:t> </w:t>
      </w:r>
      <w:r>
        <w:rPr/>
        <w:t>en</w:t>
      </w:r>
      <w:r>
        <w:rPr>
          <w:spacing w:val="-5"/>
        </w:rPr>
        <w:t> </w:t>
      </w:r>
      <w:r>
        <w:rPr/>
        <w:t>dient</w:t>
      </w:r>
      <w:r>
        <w:rPr>
          <w:spacing w:val="-5"/>
        </w:rPr>
        <w:t> </w:t>
      </w:r>
      <w:r>
        <w:rPr/>
        <w:t>de</w:t>
      </w:r>
      <w:r>
        <w:rPr>
          <w:spacing w:val="-3"/>
        </w:rPr>
        <w:t> </w:t>
      </w:r>
      <w:r>
        <w:rPr/>
        <w:t>analyse hierop te zijn aangepast, bijvoorbeeld met logistische regressie;</w:t>
      </w:r>
    </w:p>
    <w:p>
      <w:pPr>
        <w:pStyle w:val="ListParagraph"/>
        <w:numPr>
          <w:ilvl w:val="0"/>
          <w:numId w:val="5"/>
        </w:numPr>
        <w:tabs>
          <w:tab w:pos="849" w:val="left" w:leader="none"/>
        </w:tabs>
        <w:spacing w:line="240" w:lineRule="auto" w:before="0" w:after="0"/>
        <w:ind w:left="849" w:right="1283" w:hanging="708"/>
        <w:jc w:val="left"/>
        <w:rPr>
          <w:sz w:val="24"/>
        </w:rPr>
      </w:pPr>
      <w:r>
        <w:rPr>
          <w:sz w:val="24"/>
        </w:rPr>
        <w:t>vergelijking</w:t>
      </w:r>
      <w:r>
        <w:rPr>
          <w:spacing w:val="-5"/>
          <w:sz w:val="24"/>
        </w:rPr>
        <w:t> </w:t>
      </w:r>
      <w:r>
        <w:rPr>
          <w:sz w:val="24"/>
        </w:rPr>
        <w:t>met</w:t>
      </w:r>
      <w:r>
        <w:rPr>
          <w:spacing w:val="-4"/>
          <w:sz w:val="24"/>
        </w:rPr>
        <w:t> </w:t>
      </w:r>
      <w:r>
        <w:rPr>
          <w:sz w:val="24"/>
        </w:rPr>
        <w:t>een</w:t>
      </w:r>
      <w:r>
        <w:rPr>
          <w:spacing w:val="-6"/>
          <w:sz w:val="24"/>
        </w:rPr>
        <w:t> </w:t>
      </w:r>
      <w:r>
        <w:rPr>
          <w:sz w:val="24"/>
        </w:rPr>
        <w:t>referentietest,</w:t>
      </w:r>
      <w:r>
        <w:rPr>
          <w:spacing w:val="-7"/>
          <w:sz w:val="24"/>
        </w:rPr>
        <w:t> </w:t>
      </w:r>
      <w:r>
        <w:rPr>
          <w:sz w:val="24"/>
        </w:rPr>
        <w:t>beschrijving</w:t>
      </w:r>
      <w:r>
        <w:rPr>
          <w:spacing w:val="-5"/>
          <w:sz w:val="24"/>
        </w:rPr>
        <w:t> </w:t>
      </w:r>
      <w:r>
        <w:rPr>
          <w:sz w:val="24"/>
        </w:rPr>
        <w:t>van</w:t>
      </w:r>
      <w:r>
        <w:rPr>
          <w:spacing w:val="-4"/>
          <w:sz w:val="24"/>
        </w:rPr>
        <w:t> </w:t>
      </w:r>
      <w:r>
        <w:rPr>
          <w:sz w:val="24"/>
        </w:rPr>
        <w:t>de</w:t>
      </w:r>
      <w:r>
        <w:rPr>
          <w:spacing w:val="-4"/>
          <w:sz w:val="24"/>
        </w:rPr>
        <w:t> </w:t>
      </w:r>
      <w:r>
        <w:rPr>
          <w:sz w:val="24"/>
        </w:rPr>
        <w:t>onderzochte</w:t>
      </w:r>
      <w:r>
        <w:rPr>
          <w:spacing w:val="-7"/>
          <w:sz w:val="24"/>
        </w:rPr>
        <w:t> </w:t>
      </w:r>
      <w:r>
        <w:rPr>
          <w:sz w:val="24"/>
        </w:rPr>
        <w:t>test en populatie, maar niet de kenmerken die verder onder niveau A staan </w:t>
      </w:r>
      <w:r>
        <w:rPr>
          <w:spacing w:val="-2"/>
          <w:sz w:val="24"/>
        </w:rPr>
        <w:t>genoemd;</w:t>
      </w:r>
    </w:p>
    <w:p>
      <w:pPr>
        <w:pStyle w:val="ListParagraph"/>
        <w:numPr>
          <w:ilvl w:val="0"/>
          <w:numId w:val="5"/>
        </w:numPr>
        <w:tabs>
          <w:tab w:pos="849" w:val="left" w:leader="none"/>
        </w:tabs>
        <w:spacing w:line="240" w:lineRule="auto" w:before="0" w:after="0"/>
        <w:ind w:left="849" w:right="0" w:hanging="708"/>
        <w:jc w:val="left"/>
        <w:rPr>
          <w:sz w:val="24"/>
        </w:rPr>
      </w:pPr>
      <w:r>
        <w:rPr>
          <w:sz w:val="24"/>
        </w:rPr>
        <w:t>niet-vergelijkend</w:t>
      </w:r>
      <w:r>
        <w:rPr>
          <w:spacing w:val="-13"/>
          <w:sz w:val="24"/>
        </w:rPr>
        <w:t> </w:t>
      </w:r>
      <w:r>
        <w:rPr>
          <w:spacing w:val="-2"/>
          <w:sz w:val="24"/>
        </w:rPr>
        <w:t>onderzoek;</w:t>
      </w:r>
    </w:p>
    <w:p>
      <w:pPr>
        <w:pStyle w:val="ListParagraph"/>
        <w:numPr>
          <w:ilvl w:val="0"/>
          <w:numId w:val="5"/>
        </w:numPr>
        <w:tabs>
          <w:tab w:pos="849" w:val="left" w:leader="none"/>
        </w:tabs>
        <w:spacing w:line="240" w:lineRule="auto" w:before="0" w:after="0"/>
        <w:ind w:left="849" w:right="0" w:hanging="708"/>
        <w:jc w:val="left"/>
        <w:rPr>
          <w:sz w:val="24"/>
        </w:rPr>
      </w:pPr>
      <w:r>
        <w:rPr>
          <w:sz w:val="24"/>
        </w:rPr>
        <w:t>mening</w:t>
      </w:r>
      <w:r>
        <w:rPr>
          <w:spacing w:val="-9"/>
          <w:sz w:val="24"/>
        </w:rPr>
        <w:t> </w:t>
      </w:r>
      <w:r>
        <w:rPr>
          <w:sz w:val="24"/>
        </w:rPr>
        <w:t>van</w:t>
      </w:r>
      <w:r>
        <w:rPr>
          <w:spacing w:val="-5"/>
          <w:sz w:val="24"/>
        </w:rPr>
        <w:t> </w:t>
      </w:r>
      <w:r>
        <w:rPr>
          <w:sz w:val="24"/>
        </w:rPr>
        <w:t>deskundigen,</w:t>
      </w:r>
      <w:r>
        <w:rPr>
          <w:spacing w:val="-4"/>
          <w:sz w:val="24"/>
        </w:rPr>
        <w:t> </w:t>
      </w:r>
      <w:r>
        <w:rPr>
          <w:sz w:val="24"/>
        </w:rPr>
        <w:t>bijvoorbeeld</w:t>
      </w:r>
      <w:r>
        <w:rPr>
          <w:spacing w:val="-5"/>
          <w:sz w:val="24"/>
        </w:rPr>
        <w:t> </w:t>
      </w:r>
      <w:r>
        <w:rPr>
          <w:sz w:val="24"/>
        </w:rPr>
        <w:t>de</w:t>
      </w:r>
      <w:r>
        <w:rPr>
          <w:spacing w:val="-3"/>
          <w:sz w:val="24"/>
        </w:rPr>
        <w:t> </w:t>
      </w:r>
      <w:r>
        <w:rPr>
          <w:spacing w:val="-2"/>
          <w:sz w:val="24"/>
        </w:rPr>
        <w:t>werkgroepleden.</w:t>
      </w:r>
    </w:p>
    <w:p>
      <w:pPr>
        <w:pStyle w:val="Heading1"/>
        <w:spacing w:before="292"/>
      </w:pPr>
      <w:r>
        <w:rPr/>
        <w:t>Voor</w:t>
      </w:r>
      <w:r>
        <w:rPr>
          <w:spacing w:val="-3"/>
        </w:rPr>
        <w:t> </w:t>
      </w:r>
      <w:r>
        <w:rPr/>
        <w:t>artikelen</w:t>
      </w:r>
      <w:r>
        <w:rPr>
          <w:spacing w:val="-5"/>
        </w:rPr>
        <w:t> </w:t>
      </w:r>
      <w:r>
        <w:rPr/>
        <w:t>betreffende:</w:t>
      </w:r>
      <w:r>
        <w:rPr>
          <w:spacing w:val="-3"/>
        </w:rPr>
        <w:t> </w:t>
      </w:r>
      <w:r>
        <w:rPr/>
        <w:t>preventie of</w:t>
      </w:r>
      <w:r>
        <w:rPr>
          <w:spacing w:val="-4"/>
        </w:rPr>
        <w:t> </w:t>
      </w:r>
      <w:r>
        <w:rPr>
          <w:spacing w:val="-2"/>
        </w:rPr>
        <w:t>therapie</w:t>
      </w:r>
    </w:p>
    <w:p>
      <w:pPr>
        <w:pStyle w:val="BodyText"/>
        <w:tabs>
          <w:tab w:pos="849" w:val="left" w:leader="none"/>
        </w:tabs>
        <w:ind w:left="849" w:right="696" w:hanging="708"/>
      </w:pPr>
      <w:r>
        <w:rPr>
          <w:spacing w:val="-6"/>
        </w:rPr>
        <w:t>A1</w:t>
      </w:r>
      <w:r>
        <w:rPr/>
        <w:tab/>
        <w:t>systematische reviews die ten minste enkele onderzoeken van A2-niveau betreffen,</w:t>
      </w:r>
      <w:r>
        <w:rPr>
          <w:spacing w:val="-6"/>
        </w:rPr>
        <w:t> </w:t>
      </w:r>
      <w:r>
        <w:rPr/>
        <w:t>waarbij</w:t>
      </w:r>
      <w:r>
        <w:rPr>
          <w:spacing w:val="-6"/>
        </w:rPr>
        <w:t> </w:t>
      </w:r>
      <w:r>
        <w:rPr/>
        <w:t>de</w:t>
      </w:r>
      <w:r>
        <w:rPr>
          <w:spacing w:val="-6"/>
        </w:rPr>
        <w:t> </w:t>
      </w:r>
      <w:r>
        <w:rPr/>
        <w:t>resultaten</w:t>
      </w:r>
      <w:r>
        <w:rPr>
          <w:spacing w:val="-5"/>
        </w:rPr>
        <w:t> </w:t>
      </w:r>
      <w:r>
        <w:rPr/>
        <w:t>van</w:t>
      </w:r>
      <w:r>
        <w:rPr>
          <w:spacing w:val="-5"/>
        </w:rPr>
        <w:t> </w:t>
      </w:r>
      <w:r>
        <w:rPr/>
        <w:t>afzonderlijke</w:t>
      </w:r>
      <w:r>
        <w:rPr>
          <w:spacing w:val="-6"/>
        </w:rPr>
        <w:t> </w:t>
      </w:r>
      <w:r>
        <w:rPr/>
        <w:t>onderzoeken</w:t>
      </w:r>
      <w:r>
        <w:rPr>
          <w:spacing w:val="-5"/>
        </w:rPr>
        <w:t> </w:t>
      </w:r>
      <w:r>
        <w:rPr/>
        <w:t>consistent</w:t>
      </w:r>
      <w:r>
        <w:rPr>
          <w:spacing w:val="-5"/>
        </w:rPr>
        <w:t> </w:t>
      </w:r>
      <w:r>
        <w:rPr/>
        <w:t>zijn;</w:t>
      </w:r>
    </w:p>
    <w:p>
      <w:pPr>
        <w:pStyle w:val="BodyText"/>
        <w:tabs>
          <w:tab w:pos="849" w:val="left" w:leader="none"/>
        </w:tabs>
        <w:ind w:left="849" w:right="843" w:hanging="708"/>
      </w:pPr>
      <w:r>
        <w:rPr>
          <w:spacing w:val="-6"/>
        </w:rPr>
        <w:t>A2</w:t>
      </w:r>
      <w:r>
        <w:rPr/>
        <w:tab/>
        <w:t>gerandomiseerd vergelijkend klinisch onderzoek van goede kwaliteit (gerandomiseerde,</w:t>
      </w:r>
      <w:r>
        <w:rPr>
          <w:spacing w:val="-7"/>
        </w:rPr>
        <w:t> </w:t>
      </w:r>
      <w:r>
        <w:rPr/>
        <w:t>dubbelblind</w:t>
      </w:r>
      <w:r>
        <w:rPr>
          <w:spacing w:val="-7"/>
        </w:rPr>
        <w:t> </w:t>
      </w:r>
      <w:r>
        <w:rPr/>
        <w:t>gecontroleerde</w:t>
      </w:r>
      <w:r>
        <w:rPr>
          <w:spacing w:val="-9"/>
        </w:rPr>
        <w:t> </w:t>
      </w:r>
      <w:r>
        <w:rPr/>
        <w:t>onderzoeken)</w:t>
      </w:r>
      <w:r>
        <w:rPr>
          <w:spacing w:val="-9"/>
        </w:rPr>
        <w:t> </w:t>
      </w:r>
      <w:r>
        <w:rPr/>
        <w:t>van</w:t>
      </w:r>
      <w:r>
        <w:rPr>
          <w:spacing w:val="-7"/>
        </w:rPr>
        <w:t> </w:t>
      </w:r>
      <w:r>
        <w:rPr/>
        <w:t>voldoende omvang en consistentie;</w:t>
      </w:r>
    </w:p>
    <w:p>
      <w:pPr>
        <w:pStyle w:val="ListParagraph"/>
        <w:numPr>
          <w:ilvl w:val="0"/>
          <w:numId w:val="6"/>
        </w:numPr>
        <w:tabs>
          <w:tab w:pos="849" w:val="left" w:leader="none"/>
        </w:tabs>
        <w:spacing w:line="240" w:lineRule="auto" w:before="2" w:after="0"/>
        <w:ind w:left="849" w:right="799" w:hanging="708"/>
        <w:jc w:val="left"/>
        <w:rPr>
          <w:sz w:val="24"/>
        </w:rPr>
      </w:pPr>
      <w:r>
        <w:rPr>
          <w:sz w:val="24"/>
        </w:rPr>
        <w:t>gerandomiseerde</w:t>
      </w:r>
      <w:r>
        <w:rPr>
          <w:spacing w:val="-6"/>
          <w:sz w:val="24"/>
        </w:rPr>
        <w:t> </w:t>
      </w:r>
      <w:r>
        <w:rPr>
          <w:sz w:val="24"/>
        </w:rPr>
        <w:t>klinische</w:t>
      </w:r>
      <w:r>
        <w:rPr>
          <w:spacing w:val="-6"/>
          <w:sz w:val="24"/>
        </w:rPr>
        <w:t> </w:t>
      </w:r>
      <w:r>
        <w:rPr>
          <w:sz w:val="24"/>
        </w:rPr>
        <w:t>onderzoeken</w:t>
      </w:r>
      <w:r>
        <w:rPr>
          <w:spacing w:val="-5"/>
          <w:sz w:val="24"/>
        </w:rPr>
        <w:t> </w:t>
      </w:r>
      <w:r>
        <w:rPr>
          <w:sz w:val="24"/>
        </w:rPr>
        <w:t>van</w:t>
      </w:r>
      <w:r>
        <w:rPr>
          <w:spacing w:val="-6"/>
          <w:sz w:val="24"/>
        </w:rPr>
        <w:t> </w:t>
      </w:r>
      <w:r>
        <w:rPr>
          <w:sz w:val="24"/>
        </w:rPr>
        <w:t>matige</w:t>
      </w:r>
      <w:r>
        <w:rPr>
          <w:spacing w:val="-6"/>
          <w:sz w:val="24"/>
        </w:rPr>
        <w:t> </w:t>
      </w:r>
      <w:r>
        <w:rPr>
          <w:sz w:val="24"/>
        </w:rPr>
        <w:t>kwaliteit</w:t>
      </w:r>
      <w:r>
        <w:rPr>
          <w:spacing w:val="-7"/>
          <w:sz w:val="24"/>
        </w:rPr>
        <w:t> </w:t>
      </w:r>
      <w:r>
        <w:rPr>
          <w:sz w:val="24"/>
        </w:rPr>
        <w:t>of</w:t>
      </w:r>
      <w:r>
        <w:rPr>
          <w:spacing w:val="-7"/>
          <w:sz w:val="24"/>
        </w:rPr>
        <w:t> </w:t>
      </w:r>
      <w:r>
        <w:rPr>
          <w:sz w:val="24"/>
        </w:rPr>
        <w:t>onvoldoende omvang of ander vergelijkend onderzoek (niet-gerandomiseerd,</w:t>
      </w:r>
    </w:p>
    <w:p>
      <w:pPr>
        <w:pStyle w:val="BodyText"/>
        <w:spacing w:line="293" w:lineRule="exact"/>
        <w:ind w:left="849"/>
      </w:pPr>
      <w:r>
        <w:rPr/>
        <w:t>vergelijkend</w:t>
      </w:r>
      <w:r>
        <w:rPr>
          <w:spacing w:val="-11"/>
        </w:rPr>
        <w:t> </w:t>
      </w:r>
      <w:r>
        <w:rPr/>
        <w:t>cohortonderzoek,</w:t>
      </w:r>
      <w:r>
        <w:rPr>
          <w:spacing w:val="-11"/>
        </w:rPr>
        <w:t> </w:t>
      </w:r>
      <w:r>
        <w:rPr/>
        <w:t>patiënt-controle-</w:t>
      </w:r>
      <w:r>
        <w:rPr>
          <w:spacing w:val="-2"/>
        </w:rPr>
        <w:t>onderzoek);</w:t>
      </w:r>
    </w:p>
    <w:p>
      <w:pPr>
        <w:pStyle w:val="ListParagraph"/>
        <w:numPr>
          <w:ilvl w:val="0"/>
          <w:numId w:val="6"/>
        </w:numPr>
        <w:tabs>
          <w:tab w:pos="849" w:val="left" w:leader="none"/>
        </w:tabs>
        <w:spacing w:line="240" w:lineRule="auto" w:before="0" w:after="0"/>
        <w:ind w:left="849" w:right="0" w:hanging="708"/>
        <w:jc w:val="left"/>
        <w:rPr>
          <w:sz w:val="24"/>
        </w:rPr>
      </w:pPr>
      <w:r>
        <w:rPr>
          <w:sz w:val="24"/>
        </w:rPr>
        <w:t>niet-vergelijkend</w:t>
      </w:r>
      <w:r>
        <w:rPr>
          <w:spacing w:val="-13"/>
          <w:sz w:val="24"/>
        </w:rPr>
        <w:t> </w:t>
      </w:r>
      <w:r>
        <w:rPr>
          <w:spacing w:val="-2"/>
          <w:sz w:val="24"/>
        </w:rPr>
        <w:t>onderzoek;</w:t>
      </w:r>
    </w:p>
    <w:p>
      <w:pPr>
        <w:pStyle w:val="ListParagraph"/>
        <w:numPr>
          <w:ilvl w:val="0"/>
          <w:numId w:val="6"/>
        </w:numPr>
        <w:tabs>
          <w:tab w:pos="849" w:val="left" w:leader="none"/>
        </w:tabs>
        <w:spacing w:line="240" w:lineRule="auto" w:before="0" w:after="0"/>
        <w:ind w:left="849" w:right="0" w:hanging="708"/>
        <w:jc w:val="left"/>
        <w:rPr>
          <w:sz w:val="24"/>
        </w:rPr>
      </w:pPr>
      <w:r>
        <w:rPr>
          <w:sz w:val="24"/>
        </w:rPr>
        <w:t>mening</w:t>
      </w:r>
      <w:r>
        <w:rPr>
          <w:spacing w:val="-9"/>
          <w:sz w:val="24"/>
        </w:rPr>
        <w:t> </w:t>
      </w:r>
      <w:r>
        <w:rPr>
          <w:sz w:val="24"/>
        </w:rPr>
        <w:t>van</w:t>
      </w:r>
      <w:r>
        <w:rPr>
          <w:spacing w:val="-5"/>
          <w:sz w:val="24"/>
        </w:rPr>
        <w:t> </w:t>
      </w:r>
      <w:r>
        <w:rPr>
          <w:sz w:val="24"/>
        </w:rPr>
        <w:t>deskundigen,</w:t>
      </w:r>
      <w:r>
        <w:rPr>
          <w:spacing w:val="-4"/>
          <w:sz w:val="24"/>
        </w:rPr>
        <w:t> </w:t>
      </w:r>
      <w:r>
        <w:rPr>
          <w:sz w:val="24"/>
        </w:rPr>
        <w:t>bijvoorbeeld</w:t>
      </w:r>
      <w:r>
        <w:rPr>
          <w:spacing w:val="-5"/>
          <w:sz w:val="24"/>
        </w:rPr>
        <w:t> </w:t>
      </w:r>
      <w:r>
        <w:rPr>
          <w:sz w:val="24"/>
        </w:rPr>
        <w:t>de</w:t>
      </w:r>
      <w:r>
        <w:rPr>
          <w:spacing w:val="-3"/>
          <w:sz w:val="24"/>
        </w:rPr>
        <w:t> </w:t>
      </w:r>
      <w:r>
        <w:rPr>
          <w:spacing w:val="-2"/>
          <w:sz w:val="24"/>
        </w:rPr>
        <w:t>werkgroepleden.</w:t>
      </w:r>
    </w:p>
    <w:p>
      <w:pPr>
        <w:pStyle w:val="Heading1"/>
        <w:spacing w:before="292"/>
      </w:pPr>
      <w:r>
        <w:rPr/>
        <w:t>Niveau</w:t>
      </w:r>
      <w:r>
        <w:rPr>
          <w:spacing w:val="-2"/>
        </w:rPr>
        <w:t> </w:t>
      </w:r>
      <w:r>
        <w:rPr/>
        <w:t>van</w:t>
      </w:r>
      <w:r>
        <w:rPr>
          <w:spacing w:val="-1"/>
        </w:rPr>
        <w:t> </w:t>
      </w:r>
      <w:r>
        <w:rPr/>
        <w:t>bewijs</w:t>
      </w:r>
      <w:r>
        <w:rPr>
          <w:spacing w:val="-3"/>
        </w:rPr>
        <w:t> </w:t>
      </w:r>
      <w:r>
        <w:rPr/>
        <w:t>van</w:t>
      </w:r>
      <w:r>
        <w:rPr>
          <w:spacing w:val="-3"/>
        </w:rPr>
        <w:t> </w:t>
      </w:r>
      <w:r>
        <w:rPr/>
        <w:t>de</w:t>
      </w:r>
      <w:r>
        <w:rPr>
          <w:spacing w:val="-3"/>
        </w:rPr>
        <w:t> </w:t>
      </w:r>
      <w:r>
        <w:rPr>
          <w:spacing w:val="-2"/>
        </w:rPr>
        <w:t>conclusies</w:t>
      </w:r>
    </w:p>
    <w:p>
      <w:pPr>
        <w:pStyle w:val="ListParagraph"/>
        <w:numPr>
          <w:ilvl w:val="1"/>
          <w:numId w:val="6"/>
        </w:numPr>
        <w:tabs>
          <w:tab w:pos="849" w:val="left" w:leader="none"/>
        </w:tabs>
        <w:spacing w:line="240" w:lineRule="auto" w:before="0" w:after="0"/>
        <w:ind w:left="849" w:right="1727" w:hanging="708"/>
        <w:jc w:val="left"/>
        <w:rPr>
          <w:sz w:val="24"/>
        </w:rPr>
      </w:pPr>
      <w:r>
        <w:rPr>
          <w:sz w:val="24"/>
        </w:rPr>
        <w:t>Eén</w:t>
      </w:r>
      <w:r>
        <w:rPr>
          <w:spacing w:val="-3"/>
          <w:sz w:val="24"/>
        </w:rPr>
        <w:t> </w:t>
      </w:r>
      <w:r>
        <w:rPr>
          <w:sz w:val="24"/>
        </w:rPr>
        <w:t>systematische</w:t>
      </w:r>
      <w:r>
        <w:rPr>
          <w:spacing w:val="-3"/>
          <w:sz w:val="24"/>
        </w:rPr>
        <w:t> </w:t>
      </w:r>
      <w:r>
        <w:rPr>
          <w:sz w:val="24"/>
        </w:rPr>
        <w:t>review</w:t>
      </w:r>
      <w:r>
        <w:rPr>
          <w:spacing w:val="-5"/>
          <w:sz w:val="24"/>
        </w:rPr>
        <w:t> </w:t>
      </w:r>
      <w:r>
        <w:rPr>
          <w:sz w:val="24"/>
        </w:rPr>
        <w:t>(A1)</w:t>
      </w:r>
      <w:r>
        <w:rPr>
          <w:spacing w:val="-5"/>
          <w:sz w:val="24"/>
        </w:rPr>
        <w:t> </w:t>
      </w:r>
      <w:r>
        <w:rPr>
          <w:sz w:val="24"/>
        </w:rPr>
        <w:t>of</w:t>
      </w:r>
      <w:r>
        <w:rPr>
          <w:spacing w:val="-5"/>
          <w:sz w:val="24"/>
        </w:rPr>
        <w:t> </w:t>
      </w:r>
      <w:r>
        <w:rPr>
          <w:sz w:val="24"/>
        </w:rPr>
        <w:t>ten</w:t>
      </w:r>
      <w:r>
        <w:rPr>
          <w:spacing w:val="-5"/>
          <w:sz w:val="24"/>
        </w:rPr>
        <w:t> </w:t>
      </w:r>
      <w:r>
        <w:rPr>
          <w:sz w:val="24"/>
        </w:rPr>
        <w:t>minste</w:t>
      </w:r>
      <w:r>
        <w:rPr>
          <w:spacing w:val="-5"/>
          <w:sz w:val="24"/>
        </w:rPr>
        <w:t> </w:t>
      </w:r>
      <w:r>
        <w:rPr>
          <w:sz w:val="24"/>
        </w:rPr>
        <w:t>twee</w:t>
      </w:r>
      <w:r>
        <w:rPr>
          <w:spacing w:val="-3"/>
          <w:sz w:val="24"/>
        </w:rPr>
        <w:t> </w:t>
      </w:r>
      <w:r>
        <w:rPr>
          <w:sz w:val="24"/>
        </w:rPr>
        <w:t>onafhankelijk</w:t>
      </w:r>
      <w:r>
        <w:rPr>
          <w:spacing w:val="-5"/>
          <w:sz w:val="24"/>
        </w:rPr>
        <w:t> </w:t>
      </w:r>
      <w:r>
        <w:rPr>
          <w:sz w:val="24"/>
        </w:rPr>
        <w:t>van elkaar uitgevoerde onderzoeken van niveau A1 of A2;</w:t>
      </w:r>
    </w:p>
    <w:p>
      <w:pPr>
        <w:pStyle w:val="ListParagraph"/>
        <w:numPr>
          <w:ilvl w:val="1"/>
          <w:numId w:val="6"/>
        </w:numPr>
        <w:tabs>
          <w:tab w:pos="849" w:val="left" w:leader="none"/>
        </w:tabs>
        <w:spacing w:line="240" w:lineRule="auto" w:before="0" w:after="0"/>
        <w:ind w:left="849" w:right="1333" w:hanging="708"/>
        <w:jc w:val="left"/>
        <w:rPr>
          <w:sz w:val="24"/>
        </w:rPr>
      </w:pPr>
      <w:r>
        <w:rPr>
          <w:sz w:val="24"/>
        </w:rPr>
        <w:t>ten</w:t>
      </w:r>
      <w:r>
        <w:rPr>
          <w:spacing w:val="-5"/>
          <w:sz w:val="24"/>
        </w:rPr>
        <w:t> </w:t>
      </w:r>
      <w:r>
        <w:rPr>
          <w:sz w:val="24"/>
        </w:rPr>
        <w:t>minste</w:t>
      </w:r>
      <w:r>
        <w:rPr>
          <w:spacing w:val="-5"/>
          <w:sz w:val="24"/>
        </w:rPr>
        <w:t> </w:t>
      </w:r>
      <w:r>
        <w:rPr>
          <w:sz w:val="24"/>
        </w:rPr>
        <w:t>twee</w:t>
      </w:r>
      <w:r>
        <w:rPr>
          <w:spacing w:val="-3"/>
          <w:sz w:val="24"/>
        </w:rPr>
        <w:t> </w:t>
      </w:r>
      <w:r>
        <w:rPr>
          <w:sz w:val="24"/>
        </w:rPr>
        <w:t>onaf</w:t>
      </w:r>
      <w:r>
        <w:rPr>
          <w:spacing w:val="-5"/>
          <w:sz w:val="24"/>
        </w:rPr>
        <w:t> </w:t>
      </w:r>
      <w:r>
        <w:rPr>
          <w:sz w:val="24"/>
        </w:rPr>
        <w:t>hankelijk</w:t>
      </w:r>
      <w:r>
        <w:rPr>
          <w:spacing w:val="-5"/>
          <w:sz w:val="24"/>
        </w:rPr>
        <w:t> </w:t>
      </w:r>
      <w:r>
        <w:rPr>
          <w:sz w:val="24"/>
        </w:rPr>
        <w:t>van</w:t>
      </w:r>
      <w:r>
        <w:rPr>
          <w:spacing w:val="-3"/>
          <w:sz w:val="24"/>
        </w:rPr>
        <w:t> </w:t>
      </w:r>
      <w:r>
        <w:rPr>
          <w:sz w:val="24"/>
        </w:rPr>
        <w:t>elkaar</w:t>
      </w:r>
      <w:r>
        <w:rPr>
          <w:spacing w:val="-6"/>
          <w:sz w:val="24"/>
        </w:rPr>
        <w:t> </w:t>
      </w:r>
      <w:r>
        <w:rPr>
          <w:sz w:val="24"/>
        </w:rPr>
        <w:t>uitgevoerde</w:t>
      </w:r>
      <w:r>
        <w:rPr>
          <w:spacing w:val="-6"/>
          <w:sz w:val="24"/>
        </w:rPr>
        <w:t> </w:t>
      </w:r>
      <w:r>
        <w:rPr>
          <w:sz w:val="24"/>
        </w:rPr>
        <w:t>onderzoeken</w:t>
      </w:r>
      <w:r>
        <w:rPr>
          <w:spacing w:val="-3"/>
          <w:sz w:val="24"/>
        </w:rPr>
        <w:t> </w:t>
      </w:r>
      <w:r>
        <w:rPr>
          <w:sz w:val="24"/>
        </w:rPr>
        <w:t>van niveau B;</w:t>
      </w:r>
    </w:p>
    <w:p>
      <w:pPr>
        <w:pStyle w:val="ListParagraph"/>
        <w:numPr>
          <w:ilvl w:val="1"/>
          <w:numId w:val="6"/>
        </w:numPr>
        <w:tabs>
          <w:tab w:pos="849" w:val="left" w:leader="none"/>
        </w:tabs>
        <w:spacing w:line="293" w:lineRule="exact" w:before="0" w:after="0"/>
        <w:ind w:left="849" w:right="0" w:hanging="708"/>
        <w:jc w:val="left"/>
        <w:rPr>
          <w:sz w:val="24"/>
        </w:rPr>
      </w:pPr>
      <w:r>
        <w:rPr>
          <w:sz w:val="24"/>
        </w:rPr>
        <w:t>Eén</w:t>
      </w:r>
      <w:r>
        <w:rPr>
          <w:spacing w:val="-3"/>
          <w:sz w:val="24"/>
        </w:rPr>
        <w:t> </w:t>
      </w:r>
      <w:r>
        <w:rPr>
          <w:sz w:val="24"/>
        </w:rPr>
        <w:t>onderzoek</w:t>
      </w:r>
      <w:r>
        <w:rPr>
          <w:spacing w:val="-3"/>
          <w:sz w:val="24"/>
        </w:rPr>
        <w:t> </w:t>
      </w:r>
      <w:r>
        <w:rPr>
          <w:sz w:val="24"/>
        </w:rPr>
        <w:t>van</w:t>
      </w:r>
      <w:r>
        <w:rPr>
          <w:spacing w:val="-3"/>
          <w:sz w:val="24"/>
        </w:rPr>
        <w:t> </w:t>
      </w:r>
      <w:r>
        <w:rPr>
          <w:sz w:val="24"/>
        </w:rPr>
        <w:t>niveau</w:t>
      </w:r>
      <w:r>
        <w:rPr>
          <w:spacing w:val="-1"/>
          <w:sz w:val="24"/>
        </w:rPr>
        <w:t> </w:t>
      </w:r>
      <w:r>
        <w:rPr>
          <w:sz w:val="24"/>
        </w:rPr>
        <w:t>A2</w:t>
      </w:r>
      <w:r>
        <w:rPr>
          <w:spacing w:val="-3"/>
          <w:sz w:val="24"/>
        </w:rPr>
        <w:t> </w:t>
      </w:r>
      <w:r>
        <w:rPr>
          <w:sz w:val="24"/>
        </w:rPr>
        <w:t>of</w:t>
      </w:r>
      <w:r>
        <w:rPr>
          <w:spacing w:val="-2"/>
          <w:sz w:val="24"/>
        </w:rPr>
        <w:t> </w:t>
      </w:r>
      <w:r>
        <w:rPr>
          <w:sz w:val="24"/>
        </w:rPr>
        <w:t>B</w:t>
      </w:r>
      <w:r>
        <w:rPr>
          <w:spacing w:val="-3"/>
          <w:sz w:val="24"/>
        </w:rPr>
        <w:t> </w:t>
      </w:r>
      <w:r>
        <w:rPr>
          <w:sz w:val="24"/>
        </w:rPr>
        <w:t>of</w:t>
      </w:r>
      <w:r>
        <w:rPr>
          <w:spacing w:val="-1"/>
          <w:sz w:val="24"/>
        </w:rPr>
        <w:t> </w:t>
      </w:r>
      <w:r>
        <w:rPr>
          <w:sz w:val="24"/>
        </w:rPr>
        <w:t>onderzoek</w:t>
      </w:r>
      <w:r>
        <w:rPr>
          <w:spacing w:val="-2"/>
          <w:sz w:val="24"/>
        </w:rPr>
        <w:t> </w:t>
      </w:r>
      <w:r>
        <w:rPr>
          <w:sz w:val="24"/>
        </w:rPr>
        <w:t>van</w:t>
      </w:r>
      <w:r>
        <w:rPr>
          <w:spacing w:val="-1"/>
          <w:sz w:val="24"/>
        </w:rPr>
        <w:t> </w:t>
      </w:r>
      <w:r>
        <w:rPr>
          <w:sz w:val="24"/>
        </w:rPr>
        <w:t>niveau </w:t>
      </w:r>
      <w:r>
        <w:rPr>
          <w:spacing w:val="-5"/>
          <w:sz w:val="24"/>
        </w:rPr>
        <w:t>C;</w:t>
      </w:r>
    </w:p>
    <w:p>
      <w:pPr>
        <w:pStyle w:val="ListParagraph"/>
        <w:numPr>
          <w:ilvl w:val="1"/>
          <w:numId w:val="6"/>
        </w:numPr>
        <w:tabs>
          <w:tab w:pos="849" w:val="left" w:leader="none"/>
        </w:tabs>
        <w:spacing w:line="240" w:lineRule="auto" w:before="2" w:after="0"/>
        <w:ind w:left="849" w:right="0" w:hanging="708"/>
        <w:jc w:val="left"/>
        <w:rPr>
          <w:sz w:val="24"/>
        </w:rPr>
      </w:pPr>
      <w:r>
        <w:rPr>
          <w:sz w:val="24"/>
        </w:rPr>
        <w:t>mening</w:t>
      </w:r>
      <w:r>
        <w:rPr>
          <w:spacing w:val="-9"/>
          <w:sz w:val="24"/>
        </w:rPr>
        <w:t> </w:t>
      </w:r>
      <w:r>
        <w:rPr>
          <w:sz w:val="24"/>
        </w:rPr>
        <w:t>van</w:t>
      </w:r>
      <w:r>
        <w:rPr>
          <w:spacing w:val="-5"/>
          <w:sz w:val="24"/>
        </w:rPr>
        <w:t> </w:t>
      </w:r>
      <w:r>
        <w:rPr>
          <w:sz w:val="24"/>
        </w:rPr>
        <w:t>deskundigen,</w:t>
      </w:r>
      <w:r>
        <w:rPr>
          <w:spacing w:val="-4"/>
          <w:sz w:val="24"/>
        </w:rPr>
        <w:t> </w:t>
      </w:r>
      <w:r>
        <w:rPr>
          <w:sz w:val="24"/>
        </w:rPr>
        <w:t>bijvoorbeeld</w:t>
      </w:r>
      <w:r>
        <w:rPr>
          <w:spacing w:val="-5"/>
          <w:sz w:val="24"/>
        </w:rPr>
        <w:t> </w:t>
      </w:r>
      <w:r>
        <w:rPr>
          <w:sz w:val="24"/>
        </w:rPr>
        <w:t>de</w:t>
      </w:r>
      <w:r>
        <w:rPr>
          <w:spacing w:val="-3"/>
          <w:sz w:val="24"/>
        </w:rPr>
        <w:t> </w:t>
      </w:r>
      <w:r>
        <w:rPr>
          <w:spacing w:val="-2"/>
          <w:sz w:val="24"/>
        </w:rPr>
        <w:t>werkgroepleden.</w:t>
      </w:r>
    </w:p>
    <w:sectPr>
      <w:pgSz w:w="11910" w:h="16840"/>
      <w:pgMar w:header="0" w:footer="750" w:top="1360" w:bottom="940" w:left="1275"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234048">
              <wp:simplePos x="0" y="0"/>
              <wp:positionH relativeFrom="page">
                <wp:posOffset>3691254</wp:posOffset>
              </wp:positionH>
              <wp:positionV relativeFrom="page">
                <wp:posOffset>10076179</wp:posOffset>
              </wp:positionV>
              <wp:extent cx="180975" cy="1778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80975" cy="177800"/>
                      </a:xfrm>
                      <a:prstGeom prst="rect">
                        <a:avLst/>
                      </a:prstGeom>
                    </wps:spPr>
                    <wps:txbx>
                      <w:txbxContent>
                        <w:p>
                          <w:pPr>
                            <w:pStyle w:val="BodyText"/>
                            <w:spacing w:line="264" w:lineRule="exact"/>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0.649994pt;margin-top:793.399963pt;width:14.25pt;height:14pt;mso-position-horizontal-relative:page;mso-position-vertical-relative:page;z-index:-16082432" type="#_x0000_t202" id="docshape1" filled="false" stroked="false">
              <v:textbox inset="0,0,0,0">
                <w:txbxContent>
                  <w:p>
                    <w:pPr>
                      <w:pStyle w:val="BodyText"/>
                      <w:spacing w:line="264" w:lineRule="exact"/>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8"/>
      <w:numFmt w:val="decimal"/>
      <w:lvlText w:val="%1."/>
      <w:lvlJc w:val="left"/>
      <w:pPr>
        <w:ind w:left="861" w:hanging="360"/>
        <w:jc w:val="left"/>
      </w:pPr>
      <w:rPr>
        <w:rFonts w:hint="default" w:ascii="Calibri" w:hAnsi="Calibri" w:eastAsia="Calibri" w:cs="Calibri"/>
        <w:b w:val="0"/>
        <w:bCs w:val="0"/>
        <w:i w:val="0"/>
        <w:iCs w:val="0"/>
        <w:spacing w:val="0"/>
        <w:w w:val="100"/>
        <w:sz w:val="24"/>
        <w:szCs w:val="24"/>
        <w:lang w:val="nl-NL" w:eastAsia="en-US" w:bidi="ar-SA"/>
      </w:rPr>
    </w:lvl>
    <w:lvl w:ilvl="1">
      <w:start w:val="0"/>
      <w:numFmt w:val="bullet"/>
      <w:lvlText w:val="-"/>
      <w:lvlJc w:val="left"/>
      <w:pPr>
        <w:ind w:left="1221" w:hanging="360"/>
      </w:pPr>
      <w:rPr>
        <w:rFonts w:hint="default" w:ascii="Calibri" w:hAnsi="Calibri" w:eastAsia="Calibri" w:cs="Calibri"/>
        <w:b w:val="0"/>
        <w:bCs w:val="0"/>
        <w:i w:val="0"/>
        <w:iCs w:val="0"/>
        <w:spacing w:val="0"/>
        <w:w w:val="100"/>
        <w:sz w:val="24"/>
        <w:szCs w:val="24"/>
        <w:lang w:val="nl-NL" w:eastAsia="en-US" w:bidi="ar-SA"/>
      </w:rPr>
    </w:lvl>
    <w:lvl w:ilvl="2">
      <w:start w:val="0"/>
      <w:numFmt w:val="bullet"/>
      <w:lvlText w:val="•"/>
      <w:lvlJc w:val="left"/>
      <w:pPr>
        <w:ind w:left="2108" w:hanging="360"/>
      </w:pPr>
      <w:rPr>
        <w:rFonts w:hint="default"/>
        <w:lang w:val="nl-NL" w:eastAsia="en-US" w:bidi="ar-SA"/>
      </w:rPr>
    </w:lvl>
    <w:lvl w:ilvl="3">
      <w:start w:val="0"/>
      <w:numFmt w:val="bullet"/>
      <w:lvlText w:val="•"/>
      <w:lvlJc w:val="left"/>
      <w:pPr>
        <w:ind w:left="2996" w:hanging="360"/>
      </w:pPr>
      <w:rPr>
        <w:rFonts w:hint="default"/>
        <w:lang w:val="nl-NL" w:eastAsia="en-US" w:bidi="ar-SA"/>
      </w:rPr>
    </w:lvl>
    <w:lvl w:ilvl="4">
      <w:start w:val="0"/>
      <w:numFmt w:val="bullet"/>
      <w:lvlText w:val="•"/>
      <w:lvlJc w:val="left"/>
      <w:pPr>
        <w:ind w:left="3884" w:hanging="360"/>
      </w:pPr>
      <w:rPr>
        <w:rFonts w:hint="default"/>
        <w:lang w:val="nl-NL" w:eastAsia="en-US" w:bidi="ar-SA"/>
      </w:rPr>
    </w:lvl>
    <w:lvl w:ilvl="5">
      <w:start w:val="0"/>
      <w:numFmt w:val="bullet"/>
      <w:lvlText w:val="•"/>
      <w:lvlJc w:val="left"/>
      <w:pPr>
        <w:ind w:left="4773" w:hanging="360"/>
      </w:pPr>
      <w:rPr>
        <w:rFonts w:hint="default"/>
        <w:lang w:val="nl-NL" w:eastAsia="en-US" w:bidi="ar-SA"/>
      </w:rPr>
    </w:lvl>
    <w:lvl w:ilvl="6">
      <w:start w:val="0"/>
      <w:numFmt w:val="bullet"/>
      <w:lvlText w:val="•"/>
      <w:lvlJc w:val="left"/>
      <w:pPr>
        <w:ind w:left="5661" w:hanging="360"/>
      </w:pPr>
      <w:rPr>
        <w:rFonts w:hint="default"/>
        <w:lang w:val="nl-NL" w:eastAsia="en-US" w:bidi="ar-SA"/>
      </w:rPr>
    </w:lvl>
    <w:lvl w:ilvl="7">
      <w:start w:val="0"/>
      <w:numFmt w:val="bullet"/>
      <w:lvlText w:val="•"/>
      <w:lvlJc w:val="left"/>
      <w:pPr>
        <w:ind w:left="6549" w:hanging="360"/>
      </w:pPr>
      <w:rPr>
        <w:rFonts w:hint="default"/>
        <w:lang w:val="nl-NL" w:eastAsia="en-US" w:bidi="ar-SA"/>
      </w:rPr>
    </w:lvl>
    <w:lvl w:ilvl="8">
      <w:start w:val="0"/>
      <w:numFmt w:val="bullet"/>
      <w:lvlText w:val="•"/>
      <w:lvlJc w:val="left"/>
      <w:pPr>
        <w:ind w:left="7437" w:hanging="360"/>
      </w:pPr>
      <w:rPr>
        <w:rFonts w:hint="default"/>
        <w:lang w:val="nl-NL" w:eastAsia="en-US" w:bidi="ar-SA"/>
      </w:rPr>
    </w:lvl>
  </w:abstractNum>
  <w:abstractNum w:abstractNumId="5">
    <w:multiLevelType w:val="hybridMultilevel"/>
    <w:lvl w:ilvl="0">
      <w:start w:val="2"/>
      <w:numFmt w:val="upperLetter"/>
      <w:lvlText w:val="%1"/>
      <w:lvlJc w:val="left"/>
      <w:pPr>
        <w:ind w:left="849" w:hanging="708"/>
        <w:jc w:val="left"/>
      </w:pPr>
      <w:rPr>
        <w:rFonts w:hint="default" w:ascii="Calibri" w:hAnsi="Calibri" w:eastAsia="Calibri" w:cs="Calibri"/>
        <w:b w:val="0"/>
        <w:bCs w:val="0"/>
        <w:i w:val="0"/>
        <w:iCs w:val="0"/>
        <w:spacing w:val="0"/>
        <w:w w:val="100"/>
        <w:sz w:val="24"/>
        <w:szCs w:val="24"/>
        <w:lang w:val="nl-NL" w:eastAsia="en-US" w:bidi="ar-SA"/>
      </w:rPr>
    </w:lvl>
    <w:lvl w:ilvl="1">
      <w:start w:val="1"/>
      <w:numFmt w:val="decimal"/>
      <w:lvlText w:val="%2"/>
      <w:lvlJc w:val="left"/>
      <w:pPr>
        <w:ind w:left="849" w:hanging="708"/>
        <w:jc w:val="left"/>
      </w:pPr>
      <w:rPr>
        <w:rFonts w:hint="default" w:ascii="Calibri" w:hAnsi="Calibri" w:eastAsia="Calibri" w:cs="Calibri"/>
        <w:b w:val="0"/>
        <w:bCs w:val="0"/>
        <w:i w:val="0"/>
        <w:iCs w:val="0"/>
        <w:spacing w:val="0"/>
        <w:w w:val="100"/>
        <w:sz w:val="24"/>
        <w:szCs w:val="24"/>
        <w:lang w:val="nl-NL" w:eastAsia="en-US" w:bidi="ar-SA"/>
      </w:rPr>
    </w:lvl>
    <w:lvl w:ilvl="2">
      <w:start w:val="0"/>
      <w:numFmt w:val="bullet"/>
      <w:lvlText w:val="•"/>
      <w:lvlJc w:val="left"/>
      <w:pPr>
        <w:ind w:left="2514" w:hanging="708"/>
      </w:pPr>
      <w:rPr>
        <w:rFonts w:hint="default"/>
        <w:lang w:val="nl-NL" w:eastAsia="en-US" w:bidi="ar-SA"/>
      </w:rPr>
    </w:lvl>
    <w:lvl w:ilvl="3">
      <w:start w:val="0"/>
      <w:numFmt w:val="bullet"/>
      <w:lvlText w:val="•"/>
      <w:lvlJc w:val="left"/>
      <w:pPr>
        <w:ind w:left="3352" w:hanging="708"/>
      </w:pPr>
      <w:rPr>
        <w:rFonts w:hint="default"/>
        <w:lang w:val="nl-NL" w:eastAsia="en-US" w:bidi="ar-SA"/>
      </w:rPr>
    </w:lvl>
    <w:lvl w:ilvl="4">
      <w:start w:val="0"/>
      <w:numFmt w:val="bullet"/>
      <w:lvlText w:val="•"/>
      <w:lvlJc w:val="left"/>
      <w:pPr>
        <w:ind w:left="4189" w:hanging="708"/>
      </w:pPr>
      <w:rPr>
        <w:rFonts w:hint="default"/>
        <w:lang w:val="nl-NL" w:eastAsia="en-US" w:bidi="ar-SA"/>
      </w:rPr>
    </w:lvl>
    <w:lvl w:ilvl="5">
      <w:start w:val="0"/>
      <w:numFmt w:val="bullet"/>
      <w:lvlText w:val="•"/>
      <w:lvlJc w:val="left"/>
      <w:pPr>
        <w:ind w:left="5027" w:hanging="708"/>
      </w:pPr>
      <w:rPr>
        <w:rFonts w:hint="default"/>
        <w:lang w:val="nl-NL" w:eastAsia="en-US" w:bidi="ar-SA"/>
      </w:rPr>
    </w:lvl>
    <w:lvl w:ilvl="6">
      <w:start w:val="0"/>
      <w:numFmt w:val="bullet"/>
      <w:lvlText w:val="•"/>
      <w:lvlJc w:val="left"/>
      <w:pPr>
        <w:ind w:left="5864" w:hanging="708"/>
      </w:pPr>
      <w:rPr>
        <w:rFonts w:hint="default"/>
        <w:lang w:val="nl-NL" w:eastAsia="en-US" w:bidi="ar-SA"/>
      </w:rPr>
    </w:lvl>
    <w:lvl w:ilvl="7">
      <w:start w:val="0"/>
      <w:numFmt w:val="bullet"/>
      <w:lvlText w:val="•"/>
      <w:lvlJc w:val="left"/>
      <w:pPr>
        <w:ind w:left="6702" w:hanging="708"/>
      </w:pPr>
      <w:rPr>
        <w:rFonts w:hint="default"/>
        <w:lang w:val="nl-NL" w:eastAsia="en-US" w:bidi="ar-SA"/>
      </w:rPr>
    </w:lvl>
    <w:lvl w:ilvl="8">
      <w:start w:val="0"/>
      <w:numFmt w:val="bullet"/>
      <w:lvlText w:val="•"/>
      <w:lvlJc w:val="left"/>
      <w:pPr>
        <w:ind w:left="7539" w:hanging="708"/>
      </w:pPr>
      <w:rPr>
        <w:rFonts w:hint="default"/>
        <w:lang w:val="nl-NL" w:eastAsia="en-US" w:bidi="ar-SA"/>
      </w:rPr>
    </w:lvl>
  </w:abstractNum>
  <w:abstractNum w:abstractNumId="4">
    <w:multiLevelType w:val="hybridMultilevel"/>
    <w:lvl w:ilvl="0">
      <w:start w:val="2"/>
      <w:numFmt w:val="upperLetter"/>
      <w:lvlText w:val="%1"/>
      <w:lvlJc w:val="left"/>
      <w:pPr>
        <w:ind w:left="849" w:hanging="708"/>
        <w:jc w:val="left"/>
      </w:pPr>
      <w:rPr>
        <w:rFonts w:hint="default" w:ascii="Calibri" w:hAnsi="Calibri" w:eastAsia="Calibri" w:cs="Calibri"/>
        <w:b w:val="0"/>
        <w:bCs w:val="0"/>
        <w:i w:val="0"/>
        <w:iCs w:val="0"/>
        <w:spacing w:val="0"/>
        <w:w w:val="100"/>
        <w:sz w:val="24"/>
        <w:szCs w:val="24"/>
        <w:lang w:val="nl-NL" w:eastAsia="en-US" w:bidi="ar-SA"/>
      </w:rPr>
    </w:lvl>
    <w:lvl w:ilvl="1">
      <w:start w:val="0"/>
      <w:numFmt w:val="bullet"/>
      <w:lvlText w:val="•"/>
      <w:lvlJc w:val="left"/>
      <w:pPr>
        <w:ind w:left="1677" w:hanging="708"/>
      </w:pPr>
      <w:rPr>
        <w:rFonts w:hint="default"/>
        <w:lang w:val="nl-NL" w:eastAsia="en-US" w:bidi="ar-SA"/>
      </w:rPr>
    </w:lvl>
    <w:lvl w:ilvl="2">
      <w:start w:val="0"/>
      <w:numFmt w:val="bullet"/>
      <w:lvlText w:val="•"/>
      <w:lvlJc w:val="left"/>
      <w:pPr>
        <w:ind w:left="2514" w:hanging="708"/>
      </w:pPr>
      <w:rPr>
        <w:rFonts w:hint="default"/>
        <w:lang w:val="nl-NL" w:eastAsia="en-US" w:bidi="ar-SA"/>
      </w:rPr>
    </w:lvl>
    <w:lvl w:ilvl="3">
      <w:start w:val="0"/>
      <w:numFmt w:val="bullet"/>
      <w:lvlText w:val="•"/>
      <w:lvlJc w:val="left"/>
      <w:pPr>
        <w:ind w:left="3352" w:hanging="708"/>
      </w:pPr>
      <w:rPr>
        <w:rFonts w:hint="default"/>
        <w:lang w:val="nl-NL" w:eastAsia="en-US" w:bidi="ar-SA"/>
      </w:rPr>
    </w:lvl>
    <w:lvl w:ilvl="4">
      <w:start w:val="0"/>
      <w:numFmt w:val="bullet"/>
      <w:lvlText w:val="•"/>
      <w:lvlJc w:val="left"/>
      <w:pPr>
        <w:ind w:left="4189" w:hanging="708"/>
      </w:pPr>
      <w:rPr>
        <w:rFonts w:hint="default"/>
        <w:lang w:val="nl-NL" w:eastAsia="en-US" w:bidi="ar-SA"/>
      </w:rPr>
    </w:lvl>
    <w:lvl w:ilvl="5">
      <w:start w:val="0"/>
      <w:numFmt w:val="bullet"/>
      <w:lvlText w:val="•"/>
      <w:lvlJc w:val="left"/>
      <w:pPr>
        <w:ind w:left="5027" w:hanging="708"/>
      </w:pPr>
      <w:rPr>
        <w:rFonts w:hint="default"/>
        <w:lang w:val="nl-NL" w:eastAsia="en-US" w:bidi="ar-SA"/>
      </w:rPr>
    </w:lvl>
    <w:lvl w:ilvl="6">
      <w:start w:val="0"/>
      <w:numFmt w:val="bullet"/>
      <w:lvlText w:val="•"/>
      <w:lvlJc w:val="left"/>
      <w:pPr>
        <w:ind w:left="5864" w:hanging="708"/>
      </w:pPr>
      <w:rPr>
        <w:rFonts w:hint="default"/>
        <w:lang w:val="nl-NL" w:eastAsia="en-US" w:bidi="ar-SA"/>
      </w:rPr>
    </w:lvl>
    <w:lvl w:ilvl="7">
      <w:start w:val="0"/>
      <w:numFmt w:val="bullet"/>
      <w:lvlText w:val="•"/>
      <w:lvlJc w:val="left"/>
      <w:pPr>
        <w:ind w:left="6702" w:hanging="708"/>
      </w:pPr>
      <w:rPr>
        <w:rFonts w:hint="default"/>
        <w:lang w:val="nl-NL" w:eastAsia="en-US" w:bidi="ar-SA"/>
      </w:rPr>
    </w:lvl>
    <w:lvl w:ilvl="8">
      <w:start w:val="0"/>
      <w:numFmt w:val="bullet"/>
      <w:lvlText w:val="•"/>
      <w:lvlJc w:val="left"/>
      <w:pPr>
        <w:ind w:left="7539" w:hanging="708"/>
      </w:pPr>
      <w:rPr>
        <w:rFonts w:hint="default"/>
        <w:lang w:val="nl-NL" w:eastAsia="en-US" w:bidi="ar-SA"/>
      </w:rPr>
    </w:lvl>
  </w:abstractNum>
  <w:abstractNum w:abstractNumId="3">
    <w:multiLevelType w:val="hybridMultilevel"/>
    <w:lvl w:ilvl="0">
      <w:start w:val="1"/>
      <w:numFmt w:val="decimal"/>
      <w:lvlText w:val="%1)"/>
      <w:lvlJc w:val="left"/>
      <w:pPr>
        <w:ind w:left="501" w:hanging="360"/>
        <w:jc w:val="left"/>
      </w:pPr>
      <w:rPr>
        <w:rFonts w:hint="default" w:ascii="Calibri" w:hAnsi="Calibri" w:eastAsia="Calibri" w:cs="Calibri"/>
        <w:b w:val="0"/>
        <w:bCs w:val="0"/>
        <w:i w:val="0"/>
        <w:iCs w:val="0"/>
        <w:spacing w:val="0"/>
        <w:w w:val="100"/>
        <w:sz w:val="22"/>
        <w:szCs w:val="22"/>
        <w:lang w:val="nl-NL" w:eastAsia="en-US" w:bidi="ar-SA"/>
      </w:rPr>
    </w:lvl>
    <w:lvl w:ilvl="1">
      <w:start w:val="0"/>
      <w:numFmt w:val="bullet"/>
      <w:lvlText w:val="•"/>
      <w:lvlJc w:val="left"/>
      <w:pPr>
        <w:ind w:left="1371" w:hanging="360"/>
      </w:pPr>
      <w:rPr>
        <w:rFonts w:hint="default"/>
        <w:lang w:val="nl-NL" w:eastAsia="en-US" w:bidi="ar-SA"/>
      </w:rPr>
    </w:lvl>
    <w:lvl w:ilvl="2">
      <w:start w:val="0"/>
      <w:numFmt w:val="bullet"/>
      <w:lvlText w:val="•"/>
      <w:lvlJc w:val="left"/>
      <w:pPr>
        <w:ind w:left="2242" w:hanging="360"/>
      </w:pPr>
      <w:rPr>
        <w:rFonts w:hint="default"/>
        <w:lang w:val="nl-NL" w:eastAsia="en-US" w:bidi="ar-SA"/>
      </w:rPr>
    </w:lvl>
    <w:lvl w:ilvl="3">
      <w:start w:val="0"/>
      <w:numFmt w:val="bullet"/>
      <w:lvlText w:val="•"/>
      <w:lvlJc w:val="left"/>
      <w:pPr>
        <w:ind w:left="3114" w:hanging="360"/>
      </w:pPr>
      <w:rPr>
        <w:rFonts w:hint="default"/>
        <w:lang w:val="nl-NL" w:eastAsia="en-US" w:bidi="ar-SA"/>
      </w:rPr>
    </w:lvl>
    <w:lvl w:ilvl="4">
      <w:start w:val="0"/>
      <w:numFmt w:val="bullet"/>
      <w:lvlText w:val="•"/>
      <w:lvlJc w:val="left"/>
      <w:pPr>
        <w:ind w:left="3985" w:hanging="360"/>
      </w:pPr>
      <w:rPr>
        <w:rFonts w:hint="default"/>
        <w:lang w:val="nl-NL" w:eastAsia="en-US" w:bidi="ar-SA"/>
      </w:rPr>
    </w:lvl>
    <w:lvl w:ilvl="5">
      <w:start w:val="0"/>
      <w:numFmt w:val="bullet"/>
      <w:lvlText w:val="•"/>
      <w:lvlJc w:val="left"/>
      <w:pPr>
        <w:ind w:left="4857" w:hanging="360"/>
      </w:pPr>
      <w:rPr>
        <w:rFonts w:hint="default"/>
        <w:lang w:val="nl-NL" w:eastAsia="en-US" w:bidi="ar-SA"/>
      </w:rPr>
    </w:lvl>
    <w:lvl w:ilvl="6">
      <w:start w:val="0"/>
      <w:numFmt w:val="bullet"/>
      <w:lvlText w:val="•"/>
      <w:lvlJc w:val="left"/>
      <w:pPr>
        <w:ind w:left="5728" w:hanging="360"/>
      </w:pPr>
      <w:rPr>
        <w:rFonts w:hint="default"/>
        <w:lang w:val="nl-NL" w:eastAsia="en-US" w:bidi="ar-SA"/>
      </w:rPr>
    </w:lvl>
    <w:lvl w:ilvl="7">
      <w:start w:val="0"/>
      <w:numFmt w:val="bullet"/>
      <w:lvlText w:val="•"/>
      <w:lvlJc w:val="left"/>
      <w:pPr>
        <w:ind w:left="6600" w:hanging="360"/>
      </w:pPr>
      <w:rPr>
        <w:rFonts w:hint="default"/>
        <w:lang w:val="nl-NL" w:eastAsia="en-US" w:bidi="ar-SA"/>
      </w:rPr>
    </w:lvl>
    <w:lvl w:ilvl="8">
      <w:start w:val="0"/>
      <w:numFmt w:val="bullet"/>
      <w:lvlText w:val="•"/>
      <w:lvlJc w:val="left"/>
      <w:pPr>
        <w:ind w:left="7471" w:hanging="360"/>
      </w:pPr>
      <w:rPr>
        <w:rFonts w:hint="default"/>
        <w:lang w:val="nl-NL" w:eastAsia="en-US" w:bidi="ar-SA"/>
      </w:rPr>
    </w:lvl>
  </w:abstractNum>
  <w:abstractNum w:abstractNumId="1">
    <w:multiLevelType w:val="hybridMultilevel"/>
    <w:lvl w:ilvl="0">
      <w:start w:val="1"/>
      <w:numFmt w:val="decimal"/>
      <w:lvlText w:val="%1."/>
      <w:lvlJc w:val="left"/>
      <w:pPr>
        <w:ind w:left="861" w:hanging="348"/>
        <w:jc w:val="left"/>
      </w:pPr>
      <w:rPr>
        <w:rFonts w:hint="default"/>
        <w:spacing w:val="0"/>
        <w:w w:val="100"/>
        <w:lang w:val="nl-NL" w:eastAsia="en-US" w:bidi="ar-SA"/>
      </w:rPr>
    </w:lvl>
    <w:lvl w:ilvl="1">
      <w:start w:val="0"/>
      <w:numFmt w:val="bullet"/>
      <w:lvlText w:val="-"/>
      <w:lvlJc w:val="left"/>
      <w:pPr>
        <w:ind w:left="1221" w:hanging="360"/>
      </w:pPr>
      <w:rPr>
        <w:rFonts w:hint="default" w:ascii="Calibri" w:hAnsi="Calibri" w:eastAsia="Calibri" w:cs="Calibri"/>
        <w:b w:val="0"/>
        <w:bCs w:val="0"/>
        <w:i w:val="0"/>
        <w:iCs w:val="0"/>
        <w:spacing w:val="0"/>
        <w:w w:val="100"/>
        <w:sz w:val="24"/>
        <w:szCs w:val="24"/>
        <w:lang w:val="nl-NL" w:eastAsia="en-US" w:bidi="ar-SA"/>
      </w:rPr>
    </w:lvl>
    <w:lvl w:ilvl="2">
      <w:start w:val="0"/>
      <w:numFmt w:val="bullet"/>
      <w:lvlText w:val="•"/>
      <w:lvlJc w:val="left"/>
      <w:pPr>
        <w:ind w:left="2108" w:hanging="360"/>
      </w:pPr>
      <w:rPr>
        <w:rFonts w:hint="default"/>
        <w:lang w:val="nl-NL" w:eastAsia="en-US" w:bidi="ar-SA"/>
      </w:rPr>
    </w:lvl>
    <w:lvl w:ilvl="3">
      <w:start w:val="0"/>
      <w:numFmt w:val="bullet"/>
      <w:lvlText w:val="•"/>
      <w:lvlJc w:val="left"/>
      <w:pPr>
        <w:ind w:left="2996" w:hanging="360"/>
      </w:pPr>
      <w:rPr>
        <w:rFonts w:hint="default"/>
        <w:lang w:val="nl-NL" w:eastAsia="en-US" w:bidi="ar-SA"/>
      </w:rPr>
    </w:lvl>
    <w:lvl w:ilvl="4">
      <w:start w:val="0"/>
      <w:numFmt w:val="bullet"/>
      <w:lvlText w:val="•"/>
      <w:lvlJc w:val="left"/>
      <w:pPr>
        <w:ind w:left="3884" w:hanging="360"/>
      </w:pPr>
      <w:rPr>
        <w:rFonts w:hint="default"/>
        <w:lang w:val="nl-NL" w:eastAsia="en-US" w:bidi="ar-SA"/>
      </w:rPr>
    </w:lvl>
    <w:lvl w:ilvl="5">
      <w:start w:val="0"/>
      <w:numFmt w:val="bullet"/>
      <w:lvlText w:val="•"/>
      <w:lvlJc w:val="left"/>
      <w:pPr>
        <w:ind w:left="4773" w:hanging="360"/>
      </w:pPr>
      <w:rPr>
        <w:rFonts w:hint="default"/>
        <w:lang w:val="nl-NL" w:eastAsia="en-US" w:bidi="ar-SA"/>
      </w:rPr>
    </w:lvl>
    <w:lvl w:ilvl="6">
      <w:start w:val="0"/>
      <w:numFmt w:val="bullet"/>
      <w:lvlText w:val="•"/>
      <w:lvlJc w:val="left"/>
      <w:pPr>
        <w:ind w:left="5661" w:hanging="360"/>
      </w:pPr>
      <w:rPr>
        <w:rFonts w:hint="default"/>
        <w:lang w:val="nl-NL" w:eastAsia="en-US" w:bidi="ar-SA"/>
      </w:rPr>
    </w:lvl>
    <w:lvl w:ilvl="7">
      <w:start w:val="0"/>
      <w:numFmt w:val="bullet"/>
      <w:lvlText w:val="•"/>
      <w:lvlJc w:val="left"/>
      <w:pPr>
        <w:ind w:left="6549" w:hanging="360"/>
      </w:pPr>
      <w:rPr>
        <w:rFonts w:hint="default"/>
        <w:lang w:val="nl-NL" w:eastAsia="en-US" w:bidi="ar-SA"/>
      </w:rPr>
    </w:lvl>
    <w:lvl w:ilvl="8">
      <w:start w:val="0"/>
      <w:numFmt w:val="bullet"/>
      <w:lvlText w:val="•"/>
      <w:lvlJc w:val="left"/>
      <w:pPr>
        <w:ind w:left="7437" w:hanging="360"/>
      </w:pPr>
      <w:rPr>
        <w:rFonts w:hint="default"/>
        <w:lang w:val="nl-NL" w:eastAsia="en-US" w:bidi="ar-SA"/>
      </w:rPr>
    </w:lvl>
  </w:abstractNum>
  <w:abstractNum w:abstractNumId="0">
    <w:multiLevelType w:val="hybridMultilevel"/>
    <w:lvl w:ilvl="0">
      <w:start w:val="1"/>
      <w:numFmt w:val="decimal"/>
      <w:lvlText w:val="%1."/>
      <w:lvlJc w:val="left"/>
      <w:pPr>
        <w:ind w:left="849" w:hanging="348"/>
        <w:jc w:val="left"/>
      </w:pPr>
      <w:rPr>
        <w:rFonts w:hint="default" w:ascii="Calibri" w:hAnsi="Calibri" w:eastAsia="Calibri" w:cs="Calibri"/>
        <w:b w:val="0"/>
        <w:bCs w:val="0"/>
        <w:i w:val="0"/>
        <w:iCs w:val="0"/>
        <w:spacing w:val="0"/>
        <w:w w:val="100"/>
        <w:sz w:val="24"/>
        <w:szCs w:val="24"/>
        <w:lang w:val="nl-NL" w:eastAsia="en-US" w:bidi="ar-SA"/>
      </w:rPr>
    </w:lvl>
    <w:lvl w:ilvl="1">
      <w:start w:val="0"/>
      <w:numFmt w:val="bullet"/>
      <w:lvlText w:val="-"/>
      <w:lvlJc w:val="left"/>
      <w:pPr>
        <w:ind w:left="1221" w:hanging="360"/>
      </w:pPr>
      <w:rPr>
        <w:rFonts w:hint="default" w:ascii="Calibri" w:hAnsi="Calibri" w:eastAsia="Calibri" w:cs="Calibri"/>
        <w:b w:val="0"/>
        <w:bCs w:val="0"/>
        <w:i w:val="0"/>
        <w:iCs w:val="0"/>
        <w:spacing w:val="0"/>
        <w:w w:val="100"/>
        <w:sz w:val="24"/>
        <w:szCs w:val="24"/>
        <w:lang w:val="nl-NL" w:eastAsia="en-US" w:bidi="ar-SA"/>
      </w:rPr>
    </w:lvl>
    <w:lvl w:ilvl="2">
      <w:start w:val="0"/>
      <w:numFmt w:val="bullet"/>
      <w:lvlText w:val="•"/>
      <w:lvlJc w:val="left"/>
      <w:pPr>
        <w:ind w:left="2108" w:hanging="360"/>
      </w:pPr>
      <w:rPr>
        <w:rFonts w:hint="default"/>
        <w:lang w:val="nl-NL" w:eastAsia="en-US" w:bidi="ar-SA"/>
      </w:rPr>
    </w:lvl>
    <w:lvl w:ilvl="3">
      <w:start w:val="0"/>
      <w:numFmt w:val="bullet"/>
      <w:lvlText w:val="•"/>
      <w:lvlJc w:val="left"/>
      <w:pPr>
        <w:ind w:left="2996" w:hanging="360"/>
      </w:pPr>
      <w:rPr>
        <w:rFonts w:hint="default"/>
        <w:lang w:val="nl-NL" w:eastAsia="en-US" w:bidi="ar-SA"/>
      </w:rPr>
    </w:lvl>
    <w:lvl w:ilvl="4">
      <w:start w:val="0"/>
      <w:numFmt w:val="bullet"/>
      <w:lvlText w:val="•"/>
      <w:lvlJc w:val="left"/>
      <w:pPr>
        <w:ind w:left="3884" w:hanging="360"/>
      </w:pPr>
      <w:rPr>
        <w:rFonts w:hint="default"/>
        <w:lang w:val="nl-NL" w:eastAsia="en-US" w:bidi="ar-SA"/>
      </w:rPr>
    </w:lvl>
    <w:lvl w:ilvl="5">
      <w:start w:val="0"/>
      <w:numFmt w:val="bullet"/>
      <w:lvlText w:val="•"/>
      <w:lvlJc w:val="left"/>
      <w:pPr>
        <w:ind w:left="4773" w:hanging="360"/>
      </w:pPr>
      <w:rPr>
        <w:rFonts w:hint="default"/>
        <w:lang w:val="nl-NL" w:eastAsia="en-US" w:bidi="ar-SA"/>
      </w:rPr>
    </w:lvl>
    <w:lvl w:ilvl="6">
      <w:start w:val="0"/>
      <w:numFmt w:val="bullet"/>
      <w:lvlText w:val="•"/>
      <w:lvlJc w:val="left"/>
      <w:pPr>
        <w:ind w:left="5661" w:hanging="360"/>
      </w:pPr>
      <w:rPr>
        <w:rFonts w:hint="default"/>
        <w:lang w:val="nl-NL" w:eastAsia="en-US" w:bidi="ar-SA"/>
      </w:rPr>
    </w:lvl>
    <w:lvl w:ilvl="7">
      <w:start w:val="0"/>
      <w:numFmt w:val="bullet"/>
      <w:lvlText w:val="•"/>
      <w:lvlJc w:val="left"/>
      <w:pPr>
        <w:ind w:left="6549" w:hanging="360"/>
      </w:pPr>
      <w:rPr>
        <w:rFonts w:hint="default"/>
        <w:lang w:val="nl-NL" w:eastAsia="en-US" w:bidi="ar-SA"/>
      </w:rPr>
    </w:lvl>
    <w:lvl w:ilvl="8">
      <w:start w:val="0"/>
      <w:numFmt w:val="bullet"/>
      <w:lvlText w:val="•"/>
      <w:lvlJc w:val="left"/>
      <w:pPr>
        <w:ind w:left="7437" w:hanging="360"/>
      </w:pPr>
      <w:rPr>
        <w:rFonts w:hint="default"/>
        <w:lang w:val="nl-NL" w:eastAsia="en-US" w:bidi="ar-SA"/>
      </w:rPr>
    </w:lvl>
  </w:abstractNum>
  <w:num w:numId="3">
    <w:abstractNumId w:val="2"/>
  </w:num>
  <w:num w:numId="6">
    <w:abstractNumId w:val="5"/>
  </w:num>
  <w:num w:numId="5">
    <w:abstractNumId w:val="4"/>
  </w:num>
  <w:num w:numId="4">
    <w:abstractNumId w:val="3"/>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nl-NL" w:eastAsia="en-US" w:bidi="ar-SA"/>
    </w:rPr>
  </w:style>
  <w:style w:styleId="BodyText" w:type="paragraph">
    <w:name w:val="Body Text"/>
    <w:basedOn w:val="Normal"/>
    <w:uiPriority w:val="1"/>
    <w:qFormat/>
    <w:pPr>
      <w:ind w:left="141"/>
    </w:pPr>
    <w:rPr>
      <w:rFonts w:ascii="Calibri" w:hAnsi="Calibri" w:eastAsia="Calibri" w:cs="Calibri"/>
      <w:sz w:val="24"/>
      <w:szCs w:val="24"/>
      <w:lang w:val="nl-NL" w:eastAsia="en-US" w:bidi="ar-SA"/>
    </w:rPr>
  </w:style>
  <w:style w:styleId="Heading1" w:type="paragraph">
    <w:name w:val="Heading 1"/>
    <w:basedOn w:val="Normal"/>
    <w:uiPriority w:val="1"/>
    <w:qFormat/>
    <w:pPr>
      <w:ind w:left="141"/>
      <w:outlineLvl w:val="1"/>
    </w:pPr>
    <w:rPr>
      <w:rFonts w:ascii="Calibri" w:hAnsi="Calibri" w:eastAsia="Calibri" w:cs="Calibri"/>
      <w:b/>
      <w:bCs/>
      <w:sz w:val="24"/>
      <w:szCs w:val="24"/>
      <w:lang w:val="nl-NL" w:eastAsia="en-US" w:bidi="ar-SA"/>
    </w:rPr>
  </w:style>
  <w:style w:styleId="Title" w:type="paragraph">
    <w:name w:val="Title"/>
    <w:basedOn w:val="Normal"/>
    <w:uiPriority w:val="1"/>
    <w:qFormat/>
    <w:pPr>
      <w:spacing w:before="258"/>
      <w:ind w:left="145" w:right="3"/>
      <w:jc w:val="center"/>
    </w:pPr>
    <w:rPr>
      <w:rFonts w:ascii="Calibri" w:hAnsi="Calibri" w:eastAsia="Calibri" w:cs="Calibri"/>
      <w:b/>
      <w:bCs/>
      <w:sz w:val="40"/>
      <w:szCs w:val="40"/>
      <w:lang w:val="nl-NL" w:eastAsia="en-US" w:bidi="ar-SA"/>
    </w:rPr>
  </w:style>
  <w:style w:styleId="ListParagraph" w:type="paragraph">
    <w:name w:val="List Paragraph"/>
    <w:basedOn w:val="Normal"/>
    <w:uiPriority w:val="1"/>
    <w:qFormat/>
    <w:pPr>
      <w:ind w:left="501" w:hanging="360"/>
    </w:pPr>
    <w:rPr>
      <w:rFonts w:ascii="Calibri" w:hAnsi="Calibri" w:eastAsia="Calibri" w:cs="Calibri"/>
      <w:lang w:val="nl-NL" w:eastAsia="en-US" w:bidi="ar-SA"/>
    </w:rPr>
  </w:style>
  <w:style w:styleId="TableParagraph" w:type="paragraph">
    <w:name w:val="Table Paragraph"/>
    <w:basedOn w:val="Normal"/>
    <w:uiPriority w:val="1"/>
    <w:qFormat/>
    <w:pPr>
      <w:ind w:left="69"/>
    </w:pPr>
    <w:rPr>
      <w:rFonts w:ascii="Calibri" w:hAnsi="Calibri" w:eastAsia="Calibri" w:cs="Calibri"/>
      <w:lang w:val="nl-NL"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footer" Target="footer1.xml"/><Relationship Id="rId7" Type="http://schemas.openxmlformats.org/officeDocument/2006/relationships/hyperlink" Target="http://www.ncbi.nlm.nih.gov/pubmed?term=Forbes%20TJ%5BAuthor%5D&amp;cauthor=true&amp;cauthor_uid=9398098" TargetMode="External"/><Relationship Id="rId8" Type="http://schemas.openxmlformats.org/officeDocument/2006/relationships/hyperlink" Target="http://www.ncbi.nlm.nih.gov/pubmed/?term=Galantowicz%20M%5BAuthor%5D&amp;cauthor=true&amp;cauthor_uid=26651955" TargetMode="External"/><Relationship Id="rId9" Type="http://schemas.openxmlformats.org/officeDocument/2006/relationships/hyperlink" Target="http://www.ncbi.nlm.nih.gov/pubmed/?term=Yates%20AR%5BAuthor%5D&amp;cauthor=true&amp;cauthor_uid=26651955" TargetMode="External"/><Relationship Id="rId10" Type="http://schemas.openxmlformats.org/officeDocument/2006/relationships/hyperlink" Target="http://www.ncbi.nlm.nih.gov/pubmed/26651955" TargetMode="External"/><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chvanommen</dc:creator>
  <dc:title>Taskforce</dc:title>
  <dcterms:created xsi:type="dcterms:W3CDTF">2026-08-24T10:42:13Z</dcterms:created>
  <dcterms:modified xsi:type="dcterms:W3CDTF">2026-08-24T10:42:13Z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2016-10-04T00:00:00Z</vt:filetime>
  </property>
  <property fmtid="{D5CDD505-2E9C-101B-9397-08002B2CF9AE}" pid="3" name="Creator">
    <vt:lpwstr>Microsoft® Word 2010</vt:lpwstr>
  </property>
  <property fmtid="{D5CDD505-2E9C-101B-9397-08002B2CF9AE}" pid="4" name="LastSaved">
    <vt:filetime>2026-08-24T00:00:00Z</vt:filetime>
  </property>
  <property fmtid="{D5CDD505-2E9C-101B-9397-08002B2CF9AE}" pid="5" name="Producer">
    <vt:lpwstr>Microsoft® Word 2010</vt:lpwstr>
  </property>
</Properties>
</file>