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line="398" w:lineRule="auto"/>
      </w:pPr>
      <w:r>
        <w:rPr/>
        <w:t>Guideline</w:t>
      </w:r>
      <w:r>
        <w:rPr>
          <w:spacing w:val="-6"/>
        </w:rPr>
        <w:t> </w:t>
      </w:r>
      <w:r>
        <w:rPr/>
        <w:t>prevention</w:t>
      </w:r>
      <w:r>
        <w:rPr>
          <w:spacing w:val="-3"/>
        </w:rPr>
        <w:t> </w:t>
      </w:r>
      <w:r>
        <w:rPr/>
        <w:t>of</w:t>
      </w:r>
      <w:r>
        <w:rPr>
          <w:spacing w:val="-3"/>
        </w:rPr>
        <w:t> </w:t>
      </w:r>
      <w:r>
        <w:rPr/>
        <w:t>thromboembolic</w:t>
      </w:r>
      <w:r>
        <w:rPr>
          <w:spacing w:val="-5"/>
        </w:rPr>
        <w:t> </w:t>
      </w:r>
      <w:r>
        <w:rPr/>
        <w:t>complications</w:t>
      </w:r>
      <w:r>
        <w:rPr>
          <w:spacing w:val="-3"/>
        </w:rPr>
        <w:t> </w:t>
      </w:r>
      <w:r>
        <w:rPr/>
        <w:t>in</w:t>
      </w:r>
      <w:r>
        <w:rPr>
          <w:spacing w:val="-5"/>
        </w:rPr>
        <w:t> </w:t>
      </w:r>
      <w:r>
        <w:rPr/>
        <w:t>children</w:t>
      </w:r>
      <w:r>
        <w:rPr>
          <w:spacing w:val="-3"/>
        </w:rPr>
        <w:t> </w:t>
      </w:r>
      <w:r>
        <w:rPr/>
        <w:t>with</w:t>
      </w:r>
      <w:r>
        <w:rPr>
          <w:spacing w:val="-5"/>
        </w:rPr>
        <w:t> </w:t>
      </w:r>
      <w:r>
        <w:rPr/>
        <w:t>cardiac</w:t>
      </w:r>
      <w:r>
        <w:rPr>
          <w:spacing w:val="-3"/>
        </w:rPr>
        <w:t> </w:t>
      </w:r>
      <w:r>
        <w:rPr/>
        <w:t>disease –</w:t>
      </w:r>
      <w:r>
        <w:rPr>
          <w:spacing w:val="-2"/>
        </w:rPr>
        <w:t> </w:t>
      </w:r>
      <w:r>
        <w:rPr/>
        <w:t>appendix</w:t>
      </w:r>
      <w:r>
        <w:rPr>
          <w:spacing w:val="-4"/>
        </w:rPr>
        <w:t> </w:t>
      </w:r>
      <w:r>
        <w:rPr/>
        <w:t>1 Clinical questions, PICOs and evidence synthesis</w:t>
      </w:r>
    </w:p>
    <w:p>
      <w:pPr>
        <w:pStyle w:val="ListParagraph"/>
        <w:numPr>
          <w:ilvl w:val="0"/>
          <w:numId w:val="1"/>
        </w:numPr>
        <w:tabs>
          <w:tab w:pos="381" w:val="left" w:leader="none"/>
          <w:tab w:pos="383" w:val="left" w:leader="none"/>
        </w:tabs>
        <w:spacing w:line="273" w:lineRule="auto" w:before="5" w:after="0"/>
        <w:ind w:left="383" w:right="806" w:hanging="361"/>
        <w:jc w:val="left"/>
        <w:rPr>
          <w:i/>
          <w:sz w:val="22"/>
        </w:rPr>
      </w:pPr>
      <w:r>
        <w:rPr>
          <w:i/>
          <w:sz w:val="22"/>
        </w:rPr>
        <w:t>Clinical</w:t>
      </w:r>
      <w:r>
        <w:rPr>
          <w:i/>
          <w:spacing w:val="-2"/>
          <w:sz w:val="22"/>
        </w:rPr>
        <w:t> </w:t>
      </w:r>
      <w:r>
        <w:rPr>
          <w:i/>
          <w:sz w:val="22"/>
        </w:rPr>
        <w:t>question:</w:t>
      </w:r>
      <w:r>
        <w:rPr>
          <w:i/>
          <w:spacing w:val="-1"/>
          <w:sz w:val="22"/>
        </w:rPr>
        <w:t> </w:t>
      </w:r>
      <w:r>
        <w:rPr>
          <w:i/>
          <w:sz w:val="22"/>
        </w:rPr>
        <w:t>What</w:t>
      </w:r>
      <w:r>
        <w:rPr>
          <w:i/>
          <w:spacing w:val="-4"/>
          <w:sz w:val="22"/>
        </w:rPr>
        <w:t> </w:t>
      </w:r>
      <w:r>
        <w:rPr>
          <w:i/>
          <w:sz w:val="22"/>
        </w:rPr>
        <w:t>is</w:t>
      </w:r>
      <w:r>
        <w:rPr>
          <w:i/>
          <w:spacing w:val="-1"/>
          <w:sz w:val="22"/>
        </w:rPr>
        <w:t> </w:t>
      </w:r>
      <w:r>
        <w:rPr>
          <w:i/>
          <w:sz w:val="22"/>
        </w:rPr>
        <w:t>the</w:t>
      </w:r>
      <w:r>
        <w:rPr>
          <w:i/>
          <w:spacing w:val="-2"/>
          <w:sz w:val="22"/>
        </w:rPr>
        <w:t> </w:t>
      </w:r>
      <w:r>
        <w:rPr>
          <w:i/>
          <w:sz w:val="22"/>
        </w:rPr>
        <w:t>recommended</w:t>
      </w:r>
      <w:r>
        <w:rPr>
          <w:i/>
          <w:spacing w:val="-2"/>
          <w:sz w:val="22"/>
        </w:rPr>
        <w:t> </w:t>
      </w:r>
      <w:r>
        <w:rPr>
          <w:i/>
          <w:sz w:val="22"/>
        </w:rPr>
        <w:t>antithrombotic</w:t>
      </w:r>
      <w:r>
        <w:rPr>
          <w:i/>
          <w:spacing w:val="-4"/>
          <w:sz w:val="22"/>
        </w:rPr>
        <w:t> </w:t>
      </w:r>
      <w:r>
        <w:rPr>
          <w:i/>
          <w:sz w:val="22"/>
        </w:rPr>
        <w:t>strategy</w:t>
      </w:r>
      <w:r>
        <w:rPr>
          <w:i/>
          <w:spacing w:val="-2"/>
          <w:sz w:val="22"/>
        </w:rPr>
        <w:t> </w:t>
      </w:r>
      <w:r>
        <w:rPr>
          <w:i/>
          <w:sz w:val="22"/>
        </w:rPr>
        <w:t>for</w:t>
      </w:r>
      <w:r>
        <w:rPr>
          <w:i/>
          <w:spacing w:val="-1"/>
          <w:sz w:val="22"/>
        </w:rPr>
        <w:t> </w:t>
      </w:r>
      <w:r>
        <w:rPr>
          <w:i/>
          <w:sz w:val="22"/>
        </w:rPr>
        <w:t>primary</w:t>
      </w:r>
      <w:r>
        <w:rPr>
          <w:i/>
          <w:spacing w:val="-2"/>
          <w:sz w:val="22"/>
        </w:rPr>
        <w:t> </w:t>
      </w:r>
      <w:r>
        <w:rPr>
          <w:i/>
          <w:sz w:val="22"/>
        </w:rPr>
        <w:t>thrombosis prevention</w:t>
      </w:r>
      <w:r>
        <w:rPr>
          <w:i/>
          <w:spacing w:val="-3"/>
          <w:sz w:val="22"/>
        </w:rPr>
        <w:t> </w:t>
      </w:r>
      <w:r>
        <w:rPr>
          <w:i/>
          <w:sz w:val="22"/>
        </w:rPr>
        <w:t>in</w:t>
      </w:r>
      <w:r>
        <w:rPr>
          <w:i/>
          <w:spacing w:val="-5"/>
          <w:sz w:val="22"/>
        </w:rPr>
        <w:t> </w:t>
      </w:r>
      <w:r>
        <w:rPr>
          <w:i/>
          <w:sz w:val="22"/>
        </w:rPr>
        <w:t>children</w:t>
      </w:r>
      <w:r>
        <w:rPr>
          <w:i/>
          <w:spacing w:val="-2"/>
          <w:sz w:val="22"/>
        </w:rPr>
        <w:t> </w:t>
      </w:r>
      <w:r>
        <w:rPr>
          <w:i/>
          <w:sz w:val="22"/>
        </w:rPr>
        <w:t>receiving</w:t>
      </w:r>
      <w:r>
        <w:rPr>
          <w:i/>
          <w:spacing w:val="-3"/>
          <w:sz w:val="22"/>
        </w:rPr>
        <w:t> </w:t>
      </w:r>
      <w:r>
        <w:rPr>
          <w:i/>
          <w:sz w:val="22"/>
        </w:rPr>
        <w:t>an</w:t>
      </w:r>
      <w:r>
        <w:rPr>
          <w:i/>
          <w:spacing w:val="-3"/>
          <w:sz w:val="22"/>
        </w:rPr>
        <w:t> </w:t>
      </w:r>
      <w:r>
        <w:rPr>
          <w:i/>
          <w:sz w:val="22"/>
        </w:rPr>
        <w:t>aortopulmonary</w:t>
      </w:r>
      <w:r>
        <w:rPr>
          <w:i/>
          <w:spacing w:val="-2"/>
          <w:sz w:val="22"/>
        </w:rPr>
        <w:t> </w:t>
      </w:r>
      <w:r>
        <w:rPr>
          <w:i/>
          <w:sz w:val="22"/>
        </w:rPr>
        <w:t>(AP)</w:t>
      </w:r>
      <w:r>
        <w:rPr>
          <w:i/>
          <w:sz w:val="22"/>
        </w:rPr>
        <w:t> and/or right ventricle-to-pulmonary artery (RVP) shunt?</w:t>
      </w:r>
    </w:p>
    <w:p>
      <w:pPr>
        <w:pStyle w:val="BodyText"/>
        <w:spacing w:before="165"/>
        <w:ind w:left="23"/>
      </w:pPr>
      <w:r>
        <w:rPr/>
        <w:t>A</w:t>
      </w:r>
      <w:r>
        <w:rPr>
          <w:spacing w:val="-5"/>
        </w:rPr>
        <w:t> </w:t>
      </w:r>
      <w:r>
        <w:rPr/>
        <w:t>systematic</w:t>
      </w:r>
      <w:r>
        <w:rPr>
          <w:spacing w:val="-3"/>
        </w:rPr>
        <w:t> </w:t>
      </w:r>
      <w:r>
        <w:rPr/>
        <w:t>review</w:t>
      </w:r>
      <w:r>
        <w:rPr>
          <w:spacing w:val="-5"/>
        </w:rPr>
        <w:t> </w:t>
      </w:r>
      <w:r>
        <w:rPr/>
        <w:t>of</w:t>
      </w:r>
      <w:r>
        <w:rPr>
          <w:spacing w:val="-5"/>
        </w:rPr>
        <w:t> </w:t>
      </w:r>
      <w:r>
        <w:rPr/>
        <w:t>the</w:t>
      </w:r>
      <w:r>
        <w:rPr>
          <w:spacing w:val="-5"/>
        </w:rPr>
        <w:t> </w:t>
      </w:r>
      <w:r>
        <w:rPr/>
        <w:t>literature</w:t>
      </w:r>
      <w:r>
        <w:rPr>
          <w:spacing w:val="-5"/>
        </w:rPr>
        <w:t> </w:t>
      </w:r>
      <w:r>
        <w:rPr/>
        <w:t>was</w:t>
      </w:r>
      <w:r>
        <w:rPr>
          <w:spacing w:val="-6"/>
        </w:rPr>
        <w:t> </w:t>
      </w:r>
      <w:r>
        <w:rPr/>
        <w:t>performed</w:t>
      </w:r>
      <w:r>
        <w:rPr>
          <w:spacing w:val="-3"/>
        </w:rPr>
        <w:t> </w:t>
      </w:r>
      <w:r>
        <w:rPr/>
        <w:t>to</w:t>
      </w:r>
      <w:r>
        <w:rPr>
          <w:spacing w:val="-2"/>
        </w:rPr>
        <w:t> </w:t>
      </w:r>
      <w:r>
        <w:rPr/>
        <w:t>answer</w:t>
      </w:r>
      <w:r>
        <w:rPr>
          <w:spacing w:val="-3"/>
        </w:rPr>
        <w:t> </w:t>
      </w:r>
      <w:r>
        <w:rPr/>
        <w:t>the</w:t>
      </w:r>
      <w:r>
        <w:rPr>
          <w:spacing w:val="-3"/>
        </w:rPr>
        <w:t> </w:t>
      </w:r>
      <w:r>
        <w:rPr/>
        <w:t>following</w:t>
      </w:r>
      <w:r>
        <w:rPr>
          <w:spacing w:val="-4"/>
        </w:rPr>
        <w:t> </w:t>
      </w:r>
      <w:r>
        <w:rPr>
          <w:spacing w:val="-2"/>
        </w:rPr>
        <w:t>question:</w:t>
      </w:r>
    </w:p>
    <w:p>
      <w:pPr>
        <w:pStyle w:val="BodyText"/>
        <w:spacing w:line="278" w:lineRule="auto" w:before="43"/>
        <w:ind w:left="23" w:right="466"/>
      </w:pPr>
      <w:r>
        <w:rPr/>
        <w:t>What</w:t>
      </w:r>
      <w:r>
        <w:rPr>
          <w:spacing w:val="-1"/>
        </w:rPr>
        <w:t> </w:t>
      </w:r>
      <w:r>
        <w:rPr/>
        <w:t>are</w:t>
      </w:r>
      <w:r>
        <w:rPr>
          <w:spacing w:val="-3"/>
        </w:rPr>
        <w:t> </w:t>
      </w:r>
      <w:r>
        <w:rPr/>
        <w:t>the</w:t>
      </w:r>
      <w:r>
        <w:rPr>
          <w:spacing w:val="-3"/>
        </w:rPr>
        <w:t> </w:t>
      </w:r>
      <w:r>
        <w:rPr/>
        <w:t>favorable</w:t>
      </w:r>
      <w:r>
        <w:rPr>
          <w:spacing w:val="-3"/>
        </w:rPr>
        <w:t> </w:t>
      </w:r>
      <w:r>
        <w:rPr/>
        <w:t>and</w:t>
      </w:r>
      <w:r>
        <w:rPr>
          <w:spacing w:val="-2"/>
        </w:rPr>
        <w:t> </w:t>
      </w:r>
      <w:r>
        <w:rPr/>
        <w:t>unfavorable</w:t>
      </w:r>
      <w:r>
        <w:rPr>
          <w:spacing w:val="-4"/>
        </w:rPr>
        <w:t> </w:t>
      </w:r>
      <w:r>
        <w:rPr/>
        <w:t>effects</w:t>
      </w:r>
      <w:r>
        <w:rPr>
          <w:spacing w:val="-3"/>
        </w:rPr>
        <w:t> </w:t>
      </w:r>
      <w:r>
        <w:rPr/>
        <w:t>of</w:t>
      </w:r>
      <w:r>
        <w:rPr>
          <w:spacing w:val="-3"/>
        </w:rPr>
        <w:t> </w:t>
      </w:r>
      <w:r>
        <w:rPr/>
        <w:t>the</w:t>
      </w:r>
      <w:r>
        <w:rPr>
          <w:spacing w:val="-1"/>
        </w:rPr>
        <w:t> </w:t>
      </w:r>
      <w:r>
        <w:rPr/>
        <w:t>use</w:t>
      </w:r>
      <w:r>
        <w:rPr>
          <w:spacing w:val="-3"/>
        </w:rPr>
        <w:t> </w:t>
      </w:r>
      <w:r>
        <w:rPr/>
        <w:t>of</w:t>
      </w:r>
      <w:r>
        <w:rPr>
          <w:spacing w:val="-3"/>
        </w:rPr>
        <w:t> </w:t>
      </w:r>
      <w:r>
        <w:rPr/>
        <w:t>thromboprophylaxis</w:t>
      </w:r>
      <w:r>
        <w:rPr>
          <w:spacing w:val="-1"/>
        </w:rPr>
        <w:t> </w:t>
      </w:r>
      <w:r>
        <w:rPr/>
        <w:t>compared</w:t>
      </w:r>
      <w:r>
        <w:rPr>
          <w:spacing w:val="-5"/>
        </w:rPr>
        <w:t> </w:t>
      </w:r>
      <w:r>
        <w:rPr/>
        <w:t>with</w:t>
      </w:r>
      <w:r>
        <w:rPr>
          <w:spacing w:val="-2"/>
        </w:rPr>
        <w:t> </w:t>
      </w:r>
      <w:r>
        <w:rPr/>
        <w:t>no thromboprophylaxis</w:t>
      </w:r>
      <w:r>
        <w:rPr>
          <w:spacing w:val="-1"/>
        </w:rPr>
        <w:t> </w:t>
      </w:r>
      <w:r>
        <w:rPr/>
        <w:t>in</w:t>
      </w:r>
      <w:r>
        <w:rPr>
          <w:spacing w:val="-1"/>
        </w:rPr>
        <w:t> </w:t>
      </w:r>
      <w:r>
        <w:rPr/>
        <w:t>children</w:t>
      </w:r>
      <w:r>
        <w:rPr>
          <w:spacing w:val="-4"/>
        </w:rPr>
        <w:t> </w:t>
      </w:r>
      <w:r>
        <w:rPr/>
        <w:t>with</w:t>
      </w:r>
      <w:r>
        <w:rPr>
          <w:spacing w:val="-1"/>
        </w:rPr>
        <w:t> </w:t>
      </w:r>
      <w:r>
        <w:rPr/>
        <w:t>an</w:t>
      </w:r>
      <w:r>
        <w:rPr>
          <w:spacing w:val="-1"/>
        </w:rPr>
        <w:t> </w:t>
      </w:r>
      <w:r>
        <w:rPr/>
        <w:t>indication</w:t>
      </w:r>
      <w:r>
        <w:rPr>
          <w:spacing w:val="-2"/>
        </w:rPr>
        <w:t> </w:t>
      </w:r>
      <w:r>
        <w:rPr/>
        <w:t>for an aortopulmonary or right ventricle-to-pulmonary artery shunt surgery?</w:t>
      </w:r>
    </w:p>
    <w:p>
      <w:pPr>
        <w:pStyle w:val="BodyText"/>
        <w:spacing w:before="156"/>
        <w:ind w:left="23"/>
      </w:pPr>
      <w:r>
        <w:rPr/>
        <w:t>PICO</w:t>
      </w:r>
      <w:r>
        <w:rPr>
          <w:spacing w:val="-3"/>
        </w:rPr>
        <w:t> </w:t>
      </w:r>
      <w:r>
        <w:rPr/>
        <w:t>used</w:t>
      </w:r>
      <w:r>
        <w:rPr>
          <w:spacing w:val="-2"/>
        </w:rPr>
        <w:t> </w:t>
      </w:r>
      <w:r>
        <w:rPr/>
        <w:t>for</w:t>
      </w:r>
      <w:r>
        <w:rPr>
          <w:spacing w:val="-5"/>
        </w:rPr>
        <w:t> </w:t>
      </w:r>
      <w:r>
        <w:rPr/>
        <w:t>this</w:t>
      </w:r>
      <w:r>
        <w:rPr>
          <w:spacing w:val="-2"/>
        </w:rPr>
        <w:t> question:</w:t>
      </w:r>
    </w:p>
    <w:p>
      <w:pPr>
        <w:pStyle w:val="BodyText"/>
        <w:spacing w:before="5"/>
        <w:rPr>
          <w:sz w:val="14"/>
        </w:rPr>
      </w:pPr>
      <w:r>
        <w:rPr>
          <w:sz w:val="14"/>
        </w:rPr>
        <mc:AlternateContent>
          <mc:Choice Requires="wps">
            <w:drawing>
              <wp:anchor distT="0" distB="0" distL="0" distR="0" allowOverlap="1" layoutInCell="1" locked="0" behindDoc="1" simplePos="0" relativeHeight="487587840">
                <wp:simplePos x="0" y="0"/>
                <wp:positionH relativeFrom="page">
                  <wp:posOffset>914400</wp:posOffset>
                </wp:positionH>
                <wp:positionV relativeFrom="paragraph">
                  <wp:posOffset>127017</wp:posOffset>
                </wp:positionV>
                <wp:extent cx="5648960" cy="9525"/>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5648960" cy="9525"/>
                        </a:xfrm>
                        <a:custGeom>
                          <a:avLst/>
                          <a:gdLst/>
                          <a:ahLst/>
                          <a:cxnLst/>
                          <a:rect l="l" t="t" r="r" b="b"/>
                          <a:pathLst>
                            <a:path w="5648960" h="9525">
                              <a:moveTo>
                                <a:pt x="5648820" y="0"/>
                              </a:moveTo>
                              <a:lnTo>
                                <a:pt x="1694942" y="0"/>
                              </a:lnTo>
                              <a:lnTo>
                                <a:pt x="1685798" y="0"/>
                              </a:lnTo>
                              <a:lnTo>
                                <a:pt x="0" y="0"/>
                              </a:lnTo>
                              <a:lnTo>
                                <a:pt x="0" y="9144"/>
                              </a:lnTo>
                              <a:lnTo>
                                <a:pt x="1685798" y="9144"/>
                              </a:lnTo>
                              <a:lnTo>
                                <a:pt x="1694942" y="9144"/>
                              </a:lnTo>
                              <a:lnTo>
                                <a:pt x="5648820" y="9144"/>
                              </a:lnTo>
                              <a:lnTo>
                                <a:pt x="5648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001390pt;width:444.8pt;height:.75pt;mso-position-horizontal-relative:page;mso-position-vertical-relative:paragraph;z-index:-15728640;mso-wrap-distance-left:0;mso-wrap-distance-right:0" id="docshape1" coordorigin="1440,200" coordsize="8896,15" path="m10336,200l4109,200,4095,200,1440,200,1440,214,4095,214,4109,214,10336,214,10336,200xe" filled="true" fillcolor="#000000" stroked="false">
                <v:path arrowok="t"/>
                <v:fill type="solid"/>
                <w10:wrap type="topAndBottom"/>
              </v:shape>
            </w:pict>
          </mc:Fallback>
        </mc:AlternateContent>
      </w:r>
    </w:p>
    <w:p>
      <w:pPr>
        <w:pStyle w:val="BodyText"/>
        <w:tabs>
          <w:tab w:pos="2783" w:val="left" w:leader="none"/>
        </w:tabs>
        <w:spacing w:line="273" w:lineRule="auto" w:before="1"/>
        <w:ind w:left="2783" w:right="5959" w:hanging="2655"/>
      </w:pPr>
      <w:r>
        <w:rPr>
          <w:spacing w:val="-2"/>
        </w:rPr>
        <w:t>Patients</w:t>
      </w:r>
      <w:r>
        <w:rPr/>
        <w:tab/>
        <w:t>Infants</w:t>
      </w:r>
      <w:r>
        <w:rPr>
          <w:spacing w:val="-2"/>
        </w:rPr>
        <w:t> </w:t>
      </w:r>
      <w:r>
        <w:rPr/>
        <w:t>with</w:t>
      </w:r>
      <w:r>
        <w:rPr>
          <w:spacing w:val="-3"/>
        </w:rPr>
        <w:t> </w:t>
      </w:r>
      <w:r>
        <w:rPr/>
        <w:t>an</w:t>
      </w:r>
      <w:r>
        <w:rPr>
          <w:spacing w:val="-3"/>
        </w:rPr>
        <w:t> </w:t>
      </w:r>
      <w:r>
        <w:rPr/>
        <w:t>indication</w:t>
      </w:r>
      <w:r>
        <w:rPr>
          <w:spacing w:val="-4"/>
        </w:rPr>
        <w:t> </w:t>
      </w:r>
      <w:r>
        <w:rPr/>
        <w:t>for</w:t>
      </w:r>
      <w:r>
        <w:rPr>
          <w:spacing w:val="-5"/>
        </w:rPr>
        <w:t> </w:t>
      </w:r>
      <w:r>
        <w:rPr/>
        <w:t>1)</w:t>
      </w:r>
      <w:r>
        <w:rPr>
          <w:spacing w:val="-1"/>
        </w:rPr>
        <w:t> </w:t>
      </w:r>
      <w:r>
        <w:rPr/>
        <w:t>aortopulmonary</w:t>
      </w:r>
      <w:r>
        <w:rPr>
          <w:spacing w:val="-5"/>
        </w:rPr>
        <w:t> </w:t>
      </w:r>
      <w:r>
        <w:rPr/>
        <w:t>(AP)</w:t>
      </w:r>
      <w:r>
        <w:rPr>
          <w:spacing w:val="-5"/>
        </w:rPr>
        <w:t> </w:t>
      </w:r>
      <w:r>
        <w:rPr/>
        <w:t>or</w:t>
      </w:r>
      <w:r>
        <w:rPr>
          <w:spacing w:val="-5"/>
        </w:rPr>
        <w:t> </w:t>
      </w:r>
      <w:r>
        <w:rPr/>
        <w:t>2)</w:t>
      </w:r>
      <w:r>
        <w:rPr>
          <w:spacing w:val="-3"/>
        </w:rPr>
        <w:t> </w:t>
      </w:r>
      <w:r>
        <w:rPr/>
        <w:t>right ventricle-to-pulmonary (RVP) artery/Sano shunt surgery</w:t>
      </w:r>
    </w:p>
    <w:p>
      <w:pPr>
        <w:pStyle w:val="BodyText"/>
        <w:spacing w:before="5"/>
        <w:rPr>
          <w:sz w:val="3"/>
        </w:rPr>
      </w:pPr>
      <w:r>
        <w:rPr>
          <w:sz w:val="3"/>
        </w:rPr>
        <mc:AlternateContent>
          <mc:Choice Requires="wps">
            <w:drawing>
              <wp:anchor distT="0" distB="0" distL="0" distR="0" allowOverlap="1" layoutInCell="1" locked="0" behindDoc="1" simplePos="0" relativeHeight="487588352">
                <wp:simplePos x="0" y="0"/>
                <wp:positionH relativeFrom="page">
                  <wp:posOffset>914400</wp:posOffset>
                </wp:positionH>
                <wp:positionV relativeFrom="paragraph">
                  <wp:posOffset>41843</wp:posOffset>
                </wp:positionV>
                <wp:extent cx="5648960" cy="9525"/>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648960" cy="9525"/>
                        </a:xfrm>
                        <a:custGeom>
                          <a:avLst/>
                          <a:gdLst/>
                          <a:ahLst/>
                          <a:cxnLst/>
                          <a:rect l="l" t="t" r="r" b="b"/>
                          <a:pathLst>
                            <a:path w="5648960" h="9525">
                              <a:moveTo>
                                <a:pt x="5648820" y="0"/>
                              </a:moveTo>
                              <a:lnTo>
                                <a:pt x="1694942" y="0"/>
                              </a:lnTo>
                              <a:lnTo>
                                <a:pt x="1685798" y="0"/>
                              </a:lnTo>
                              <a:lnTo>
                                <a:pt x="0" y="0"/>
                              </a:lnTo>
                              <a:lnTo>
                                <a:pt x="0" y="9144"/>
                              </a:lnTo>
                              <a:lnTo>
                                <a:pt x="1685798" y="9144"/>
                              </a:lnTo>
                              <a:lnTo>
                                <a:pt x="1694942" y="9144"/>
                              </a:lnTo>
                              <a:lnTo>
                                <a:pt x="5648820" y="9144"/>
                              </a:lnTo>
                              <a:lnTo>
                                <a:pt x="5648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3.29475pt;width:444.8pt;height:.75pt;mso-position-horizontal-relative:page;mso-position-vertical-relative:paragraph;z-index:-15728128;mso-wrap-distance-left:0;mso-wrap-distance-right:0" id="docshape2" coordorigin="1440,66" coordsize="8896,15" path="m10336,66l4109,66,4095,66,1440,66,1440,80,4095,80,4109,80,10336,80,10336,66xe" filled="true" fillcolor="#000000" stroked="false">
                <v:path arrowok="t"/>
                <v:fill type="solid"/>
                <w10:wrap type="topAndBottom"/>
              </v:shape>
            </w:pict>
          </mc:Fallback>
        </mc:AlternateContent>
      </w:r>
    </w:p>
    <w:p>
      <w:pPr>
        <w:pStyle w:val="BodyText"/>
        <w:tabs>
          <w:tab w:pos="2783" w:val="left" w:leader="none"/>
        </w:tabs>
        <w:ind w:left="128"/>
      </w:pPr>
      <w:r>
        <w:rPr>
          <w:spacing w:val="-2"/>
        </w:rPr>
        <w:t>Intervention</w:t>
      </w:r>
      <w:r>
        <w:rPr/>
        <w:tab/>
        <w:t>Antiplatelet</w:t>
      </w:r>
      <w:r>
        <w:rPr>
          <w:spacing w:val="-10"/>
        </w:rPr>
        <w:t> </w:t>
      </w:r>
      <w:r>
        <w:rPr/>
        <w:t>drugs</w:t>
      </w:r>
      <w:r>
        <w:rPr>
          <w:spacing w:val="-5"/>
        </w:rPr>
        <w:t> </w:t>
      </w:r>
      <w:r>
        <w:rPr/>
        <w:t>postoperative,</w:t>
      </w:r>
      <w:r>
        <w:rPr>
          <w:spacing w:val="-8"/>
        </w:rPr>
        <w:t> </w:t>
      </w:r>
      <w:r>
        <w:rPr/>
        <w:t>aspirin,</w:t>
      </w:r>
      <w:r>
        <w:rPr>
          <w:spacing w:val="-5"/>
        </w:rPr>
        <w:t> </w:t>
      </w:r>
      <w:r>
        <w:rPr/>
        <w:t>aspirin,</w:t>
      </w:r>
      <w:r>
        <w:rPr>
          <w:spacing w:val="-5"/>
        </w:rPr>
        <w:t> </w:t>
      </w:r>
      <w:r>
        <w:rPr>
          <w:spacing w:val="-2"/>
        </w:rPr>
        <w:t>specifically</w:t>
      </w:r>
    </w:p>
    <w:p>
      <w:pPr>
        <w:pStyle w:val="BodyText"/>
        <w:spacing w:before="40"/>
        <w:ind w:left="2783"/>
      </w:pPr>
      <w:r>
        <w:rPr/>
        <w:t>aspegic</w:t>
      </w:r>
      <w:r>
        <w:rPr>
          <w:spacing w:val="-5"/>
        </w:rPr>
        <w:t> </w:t>
      </w:r>
      <w:r>
        <w:rPr/>
        <w:t>(intravenous</w:t>
      </w:r>
      <w:r>
        <w:rPr>
          <w:spacing w:val="-4"/>
        </w:rPr>
        <w:t> </w:t>
      </w:r>
      <w:r>
        <w:rPr/>
        <w:t>aspirin);</w:t>
      </w:r>
      <w:r>
        <w:rPr>
          <w:spacing w:val="-3"/>
        </w:rPr>
        <w:t> </w:t>
      </w:r>
      <w:r>
        <w:rPr/>
        <w:t>heparin</w:t>
      </w:r>
      <w:r>
        <w:rPr>
          <w:spacing w:val="-8"/>
        </w:rPr>
        <w:t> </w:t>
      </w:r>
      <w:r>
        <w:rPr/>
        <w:t>or</w:t>
      </w:r>
      <w:r>
        <w:rPr>
          <w:spacing w:val="-4"/>
        </w:rPr>
        <w:t> LMWH</w:t>
      </w:r>
    </w:p>
    <w:p>
      <w:pPr>
        <w:pStyle w:val="BodyText"/>
        <w:spacing w:before="5"/>
        <w:rPr>
          <w:sz w:val="14"/>
        </w:rPr>
      </w:pPr>
      <w:r>
        <w:rPr>
          <w:sz w:val="14"/>
        </w:rPr>
        <mc:AlternateContent>
          <mc:Choice Requires="wps">
            <w:drawing>
              <wp:anchor distT="0" distB="0" distL="0" distR="0" allowOverlap="1" layoutInCell="1" locked="0" behindDoc="1" simplePos="0" relativeHeight="487588864">
                <wp:simplePos x="0" y="0"/>
                <wp:positionH relativeFrom="page">
                  <wp:posOffset>914400</wp:posOffset>
                </wp:positionH>
                <wp:positionV relativeFrom="paragraph">
                  <wp:posOffset>127311</wp:posOffset>
                </wp:positionV>
                <wp:extent cx="5648960" cy="9525"/>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648960" cy="9525"/>
                        </a:xfrm>
                        <a:custGeom>
                          <a:avLst/>
                          <a:gdLst/>
                          <a:ahLst/>
                          <a:cxnLst/>
                          <a:rect l="l" t="t" r="r" b="b"/>
                          <a:pathLst>
                            <a:path w="5648960" h="9525">
                              <a:moveTo>
                                <a:pt x="5648820" y="0"/>
                              </a:moveTo>
                              <a:lnTo>
                                <a:pt x="1694942" y="0"/>
                              </a:lnTo>
                              <a:lnTo>
                                <a:pt x="1685798" y="0"/>
                              </a:lnTo>
                              <a:lnTo>
                                <a:pt x="0" y="0"/>
                              </a:lnTo>
                              <a:lnTo>
                                <a:pt x="0" y="9144"/>
                              </a:lnTo>
                              <a:lnTo>
                                <a:pt x="1685798" y="9144"/>
                              </a:lnTo>
                              <a:lnTo>
                                <a:pt x="1694942" y="9144"/>
                              </a:lnTo>
                              <a:lnTo>
                                <a:pt x="5648820" y="9144"/>
                              </a:lnTo>
                              <a:lnTo>
                                <a:pt x="5648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024518pt;width:444.8pt;height:.75pt;mso-position-horizontal-relative:page;mso-position-vertical-relative:paragraph;z-index:-15727616;mso-wrap-distance-left:0;mso-wrap-distance-right:0" id="docshape3" coordorigin="1440,200" coordsize="8896,15" path="m10336,200l4109,200,4095,200,1440,200,1440,215,4095,215,4109,215,10336,215,10336,200xe" filled="true" fillcolor="#000000" stroked="false">
                <v:path arrowok="t"/>
                <v:fill type="solid"/>
                <w10:wrap type="topAndBottom"/>
              </v:shape>
            </w:pict>
          </mc:Fallback>
        </mc:AlternateContent>
      </w:r>
    </w:p>
    <w:p>
      <w:pPr>
        <w:pStyle w:val="BodyText"/>
        <w:tabs>
          <w:tab w:pos="2783" w:val="left" w:leader="none"/>
        </w:tabs>
        <w:ind w:left="128"/>
      </w:pPr>
      <w:r>
        <w:rPr>
          <w:spacing w:val="-2"/>
        </w:rPr>
        <w:t>Control</w:t>
      </w:r>
      <w:r>
        <w:rPr/>
        <w:tab/>
        <w:t>No </w:t>
      </w:r>
      <w:r>
        <w:rPr>
          <w:spacing w:val="-2"/>
        </w:rPr>
        <w:t>thromboprophylaxis</w:t>
      </w:r>
    </w:p>
    <w:p>
      <w:pPr>
        <w:pStyle w:val="BodyText"/>
        <w:spacing w:before="7"/>
        <w:rPr>
          <w:sz w:val="14"/>
        </w:rPr>
      </w:pPr>
      <w:r>
        <w:rPr>
          <w:sz w:val="14"/>
        </w:rPr>
        <mc:AlternateContent>
          <mc:Choice Requires="wps">
            <w:drawing>
              <wp:anchor distT="0" distB="0" distL="0" distR="0" allowOverlap="1" layoutInCell="1" locked="0" behindDoc="1" simplePos="0" relativeHeight="487589376">
                <wp:simplePos x="0" y="0"/>
                <wp:positionH relativeFrom="page">
                  <wp:posOffset>914400</wp:posOffset>
                </wp:positionH>
                <wp:positionV relativeFrom="paragraph">
                  <wp:posOffset>128425</wp:posOffset>
                </wp:positionV>
                <wp:extent cx="5648960" cy="9525"/>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5648960" cy="9525"/>
                        </a:xfrm>
                        <a:custGeom>
                          <a:avLst/>
                          <a:gdLst/>
                          <a:ahLst/>
                          <a:cxnLst/>
                          <a:rect l="l" t="t" r="r" b="b"/>
                          <a:pathLst>
                            <a:path w="5648960" h="9525">
                              <a:moveTo>
                                <a:pt x="5648820" y="0"/>
                              </a:moveTo>
                              <a:lnTo>
                                <a:pt x="1694942" y="0"/>
                              </a:lnTo>
                              <a:lnTo>
                                <a:pt x="1685798" y="0"/>
                              </a:lnTo>
                              <a:lnTo>
                                <a:pt x="0" y="0"/>
                              </a:lnTo>
                              <a:lnTo>
                                <a:pt x="0" y="9144"/>
                              </a:lnTo>
                              <a:lnTo>
                                <a:pt x="1685798" y="9144"/>
                              </a:lnTo>
                              <a:lnTo>
                                <a:pt x="1694942" y="9144"/>
                              </a:lnTo>
                              <a:lnTo>
                                <a:pt x="5648820" y="9144"/>
                              </a:lnTo>
                              <a:lnTo>
                                <a:pt x="5648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112253pt;width:444.8pt;height:.75pt;mso-position-horizontal-relative:page;mso-position-vertical-relative:paragraph;z-index:-15727104;mso-wrap-distance-left:0;mso-wrap-distance-right:0" id="docshape4" coordorigin="1440,202" coordsize="8896,15" path="m10336,202l4109,202,4095,202,1440,202,1440,217,4095,217,4109,217,10336,217,10336,202xe" filled="true" fillcolor="#000000" stroked="false">
                <v:path arrowok="t"/>
                <v:fill type="solid"/>
                <w10:wrap type="topAndBottom"/>
              </v:shape>
            </w:pict>
          </mc:Fallback>
        </mc:AlternateContent>
      </w:r>
    </w:p>
    <w:p>
      <w:pPr>
        <w:pStyle w:val="BodyText"/>
        <w:tabs>
          <w:tab w:pos="2783" w:val="left" w:leader="none"/>
        </w:tabs>
        <w:spacing w:line="276" w:lineRule="auto"/>
        <w:ind w:left="2783" w:right="5723" w:hanging="2655"/>
      </w:pPr>
      <w:r>
        <w:rPr>
          <w:spacing w:val="-2"/>
        </w:rPr>
        <w:t>Outcomes</w:t>
      </w:r>
      <w:r>
        <w:rPr/>
        <w:tab/>
        <w:t>Shunt occlusion, thrombotic complications (including right ventricle to pulmonary artery conduit thrombosis,</w:t>
      </w:r>
      <w:r>
        <w:rPr>
          <w:spacing w:val="-2"/>
        </w:rPr>
        <w:t> </w:t>
      </w:r>
      <w:r>
        <w:rPr/>
        <w:t>and</w:t>
      </w:r>
      <w:r>
        <w:rPr>
          <w:spacing w:val="-1"/>
        </w:rPr>
        <w:t> </w:t>
      </w:r>
      <w:r>
        <w:rPr/>
        <w:t>pulmonary embolism), ischemic stroke, (gastrointestinal) hemorrhage, mortality,</w:t>
      </w:r>
      <w:r>
        <w:rPr>
          <w:spacing w:val="-4"/>
        </w:rPr>
        <w:t> </w:t>
      </w:r>
      <w:r>
        <w:rPr/>
        <w:t>quality</w:t>
      </w:r>
      <w:r>
        <w:rPr>
          <w:spacing w:val="-5"/>
        </w:rPr>
        <w:t> </w:t>
      </w:r>
      <w:r>
        <w:rPr/>
        <w:t>of</w:t>
      </w:r>
      <w:r>
        <w:rPr>
          <w:spacing w:val="-7"/>
        </w:rPr>
        <w:t> </w:t>
      </w:r>
      <w:r>
        <w:rPr/>
        <w:t>life</w:t>
      </w:r>
      <w:r>
        <w:rPr>
          <w:spacing w:val="-4"/>
        </w:rPr>
        <w:t> </w:t>
      </w:r>
      <w:r>
        <w:rPr/>
        <w:t>(QOL),</w:t>
      </w:r>
      <w:r>
        <w:rPr>
          <w:spacing w:val="-4"/>
        </w:rPr>
        <w:t> </w:t>
      </w:r>
      <w:r>
        <w:rPr/>
        <w:t>adverse</w:t>
      </w:r>
      <w:r>
        <w:rPr>
          <w:spacing w:val="-6"/>
        </w:rPr>
        <w:t> </w:t>
      </w:r>
      <w:r>
        <w:rPr/>
        <w:t>events</w:t>
      </w:r>
      <w:r>
        <w:rPr>
          <w:spacing w:val="-3"/>
        </w:rPr>
        <w:t> </w:t>
      </w:r>
      <w:r>
        <w:rPr/>
        <w:t>(including</w:t>
      </w:r>
      <w:r>
        <w:rPr>
          <w:spacing w:val="-5"/>
        </w:rPr>
        <w:t> </w:t>
      </w:r>
      <w:r>
        <w:rPr/>
        <w:t>pain</w:t>
      </w:r>
      <w:r>
        <w:rPr>
          <w:spacing w:val="-5"/>
        </w:rPr>
        <w:t> </w:t>
      </w:r>
      <w:r>
        <w:rPr/>
        <w:t>post </w:t>
      </w:r>
      <w:r>
        <w:rPr>
          <w:spacing w:val="-2"/>
        </w:rPr>
        <w:t>injection)</w:t>
      </w:r>
    </w:p>
    <w:p>
      <w:pPr>
        <w:pStyle w:val="BodyText"/>
        <w:spacing w:before="1"/>
        <w:rPr>
          <w:sz w:val="11"/>
        </w:rPr>
      </w:pPr>
      <w:r>
        <w:rPr>
          <w:sz w:val="11"/>
        </w:rPr>
        <mc:AlternateContent>
          <mc:Choice Requires="wps">
            <w:drawing>
              <wp:anchor distT="0" distB="0" distL="0" distR="0" allowOverlap="1" layoutInCell="1" locked="0" behindDoc="1" simplePos="0" relativeHeight="487589888">
                <wp:simplePos x="0" y="0"/>
                <wp:positionH relativeFrom="page">
                  <wp:posOffset>905256</wp:posOffset>
                </wp:positionH>
                <wp:positionV relativeFrom="paragraph">
                  <wp:posOffset>101479</wp:posOffset>
                </wp:positionV>
                <wp:extent cx="5658485" cy="9525"/>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658485" cy="9525"/>
                        </a:xfrm>
                        <a:custGeom>
                          <a:avLst/>
                          <a:gdLst/>
                          <a:ahLst/>
                          <a:cxnLst/>
                          <a:rect l="l" t="t" r="r" b="b"/>
                          <a:pathLst>
                            <a:path w="5658485" h="9525">
                              <a:moveTo>
                                <a:pt x="5657964" y="0"/>
                              </a:moveTo>
                              <a:lnTo>
                                <a:pt x="1694942" y="0"/>
                              </a:lnTo>
                              <a:lnTo>
                                <a:pt x="1685798" y="0"/>
                              </a:lnTo>
                              <a:lnTo>
                                <a:pt x="0" y="0"/>
                              </a:lnTo>
                              <a:lnTo>
                                <a:pt x="0" y="9144"/>
                              </a:lnTo>
                              <a:lnTo>
                                <a:pt x="1685798" y="9144"/>
                              </a:lnTo>
                              <a:lnTo>
                                <a:pt x="1694942" y="9144"/>
                              </a:lnTo>
                              <a:lnTo>
                                <a:pt x="5657964" y="9144"/>
                              </a:lnTo>
                              <a:lnTo>
                                <a:pt x="5657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1.280006pt;margin-top:7.99052pt;width:445.55pt;height:.75pt;mso-position-horizontal-relative:page;mso-position-vertical-relative:paragraph;z-index:-15726592;mso-wrap-distance-left:0;mso-wrap-distance-right:0" id="docshape5" coordorigin="1426,160" coordsize="8911,15" path="m10336,160l4095,160,4080,160,1426,160,1426,174,4080,174,4095,174,10336,174,10336,160xe" filled="true" fillcolor="#000000" stroked="false">
                <v:path arrowok="t"/>
                <v:fill type="solid"/>
                <w10:wrap type="topAndBottom"/>
              </v:shape>
            </w:pict>
          </mc:Fallback>
        </mc:AlternateContent>
      </w:r>
    </w:p>
    <w:p>
      <w:pPr>
        <w:pStyle w:val="BodyText"/>
        <w:spacing w:before="201"/>
      </w:pPr>
    </w:p>
    <w:p>
      <w:pPr>
        <w:pStyle w:val="BodyText"/>
        <w:ind w:left="23"/>
      </w:pPr>
      <w:r>
        <w:rPr>
          <w:u w:val="single"/>
        </w:rPr>
        <w:t>Relevant</w:t>
      </w:r>
      <w:r>
        <w:rPr>
          <w:spacing w:val="-6"/>
          <w:u w:val="single"/>
        </w:rPr>
        <w:t> </w:t>
      </w:r>
      <w:r>
        <w:rPr>
          <w:u w:val="single"/>
        </w:rPr>
        <w:t>outcome</w:t>
      </w:r>
      <w:r>
        <w:rPr>
          <w:spacing w:val="-5"/>
          <w:u w:val="single"/>
        </w:rPr>
        <w:t> </w:t>
      </w:r>
      <w:r>
        <w:rPr>
          <w:spacing w:val="-2"/>
          <w:u w:val="single"/>
        </w:rPr>
        <w:t>measures</w:t>
      </w:r>
    </w:p>
    <w:p>
      <w:pPr>
        <w:pStyle w:val="BodyText"/>
        <w:spacing w:line="276" w:lineRule="auto" w:before="39"/>
        <w:ind w:left="23" w:right="466"/>
      </w:pPr>
      <w:r>
        <w:rPr/>
        <w:t>The</w:t>
      </w:r>
      <w:r>
        <w:rPr>
          <w:spacing w:val="-1"/>
        </w:rPr>
        <w:t> </w:t>
      </w:r>
      <w:r>
        <w:rPr/>
        <w:t>guideline</w:t>
      </w:r>
      <w:r>
        <w:rPr>
          <w:spacing w:val="-1"/>
        </w:rPr>
        <w:t> </w:t>
      </w:r>
      <w:r>
        <w:rPr/>
        <w:t>panel</w:t>
      </w:r>
      <w:r>
        <w:rPr>
          <w:spacing w:val="-3"/>
        </w:rPr>
        <w:t> </w:t>
      </w:r>
      <w:r>
        <w:rPr/>
        <w:t>considered</w:t>
      </w:r>
      <w:r>
        <w:rPr>
          <w:spacing w:val="-1"/>
        </w:rPr>
        <w:t> </w:t>
      </w:r>
      <w:r>
        <w:rPr/>
        <w:t>thrombotic</w:t>
      </w:r>
      <w:r>
        <w:rPr>
          <w:spacing w:val="-4"/>
        </w:rPr>
        <w:t> </w:t>
      </w:r>
      <w:r>
        <w:rPr/>
        <w:t>complications/events</w:t>
      </w:r>
      <w:r>
        <w:rPr>
          <w:spacing w:val="-1"/>
        </w:rPr>
        <w:t> </w:t>
      </w:r>
      <w:r>
        <w:rPr/>
        <w:t>and</w:t>
      </w:r>
      <w:r>
        <w:rPr>
          <w:spacing w:val="-2"/>
        </w:rPr>
        <w:t> </w:t>
      </w:r>
      <w:r>
        <w:rPr/>
        <w:t>specifically</w:t>
      </w:r>
      <w:r>
        <w:rPr>
          <w:spacing w:val="-5"/>
        </w:rPr>
        <w:t> </w:t>
      </w:r>
      <w:r>
        <w:rPr/>
        <w:t>shunt</w:t>
      </w:r>
      <w:r>
        <w:rPr>
          <w:spacing w:val="-1"/>
        </w:rPr>
        <w:t> </w:t>
      </w:r>
      <w:r>
        <w:rPr/>
        <w:t>occlusion</w:t>
      </w:r>
      <w:r>
        <w:rPr>
          <w:spacing w:val="-2"/>
        </w:rPr>
        <w:t> </w:t>
      </w:r>
      <w:r>
        <w:rPr/>
        <w:t>as</w:t>
      </w:r>
      <w:r>
        <w:rPr>
          <w:spacing w:val="-3"/>
        </w:rPr>
        <w:t> </w:t>
      </w:r>
      <w:r>
        <w:rPr/>
        <w:t>critical</w:t>
      </w:r>
      <w:r>
        <w:rPr>
          <w:spacing w:val="-5"/>
        </w:rPr>
        <w:t> </w:t>
      </w:r>
      <w:r>
        <w:rPr/>
        <w:t>outcome</w:t>
      </w:r>
      <w:r>
        <w:rPr>
          <w:spacing w:val="-2"/>
        </w:rPr>
        <w:t> </w:t>
      </w:r>
      <w:r>
        <w:rPr/>
        <w:t>measures for</w:t>
      </w:r>
      <w:r>
        <w:rPr>
          <w:spacing w:val="-4"/>
        </w:rPr>
        <w:t> </w:t>
      </w:r>
      <w:r>
        <w:rPr/>
        <w:t>decision</w:t>
      </w:r>
      <w:r>
        <w:rPr>
          <w:spacing w:val="-2"/>
        </w:rPr>
        <w:t> </w:t>
      </w:r>
      <w:r>
        <w:rPr/>
        <w:t>making;</w:t>
      </w:r>
      <w:r>
        <w:rPr>
          <w:spacing w:val="-1"/>
        </w:rPr>
        <w:t> </w:t>
      </w:r>
      <w:r>
        <w:rPr/>
        <w:t>and</w:t>
      </w:r>
      <w:r>
        <w:rPr>
          <w:spacing w:val="-5"/>
        </w:rPr>
        <w:t> </w:t>
      </w:r>
      <w:r>
        <w:rPr/>
        <w:t>the other outcomes (ischemic stroke, hemorrhage, mortality, QOL, adverse events) as an important outcome measure for decision making. A priori, the</w:t>
      </w:r>
    </w:p>
    <w:p>
      <w:pPr>
        <w:pStyle w:val="BodyText"/>
        <w:spacing w:after="0" w:line="276" w:lineRule="auto"/>
        <w:sectPr>
          <w:type w:val="continuous"/>
          <w:pgSz w:w="16840" w:h="11910" w:orient="landscape"/>
          <w:pgMar w:top="1340" w:bottom="280" w:left="1417" w:right="992"/>
        </w:sectPr>
      </w:pPr>
    </w:p>
    <w:p>
      <w:pPr>
        <w:pStyle w:val="BodyText"/>
        <w:spacing w:before="93"/>
        <w:ind w:left="23"/>
      </w:pPr>
      <w:r>
        <w:rPr/>
        <w:t>guideline</w:t>
      </w:r>
      <w:r>
        <w:rPr>
          <w:spacing w:val="-5"/>
        </w:rPr>
        <w:t> </w:t>
      </w:r>
      <w:r>
        <w:rPr/>
        <w:t>panel</w:t>
      </w:r>
      <w:r>
        <w:rPr>
          <w:spacing w:val="-4"/>
        </w:rPr>
        <w:t> </w:t>
      </w:r>
      <w:r>
        <w:rPr/>
        <w:t>did</w:t>
      </w:r>
      <w:r>
        <w:rPr>
          <w:spacing w:val="-6"/>
        </w:rPr>
        <w:t> </w:t>
      </w:r>
      <w:r>
        <w:rPr/>
        <w:t>not</w:t>
      </w:r>
      <w:r>
        <w:rPr>
          <w:spacing w:val="-6"/>
        </w:rPr>
        <w:t> </w:t>
      </w:r>
      <w:r>
        <w:rPr/>
        <w:t>define</w:t>
      </w:r>
      <w:r>
        <w:rPr>
          <w:spacing w:val="-4"/>
        </w:rPr>
        <w:t> </w:t>
      </w:r>
      <w:r>
        <w:rPr/>
        <w:t>the</w:t>
      </w:r>
      <w:r>
        <w:rPr>
          <w:spacing w:val="-6"/>
        </w:rPr>
        <w:t> </w:t>
      </w:r>
      <w:r>
        <w:rPr/>
        <w:t>outcome</w:t>
      </w:r>
      <w:r>
        <w:rPr>
          <w:spacing w:val="-6"/>
        </w:rPr>
        <w:t> </w:t>
      </w:r>
      <w:r>
        <w:rPr/>
        <w:t>measures</w:t>
      </w:r>
      <w:r>
        <w:rPr>
          <w:spacing w:val="-4"/>
        </w:rPr>
        <w:t> </w:t>
      </w:r>
      <w:r>
        <w:rPr/>
        <w:t>listed</w:t>
      </w:r>
      <w:r>
        <w:rPr>
          <w:spacing w:val="-5"/>
        </w:rPr>
        <w:t> </w:t>
      </w:r>
      <w:r>
        <w:rPr/>
        <w:t>above</w:t>
      </w:r>
      <w:r>
        <w:rPr>
          <w:spacing w:val="-6"/>
        </w:rPr>
        <w:t> </w:t>
      </w:r>
      <w:r>
        <w:rPr/>
        <w:t>but</w:t>
      </w:r>
      <w:r>
        <w:rPr>
          <w:spacing w:val="-4"/>
        </w:rPr>
        <w:t> </w:t>
      </w:r>
      <w:r>
        <w:rPr/>
        <w:t>used</w:t>
      </w:r>
      <w:r>
        <w:rPr>
          <w:spacing w:val="-7"/>
        </w:rPr>
        <w:t> </w:t>
      </w:r>
      <w:r>
        <w:rPr/>
        <w:t>the</w:t>
      </w:r>
      <w:r>
        <w:rPr>
          <w:spacing w:val="-4"/>
        </w:rPr>
        <w:t> </w:t>
      </w:r>
      <w:r>
        <w:rPr/>
        <w:t>definitions</w:t>
      </w:r>
      <w:r>
        <w:rPr>
          <w:spacing w:val="-4"/>
        </w:rPr>
        <w:t> </w:t>
      </w:r>
      <w:r>
        <w:rPr/>
        <w:t>used</w:t>
      </w:r>
      <w:r>
        <w:rPr>
          <w:spacing w:val="-4"/>
        </w:rPr>
        <w:t> </w:t>
      </w:r>
      <w:r>
        <w:rPr/>
        <w:t>in</w:t>
      </w:r>
      <w:r>
        <w:rPr>
          <w:spacing w:val="-6"/>
        </w:rPr>
        <w:t> </w:t>
      </w:r>
      <w:r>
        <w:rPr/>
        <w:t>the</w:t>
      </w:r>
      <w:r>
        <w:rPr>
          <w:spacing w:val="-6"/>
        </w:rPr>
        <w:t> </w:t>
      </w:r>
      <w:r>
        <w:rPr/>
        <w:t>studies.</w:t>
      </w:r>
      <w:r>
        <w:rPr>
          <w:spacing w:val="-4"/>
        </w:rPr>
        <w:t> </w:t>
      </w:r>
      <w:r>
        <w:rPr/>
        <w:t>The</w:t>
      </w:r>
      <w:r>
        <w:rPr>
          <w:spacing w:val="-4"/>
        </w:rPr>
        <w:t> </w:t>
      </w:r>
      <w:r>
        <w:rPr/>
        <w:t>guideline</w:t>
      </w:r>
      <w:r>
        <w:rPr>
          <w:spacing w:val="3"/>
        </w:rPr>
        <w:t> </w:t>
      </w:r>
      <w:r>
        <w:rPr/>
        <w:t>panel</w:t>
      </w:r>
      <w:r>
        <w:rPr>
          <w:spacing w:val="-4"/>
        </w:rPr>
        <w:t> </w:t>
      </w:r>
      <w:r>
        <w:rPr/>
        <w:t>defined</w:t>
      </w:r>
      <w:r>
        <w:rPr>
          <w:spacing w:val="-4"/>
        </w:rPr>
        <w:t> </w:t>
      </w:r>
      <w:r>
        <w:rPr/>
        <w:t>a</w:t>
      </w:r>
      <w:r>
        <w:rPr>
          <w:spacing w:val="-4"/>
        </w:rPr>
        <w:t> </w:t>
      </w:r>
      <w:r>
        <w:rPr/>
        <w:t>difference</w:t>
      </w:r>
      <w:r>
        <w:rPr>
          <w:spacing w:val="-6"/>
        </w:rPr>
        <w:t> </w:t>
      </w:r>
      <w:r>
        <w:rPr>
          <w:spacing w:val="-5"/>
        </w:rPr>
        <w:t>of</w:t>
      </w:r>
    </w:p>
    <w:p>
      <w:pPr>
        <w:pStyle w:val="BodyText"/>
        <w:spacing w:before="41"/>
        <w:ind w:left="23"/>
      </w:pPr>
      <w:r>
        <w:rPr/>
        <w:t>25%</w:t>
      </w:r>
      <w:r>
        <w:rPr>
          <w:spacing w:val="-5"/>
        </w:rPr>
        <w:t> </w:t>
      </w:r>
      <w:r>
        <w:rPr/>
        <w:t>(0.8</w:t>
      </w:r>
      <w:r>
        <w:rPr>
          <w:spacing w:val="-5"/>
        </w:rPr>
        <w:t> </w:t>
      </w:r>
      <w:r>
        <w:rPr/>
        <w:t>≥</w:t>
      </w:r>
      <w:r>
        <w:rPr>
          <w:spacing w:val="-3"/>
        </w:rPr>
        <w:t> </w:t>
      </w:r>
      <w:r>
        <w:rPr/>
        <w:t>RR</w:t>
      </w:r>
      <w:r>
        <w:rPr>
          <w:spacing w:val="-7"/>
        </w:rPr>
        <w:t> </w:t>
      </w:r>
      <w:r>
        <w:rPr/>
        <w:t>≥</w:t>
      </w:r>
      <w:r>
        <w:rPr>
          <w:spacing w:val="-5"/>
        </w:rPr>
        <w:t> </w:t>
      </w:r>
      <w:r>
        <w:rPr/>
        <w:t>1.25)</w:t>
      </w:r>
      <w:r>
        <w:rPr>
          <w:spacing w:val="-3"/>
        </w:rPr>
        <w:t> </w:t>
      </w:r>
      <w:r>
        <w:rPr/>
        <w:t>as</w:t>
      </w:r>
      <w:r>
        <w:rPr>
          <w:spacing w:val="-6"/>
        </w:rPr>
        <w:t> </w:t>
      </w:r>
      <w:r>
        <w:rPr/>
        <w:t>minimal</w:t>
      </w:r>
      <w:r>
        <w:rPr>
          <w:spacing w:val="-4"/>
        </w:rPr>
        <w:t> </w:t>
      </w:r>
      <w:r>
        <w:rPr/>
        <w:t>clinically</w:t>
      </w:r>
      <w:r>
        <w:rPr>
          <w:spacing w:val="-3"/>
        </w:rPr>
        <w:t> </w:t>
      </w:r>
      <w:r>
        <w:rPr/>
        <w:t>(patient)</w:t>
      </w:r>
      <w:r>
        <w:rPr>
          <w:spacing w:val="-3"/>
        </w:rPr>
        <w:t> </w:t>
      </w:r>
      <w:r>
        <w:rPr/>
        <w:t>important</w:t>
      </w:r>
      <w:r>
        <w:rPr>
          <w:spacing w:val="-3"/>
        </w:rPr>
        <w:t> </w:t>
      </w:r>
      <w:r>
        <w:rPr>
          <w:spacing w:val="-2"/>
        </w:rPr>
        <w:t>difference.</w:t>
      </w:r>
    </w:p>
    <w:p>
      <w:pPr>
        <w:pStyle w:val="BodyText"/>
        <w:spacing w:before="80"/>
      </w:pPr>
    </w:p>
    <w:p>
      <w:pPr>
        <w:pStyle w:val="BodyText"/>
        <w:ind w:left="23"/>
      </w:pPr>
      <w:r>
        <w:rPr>
          <w:u w:val="single"/>
        </w:rPr>
        <w:t>Search</w:t>
      </w:r>
      <w:r>
        <w:rPr>
          <w:spacing w:val="-6"/>
          <w:u w:val="single"/>
        </w:rPr>
        <w:t> </w:t>
      </w:r>
      <w:r>
        <w:rPr>
          <w:u w:val="single"/>
        </w:rPr>
        <w:t>and</w:t>
      </w:r>
      <w:r>
        <w:rPr>
          <w:spacing w:val="-5"/>
          <w:u w:val="single"/>
        </w:rPr>
        <w:t> </w:t>
      </w:r>
      <w:r>
        <w:rPr>
          <w:spacing w:val="-2"/>
          <w:u w:val="single"/>
        </w:rPr>
        <w:t>selection</w:t>
      </w:r>
    </w:p>
    <w:p>
      <w:pPr>
        <w:pStyle w:val="BodyText"/>
        <w:spacing w:line="276" w:lineRule="auto" w:before="41"/>
        <w:ind w:left="23" w:right="488"/>
      </w:pPr>
      <w:r>
        <w:rPr/>
        <w:t>The systematic literature search resulted in 104 hits. Two studies were initially selected based on title and abstract screening. After reading the full text, both</w:t>
      </w:r>
      <w:r>
        <w:rPr>
          <w:spacing w:val="-1"/>
        </w:rPr>
        <w:t> </w:t>
      </w:r>
      <w:r>
        <w:rPr/>
        <w:t>studies</w:t>
      </w:r>
      <w:r>
        <w:rPr>
          <w:spacing w:val="-4"/>
        </w:rPr>
        <w:t> </w:t>
      </w:r>
      <w:r>
        <w:rPr/>
        <w:t>were</w:t>
      </w:r>
      <w:r>
        <w:rPr>
          <w:spacing w:val="-3"/>
        </w:rPr>
        <w:t> </w:t>
      </w:r>
      <w:r>
        <w:rPr/>
        <w:t>excluded</w:t>
      </w:r>
      <w:r>
        <w:rPr>
          <w:spacing w:val="-2"/>
        </w:rPr>
        <w:t> </w:t>
      </w:r>
      <w:r>
        <w:rPr/>
        <w:t>(see</w:t>
      </w:r>
      <w:r>
        <w:rPr>
          <w:spacing w:val="-1"/>
        </w:rPr>
        <w:t> </w:t>
      </w:r>
      <w:r>
        <w:rPr/>
        <w:t>table</w:t>
      </w:r>
      <w:r>
        <w:rPr>
          <w:spacing w:val="-3"/>
        </w:rPr>
        <w:t> </w:t>
      </w:r>
      <w:r>
        <w:rPr/>
        <w:t>1.1</w:t>
      </w:r>
      <w:r>
        <w:rPr>
          <w:spacing w:val="-3"/>
        </w:rPr>
        <w:t> </w:t>
      </w:r>
      <w:r>
        <w:rPr/>
        <w:t>with reasons</w:t>
      </w:r>
      <w:r>
        <w:rPr>
          <w:spacing w:val="-1"/>
        </w:rPr>
        <w:t> </w:t>
      </w:r>
      <w:r>
        <w:rPr/>
        <w:t>for</w:t>
      </w:r>
      <w:r>
        <w:rPr>
          <w:spacing w:val="-4"/>
        </w:rPr>
        <w:t> </w:t>
      </w:r>
      <w:r>
        <w:rPr/>
        <w:t>exclusion).</w:t>
      </w:r>
      <w:r>
        <w:rPr>
          <w:spacing w:val="-1"/>
        </w:rPr>
        <w:t> </w:t>
      </w:r>
      <w:r>
        <w:rPr/>
        <w:t>In</w:t>
      </w:r>
      <w:r>
        <w:rPr>
          <w:spacing w:val="-3"/>
        </w:rPr>
        <w:t> </w:t>
      </w:r>
      <w:r>
        <w:rPr/>
        <w:t>addition</w:t>
      </w:r>
      <w:r>
        <w:rPr>
          <w:spacing w:val="-2"/>
        </w:rPr>
        <w:t> </w:t>
      </w:r>
      <w:r>
        <w:rPr/>
        <w:t>to</w:t>
      </w:r>
      <w:r>
        <w:rPr>
          <w:spacing w:val="-2"/>
        </w:rPr>
        <w:t> </w:t>
      </w:r>
      <w:r>
        <w:rPr/>
        <w:t>the</w:t>
      </w:r>
      <w:r>
        <w:rPr>
          <w:spacing w:val="-1"/>
        </w:rPr>
        <w:t> </w:t>
      </w:r>
      <w:r>
        <w:rPr/>
        <w:t>systematic</w:t>
      </w:r>
      <w:r>
        <w:rPr>
          <w:spacing w:val="-1"/>
        </w:rPr>
        <w:t> </w:t>
      </w:r>
      <w:r>
        <w:rPr/>
        <w:t>literature</w:t>
      </w:r>
      <w:r>
        <w:rPr>
          <w:spacing w:val="-1"/>
        </w:rPr>
        <w:t> </w:t>
      </w:r>
      <w:r>
        <w:rPr/>
        <w:t>search,</w:t>
      </w:r>
      <w:r>
        <w:rPr>
          <w:spacing w:val="-1"/>
        </w:rPr>
        <w:t> </w:t>
      </w:r>
      <w:r>
        <w:rPr/>
        <w:t>we</w:t>
      </w:r>
      <w:r>
        <w:rPr>
          <w:spacing w:val="-1"/>
        </w:rPr>
        <w:t> </w:t>
      </w:r>
      <w:r>
        <w:rPr/>
        <w:t>also screened</w:t>
      </w:r>
      <w:r>
        <w:rPr>
          <w:spacing w:val="-2"/>
        </w:rPr>
        <w:t> </w:t>
      </w:r>
      <w:r>
        <w:rPr/>
        <w:t>the</w:t>
      </w:r>
      <w:r>
        <w:rPr>
          <w:spacing w:val="-1"/>
        </w:rPr>
        <w:t> </w:t>
      </w:r>
      <w:r>
        <w:rPr/>
        <w:t>title</w:t>
      </w:r>
      <w:r>
        <w:rPr>
          <w:spacing w:val="-1"/>
        </w:rPr>
        <w:t> </w:t>
      </w:r>
      <w:r>
        <w:rPr/>
        <w:t>and</w:t>
      </w:r>
      <w:r>
        <w:rPr>
          <w:spacing w:val="-2"/>
        </w:rPr>
        <w:t> </w:t>
      </w:r>
      <w:r>
        <w:rPr/>
        <w:t>abstract of three additional studies that were included in the conclusions of the module on AP and RVP shunts in the former Dutch guideline. One study (Motz,</w:t>
      </w:r>
      <w:r>
        <w:rPr/>
        <w:t> 1999) did not fit the PICO (wrong comparison). After reading the full text, two studies (Wessel, 2013; Li, 2007) were included in this summary of literature.</w:t>
      </w:r>
    </w:p>
    <w:p>
      <w:pPr>
        <w:pStyle w:val="BodyText"/>
        <w:spacing w:before="40"/>
      </w:pPr>
    </w:p>
    <w:p>
      <w:pPr>
        <w:pStyle w:val="BodyText"/>
        <w:ind w:left="23"/>
      </w:pPr>
      <w:r>
        <w:rPr>
          <w:u w:val="single"/>
        </w:rPr>
        <w:t>Summary</w:t>
      </w:r>
      <w:r>
        <w:rPr>
          <w:spacing w:val="-5"/>
          <w:u w:val="single"/>
        </w:rPr>
        <w:t> </w:t>
      </w:r>
      <w:r>
        <w:rPr>
          <w:u w:val="single"/>
        </w:rPr>
        <w:t>of</w:t>
      </w:r>
      <w:r>
        <w:rPr>
          <w:spacing w:val="-2"/>
          <w:u w:val="single"/>
        </w:rPr>
        <w:t> literature</w:t>
      </w:r>
    </w:p>
    <w:p>
      <w:pPr>
        <w:spacing w:before="41"/>
        <w:ind w:left="23" w:right="0" w:firstLine="0"/>
        <w:jc w:val="left"/>
        <w:rPr>
          <w:i/>
          <w:sz w:val="22"/>
        </w:rPr>
      </w:pPr>
      <w:r>
        <w:rPr>
          <w:i/>
          <w:sz w:val="22"/>
        </w:rPr>
        <w:t>Description</w:t>
      </w:r>
      <w:r>
        <w:rPr>
          <w:i/>
          <w:spacing w:val="-6"/>
          <w:sz w:val="22"/>
        </w:rPr>
        <w:t> </w:t>
      </w:r>
      <w:r>
        <w:rPr>
          <w:i/>
          <w:sz w:val="22"/>
        </w:rPr>
        <w:t>of</w:t>
      </w:r>
      <w:r>
        <w:rPr>
          <w:i/>
          <w:spacing w:val="-5"/>
          <w:sz w:val="22"/>
        </w:rPr>
        <w:t> </w:t>
      </w:r>
      <w:r>
        <w:rPr>
          <w:i/>
          <w:spacing w:val="-2"/>
          <w:sz w:val="22"/>
        </w:rPr>
        <w:t>studies</w:t>
      </w:r>
    </w:p>
    <w:p>
      <w:pPr>
        <w:pStyle w:val="BodyText"/>
        <w:spacing w:line="273" w:lineRule="auto" w:before="41"/>
        <w:ind w:left="23" w:right="466"/>
      </w:pPr>
      <w:r>
        <w:rPr/>
        <w:t>Two</w:t>
      </w:r>
      <w:r>
        <w:rPr>
          <w:spacing w:val="-3"/>
        </w:rPr>
        <w:t> </w:t>
      </w:r>
      <w:r>
        <w:rPr/>
        <w:t>studies</w:t>
      </w:r>
      <w:r>
        <w:rPr>
          <w:spacing w:val="-4"/>
        </w:rPr>
        <w:t> </w:t>
      </w:r>
      <w:r>
        <w:rPr/>
        <w:t>were</w:t>
      </w:r>
      <w:r>
        <w:rPr>
          <w:spacing w:val="-1"/>
        </w:rPr>
        <w:t> </w:t>
      </w:r>
      <w:r>
        <w:rPr/>
        <w:t>included</w:t>
      </w:r>
      <w:r>
        <w:rPr>
          <w:spacing w:val="-4"/>
        </w:rPr>
        <w:t> </w:t>
      </w:r>
      <w:r>
        <w:rPr/>
        <w:t>in</w:t>
      </w:r>
      <w:r>
        <w:rPr>
          <w:spacing w:val="-3"/>
        </w:rPr>
        <w:t> </w:t>
      </w:r>
      <w:r>
        <w:rPr/>
        <w:t>the</w:t>
      </w:r>
      <w:r>
        <w:rPr>
          <w:spacing w:val="-1"/>
        </w:rPr>
        <w:t> </w:t>
      </w:r>
      <w:r>
        <w:rPr/>
        <w:t>analysis</w:t>
      </w:r>
      <w:r>
        <w:rPr>
          <w:spacing w:val="-3"/>
        </w:rPr>
        <w:t> </w:t>
      </w:r>
      <w:r>
        <w:rPr/>
        <w:t>of</w:t>
      </w:r>
      <w:r>
        <w:rPr>
          <w:spacing w:val="-1"/>
        </w:rPr>
        <w:t> </w:t>
      </w:r>
      <w:r>
        <w:rPr/>
        <w:t>the</w:t>
      </w:r>
      <w:r>
        <w:rPr>
          <w:spacing w:val="-3"/>
        </w:rPr>
        <w:t> </w:t>
      </w:r>
      <w:r>
        <w:rPr/>
        <w:t>literature.</w:t>
      </w:r>
      <w:r>
        <w:rPr>
          <w:spacing w:val="-1"/>
        </w:rPr>
        <w:t> </w:t>
      </w:r>
      <w:r>
        <w:rPr/>
        <w:t>Important</w:t>
      </w:r>
      <w:r>
        <w:rPr>
          <w:spacing w:val="-3"/>
        </w:rPr>
        <w:t> </w:t>
      </w:r>
      <w:r>
        <w:rPr/>
        <w:t>study</w:t>
      </w:r>
      <w:r>
        <w:rPr>
          <w:spacing w:val="-3"/>
        </w:rPr>
        <w:t> </w:t>
      </w:r>
      <w:r>
        <w:rPr/>
        <w:t>characteristics</w:t>
      </w:r>
      <w:r>
        <w:rPr>
          <w:spacing w:val="-1"/>
        </w:rPr>
        <w:t> </w:t>
      </w:r>
      <w:r>
        <w:rPr/>
        <w:t>and</w:t>
      </w:r>
      <w:r>
        <w:rPr>
          <w:spacing w:val="-2"/>
        </w:rPr>
        <w:t> </w:t>
      </w:r>
      <w:r>
        <w:rPr/>
        <w:t>results are</w:t>
      </w:r>
      <w:r>
        <w:rPr>
          <w:spacing w:val="-1"/>
        </w:rPr>
        <w:t> </w:t>
      </w:r>
      <w:r>
        <w:rPr/>
        <w:t>summarized</w:t>
      </w:r>
      <w:r>
        <w:rPr>
          <w:spacing w:val="-1"/>
        </w:rPr>
        <w:t> </w:t>
      </w:r>
      <w:r>
        <w:rPr/>
        <w:t>in</w:t>
      </w:r>
      <w:r>
        <w:rPr>
          <w:spacing w:val="-2"/>
        </w:rPr>
        <w:t> </w:t>
      </w:r>
      <w:r>
        <w:rPr/>
        <w:t>table</w:t>
      </w:r>
      <w:r>
        <w:rPr>
          <w:spacing w:val="-1"/>
        </w:rPr>
        <w:t> </w:t>
      </w:r>
      <w:r>
        <w:rPr/>
        <w:t>1.2.</w:t>
      </w:r>
      <w:r>
        <w:rPr>
          <w:spacing w:val="-1"/>
        </w:rPr>
        <w:t> </w:t>
      </w:r>
      <w:r>
        <w:rPr/>
        <w:t>The</w:t>
      </w:r>
      <w:r>
        <w:rPr>
          <w:spacing w:val="-5"/>
        </w:rPr>
        <w:t> </w:t>
      </w:r>
      <w:r>
        <w:rPr/>
        <w:t>assessment</w:t>
      </w:r>
      <w:r>
        <w:rPr>
          <w:spacing w:val="-4"/>
        </w:rPr>
        <w:t> </w:t>
      </w:r>
      <w:r>
        <w:rPr/>
        <w:t>of</w:t>
      </w:r>
      <w:r>
        <w:rPr>
          <w:spacing w:val="-4"/>
        </w:rPr>
        <w:t> </w:t>
      </w:r>
      <w:r>
        <w:rPr/>
        <w:t>the risk of bias is summarized in the risk of bias tables 1.3.1 and 1.3.2.</w:t>
      </w:r>
    </w:p>
    <w:p>
      <w:pPr>
        <w:pStyle w:val="BodyText"/>
        <w:spacing w:before="72"/>
      </w:pPr>
    </w:p>
    <w:p>
      <w:pPr>
        <w:pStyle w:val="BodyText"/>
        <w:spacing w:line="276" w:lineRule="auto"/>
        <w:ind w:left="23" w:right="466"/>
      </w:pPr>
      <w:r>
        <w:rPr/>
        <w:t>Two studies (Li, 2007; Wessel, 2013) compared thromboprophylaxis with no thromboprophylaxis. Wessel (2013) additionally compared an intervention group receiving clopidogrel (+ possible concomitant aspirin) with a control group receiving placebo (+ possible concomitant aspirin) for four outcome measures, which was the primary objective of their study. The results of this study are described separately for the following two comparisons: 1. clopidogrel</w:t>
      </w:r>
      <w:r>
        <w:rPr>
          <w:spacing w:val="-5"/>
        </w:rPr>
        <w:t> </w:t>
      </w:r>
      <w:r>
        <w:rPr/>
        <w:t>(+</w:t>
      </w:r>
      <w:r>
        <w:rPr>
          <w:spacing w:val="-2"/>
        </w:rPr>
        <w:t> </w:t>
      </w:r>
      <w:r>
        <w:rPr/>
        <w:t>possible</w:t>
      </w:r>
      <w:r>
        <w:rPr>
          <w:spacing w:val="-5"/>
        </w:rPr>
        <w:t> </w:t>
      </w:r>
      <w:r>
        <w:rPr/>
        <w:t>concomitant</w:t>
      </w:r>
      <w:r>
        <w:rPr>
          <w:spacing w:val="-2"/>
        </w:rPr>
        <w:t> </w:t>
      </w:r>
      <w:r>
        <w:rPr/>
        <w:t>aspirin)</w:t>
      </w:r>
      <w:r>
        <w:rPr>
          <w:spacing w:val="-2"/>
        </w:rPr>
        <w:t> </w:t>
      </w:r>
      <w:r>
        <w:rPr/>
        <w:t>versus</w:t>
      </w:r>
      <w:r>
        <w:rPr>
          <w:spacing w:val="-2"/>
        </w:rPr>
        <w:t> </w:t>
      </w:r>
      <w:r>
        <w:rPr/>
        <w:t>no</w:t>
      </w:r>
      <w:r>
        <w:rPr>
          <w:spacing w:val="-4"/>
        </w:rPr>
        <w:t> </w:t>
      </w:r>
      <w:r>
        <w:rPr/>
        <w:t>thromboprophylaxis</w:t>
      </w:r>
      <w:r>
        <w:rPr>
          <w:spacing w:val="-2"/>
        </w:rPr>
        <w:t> </w:t>
      </w:r>
      <w:r>
        <w:rPr/>
        <w:t>and 2.</w:t>
      </w:r>
      <w:r>
        <w:rPr>
          <w:spacing w:val="-2"/>
        </w:rPr>
        <w:t> </w:t>
      </w:r>
      <w:r>
        <w:rPr/>
        <w:t>clopidogrel</w:t>
      </w:r>
      <w:r>
        <w:rPr>
          <w:spacing w:val="-2"/>
        </w:rPr>
        <w:t> </w:t>
      </w:r>
      <w:r>
        <w:rPr/>
        <w:t>(+</w:t>
      </w:r>
      <w:r>
        <w:rPr>
          <w:spacing w:val="-4"/>
        </w:rPr>
        <w:t> </w:t>
      </w:r>
      <w:r>
        <w:rPr/>
        <w:t>possible</w:t>
      </w:r>
      <w:r>
        <w:rPr>
          <w:spacing w:val="-2"/>
        </w:rPr>
        <w:t> </w:t>
      </w:r>
      <w:r>
        <w:rPr/>
        <w:t>concomitant aspirin)</w:t>
      </w:r>
      <w:r>
        <w:rPr>
          <w:spacing w:val="-5"/>
        </w:rPr>
        <w:t> </w:t>
      </w:r>
      <w:r>
        <w:rPr/>
        <w:t>versus</w:t>
      </w:r>
      <w:r>
        <w:rPr>
          <w:spacing w:val="-2"/>
        </w:rPr>
        <w:t> </w:t>
      </w:r>
      <w:r>
        <w:rPr/>
        <w:t>placebo</w:t>
      </w:r>
      <w:r>
        <w:rPr>
          <w:spacing w:val="-4"/>
        </w:rPr>
        <w:t> </w:t>
      </w:r>
      <w:r>
        <w:rPr/>
        <w:t>(+</w:t>
      </w:r>
      <w:r>
        <w:rPr>
          <w:spacing w:val="-2"/>
        </w:rPr>
        <w:t> </w:t>
      </w:r>
      <w:r>
        <w:rPr/>
        <w:t>possible concomitant aspirin).</w:t>
      </w:r>
    </w:p>
    <w:p>
      <w:pPr>
        <w:pStyle w:val="BodyText"/>
        <w:spacing w:before="40"/>
      </w:pPr>
    </w:p>
    <w:p>
      <w:pPr>
        <w:pStyle w:val="ListParagraph"/>
        <w:numPr>
          <w:ilvl w:val="0"/>
          <w:numId w:val="2"/>
        </w:numPr>
        <w:tabs>
          <w:tab w:pos="741" w:val="left" w:leader="none"/>
        </w:tabs>
        <w:spacing w:line="240" w:lineRule="auto" w:before="0" w:after="0"/>
        <w:ind w:left="741" w:right="0" w:hanging="358"/>
        <w:jc w:val="left"/>
        <w:rPr>
          <w:sz w:val="22"/>
        </w:rPr>
      </w:pPr>
      <w:r>
        <w:rPr>
          <w:sz w:val="22"/>
        </w:rPr>
        <w:t>Studies</w:t>
      </w:r>
      <w:r>
        <w:rPr>
          <w:spacing w:val="-7"/>
          <w:sz w:val="22"/>
        </w:rPr>
        <w:t> </w:t>
      </w:r>
      <w:r>
        <w:rPr>
          <w:sz w:val="22"/>
        </w:rPr>
        <w:t>comparing</w:t>
      </w:r>
      <w:r>
        <w:rPr>
          <w:spacing w:val="-7"/>
          <w:sz w:val="22"/>
        </w:rPr>
        <w:t> </w:t>
      </w:r>
      <w:r>
        <w:rPr>
          <w:sz w:val="22"/>
        </w:rPr>
        <w:t>thromboprophylaxis</w:t>
      </w:r>
      <w:r>
        <w:rPr>
          <w:spacing w:val="-9"/>
          <w:sz w:val="22"/>
        </w:rPr>
        <w:t> </w:t>
      </w:r>
      <w:r>
        <w:rPr>
          <w:sz w:val="22"/>
        </w:rPr>
        <w:t>with</w:t>
      </w:r>
      <w:r>
        <w:rPr>
          <w:spacing w:val="-6"/>
          <w:sz w:val="22"/>
        </w:rPr>
        <w:t> </w:t>
      </w:r>
      <w:r>
        <w:rPr>
          <w:sz w:val="22"/>
        </w:rPr>
        <w:t>no</w:t>
      </w:r>
      <w:r>
        <w:rPr>
          <w:spacing w:val="-8"/>
          <w:sz w:val="22"/>
        </w:rPr>
        <w:t> </w:t>
      </w:r>
      <w:r>
        <w:rPr>
          <w:spacing w:val="-2"/>
          <w:sz w:val="22"/>
        </w:rPr>
        <w:t>thromboprophylaxis</w:t>
      </w:r>
    </w:p>
    <w:p>
      <w:pPr>
        <w:pStyle w:val="BodyText"/>
        <w:spacing w:line="276" w:lineRule="auto" w:before="202"/>
        <w:ind w:left="23" w:right="889"/>
        <w:jc w:val="both"/>
      </w:pPr>
      <w:r>
        <w:rPr/>
        <w:t>Li (2007)</w:t>
      </w:r>
      <w:r>
        <w:rPr>
          <w:spacing w:val="-2"/>
        </w:rPr>
        <w:t> </w:t>
      </w:r>
      <w:r>
        <w:rPr/>
        <w:t>conducted an</w:t>
      </w:r>
      <w:r>
        <w:rPr>
          <w:spacing w:val="-2"/>
        </w:rPr>
        <w:t> </w:t>
      </w:r>
      <w:r>
        <w:rPr/>
        <w:t>observational study, including</w:t>
      </w:r>
      <w:r>
        <w:rPr>
          <w:spacing w:val="-2"/>
        </w:rPr>
        <w:t> </w:t>
      </w:r>
      <w:r>
        <w:rPr/>
        <w:t>patients at</w:t>
      </w:r>
      <w:r>
        <w:rPr>
          <w:spacing w:val="-1"/>
        </w:rPr>
        <w:t> </w:t>
      </w:r>
      <w:r>
        <w:rPr/>
        <w:t>fifteen institutions in the</w:t>
      </w:r>
      <w:r>
        <w:rPr>
          <w:spacing w:val="-1"/>
        </w:rPr>
        <w:t> </w:t>
      </w:r>
      <w:r>
        <w:rPr/>
        <w:t>United</w:t>
      </w:r>
      <w:r>
        <w:rPr>
          <w:spacing w:val="-3"/>
        </w:rPr>
        <w:t> </w:t>
      </w:r>
      <w:r>
        <w:rPr/>
        <w:t>States, France, and Germany,</w:t>
      </w:r>
      <w:r>
        <w:rPr>
          <w:spacing w:val="-1"/>
        </w:rPr>
        <w:t> </w:t>
      </w:r>
      <w:r>
        <w:rPr/>
        <w:t>who underwent</w:t>
      </w:r>
      <w:r>
        <w:rPr>
          <w:spacing w:val="-1"/>
        </w:rPr>
        <w:t> </w:t>
      </w:r>
      <w:r>
        <w:rPr/>
        <w:t>mBTT-shunt</w:t>
      </w:r>
      <w:r>
        <w:rPr>
          <w:spacing w:val="-1"/>
        </w:rPr>
        <w:t> </w:t>
      </w:r>
      <w:r>
        <w:rPr/>
        <w:t>placement</w:t>
      </w:r>
      <w:r>
        <w:rPr>
          <w:spacing w:val="-1"/>
        </w:rPr>
        <w:t> </w:t>
      </w:r>
      <w:r>
        <w:rPr/>
        <w:t>(n=323)</w:t>
      </w:r>
      <w:r>
        <w:rPr>
          <w:spacing w:val="-4"/>
        </w:rPr>
        <w:t> </w:t>
      </w:r>
      <w:r>
        <w:rPr/>
        <w:t>or</w:t>
      </w:r>
      <w:r>
        <w:rPr>
          <w:spacing w:val="-1"/>
        </w:rPr>
        <w:t> </w:t>
      </w:r>
      <w:r>
        <w:rPr/>
        <w:t>Sano shunt</w:t>
      </w:r>
      <w:r>
        <w:rPr>
          <w:spacing w:val="-1"/>
        </w:rPr>
        <w:t> </w:t>
      </w:r>
      <w:r>
        <w:rPr/>
        <w:t>surgery</w:t>
      </w:r>
      <w:r>
        <w:rPr>
          <w:spacing w:val="-3"/>
        </w:rPr>
        <w:t> </w:t>
      </w:r>
      <w:r>
        <w:rPr/>
        <w:t>(n=50)</w:t>
      </w:r>
      <w:r>
        <w:rPr>
          <w:spacing w:val="-1"/>
        </w:rPr>
        <w:t> </w:t>
      </w:r>
      <w:r>
        <w:rPr/>
        <w:t>at</w:t>
      </w:r>
      <w:r>
        <w:rPr>
          <w:spacing w:val="-1"/>
        </w:rPr>
        <w:t> </w:t>
      </w:r>
      <w:r>
        <w:rPr/>
        <w:t>a</w:t>
      </w:r>
      <w:r>
        <w:rPr>
          <w:spacing w:val="-3"/>
        </w:rPr>
        <w:t> </w:t>
      </w:r>
      <w:r>
        <w:rPr/>
        <w:t>median</w:t>
      </w:r>
      <w:r>
        <w:rPr>
          <w:spacing w:val="-2"/>
        </w:rPr>
        <w:t> </w:t>
      </w:r>
      <w:r>
        <w:rPr/>
        <w:t>age</w:t>
      </w:r>
      <w:r>
        <w:rPr>
          <w:spacing w:val="-3"/>
        </w:rPr>
        <w:t> </w:t>
      </w:r>
      <w:r>
        <w:rPr/>
        <w:t>of</w:t>
      </w:r>
      <w:r>
        <w:rPr>
          <w:spacing w:val="-3"/>
        </w:rPr>
        <w:t> </w:t>
      </w:r>
      <w:r>
        <w:rPr/>
        <w:t>8</w:t>
      </w:r>
      <w:r>
        <w:rPr>
          <w:spacing w:val="-1"/>
        </w:rPr>
        <w:t> </w:t>
      </w:r>
      <w:r>
        <w:rPr/>
        <w:t>days.</w:t>
      </w:r>
      <w:r>
        <w:rPr>
          <w:spacing w:val="-1"/>
        </w:rPr>
        <w:t> </w:t>
      </w:r>
      <w:r>
        <w:rPr/>
        <w:t>Patients</w:t>
      </w:r>
      <w:r>
        <w:rPr>
          <w:spacing w:val="-3"/>
        </w:rPr>
        <w:t> </w:t>
      </w:r>
      <w:r>
        <w:rPr/>
        <w:t>with</w:t>
      </w:r>
      <w:r>
        <w:rPr>
          <w:spacing w:val="-1"/>
        </w:rPr>
        <w:t> </w:t>
      </w:r>
      <w:r>
        <w:rPr/>
        <w:t>events ≤</w:t>
      </w:r>
      <w:r>
        <w:rPr>
          <w:spacing w:val="-3"/>
        </w:rPr>
        <w:t> </w:t>
      </w:r>
      <w:r>
        <w:rPr/>
        <w:t>14</w:t>
      </w:r>
      <w:r>
        <w:rPr>
          <w:spacing w:val="-3"/>
        </w:rPr>
        <w:t> </w:t>
      </w:r>
      <w:r>
        <w:rPr/>
        <w:t>days</w:t>
      </w:r>
      <w:r>
        <w:rPr>
          <w:spacing w:val="-1"/>
        </w:rPr>
        <w:t> </w:t>
      </w:r>
      <w:r>
        <w:rPr/>
        <w:t>after</w:t>
      </w:r>
      <w:r>
        <w:rPr>
          <w:spacing w:val="-1"/>
        </w:rPr>
        <w:t> </w:t>
      </w:r>
      <w:r>
        <w:rPr/>
        <w:t>surgery</w:t>
      </w:r>
      <w:r>
        <w:rPr>
          <w:spacing w:val="-1"/>
        </w:rPr>
        <w:t> </w:t>
      </w:r>
      <w:r>
        <w:rPr/>
        <w:t>were</w:t>
      </w:r>
      <w:r>
        <w:rPr>
          <w:spacing w:val="-3"/>
        </w:rPr>
        <w:t> </w:t>
      </w:r>
      <w:r>
        <w:rPr/>
        <w:t>excluded</w:t>
      </w:r>
      <w:r>
        <w:rPr>
          <w:spacing w:val="-1"/>
        </w:rPr>
        <w:t> </w:t>
      </w:r>
      <w:r>
        <w:rPr/>
        <w:t>from data analysis. This study compared the use of aspirin with no thromboprophylaxis.</w:t>
      </w:r>
    </w:p>
    <w:p>
      <w:pPr>
        <w:pStyle w:val="BodyText"/>
        <w:spacing w:line="276" w:lineRule="auto" w:before="159"/>
        <w:ind w:left="23" w:right="466"/>
      </w:pPr>
      <w:r>
        <w:rPr/>
        <w:t>Wessel (2013) conducted an RCT including patients who were recruited and followed from November 2006 through February 2010 at 134 sites in Europe, Asia,</w:t>
      </w:r>
      <w:r>
        <w:rPr>
          <w:spacing w:val="-1"/>
        </w:rPr>
        <w:t> </w:t>
      </w:r>
      <w:r>
        <w:rPr/>
        <w:t>North</w:t>
      </w:r>
      <w:r>
        <w:rPr>
          <w:spacing w:val="-1"/>
        </w:rPr>
        <w:t> </w:t>
      </w:r>
      <w:r>
        <w:rPr/>
        <w:t>America,</w:t>
      </w:r>
      <w:r>
        <w:rPr>
          <w:spacing w:val="-1"/>
        </w:rPr>
        <w:t> </w:t>
      </w:r>
      <w:r>
        <w:rPr/>
        <w:t>and</w:t>
      </w:r>
      <w:r>
        <w:rPr>
          <w:spacing w:val="-3"/>
        </w:rPr>
        <w:t> </w:t>
      </w:r>
      <w:r>
        <w:rPr/>
        <w:t>Africa.</w:t>
      </w:r>
      <w:r>
        <w:rPr>
          <w:spacing w:val="-1"/>
        </w:rPr>
        <w:t> </w:t>
      </w:r>
      <w:r>
        <w:rPr/>
        <w:t>Inclusion</w:t>
      </w:r>
      <w:r>
        <w:rPr>
          <w:spacing w:val="-2"/>
        </w:rPr>
        <w:t> </w:t>
      </w:r>
      <w:r>
        <w:rPr/>
        <w:t>criteria</w:t>
      </w:r>
      <w:r>
        <w:rPr>
          <w:spacing w:val="-4"/>
        </w:rPr>
        <w:t> </w:t>
      </w:r>
      <w:r>
        <w:rPr/>
        <w:t>were</w:t>
      </w:r>
      <w:r>
        <w:rPr>
          <w:spacing w:val="-1"/>
        </w:rPr>
        <w:t> </w:t>
      </w:r>
      <w:r>
        <w:rPr/>
        <w:t>infants aged</w:t>
      </w:r>
      <w:r>
        <w:rPr>
          <w:spacing w:val="-4"/>
        </w:rPr>
        <w:t> </w:t>
      </w:r>
      <w:r>
        <w:rPr/>
        <w:t>92</w:t>
      </w:r>
      <w:r>
        <w:rPr>
          <w:spacing w:val="-1"/>
        </w:rPr>
        <w:t> </w:t>
      </w:r>
      <w:r>
        <w:rPr/>
        <w:t>days</w:t>
      </w:r>
      <w:r>
        <w:rPr>
          <w:spacing w:val="-3"/>
        </w:rPr>
        <w:t> </w:t>
      </w:r>
      <w:r>
        <w:rPr/>
        <w:t>or</w:t>
      </w:r>
      <w:r>
        <w:rPr>
          <w:spacing w:val="-4"/>
        </w:rPr>
        <w:t> </w:t>
      </w:r>
      <w:r>
        <w:rPr/>
        <w:t>younger</w:t>
      </w:r>
      <w:r>
        <w:rPr>
          <w:spacing w:val="-1"/>
        </w:rPr>
        <w:t> </w:t>
      </w:r>
      <w:r>
        <w:rPr/>
        <w:t>at</w:t>
      </w:r>
      <w:r>
        <w:rPr>
          <w:spacing w:val="-4"/>
        </w:rPr>
        <w:t> </w:t>
      </w:r>
      <w:r>
        <w:rPr/>
        <w:t>the</w:t>
      </w:r>
      <w:r>
        <w:rPr>
          <w:spacing w:val="-3"/>
        </w:rPr>
        <w:t> </w:t>
      </w:r>
      <w:r>
        <w:rPr/>
        <w:t>time</w:t>
      </w:r>
      <w:r>
        <w:rPr>
          <w:spacing w:val="-3"/>
        </w:rPr>
        <w:t> </w:t>
      </w:r>
      <w:r>
        <w:rPr/>
        <w:t>of</w:t>
      </w:r>
      <w:r>
        <w:rPr>
          <w:spacing w:val="-1"/>
        </w:rPr>
        <w:t> </w:t>
      </w:r>
      <w:r>
        <w:rPr/>
        <w:t>randomization</w:t>
      </w:r>
      <w:r>
        <w:rPr>
          <w:spacing w:val="-2"/>
        </w:rPr>
        <w:t> </w:t>
      </w:r>
      <w:r>
        <w:rPr/>
        <w:t>and</w:t>
      </w:r>
      <w:r>
        <w:rPr>
          <w:spacing w:val="-5"/>
        </w:rPr>
        <w:t> </w:t>
      </w:r>
      <w:r>
        <w:rPr/>
        <w:t>cyanotic</w:t>
      </w:r>
      <w:r>
        <w:rPr>
          <w:spacing w:val="-3"/>
        </w:rPr>
        <w:t> </w:t>
      </w:r>
      <w:r>
        <w:rPr/>
        <w:t>congenital</w:t>
      </w:r>
      <w:r>
        <w:rPr>
          <w:spacing w:val="-1"/>
        </w:rPr>
        <w:t> </w:t>
      </w:r>
      <w:r>
        <w:rPr/>
        <w:t>heart</w:t>
      </w:r>
      <w:r>
        <w:rPr>
          <w:spacing w:val="-4"/>
        </w:rPr>
        <w:t> </w:t>
      </w:r>
      <w:r>
        <w:rPr/>
        <w:t>disease palliated with a systemic-to-pulmonary-artery shunt (mBTT-shunt, right ventricular-to-pulmonary shunt, central shunt, or stent in the ductus arteriosus).</w:t>
      </w:r>
    </w:p>
    <w:p>
      <w:pPr>
        <w:pStyle w:val="BodyText"/>
        <w:spacing w:after="0" w:line="276" w:lineRule="auto"/>
        <w:sectPr>
          <w:pgSz w:w="16840" w:h="11910" w:orient="landscape"/>
          <w:pgMar w:top="1340" w:bottom="280" w:left="1417" w:right="992"/>
        </w:sectPr>
      </w:pPr>
    </w:p>
    <w:p>
      <w:pPr>
        <w:pStyle w:val="BodyText"/>
        <w:spacing w:line="276" w:lineRule="auto" w:before="93"/>
        <w:ind w:left="23" w:right="466"/>
      </w:pPr>
      <w:r>
        <w:rPr/>
        <w:t>Exclusion</w:t>
      </w:r>
      <w:r>
        <w:rPr>
          <w:spacing w:val="-4"/>
        </w:rPr>
        <w:t> </w:t>
      </w:r>
      <w:r>
        <w:rPr/>
        <w:t>criteria</w:t>
      </w:r>
      <w:r>
        <w:rPr>
          <w:spacing w:val="-4"/>
        </w:rPr>
        <w:t> </w:t>
      </w:r>
      <w:r>
        <w:rPr/>
        <w:t>were active</w:t>
      </w:r>
      <w:r>
        <w:rPr>
          <w:spacing w:val="-1"/>
        </w:rPr>
        <w:t> </w:t>
      </w:r>
      <w:r>
        <w:rPr/>
        <w:t>bleeding</w:t>
      </w:r>
      <w:r>
        <w:rPr>
          <w:spacing w:val="-2"/>
        </w:rPr>
        <w:t> </w:t>
      </w:r>
      <w:r>
        <w:rPr/>
        <w:t>or</w:t>
      </w:r>
      <w:r>
        <w:rPr>
          <w:spacing w:val="-4"/>
        </w:rPr>
        <w:t> </w:t>
      </w:r>
      <w:r>
        <w:rPr/>
        <w:t>having</w:t>
      </w:r>
      <w:r>
        <w:rPr>
          <w:spacing w:val="-3"/>
        </w:rPr>
        <w:t> </w:t>
      </w:r>
      <w:r>
        <w:rPr/>
        <w:t>an</w:t>
      </w:r>
      <w:r>
        <w:rPr>
          <w:spacing w:val="-1"/>
        </w:rPr>
        <w:t> </w:t>
      </w:r>
      <w:r>
        <w:rPr/>
        <w:t>increased</w:t>
      </w:r>
      <w:r>
        <w:rPr>
          <w:spacing w:val="-2"/>
        </w:rPr>
        <w:t> </w:t>
      </w:r>
      <w:r>
        <w:rPr/>
        <w:t>risk</w:t>
      </w:r>
      <w:r>
        <w:rPr>
          <w:spacing w:val="-3"/>
        </w:rPr>
        <w:t> </w:t>
      </w:r>
      <w:r>
        <w:rPr/>
        <w:t>of</w:t>
      </w:r>
      <w:r>
        <w:rPr>
          <w:spacing w:val="-1"/>
        </w:rPr>
        <w:t> </w:t>
      </w:r>
      <w:r>
        <w:rPr/>
        <w:t>bleeding.</w:t>
      </w:r>
      <w:r>
        <w:rPr>
          <w:spacing w:val="-1"/>
        </w:rPr>
        <w:t> </w:t>
      </w:r>
      <w:r>
        <w:rPr/>
        <w:t>The</w:t>
      </w:r>
      <w:r>
        <w:rPr>
          <w:spacing w:val="-1"/>
        </w:rPr>
        <w:t> </w:t>
      </w:r>
      <w:r>
        <w:rPr/>
        <w:t>study</w:t>
      </w:r>
      <w:r>
        <w:rPr>
          <w:spacing w:val="-3"/>
        </w:rPr>
        <w:t> </w:t>
      </w:r>
      <w:r>
        <w:rPr/>
        <w:t>compared</w:t>
      </w:r>
      <w:r>
        <w:rPr>
          <w:spacing w:val="-1"/>
        </w:rPr>
        <w:t> </w:t>
      </w:r>
      <w:r>
        <w:rPr/>
        <w:t>the</w:t>
      </w:r>
      <w:r>
        <w:rPr>
          <w:spacing w:val="-3"/>
        </w:rPr>
        <w:t> </w:t>
      </w:r>
      <w:r>
        <w:rPr/>
        <w:t>effect</w:t>
      </w:r>
      <w:r>
        <w:rPr>
          <w:spacing w:val="-1"/>
        </w:rPr>
        <w:t> </w:t>
      </w:r>
      <w:r>
        <w:rPr/>
        <w:t>of</w:t>
      </w:r>
      <w:r>
        <w:rPr>
          <w:spacing w:val="-4"/>
        </w:rPr>
        <w:t> </w:t>
      </w:r>
      <w:r>
        <w:rPr/>
        <w:t>clopidogrel and</w:t>
      </w:r>
      <w:r>
        <w:rPr>
          <w:spacing w:val="-2"/>
        </w:rPr>
        <w:t> </w:t>
      </w:r>
      <w:r>
        <w:rPr/>
        <w:t>aspirin</w:t>
      </w:r>
      <w:r>
        <w:rPr>
          <w:spacing w:val="-5"/>
        </w:rPr>
        <w:t> </w:t>
      </w:r>
      <w:r>
        <w:rPr/>
        <w:t>(or</w:t>
      </w:r>
      <w:r>
        <w:rPr>
          <w:spacing w:val="-1"/>
        </w:rPr>
        <w:t> </w:t>
      </w:r>
      <w:r>
        <w:rPr/>
        <w:t>a</w:t>
      </w:r>
      <w:r>
        <w:rPr>
          <w:spacing w:val="-4"/>
        </w:rPr>
        <w:t> </w:t>
      </w:r>
      <w:r>
        <w:rPr/>
        <w:t>combination) with no thromboprophylaxis for one of the outcomes (shunt occlusion). The second comparison is described in section 2 below.</w:t>
      </w:r>
    </w:p>
    <w:p>
      <w:pPr>
        <w:pStyle w:val="ListParagraph"/>
        <w:numPr>
          <w:ilvl w:val="0"/>
          <w:numId w:val="2"/>
        </w:numPr>
        <w:tabs>
          <w:tab w:pos="741" w:val="left" w:leader="none"/>
        </w:tabs>
        <w:spacing w:line="240" w:lineRule="auto" w:before="160" w:after="0"/>
        <w:ind w:left="741" w:right="0" w:hanging="358"/>
        <w:jc w:val="left"/>
        <w:rPr>
          <w:sz w:val="22"/>
        </w:rPr>
      </w:pPr>
      <w:r>
        <w:rPr>
          <w:sz w:val="22"/>
        </w:rPr>
        <w:t>Studies</w:t>
      </w:r>
      <w:r>
        <w:rPr>
          <w:spacing w:val="-11"/>
          <w:sz w:val="22"/>
        </w:rPr>
        <w:t> </w:t>
      </w:r>
      <w:r>
        <w:rPr>
          <w:sz w:val="22"/>
        </w:rPr>
        <w:t>comparing</w:t>
      </w:r>
      <w:r>
        <w:rPr>
          <w:spacing w:val="-8"/>
          <w:sz w:val="22"/>
        </w:rPr>
        <w:t> </w:t>
      </w:r>
      <w:r>
        <w:rPr>
          <w:sz w:val="22"/>
        </w:rPr>
        <w:t>thromboprophylaxis</w:t>
      </w:r>
      <w:r>
        <w:rPr>
          <w:spacing w:val="-9"/>
          <w:sz w:val="22"/>
        </w:rPr>
        <w:t> </w:t>
      </w:r>
      <w:r>
        <w:rPr>
          <w:sz w:val="22"/>
        </w:rPr>
        <w:t>A</w:t>
      </w:r>
      <w:r>
        <w:rPr>
          <w:spacing w:val="-9"/>
          <w:sz w:val="22"/>
        </w:rPr>
        <w:t> </w:t>
      </w:r>
      <w:r>
        <w:rPr>
          <w:sz w:val="22"/>
        </w:rPr>
        <w:t>with</w:t>
      </w:r>
      <w:r>
        <w:rPr>
          <w:spacing w:val="-8"/>
          <w:sz w:val="22"/>
        </w:rPr>
        <w:t> </w:t>
      </w:r>
      <w:r>
        <w:rPr>
          <w:sz w:val="22"/>
        </w:rPr>
        <w:t>thromboprophylaxis</w:t>
      </w:r>
      <w:r>
        <w:rPr>
          <w:spacing w:val="-8"/>
          <w:sz w:val="22"/>
        </w:rPr>
        <w:t> </w:t>
      </w:r>
      <w:r>
        <w:rPr>
          <w:spacing w:val="-10"/>
          <w:sz w:val="22"/>
        </w:rPr>
        <w:t>B</w:t>
      </w:r>
    </w:p>
    <w:p>
      <w:pPr>
        <w:pStyle w:val="BodyText"/>
        <w:spacing w:line="276" w:lineRule="auto" w:before="199"/>
        <w:ind w:left="23" w:right="466"/>
      </w:pPr>
      <w:r>
        <w:rPr/>
        <w:t>This section describes one study (Wessel, 2013) in which a large proportion of patients in the placebo group used thromboprophylaxis. Wessel (2013), as described above, conducted an RCT. They also compared an intervention group receiving clopidogrel (+ concomitant aspirin in 83% of patients) with a control</w:t>
      </w:r>
      <w:r>
        <w:rPr>
          <w:spacing w:val="-2"/>
        </w:rPr>
        <w:t> </w:t>
      </w:r>
      <w:r>
        <w:rPr/>
        <w:t>group</w:t>
      </w:r>
      <w:r>
        <w:rPr>
          <w:spacing w:val="-3"/>
        </w:rPr>
        <w:t> </w:t>
      </w:r>
      <w:r>
        <w:rPr/>
        <w:t>receiving</w:t>
      </w:r>
      <w:r>
        <w:rPr>
          <w:spacing w:val="-3"/>
        </w:rPr>
        <w:t> </w:t>
      </w:r>
      <w:r>
        <w:rPr/>
        <w:t>placebo</w:t>
      </w:r>
      <w:r>
        <w:rPr>
          <w:spacing w:val="-4"/>
        </w:rPr>
        <w:t> </w:t>
      </w:r>
      <w:r>
        <w:rPr/>
        <w:t>(+</w:t>
      </w:r>
      <w:r>
        <w:rPr>
          <w:spacing w:val="-2"/>
        </w:rPr>
        <w:t> </w:t>
      </w:r>
      <w:r>
        <w:rPr/>
        <w:t>concomitant</w:t>
      </w:r>
      <w:r>
        <w:rPr>
          <w:spacing w:val="-2"/>
        </w:rPr>
        <w:t> </w:t>
      </w:r>
      <w:r>
        <w:rPr/>
        <w:t>aspirin</w:t>
      </w:r>
      <w:r>
        <w:rPr>
          <w:spacing w:val="-4"/>
        </w:rPr>
        <w:t> </w:t>
      </w:r>
      <w:r>
        <w:rPr/>
        <w:t>in</w:t>
      </w:r>
      <w:r>
        <w:rPr>
          <w:spacing w:val="-2"/>
        </w:rPr>
        <w:t> </w:t>
      </w:r>
      <w:r>
        <w:rPr/>
        <w:t>85%</w:t>
      </w:r>
      <w:r>
        <w:rPr>
          <w:spacing w:val="-4"/>
        </w:rPr>
        <w:t> </w:t>
      </w:r>
      <w:r>
        <w:rPr/>
        <w:t>of</w:t>
      </w:r>
      <w:r>
        <w:rPr>
          <w:spacing w:val="-2"/>
        </w:rPr>
        <w:t> </w:t>
      </w:r>
      <w:r>
        <w:rPr/>
        <w:t>patients)</w:t>
      </w:r>
      <w:r>
        <w:rPr>
          <w:spacing w:val="-1"/>
        </w:rPr>
        <w:t> </w:t>
      </w:r>
      <w:r>
        <w:rPr/>
        <w:t>for</w:t>
      </w:r>
      <w:r>
        <w:rPr>
          <w:spacing w:val="-2"/>
        </w:rPr>
        <w:t> </w:t>
      </w:r>
      <w:r>
        <w:rPr/>
        <w:t>four</w:t>
      </w:r>
      <w:r>
        <w:rPr>
          <w:spacing w:val="-2"/>
        </w:rPr>
        <w:t> </w:t>
      </w:r>
      <w:r>
        <w:rPr/>
        <w:t>outcomes</w:t>
      </w:r>
      <w:r>
        <w:rPr>
          <w:spacing w:val="-4"/>
        </w:rPr>
        <w:t> </w:t>
      </w:r>
      <w:r>
        <w:rPr/>
        <w:t>(shunt</w:t>
      </w:r>
      <w:r>
        <w:rPr>
          <w:spacing w:val="-2"/>
        </w:rPr>
        <w:t> </w:t>
      </w:r>
      <w:r>
        <w:rPr/>
        <w:t>occlusion,</w:t>
      </w:r>
      <w:r>
        <w:rPr>
          <w:spacing w:val="-2"/>
        </w:rPr>
        <w:t> </w:t>
      </w:r>
      <w:r>
        <w:rPr/>
        <w:t>(gastrointestinal)</w:t>
      </w:r>
      <w:r>
        <w:rPr>
          <w:spacing w:val="-2"/>
        </w:rPr>
        <w:t> </w:t>
      </w:r>
      <w:r>
        <w:rPr/>
        <w:t>hemorrhage,</w:t>
      </w:r>
      <w:r>
        <w:rPr>
          <w:spacing w:val="-2"/>
        </w:rPr>
        <w:t> </w:t>
      </w:r>
      <w:r>
        <w:rPr/>
        <w:t>mortality,</w:t>
      </w:r>
      <w:r>
        <w:rPr>
          <w:spacing w:val="-5"/>
        </w:rPr>
        <w:t> </w:t>
      </w:r>
      <w:r>
        <w:rPr/>
        <w:t>and adverse events).</w:t>
      </w:r>
    </w:p>
    <w:p>
      <w:pPr>
        <w:spacing w:before="162"/>
        <w:ind w:left="23" w:right="0" w:firstLine="0"/>
        <w:jc w:val="left"/>
        <w:rPr>
          <w:i/>
          <w:sz w:val="22"/>
        </w:rPr>
      </w:pPr>
      <w:r>
        <w:rPr>
          <w:i/>
          <w:spacing w:val="-2"/>
          <w:sz w:val="22"/>
        </w:rPr>
        <w:t>Results</w:t>
      </w:r>
    </w:p>
    <w:p>
      <w:pPr>
        <w:pStyle w:val="BodyText"/>
        <w:spacing w:before="205"/>
        <w:ind w:left="23"/>
      </w:pPr>
      <w:r>
        <w:rPr/>
        <w:t>A</w:t>
      </w:r>
      <w:r>
        <w:rPr>
          <w:spacing w:val="-6"/>
        </w:rPr>
        <w:t> </w:t>
      </w:r>
      <w:r>
        <w:rPr/>
        <w:t>summary</w:t>
      </w:r>
      <w:r>
        <w:rPr>
          <w:spacing w:val="-6"/>
        </w:rPr>
        <w:t> </w:t>
      </w:r>
      <w:r>
        <w:rPr/>
        <w:t>of</w:t>
      </w:r>
      <w:r>
        <w:rPr>
          <w:spacing w:val="-7"/>
        </w:rPr>
        <w:t> </w:t>
      </w:r>
      <w:r>
        <w:rPr/>
        <w:t>the</w:t>
      </w:r>
      <w:r>
        <w:rPr>
          <w:spacing w:val="-4"/>
        </w:rPr>
        <w:t> </w:t>
      </w:r>
      <w:r>
        <w:rPr/>
        <w:t>findings</w:t>
      </w:r>
      <w:r>
        <w:rPr>
          <w:spacing w:val="-5"/>
        </w:rPr>
        <w:t> </w:t>
      </w:r>
      <w:r>
        <w:rPr/>
        <w:t>and</w:t>
      </w:r>
      <w:r>
        <w:rPr>
          <w:spacing w:val="-5"/>
        </w:rPr>
        <w:t> </w:t>
      </w:r>
      <w:r>
        <w:rPr/>
        <w:t>levels</w:t>
      </w:r>
      <w:r>
        <w:rPr>
          <w:spacing w:val="-7"/>
        </w:rPr>
        <w:t> </w:t>
      </w:r>
      <w:r>
        <w:rPr/>
        <w:t>of</w:t>
      </w:r>
      <w:r>
        <w:rPr>
          <w:spacing w:val="-7"/>
        </w:rPr>
        <w:t> </w:t>
      </w:r>
      <w:r>
        <w:rPr/>
        <w:t>evidence</w:t>
      </w:r>
      <w:r>
        <w:rPr>
          <w:spacing w:val="-5"/>
        </w:rPr>
        <w:t> </w:t>
      </w:r>
      <w:r>
        <w:rPr/>
        <w:t>is</w:t>
      </w:r>
      <w:r>
        <w:rPr>
          <w:spacing w:val="-4"/>
        </w:rPr>
        <w:t> </w:t>
      </w:r>
      <w:r>
        <w:rPr/>
        <w:t>shown</w:t>
      </w:r>
      <w:r>
        <w:rPr>
          <w:spacing w:val="-4"/>
        </w:rPr>
        <w:t> </w:t>
      </w:r>
      <w:r>
        <w:rPr/>
        <w:t>in</w:t>
      </w:r>
      <w:r>
        <w:rPr>
          <w:spacing w:val="-7"/>
        </w:rPr>
        <w:t> </w:t>
      </w:r>
      <w:r>
        <w:rPr/>
        <w:t>table</w:t>
      </w:r>
      <w:r>
        <w:rPr>
          <w:spacing w:val="-5"/>
        </w:rPr>
        <w:t> </w:t>
      </w:r>
      <w:r>
        <w:rPr/>
        <w:t>1.4.1</w:t>
      </w:r>
      <w:r>
        <w:rPr>
          <w:spacing w:val="-6"/>
        </w:rPr>
        <w:t> </w:t>
      </w:r>
      <w:r>
        <w:rPr/>
        <w:t>(studies</w:t>
      </w:r>
      <w:r>
        <w:rPr>
          <w:spacing w:val="-6"/>
        </w:rPr>
        <w:t> </w:t>
      </w:r>
      <w:r>
        <w:rPr/>
        <w:t>comparing</w:t>
      </w:r>
      <w:r>
        <w:rPr>
          <w:spacing w:val="-5"/>
        </w:rPr>
        <w:t> </w:t>
      </w:r>
      <w:r>
        <w:rPr/>
        <w:t>thromboprophylaxis</w:t>
      </w:r>
      <w:r>
        <w:rPr>
          <w:spacing w:val="-4"/>
        </w:rPr>
        <w:t> </w:t>
      </w:r>
      <w:r>
        <w:rPr/>
        <w:t>with</w:t>
      </w:r>
      <w:r>
        <w:rPr>
          <w:spacing w:val="-6"/>
        </w:rPr>
        <w:t> </w:t>
      </w:r>
      <w:r>
        <w:rPr/>
        <w:t>no</w:t>
      </w:r>
      <w:r>
        <w:rPr>
          <w:spacing w:val="-6"/>
        </w:rPr>
        <w:t> </w:t>
      </w:r>
      <w:r>
        <w:rPr/>
        <w:t>thromboprophylaxis)</w:t>
      </w:r>
      <w:r>
        <w:rPr>
          <w:spacing w:val="-4"/>
        </w:rPr>
        <w:t> </w:t>
      </w:r>
      <w:r>
        <w:rPr/>
        <w:t>and</w:t>
      </w:r>
      <w:r>
        <w:rPr>
          <w:spacing w:val="-7"/>
        </w:rPr>
        <w:t> </w:t>
      </w:r>
      <w:r>
        <w:rPr>
          <w:spacing w:val="-2"/>
        </w:rPr>
        <w:t>table</w:t>
      </w:r>
    </w:p>
    <w:p>
      <w:pPr>
        <w:pStyle w:val="BodyText"/>
        <w:spacing w:before="43"/>
        <w:ind w:left="23"/>
      </w:pPr>
      <w:r>
        <w:rPr/>
        <w:t>1.4.2</w:t>
      </w:r>
      <w:r>
        <w:rPr>
          <w:spacing w:val="-9"/>
        </w:rPr>
        <w:t> </w:t>
      </w:r>
      <w:r>
        <w:rPr/>
        <w:t>(studies</w:t>
      </w:r>
      <w:r>
        <w:rPr>
          <w:spacing w:val="-9"/>
        </w:rPr>
        <w:t> </w:t>
      </w:r>
      <w:r>
        <w:rPr/>
        <w:t>comparing</w:t>
      </w:r>
      <w:r>
        <w:rPr>
          <w:spacing w:val="-10"/>
        </w:rPr>
        <w:t> </w:t>
      </w:r>
      <w:r>
        <w:rPr/>
        <w:t>thromboprophylaxis</w:t>
      </w:r>
      <w:r>
        <w:rPr>
          <w:spacing w:val="-7"/>
        </w:rPr>
        <w:t> </w:t>
      </w:r>
      <w:r>
        <w:rPr/>
        <w:t>A</w:t>
      </w:r>
      <w:r>
        <w:rPr>
          <w:spacing w:val="-9"/>
        </w:rPr>
        <w:t> </w:t>
      </w:r>
      <w:r>
        <w:rPr/>
        <w:t>with</w:t>
      </w:r>
      <w:r>
        <w:rPr>
          <w:spacing w:val="-10"/>
        </w:rPr>
        <w:t> </w:t>
      </w:r>
      <w:r>
        <w:rPr/>
        <w:t>thromboprophylaxis</w:t>
      </w:r>
      <w:r>
        <w:rPr>
          <w:spacing w:val="-6"/>
        </w:rPr>
        <w:t> </w:t>
      </w:r>
      <w:r>
        <w:rPr>
          <w:spacing w:val="-5"/>
        </w:rPr>
        <w:t>B)</w:t>
      </w:r>
    </w:p>
    <w:p>
      <w:pPr>
        <w:pStyle w:val="BodyText"/>
        <w:spacing w:after="0"/>
        <w:sectPr>
          <w:pgSz w:w="16840" w:h="11910" w:orient="landscape"/>
          <w:pgMar w:top="1340" w:bottom="280" w:left="1417" w:right="992"/>
        </w:sectPr>
      </w:pPr>
    </w:p>
    <w:p>
      <w:pPr>
        <w:pStyle w:val="BodyText"/>
        <w:spacing w:before="93"/>
        <w:ind w:left="23"/>
      </w:pPr>
      <w:r>
        <w:rPr/>
        <w:t>Table</w:t>
      </w:r>
      <w:r>
        <w:rPr>
          <w:spacing w:val="-4"/>
        </w:rPr>
        <w:t> </w:t>
      </w:r>
      <w:r>
        <w:rPr/>
        <w:t>1.1.</w:t>
      </w:r>
      <w:r>
        <w:rPr>
          <w:spacing w:val="-4"/>
        </w:rPr>
        <w:t> </w:t>
      </w:r>
      <w:r>
        <w:rPr/>
        <w:t>Excluded</w:t>
      </w:r>
      <w:r>
        <w:rPr>
          <w:spacing w:val="-4"/>
        </w:rPr>
        <w:t> </w:t>
      </w:r>
      <w:r>
        <w:rPr>
          <w:spacing w:val="-2"/>
        </w:rPr>
        <w:t>studies</w:t>
      </w:r>
    </w:p>
    <w:p>
      <w:pPr>
        <w:pStyle w:val="BodyText"/>
        <w:spacing w:before="9" w:after="1"/>
        <w:rPr>
          <w:sz w:val="16"/>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225"/>
        <w:gridCol w:w="6805"/>
      </w:tblGrid>
      <w:tr>
        <w:trPr>
          <w:trHeight w:val="414" w:hRule="atLeast"/>
        </w:trPr>
        <w:tc>
          <w:tcPr>
            <w:tcW w:w="7225" w:type="dxa"/>
            <w:shd w:val="clear" w:color="auto" w:fill="D9D9D9"/>
          </w:tcPr>
          <w:p>
            <w:pPr>
              <w:pStyle w:val="TableParagraph"/>
              <w:spacing w:line="218" w:lineRule="exact"/>
              <w:ind w:left="105"/>
              <w:rPr>
                <w:b/>
                <w:sz w:val="18"/>
              </w:rPr>
            </w:pPr>
            <w:r>
              <w:rPr>
                <w:b/>
                <w:spacing w:val="-2"/>
                <w:sz w:val="18"/>
              </w:rPr>
              <w:t>Reference</w:t>
            </w:r>
          </w:p>
        </w:tc>
        <w:tc>
          <w:tcPr>
            <w:tcW w:w="6805" w:type="dxa"/>
            <w:shd w:val="clear" w:color="auto" w:fill="D9D9D9"/>
          </w:tcPr>
          <w:p>
            <w:pPr>
              <w:pStyle w:val="TableParagraph"/>
              <w:spacing w:line="218" w:lineRule="exact"/>
              <w:ind w:left="102"/>
              <w:rPr>
                <w:b/>
                <w:sz w:val="18"/>
              </w:rPr>
            </w:pPr>
            <w:r>
              <w:rPr>
                <w:b/>
                <w:sz w:val="18"/>
              </w:rPr>
              <w:t>Reason</w:t>
            </w:r>
            <w:r>
              <w:rPr>
                <w:b/>
                <w:spacing w:val="-3"/>
                <w:sz w:val="18"/>
              </w:rPr>
              <w:t> </w:t>
            </w:r>
            <w:r>
              <w:rPr>
                <w:b/>
                <w:sz w:val="18"/>
              </w:rPr>
              <w:t>for</w:t>
            </w:r>
            <w:r>
              <w:rPr>
                <w:b/>
                <w:spacing w:val="-1"/>
                <w:sz w:val="18"/>
              </w:rPr>
              <w:t> </w:t>
            </w:r>
            <w:r>
              <w:rPr>
                <w:b/>
                <w:spacing w:val="-2"/>
                <w:sz w:val="18"/>
              </w:rPr>
              <w:t>exclusion</w:t>
            </w:r>
          </w:p>
        </w:tc>
      </w:tr>
      <w:tr>
        <w:trPr>
          <w:trHeight w:val="1182" w:hRule="atLeast"/>
        </w:trPr>
        <w:tc>
          <w:tcPr>
            <w:tcW w:w="7225" w:type="dxa"/>
            <w:shd w:val="clear" w:color="auto" w:fill="D9D9D9"/>
          </w:tcPr>
          <w:p>
            <w:pPr>
              <w:pStyle w:val="TableParagraph"/>
              <w:spacing w:line="280" w:lineRule="auto"/>
              <w:ind w:left="105"/>
              <w:rPr>
                <w:sz w:val="18"/>
              </w:rPr>
            </w:pPr>
            <w:r>
              <w:rPr>
                <w:sz w:val="18"/>
              </w:rPr>
              <w:t>Agarwal A, Firdouse M, Brar N, Yang A, Lambiris P, Chan AK, Mondal TK. Incidence and Management of</w:t>
            </w:r>
            <w:r>
              <w:rPr>
                <w:spacing w:val="-1"/>
                <w:sz w:val="18"/>
              </w:rPr>
              <w:t> </w:t>
            </w:r>
            <w:r>
              <w:rPr>
                <w:sz w:val="18"/>
              </w:rPr>
              <w:t>Thrombotic and</w:t>
            </w:r>
            <w:r>
              <w:rPr>
                <w:spacing w:val="-1"/>
                <w:sz w:val="18"/>
              </w:rPr>
              <w:t> </w:t>
            </w:r>
            <w:r>
              <w:rPr>
                <w:sz w:val="18"/>
              </w:rPr>
              <w:t>Thromboembolic Complications</w:t>
            </w:r>
            <w:r>
              <w:rPr>
                <w:spacing w:val="-1"/>
                <w:sz w:val="18"/>
              </w:rPr>
              <w:t> </w:t>
            </w:r>
            <w:r>
              <w:rPr>
                <w:sz w:val="18"/>
              </w:rPr>
              <w:t>Following</w:t>
            </w:r>
            <w:r>
              <w:rPr>
                <w:spacing w:val="-1"/>
                <w:sz w:val="18"/>
              </w:rPr>
              <w:t> </w:t>
            </w:r>
            <w:r>
              <w:rPr>
                <w:sz w:val="18"/>
              </w:rPr>
              <w:t>the</w:t>
            </w:r>
            <w:r>
              <w:rPr>
                <w:spacing w:val="-1"/>
                <w:sz w:val="18"/>
              </w:rPr>
              <w:t> </w:t>
            </w:r>
            <w:r>
              <w:rPr>
                <w:sz w:val="18"/>
              </w:rPr>
              <w:t>Norwood Procedure:</w:t>
            </w:r>
            <w:r>
              <w:rPr>
                <w:spacing w:val="-4"/>
                <w:sz w:val="18"/>
              </w:rPr>
              <w:t> </w:t>
            </w:r>
            <w:r>
              <w:rPr>
                <w:sz w:val="18"/>
              </w:rPr>
              <w:t>A</w:t>
            </w:r>
            <w:r>
              <w:rPr>
                <w:spacing w:val="-3"/>
                <w:sz w:val="18"/>
              </w:rPr>
              <w:t> </w:t>
            </w:r>
            <w:r>
              <w:rPr>
                <w:sz w:val="18"/>
              </w:rPr>
              <w:t>Systematic</w:t>
            </w:r>
            <w:r>
              <w:rPr>
                <w:spacing w:val="-4"/>
                <w:sz w:val="18"/>
              </w:rPr>
              <w:t> </w:t>
            </w:r>
            <w:r>
              <w:rPr>
                <w:sz w:val="18"/>
              </w:rPr>
              <w:t>Review.</w:t>
            </w:r>
            <w:r>
              <w:rPr>
                <w:spacing w:val="-5"/>
                <w:sz w:val="18"/>
              </w:rPr>
              <w:t> </w:t>
            </w:r>
            <w:r>
              <w:rPr>
                <w:sz w:val="18"/>
              </w:rPr>
              <w:t>Clin</w:t>
            </w:r>
            <w:r>
              <w:rPr>
                <w:spacing w:val="-5"/>
                <w:sz w:val="18"/>
              </w:rPr>
              <w:t> </w:t>
            </w:r>
            <w:r>
              <w:rPr>
                <w:sz w:val="18"/>
              </w:rPr>
              <w:t>Appl</w:t>
            </w:r>
            <w:r>
              <w:rPr>
                <w:spacing w:val="-5"/>
                <w:sz w:val="18"/>
              </w:rPr>
              <w:t> </w:t>
            </w:r>
            <w:r>
              <w:rPr>
                <w:sz w:val="18"/>
              </w:rPr>
              <w:t>Thromb</w:t>
            </w:r>
            <w:r>
              <w:rPr>
                <w:spacing w:val="-5"/>
                <w:sz w:val="18"/>
              </w:rPr>
              <w:t> </w:t>
            </w:r>
            <w:r>
              <w:rPr>
                <w:sz w:val="18"/>
              </w:rPr>
              <w:t>Hemost.</w:t>
            </w:r>
            <w:r>
              <w:rPr>
                <w:spacing w:val="-5"/>
                <w:sz w:val="18"/>
              </w:rPr>
              <w:t> </w:t>
            </w:r>
            <w:r>
              <w:rPr>
                <w:sz w:val="18"/>
              </w:rPr>
              <w:t>2017</w:t>
            </w:r>
            <w:r>
              <w:rPr>
                <w:spacing w:val="-2"/>
                <w:sz w:val="18"/>
              </w:rPr>
              <w:t> </w:t>
            </w:r>
            <w:r>
              <w:rPr>
                <w:sz w:val="18"/>
              </w:rPr>
              <w:t>Nov;23(8):911-921.</w:t>
            </w:r>
            <w:r>
              <w:rPr>
                <w:spacing w:val="-5"/>
                <w:sz w:val="18"/>
              </w:rPr>
              <w:t> </w:t>
            </w:r>
            <w:r>
              <w:rPr>
                <w:sz w:val="18"/>
              </w:rPr>
              <w:t>doi: 10.1177/1076029616679506. Epub 2016 Nov 22. PMID: 27879470.</w:t>
            </w:r>
          </w:p>
        </w:tc>
        <w:tc>
          <w:tcPr>
            <w:tcW w:w="6805" w:type="dxa"/>
          </w:tcPr>
          <w:p>
            <w:pPr>
              <w:pStyle w:val="TableParagraph"/>
              <w:spacing w:line="218" w:lineRule="exact"/>
              <w:ind w:left="102"/>
              <w:rPr>
                <w:sz w:val="18"/>
              </w:rPr>
            </w:pPr>
            <w:r>
              <w:rPr>
                <w:sz w:val="18"/>
              </w:rPr>
              <w:t>Studies</w:t>
            </w:r>
            <w:r>
              <w:rPr>
                <w:spacing w:val="-3"/>
                <w:sz w:val="18"/>
              </w:rPr>
              <w:t> </w:t>
            </w:r>
            <w:r>
              <w:rPr>
                <w:sz w:val="18"/>
              </w:rPr>
              <w:t>included</w:t>
            </w:r>
            <w:r>
              <w:rPr>
                <w:spacing w:val="-2"/>
                <w:sz w:val="18"/>
              </w:rPr>
              <w:t> </w:t>
            </w:r>
            <w:r>
              <w:rPr>
                <w:sz w:val="18"/>
              </w:rPr>
              <w:t>in</w:t>
            </w:r>
            <w:r>
              <w:rPr>
                <w:spacing w:val="-2"/>
                <w:sz w:val="18"/>
              </w:rPr>
              <w:t> </w:t>
            </w:r>
            <w:r>
              <w:rPr>
                <w:sz w:val="18"/>
              </w:rPr>
              <w:t>this</w:t>
            </w:r>
            <w:r>
              <w:rPr>
                <w:spacing w:val="-2"/>
                <w:sz w:val="18"/>
              </w:rPr>
              <w:t> </w:t>
            </w:r>
            <w:r>
              <w:rPr>
                <w:sz w:val="18"/>
              </w:rPr>
              <w:t>SR</w:t>
            </w:r>
            <w:r>
              <w:rPr>
                <w:spacing w:val="-1"/>
                <w:sz w:val="18"/>
              </w:rPr>
              <w:t> </w:t>
            </w:r>
            <w:r>
              <w:rPr>
                <w:sz w:val="18"/>
              </w:rPr>
              <w:t>did</w:t>
            </w:r>
            <w:r>
              <w:rPr>
                <w:spacing w:val="-2"/>
                <w:sz w:val="18"/>
              </w:rPr>
              <w:t> </w:t>
            </w:r>
            <w:r>
              <w:rPr>
                <w:sz w:val="18"/>
              </w:rPr>
              <w:t>not</w:t>
            </w:r>
            <w:r>
              <w:rPr>
                <w:spacing w:val="-1"/>
                <w:sz w:val="18"/>
              </w:rPr>
              <w:t> </w:t>
            </w:r>
            <w:r>
              <w:rPr>
                <w:sz w:val="18"/>
              </w:rPr>
              <w:t>fit</w:t>
            </w:r>
            <w:r>
              <w:rPr>
                <w:spacing w:val="-2"/>
                <w:sz w:val="18"/>
              </w:rPr>
              <w:t> </w:t>
            </w:r>
            <w:r>
              <w:rPr>
                <w:sz w:val="18"/>
              </w:rPr>
              <w:t>the</w:t>
            </w:r>
            <w:r>
              <w:rPr>
                <w:spacing w:val="-2"/>
                <w:sz w:val="18"/>
              </w:rPr>
              <w:t> </w:t>
            </w:r>
            <w:r>
              <w:rPr>
                <w:spacing w:val="-4"/>
                <w:sz w:val="18"/>
              </w:rPr>
              <w:t>PICO</w:t>
            </w:r>
          </w:p>
        </w:tc>
      </w:tr>
      <w:tr>
        <w:trPr>
          <w:trHeight w:val="1183" w:hRule="atLeast"/>
        </w:trPr>
        <w:tc>
          <w:tcPr>
            <w:tcW w:w="7225" w:type="dxa"/>
            <w:shd w:val="clear" w:color="auto" w:fill="D9D9D9"/>
          </w:tcPr>
          <w:p>
            <w:pPr>
              <w:pStyle w:val="TableParagraph"/>
              <w:spacing w:line="278" w:lineRule="auto"/>
              <w:ind w:left="105" w:right="72"/>
              <w:rPr>
                <w:sz w:val="18"/>
              </w:rPr>
            </w:pPr>
            <w:r>
              <w:rPr>
                <w:sz w:val="18"/>
              </w:rPr>
              <w:t>Leijser</w:t>
            </w:r>
            <w:r>
              <w:rPr>
                <w:spacing w:val="-3"/>
                <w:sz w:val="18"/>
              </w:rPr>
              <w:t> </w:t>
            </w:r>
            <w:r>
              <w:rPr>
                <w:sz w:val="18"/>
              </w:rPr>
              <w:t>LM,</w:t>
            </w:r>
            <w:r>
              <w:rPr>
                <w:spacing w:val="-3"/>
                <w:sz w:val="18"/>
              </w:rPr>
              <w:t> </w:t>
            </w:r>
            <w:r>
              <w:rPr>
                <w:sz w:val="18"/>
              </w:rPr>
              <w:t>Chau</w:t>
            </w:r>
            <w:r>
              <w:rPr>
                <w:spacing w:val="-5"/>
                <w:sz w:val="18"/>
              </w:rPr>
              <w:t> </w:t>
            </w:r>
            <w:r>
              <w:rPr>
                <w:sz w:val="18"/>
              </w:rPr>
              <w:t>V,</w:t>
            </w:r>
            <w:r>
              <w:rPr>
                <w:spacing w:val="-3"/>
                <w:sz w:val="18"/>
              </w:rPr>
              <w:t> </w:t>
            </w:r>
            <w:r>
              <w:rPr>
                <w:sz w:val="18"/>
              </w:rPr>
              <w:t>Seed</w:t>
            </w:r>
            <w:r>
              <w:rPr>
                <w:spacing w:val="-4"/>
                <w:sz w:val="18"/>
              </w:rPr>
              <w:t> </w:t>
            </w:r>
            <w:r>
              <w:rPr>
                <w:sz w:val="18"/>
              </w:rPr>
              <w:t>M,</w:t>
            </w:r>
            <w:r>
              <w:rPr>
                <w:spacing w:val="-3"/>
                <w:sz w:val="18"/>
              </w:rPr>
              <w:t> </w:t>
            </w:r>
            <w:r>
              <w:rPr>
                <w:sz w:val="18"/>
              </w:rPr>
              <w:t>Poskitt</w:t>
            </w:r>
            <w:r>
              <w:rPr>
                <w:spacing w:val="-4"/>
                <w:sz w:val="18"/>
              </w:rPr>
              <w:t> </w:t>
            </w:r>
            <w:r>
              <w:rPr>
                <w:sz w:val="18"/>
              </w:rPr>
              <w:t>KJ,</w:t>
            </w:r>
            <w:r>
              <w:rPr>
                <w:spacing w:val="-3"/>
                <w:sz w:val="18"/>
              </w:rPr>
              <w:t> </w:t>
            </w:r>
            <w:r>
              <w:rPr>
                <w:sz w:val="18"/>
              </w:rPr>
              <w:t>Synnes</w:t>
            </w:r>
            <w:r>
              <w:rPr>
                <w:spacing w:val="-4"/>
                <w:sz w:val="18"/>
              </w:rPr>
              <w:t> </w:t>
            </w:r>
            <w:r>
              <w:rPr>
                <w:sz w:val="18"/>
              </w:rPr>
              <w:t>A,</w:t>
            </w:r>
            <w:r>
              <w:rPr>
                <w:spacing w:val="-3"/>
                <w:sz w:val="18"/>
              </w:rPr>
              <w:t> </w:t>
            </w:r>
            <w:r>
              <w:rPr>
                <w:sz w:val="18"/>
              </w:rPr>
              <w:t>Blaser</w:t>
            </w:r>
            <w:r>
              <w:rPr>
                <w:spacing w:val="-1"/>
                <w:sz w:val="18"/>
              </w:rPr>
              <w:t> </w:t>
            </w:r>
            <w:r>
              <w:rPr>
                <w:sz w:val="18"/>
              </w:rPr>
              <w:t>S,</w:t>
            </w:r>
            <w:r>
              <w:rPr>
                <w:spacing w:val="-3"/>
                <w:sz w:val="18"/>
              </w:rPr>
              <w:t> </w:t>
            </w:r>
            <w:r>
              <w:rPr>
                <w:sz w:val="18"/>
              </w:rPr>
              <w:t>Au-Young</w:t>
            </w:r>
            <w:r>
              <w:rPr>
                <w:spacing w:val="-4"/>
                <w:sz w:val="18"/>
              </w:rPr>
              <w:t> </w:t>
            </w:r>
            <w:r>
              <w:rPr>
                <w:sz w:val="18"/>
              </w:rPr>
              <w:t>SH,</w:t>
            </w:r>
            <w:r>
              <w:rPr>
                <w:spacing w:val="-3"/>
                <w:sz w:val="18"/>
              </w:rPr>
              <w:t> </w:t>
            </w:r>
            <w:r>
              <w:rPr>
                <w:sz w:val="18"/>
              </w:rPr>
              <w:t>Hickey</w:t>
            </w:r>
            <w:r>
              <w:rPr>
                <w:spacing w:val="-3"/>
                <w:sz w:val="18"/>
              </w:rPr>
              <w:t> </w:t>
            </w:r>
            <w:r>
              <w:rPr>
                <w:sz w:val="18"/>
              </w:rPr>
              <w:t>EJ,</w:t>
            </w:r>
            <w:r>
              <w:rPr>
                <w:spacing w:val="-3"/>
                <w:sz w:val="18"/>
              </w:rPr>
              <w:t> </w:t>
            </w:r>
            <w:r>
              <w:rPr>
                <w:sz w:val="18"/>
              </w:rPr>
              <w:t>Campbell</w:t>
            </w:r>
            <w:r>
              <w:rPr>
                <w:spacing w:val="-4"/>
                <w:sz w:val="18"/>
              </w:rPr>
              <w:t> </w:t>
            </w:r>
            <w:r>
              <w:rPr>
                <w:sz w:val="18"/>
              </w:rPr>
              <w:t>A, McQuillen PS, Miller SP. Anticoagulation therapy and the risk of perioperative brain injury in neonates with congenital heart disease. J Thorac Cardiovasc Surg. 2019 Jun;157(6):2406-2413.e2. doi: 10.1016/j.jtcvs.2019.02.029. Epub 2019 Feb 26. PMID: 30981520.</w:t>
            </w:r>
          </w:p>
        </w:tc>
        <w:tc>
          <w:tcPr>
            <w:tcW w:w="6805" w:type="dxa"/>
          </w:tcPr>
          <w:p>
            <w:pPr>
              <w:pStyle w:val="TableParagraph"/>
              <w:spacing w:line="218" w:lineRule="exact"/>
              <w:ind w:left="102"/>
              <w:rPr>
                <w:sz w:val="18"/>
              </w:rPr>
            </w:pPr>
            <w:r>
              <w:rPr>
                <w:sz w:val="18"/>
              </w:rPr>
              <w:t>Small</w:t>
            </w:r>
            <w:r>
              <w:rPr>
                <w:spacing w:val="-3"/>
                <w:sz w:val="18"/>
              </w:rPr>
              <w:t> </w:t>
            </w:r>
            <w:r>
              <w:rPr>
                <w:sz w:val="18"/>
              </w:rPr>
              <w:t>number</w:t>
            </w:r>
            <w:r>
              <w:rPr>
                <w:spacing w:val="-2"/>
                <w:sz w:val="18"/>
              </w:rPr>
              <w:t> </w:t>
            </w:r>
            <w:r>
              <w:rPr>
                <w:sz w:val="18"/>
              </w:rPr>
              <w:t>of</w:t>
            </w:r>
            <w:r>
              <w:rPr>
                <w:spacing w:val="-3"/>
                <w:sz w:val="18"/>
              </w:rPr>
              <w:t> </w:t>
            </w:r>
            <w:r>
              <w:rPr>
                <w:sz w:val="18"/>
              </w:rPr>
              <w:t>participants</w:t>
            </w:r>
            <w:r>
              <w:rPr>
                <w:spacing w:val="-3"/>
                <w:sz w:val="18"/>
              </w:rPr>
              <w:t> </w:t>
            </w:r>
            <w:r>
              <w:rPr>
                <w:sz w:val="18"/>
              </w:rPr>
              <w:t>(&lt;10</w:t>
            </w:r>
            <w:r>
              <w:rPr>
                <w:spacing w:val="-2"/>
                <w:sz w:val="18"/>
              </w:rPr>
              <w:t> </w:t>
            </w:r>
            <w:r>
              <w:rPr>
                <w:sz w:val="18"/>
              </w:rPr>
              <w:t>participants</w:t>
            </w:r>
            <w:r>
              <w:rPr>
                <w:spacing w:val="-4"/>
                <w:sz w:val="18"/>
              </w:rPr>
              <w:t> </w:t>
            </w:r>
            <w:r>
              <w:rPr>
                <w:sz w:val="18"/>
              </w:rPr>
              <w:t>per</w:t>
            </w:r>
            <w:r>
              <w:rPr>
                <w:spacing w:val="-1"/>
                <w:sz w:val="18"/>
              </w:rPr>
              <w:t> </w:t>
            </w:r>
            <w:r>
              <w:rPr>
                <w:spacing w:val="-2"/>
                <w:sz w:val="18"/>
              </w:rPr>
              <w:t>group)</w:t>
            </w:r>
          </w:p>
        </w:tc>
      </w:tr>
    </w:tbl>
    <w:p>
      <w:pPr>
        <w:pStyle w:val="BodyText"/>
        <w:spacing w:before="201"/>
      </w:pPr>
    </w:p>
    <w:p>
      <w:pPr>
        <w:pStyle w:val="BodyText"/>
        <w:spacing w:before="1"/>
        <w:ind w:left="23"/>
      </w:pPr>
      <w:r>
        <w:rPr/>
        <w:t>Table</w:t>
      </w:r>
      <w:r>
        <w:rPr>
          <w:spacing w:val="-7"/>
        </w:rPr>
        <w:t> </w:t>
      </w:r>
      <w:r>
        <w:rPr/>
        <w:t>1.2.</w:t>
      </w:r>
      <w:r>
        <w:rPr>
          <w:spacing w:val="-4"/>
        </w:rPr>
        <w:t> </w:t>
      </w:r>
      <w:r>
        <w:rPr/>
        <w:t>Characteristics</w:t>
      </w:r>
      <w:r>
        <w:rPr>
          <w:spacing w:val="-6"/>
        </w:rPr>
        <w:t> </w:t>
      </w:r>
      <w:r>
        <w:rPr/>
        <w:t>of</w:t>
      </w:r>
      <w:r>
        <w:rPr>
          <w:spacing w:val="-4"/>
        </w:rPr>
        <w:t> </w:t>
      </w:r>
      <w:r>
        <w:rPr/>
        <w:t>included</w:t>
      </w:r>
      <w:r>
        <w:rPr>
          <w:spacing w:val="-4"/>
        </w:rPr>
        <w:t> </w:t>
      </w:r>
      <w:r>
        <w:rPr>
          <w:spacing w:val="-2"/>
        </w:rPr>
        <w:t>studies</w:t>
      </w:r>
    </w:p>
    <w:p>
      <w:pPr>
        <w:pStyle w:val="BodyText"/>
        <w:spacing w:before="9"/>
        <w:rPr>
          <w:sz w:val="16"/>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85"/>
        <w:gridCol w:w="2724"/>
        <w:gridCol w:w="2494"/>
        <w:gridCol w:w="1262"/>
        <w:gridCol w:w="2652"/>
        <w:gridCol w:w="2640"/>
        <w:gridCol w:w="1471"/>
      </w:tblGrid>
      <w:tr>
        <w:trPr>
          <w:trHeight w:val="926" w:hRule="atLeast"/>
        </w:trPr>
        <w:tc>
          <w:tcPr>
            <w:tcW w:w="785" w:type="dxa"/>
          </w:tcPr>
          <w:p>
            <w:pPr>
              <w:pStyle w:val="TableParagraph"/>
              <w:spacing w:line="218" w:lineRule="exact"/>
              <w:ind w:left="9" w:right="142"/>
              <w:jc w:val="center"/>
              <w:rPr>
                <w:b/>
                <w:sz w:val="18"/>
              </w:rPr>
            </w:pPr>
            <w:r>
              <w:rPr>
                <w:b/>
                <w:spacing w:val="-2"/>
                <w:sz w:val="18"/>
              </w:rPr>
              <w:t>Study</w:t>
            </w:r>
          </w:p>
        </w:tc>
        <w:tc>
          <w:tcPr>
            <w:tcW w:w="2724" w:type="dxa"/>
          </w:tcPr>
          <w:p>
            <w:pPr>
              <w:pStyle w:val="TableParagraph"/>
              <w:spacing w:line="280" w:lineRule="auto"/>
              <w:ind w:left="105"/>
              <w:rPr>
                <w:b/>
                <w:sz w:val="18"/>
              </w:rPr>
            </w:pPr>
            <w:r>
              <w:rPr>
                <w:b/>
                <w:sz w:val="18"/>
              </w:rPr>
              <w:t>Participants</w:t>
            </w:r>
            <w:r>
              <w:rPr>
                <w:b/>
                <w:spacing w:val="-11"/>
                <w:sz w:val="18"/>
              </w:rPr>
              <w:t> </w:t>
            </w:r>
            <w:r>
              <w:rPr>
                <w:b/>
                <w:sz w:val="18"/>
              </w:rPr>
              <w:t>(number,</w:t>
            </w:r>
            <w:r>
              <w:rPr>
                <w:b/>
                <w:spacing w:val="-10"/>
                <w:sz w:val="18"/>
              </w:rPr>
              <w:t> </w:t>
            </w:r>
            <w:r>
              <w:rPr>
                <w:b/>
                <w:sz w:val="18"/>
              </w:rPr>
              <w:t>age,</w:t>
            </w:r>
            <w:r>
              <w:rPr>
                <w:b/>
                <w:spacing w:val="-10"/>
                <w:sz w:val="18"/>
              </w:rPr>
              <w:t> </w:t>
            </w:r>
            <w:r>
              <w:rPr>
                <w:b/>
                <w:sz w:val="18"/>
              </w:rPr>
              <w:t>other important characteristics)</w:t>
            </w:r>
          </w:p>
        </w:tc>
        <w:tc>
          <w:tcPr>
            <w:tcW w:w="2494" w:type="dxa"/>
          </w:tcPr>
          <w:p>
            <w:pPr>
              <w:pStyle w:val="TableParagraph"/>
              <w:spacing w:line="218" w:lineRule="exact"/>
              <w:ind w:left="105"/>
              <w:rPr>
                <w:b/>
                <w:sz w:val="18"/>
              </w:rPr>
            </w:pPr>
            <w:r>
              <w:rPr>
                <w:b/>
                <w:spacing w:val="-2"/>
                <w:sz w:val="18"/>
              </w:rPr>
              <w:t>Comparison</w:t>
            </w:r>
          </w:p>
        </w:tc>
        <w:tc>
          <w:tcPr>
            <w:tcW w:w="1262" w:type="dxa"/>
          </w:tcPr>
          <w:p>
            <w:pPr>
              <w:pStyle w:val="TableParagraph"/>
              <w:spacing w:line="218" w:lineRule="exact"/>
              <w:ind w:left="105"/>
              <w:rPr>
                <w:b/>
                <w:sz w:val="18"/>
              </w:rPr>
            </w:pPr>
            <w:r>
              <w:rPr>
                <w:b/>
                <w:spacing w:val="-2"/>
                <w:sz w:val="18"/>
              </w:rPr>
              <w:t>Follow-</w:t>
            </w:r>
            <w:r>
              <w:rPr>
                <w:b/>
                <w:spacing w:val="-5"/>
                <w:sz w:val="18"/>
              </w:rPr>
              <w:t>up</w:t>
            </w:r>
          </w:p>
        </w:tc>
        <w:tc>
          <w:tcPr>
            <w:tcW w:w="2652" w:type="dxa"/>
          </w:tcPr>
          <w:p>
            <w:pPr>
              <w:pStyle w:val="TableParagraph"/>
              <w:spacing w:line="218" w:lineRule="exact"/>
              <w:ind w:left="106"/>
              <w:rPr>
                <w:b/>
                <w:sz w:val="18"/>
              </w:rPr>
            </w:pPr>
            <w:r>
              <w:rPr>
                <w:b/>
                <w:sz w:val="18"/>
              </w:rPr>
              <w:t>Outcome</w:t>
            </w:r>
            <w:r>
              <w:rPr>
                <w:b/>
                <w:spacing w:val="-5"/>
                <w:sz w:val="18"/>
              </w:rPr>
              <w:t> </w:t>
            </w:r>
            <w:r>
              <w:rPr>
                <w:b/>
                <w:spacing w:val="-2"/>
                <w:sz w:val="18"/>
              </w:rPr>
              <w:t>measures</w:t>
            </w:r>
          </w:p>
        </w:tc>
        <w:tc>
          <w:tcPr>
            <w:tcW w:w="2640" w:type="dxa"/>
          </w:tcPr>
          <w:p>
            <w:pPr>
              <w:pStyle w:val="TableParagraph"/>
              <w:spacing w:line="218" w:lineRule="exact"/>
              <w:ind w:left="104"/>
              <w:rPr>
                <w:b/>
                <w:sz w:val="18"/>
              </w:rPr>
            </w:pPr>
            <w:r>
              <w:rPr>
                <w:b/>
                <w:spacing w:val="-2"/>
                <w:sz w:val="18"/>
              </w:rPr>
              <w:t>Comments</w:t>
            </w:r>
          </w:p>
        </w:tc>
        <w:tc>
          <w:tcPr>
            <w:tcW w:w="1471" w:type="dxa"/>
          </w:tcPr>
          <w:p>
            <w:pPr>
              <w:pStyle w:val="TableParagraph"/>
              <w:spacing w:line="278" w:lineRule="auto"/>
              <w:ind w:left="107"/>
              <w:rPr>
                <w:b/>
                <w:sz w:val="18"/>
              </w:rPr>
            </w:pPr>
            <w:r>
              <w:rPr>
                <w:b/>
                <w:sz w:val="18"/>
              </w:rPr>
              <w:t>Risk</w:t>
            </w:r>
            <w:r>
              <w:rPr>
                <w:b/>
                <w:spacing w:val="-11"/>
                <w:sz w:val="18"/>
              </w:rPr>
              <w:t> </w:t>
            </w:r>
            <w:r>
              <w:rPr>
                <w:b/>
                <w:sz w:val="18"/>
              </w:rPr>
              <w:t>of</w:t>
            </w:r>
            <w:r>
              <w:rPr>
                <w:b/>
                <w:spacing w:val="-10"/>
                <w:sz w:val="18"/>
              </w:rPr>
              <w:t> </w:t>
            </w:r>
            <w:r>
              <w:rPr>
                <w:b/>
                <w:sz w:val="18"/>
              </w:rPr>
              <w:t>bias</w:t>
            </w:r>
            <w:r>
              <w:rPr>
                <w:b/>
                <w:spacing w:val="-10"/>
                <w:sz w:val="18"/>
              </w:rPr>
              <w:t> </w:t>
            </w:r>
            <w:r>
              <w:rPr>
                <w:b/>
                <w:sz w:val="18"/>
              </w:rPr>
              <w:t>(per </w:t>
            </w:r>
            <w:r>
              <w:rPr>
                <w:b/>
                <w:spacing w:val="-2"/>
                <w:sz w:val="18"/>
              </w:rPr>
              <w:t>outcome</w:t>
            </w:r>
            <w:r>
              <w:rPr>
                <w:b/>
                <w:sz w:val="18"/>
              </w:rPr>
              <w:t> </w:t>
            </w:r>
            <w:r>
              <w:rPr>
                <w:b/>
                <w:spacing w:val="-2"/>
                <w:sz w:val="18"/>
              </w:rPr>
              <w:t>measure)*</w:t>
            </w:r>
          </w:p>
        </w:tc>
      </w:tr>
      <w:tr>
        <w:trPr>
          <w:trHeight w:val="417" w:hRule="atLeast"/>
        </w:trPr>
        <w:tc>
          <w:tcPr>
            <w:tcW w:w="14028" w:type="dxa"/>
            <w:gridSpan w:val="7"/>
            <w:shd w:val="clear" w:color="auto" w:fill="D0CECE"/>
          </w:tcPr>
          <w:p>
            <w:pPr>
              <w:pStyle w:val="TableParagraph"/>
              <w:tabs>
                <w:tab w:pos="825" w:val="left" w:leader="none"/>
              </w:tabs>
              <w:spacing w:before="1"/>
              <w:ind w:left="465"/>
              <w:rPr>
                <w:sz w:val="18"/>
              </w:rPr>
            </w:pPr>
            <w:r>
              <w:rPr>
                <w:spacing w:val="-5"/>
                <w:sz w:val="18"/>
              </w:rPr>
              <w:t>1.</w:t>
            </w:r>
            <w:r>
              <w:rPr>
                <w:sz w:val="18"/>
              </w:rPr>
              <w:tab/>
              <w:t>Studies</w:t>
            </w:r>
            <w:r>
              <w:rPr>
                <w:spacing w:val="-6"/>
                <w:sz w:val="18"/>
              </w:rPr>
              <w:t> </w:t>
            </w:r>
            <w:r>
              <w:rPr>
                <w:sz w:val="18"/>
              </w:rPr>
              <w:t>comparing</w:t>
            </w:r>
            <w:r>
              <w:rPr>
                <w:spacing w:val="-5"/>
                <w:sz w:val="18"/>
              </w:rPr>
              <w:t> </w:t>
            </w:r>
            <w:r>
              <w:rPr>
                <w:sz w:val="18"/>
              </w:rPr>
              <w:t>thromboprophylaxis</w:t>
            </w:r>
            <w:r>
              <w:rPr>
                <w:spacing w:val="-5"/>
                <w:sz w:val="18"/>
              </w:rPr>
              <w:t> </w:t>
            </w:r>
            <w:r>
              <w:rPr>
                <w:sz w:val="18"/>
              </w:rPr>
              <w:t>with</w:t>
            </w:r>
            <w:r>
              <w:rPr>
                <w:spacing w:val="-6"/>
                <w:sz w:val="18"/>
              </w:rPr>
              <w:t> </w:t>
            </w:r>
            <w:r>
              <w:rPr>
                <w:sz w:val="18"/>
              </w:rPr>
              <w:t>no</w:t>
            </w:r>
            <w:r>
              <w:rPr>
                <w:spacing w:val="-4"/>
                <w:sz w:val="18"/>
              </w:rPr>
              <w:t> </w:t>
            </w:r>
            <w:r>
              <w:rPr>
                <w:spacing w:val="-2"/>
                <w:sz w:val="18"/>
              </w:rPr>
              <w:t>thromboprophylaxis</w:t>
            </w:r>
          </w:p>
        </w:tc>
      </w:tr>
      <w:tr>
        <w:trPr>
          <w:trHeight w:val="3309" w:hRule="atLeast"/>
        </w:trPr>
        <w:tc>
          <w:tcPr>
            <w:tcW w:w="785" w:type="dxa"/>
          </w:tcPr>
          <w:p>
            <w:pPr>
              <w:pStyle w:val="TableParagraph"/>
              <w:spacing w:line="218" w:lineRule="exact"/>
              <w:ind w:left="9"/>
              <w:jc w:val="center"/>
              <w:rPr>
                <w:sz w:val="18"/>
              </w:rPr>
            </w:pPr>
            <w:r>
              <w:rPr>
                <w:sz w:val="18"/>
              </w:rPr>
              <w:t>Li, </w:t>
            </w:r>
            <w:r>
              <w:rPr>
                <w:spacing w:val="-4"/>
                <w:sz w:val="18"/>
              </w:rPr>
              <w:t>2007</w:t>
            </w:r>
          </w:p>
        </w:tc>
        <w:tc>
          <w:tcPr>
            <w:tcW w:w="2724" w:type="dxa"/>
          </w:tcPr>
          <w:p>
            <w:pPr>
              <w:pStyle w:val="TableParagraph"/>
              <w:spacing w:line="453" w:lineRule="auto"/>
              <w:ind w:left="105" w:right="1323"/>
              <w:rPr>
                <w:sz w:val="18"/>
              </w:rPr>
            </w:pPr>
            <w:r>
              <w:rPr>
                <w:sz w:val="18"/>
                <w:u w:val="single"/>
              </w:rPr>
              <w:t>N at baseline</w:t>
            </w:r>
            <w:r>
              <w:rPr>
                <w:sz w:val="18"/>
                <w:u w:val="none"/>
              </w:rPr>
              <w:t> Intervention:</w:t>
            </w:r>
            <w:r>
              <w:rPr>
                <w:spacing w:val="-11"/>
                <w:sz w:val="18"/>
                <w:u w:val="none"/>
              </w:rPr>
              <w:t> </w:t>
            </w:r>
            <w:r>
              <w:rPr>
                <w:sz w:val="18"/>
                <w:u w:val="none"/>
              </w:rPr>
              <w:t>306</w:t>
            </w:r>
          </w:p>
          <w:p>
            <w:pPr>
              <w:pStyle w:val="TableParagraph"/>
              <w:ind w:left="105"/>
              <w:rPr>
                <w:sz w:val="18"/>
              </w:rPr>
            </w:pPr>
            <w:r>
              <w:rPr>
                <w:sz w:val="18"/>
              </w:rPr>
              <w:t>Control:</w:t>
            </w:r>
            <w:r>
              <w:rPr>
                <w:spacing w:val="-5"/>
                <w:sz w:val="18"/>
              </w:rPr>
              <w:t> 67</w:t>
            </w:r>
          </w:p>
          <w:p>
            <w:pPr>
              <w:pStyle w:val="TableParagraph"/>
              <w:rPr>
                <w:sz w:val="18"/>
              </w:rPr>
            </w:pPr>
          </w:p>
          <w:p>
            <w:pPr>
              <w:pStyle w:val="TableParagraph"/>
              <w:spacing w:before="169"/>
              <w:rPr>
                <w:sz w:val="18"/>
              </w:rPr>
            </w:pPr>
          </w:p>
          <w:p>
            <w:pPr>
              <w:pStyle w:val="TableParagraph"/>
              <w:spacing w:line="453" w:lineRule="auto"/>
              <w:ind w:left="105" w:right="715"/>
              <w:rPr>
                <w:sz w:val="18"/>
              </w:rPr>
            </w:pPr>
            <w:r>
              <w:rPr>
                <w:sz w:val="18"/>
                <w:u w:val="single"/>
              </w:rPr>
              <w:t>Age</w:t>
            </w:r>
            <w:r>
              <w:rPr>
                <w:spacing w:val="-11"/>
                <w:sz w:val="18"/>
                <w:u w:val="single"/>
              </w:rPr>
              <w:t> </w:t>
            </w:r>
            <w:r>
              <w:rPr>
                <w:sz w:val="18"/>
                <w:u w:val="single"/>
              </w:rPr>
              <w:t>(median,</w:t>
            </w:r>
            <w:r>
              <w:rPr>
                <w:spacing w:val="-10"/>
                <w:sz w:val="18"/>
                <w:u w:val="single"/>
              </w:rPr>
              <w:t> </w:t>
            </w:r>
            <w:r>
              <w:rPr>
                <w:sz w:val="18"/>
                <w:u w:val="single"/>
              </w:rPr>
              <w:t>at</w:t>
            </w:r>
            <w:r>
              <w:rPr>
                <w:spacing w:val="-10"/>
                <w:sz w:val="18"/>
                <w:u w:val="single"/>
              </w:rPr>
              <w:t> </w:t>
            </w:r>
            <w:r>
              <w:rPr>
                <w:sz w:val="18"/>
                <w:u w:val="single"/>
              </w:rPr>
              <w:t>surgery)</w:t>
            </w:r>
            <w:r>
              <w:rPr>
                <w:position w:val="5"/>
                <w:sz w:val="12"/>
                <w:u w:val="none"/>
              </w:rPr>
              <w:t>1</w:t>
            </w:r>
            <w:r>
              <w:rPr>
                <w:spacing w:val="40"/>
                <w:position w:val="5"/>
                <w:sz w:val="12"/>
                <w:u w:val="none"/>
              </w:rPr>
              <w:t> </w:t>
            </w:r>
            <w:r>
              <w:rPr>
                <w:sz w:val="18"/>
                <w:u w:val="none"/>
              </w:rPr>
              <w:t>8 days</w:t>
            </w:r>
          </w:p>
        </w:tc>
        <w:tc>
          <w:tcPr>
            <w:tcW w:w="2494" w:type="dxa"/>
          </w:tcPr>
          <w:p>
            <w:pPr>
              <w:pStyle w:val="TableParagraph"/>
              <w:spacing w:line="453" w:lineRule="auto"/>
              <w:ind w:left="105" w:right="1013"/>
              <w:rPr>
                <w:sz w:val="18"/>
              </w:rPr>
            </w:pPr>
            <w:r>
              <w:rPr>
                <w:spacing w:val="-2"/>
                <w:sz w:val="18"/>
                <w:u w:val="single"/>
              </w:rPr>
              <w:t>Intervention</w:t>
            </w:r>
            <w:r>
              <w:rPr>
                <w:sz w:val="18"/>
                <w:u w:val="none"/>
              </w:rPr>
              <w:t> </w:t>
            </w:r>
            <w:r>
              <w:rPr>
                <w:spacing w:val="-2"/>
                <w:sz w:val="18"/>
                <w:u w:val="none"/>
              </w:rPr>
              <w:t>Aspirin</w:t>
            </w:r>
          </w:p>
          <w:p>
            <w:pPr>
              <w:pStyle w:val="TableParagraph"/>
              <w:spacing w:before="194"/>
              <w:rPr>
                <w:sz w:val="18"/>
              </w:rPr>
            </w:pPr>
          </w:p>
          <w:p>
            <w:pPr>
              <w:pStyle w:val="TableParagraph"/>
              <w:ind w:left="105"/>
              <w:rPr>
                <w:sz w:val="18"/>
              </w:rPr>
            </w:pPr>
            <w:r>
              <w:rPr>
                <w:spacing w:val="-2"/>
                <w:sz w:val="18"/>
                <w:u w:val="single"/>
              </w:rPr>
              <w:t>Control</w:t>
            </w:r>
          </w:p>
          <w:p>
            <w:pPr>
              <w:pStyle w:val="TableParagraph"/>
              <w:spacing w:before="195"/>
              <w:ind w:left="105"/>
              <w:rPr>
                <w:sz w:val="18"/>
              </w:rPr>
            </w:pPr>
            <w:r>
              <w:rPr>
                <w:sz w:val="18"/>
              </w:rPr>
              <w:t>No</w:t>
            </w:r>
            <w:r>
              <w:rPr>
                <w:spacing w:val="-1"/>
                <w:sz w:val="18"/>
              </w:rPr>
              <w:t> </w:t>
            </w:r>
            <w:r>
              <w:rPr>
                <w:spacing w:val="-2"/>
                <w:sz w:val="18"/>
              </w:rPr>
              <w:t>thromboprophylaxis</w:t>
            </w:r>
          </w:p>
        </w:tc>
        <w:tc>
          <w:tcPr>
            <w:tcW w:w="1262" w:type="dxa"/>
          </w:tcPr>
          <w:p>
            <w:pPr>
              <w:pStyle w:val="TableParagraph"/>
              <w:spacing w:line="218" w:lineRule="exact"/>
              <w:ind w:left="105"/>
              <w:rPr>
                <w:sz w:val="18"/>
              </w:rPr>
            </w:pPr>
            <w:r>
              <w:rPr>
                <w:sz w:val="18"/>
              </w:rPr>
              <w:t>1 </w:t>
            </w:r>
            <w:r>
              <w:rPr>
                <w:spacing w:val="-4"/>
                <w:sz w:val="18"/>
              </w:rPr>
              <w:t>year</w:t>
            </w:r>
          </w:p>
        </w:tc>
        <w:tc>
          <w:tcPr>
            <w:tcW w:w="2652" w:type="dxa"/>
          </w:tcPr>
          <w:p>
            <w:pPr>
              <w:pStyle w:val="TableParagraph"/>
              <w:spacing w:line="278" w:lineRule="auto"/>
              <w:ind w:left="106" w:right="140"/>
              <w:rPr>
                <w:sz w:val="18"/>
              </w:rPr>
            </w:pPr>
            <w:r>
              <w:rPr>
                <w:b/>
                <w:sz w:val="18"/>
              </w:rPr>
              <w:t>Mortality</w:t>
            </w:r>
            <w:r>
              <w:rPr>
                <w:b/>
                <w:spacing w:val="-11"/>
                <w:sz w:val="18"/>
              </w:rPr>
              <w:t> </w:t>
            </w:r>
            <w:r>
              <w:rPr>
                <w:sz w:val="18"/>
              </w:rPr>
              <w:t>(one</w:t>
            </w:r>
            <w:r>
              <w:rPr>
                <w:spacing w:val="-10"/>
                <w:sz w:val="18"/>
              </w:rPr>
              <w:t> </w:t>
            </w:r>
            <w:r>
              <w:rPr>
                <w:sz w:val="18"/>
              </w:rPr>
              <w:t>year</w:t>
            </w:r>
            <w:r>
              <w:rPr>
                <w:spacing w:val="-10"/>
                <w:sz w:val="18"/>
              </w:rPr>
              <w:t> </w:t>
            </w:r>
            <w:r>
              <w:rPr>
                <w:sz w:val="18"/>
              </w:rPr>
              <w:t>post-</w:t>
            </w:r>
            <w:r>
              <w:rPr>
                <w:spacing w:val="-2"/>
                <w:sz w:val="18"/>
              </w:rPr>
              <w:t>surgery)</w:t>
            </w:r>
          </w:p>
        </w:tc>
        <w:tc>
          <w:tcPr>
            <w:tcW w:w="2640" w:type="dxa"/>
          </w:tcPr>
          <w:p>
            <w:pPr>
              <w:pStyle w:val="TableParagraph"/>
              <w:spacing w:line="278" w:lineRule="auto"/>
              <w:ind w:left="104" w:right="170"/>
              <w:rPr>
                <w:sz w:val="18"/>
              </w:rPr>
            </w:pPr>
            <w:r>
              <w:rPr>
                <w:sz w:val="18"/>
              </w:rPr>
              <w:t>Funding:</w:t>
            </w:r>
            <w:r>
              <w:rPr>
                <w:spacing w:val="-11"/>
                <w:sz w:val="18"/>
              </w:rPr>
              <w:t> </w:t>
            </w:r>
            <w:r>
              <w:rPr>
                <w:sz w:val="18"/>
              </w:rPr>
              <w:t>sponsored</w:t>
            </w:r>
            <w:r>
              <w:rPr>
                <w:spacing w:val="-10"/>
                <w:sz w:val="18"/>
              </w:rPr>
              <w:t> </w:t>
            </w:r>
            <w:r>
              <w:rPr>
                <w:sz w:val="18"/>
              </w:rPr>
              <w:t>by</w:t>
            </w:r>
            <w:r>
              <w:rPr>
                <w:spacing w:val="-10"/>
                <w:sz w:val="18"/>
              </w:rPr>
              <w:t> </w:t>
            </w:r>
            <w:r>
              <w:rPr>
                <w:sz w:val="18"/>
              </w:rPr>
              <w:t>Sanofi-aventis and Bristol-Meyers Squibb, Inc.</w:t>
            </w:r>
          </w:p>
          <w:p>
            <w:pPr>
              <w:pStyle w:val="TableParagraph"/>
              <w:rPr>
                <w:sz w:val="18"/>
              </w:rPr>
            </w:pPr>
          </w:p>
          <w:p>
            <w:pPr>
              <w:pStyle w:val="TableParagraph"/>
              <w:spacing w:before="61"/>
              <w:rPr>
                <w:sz w:val="18"/>
              </w:rPr>
            </w:pPr>
          </w:p>
          <w:p>
            <w:pPr>
              <w:pStyle w:val="TableParagraph"/>
              <w:spacing w:line="278" w:lineRule="auto" w:before="1"/>
              <w:ind w:left="104" w:right="170"/>
              <w:rPr>
                <w:sz w:val="18"/>
              </w:rPr>
            </w:pPr>
            <w:r>
              <w:rPr>
                <w:sz w:val="18"/>
              </w:rPr>
              <w:t>Conflicts of interest: Drs Bokesch, Graham, Takahasi, Jaggers, and Sanders served on the Steering Committee and received</w:t>
            </w:r>
            <w:r>
              <w:rPr>
                <w:spacing w:val="-11"/>
                <w:sz w:val="18"/>
              </w:rPr>
              <w:t> </w:t>
            </w:r>
            <w:r>
              <w:rPr>
                <w:sz w:val="18"/>
              </w:rPr>
              <w:t>honoraria</w:t>
            </w:r>
            <w:r>
              <w:rPr>
                <w:spacing w:val="-10"/>
                <w:sz w:val="18"/>
              </w:rPr>
              <w:t> </w:t>
            </w:r>
            <w:r>
              <w:rPr>
                <w:sz w:val="18"/>
              </w:rPr>
              <w:t>from</w:t>
            </w:r>
            <w:r>
              <w:rPr>
                <w:spacing w:val="-10"/>
                <w:sz w:val="18"/>
              </w:rPr>
              <w:t> </w:t>
            </w:r>
            <w:r>
              <w:rPr>
                <w:sz w:val="18"/>
              </w:rPr>
              <w:t>Sanofi-aventis. Dr. Rakhit is an employee of Bristol-Myers</w:t>
            </w:r>
          </w:p>
          <w:p>
            <w:pPr>
              <w:pStyle w:val="TableParagraph"/>
              <w:spacing w:before="4"/>
              <w:ind w:left="104"/>
              <w:rPr>
                <w:sz w:val="18"/>
              </w:rPr>
            </w:pPr>
            <w:r>
              <w:rPr>
                <w:sz w:val="18"/>
              </w:rPr>
              <w:t>Squibb,</w:t>
            </w:r>
            <w:r>
              <w:rPr>
                <w:spacing w:val="-2"/>
                <w:sz w:val="18"/>
              </w:rPr>
              <w:t> </w:t>
            </w:r>
            <w:r>
              <w:rPr>
                <w:sz w:val="18"/>
              </w:rPr>
              <w:t>and</w:t>
            </w:r>
            <w:r>
              <w:rPr>
                <w:spacing w:val="-3"/>
                <w:sz w:val="18"/>
              </w:rPr>
              <w:t> </w:t>
            </w:r>
            <w:r>
              <w:rPr>
                <w:sz w:val="18"/>
              </w:rPr>
              <w:t>Dr</w:t>
            </w:r>
            <w:r>
              <w:rPr>
                <w:spacing w:val="-2"/>
                <w:sz w:val="18"/>
              </w:rPr>
              <w:t> </w:t>
            </w:r>
            <w:r>
              <w:rPr>
                <w:sz w:val="18"/>
              </w:rPr>
              <w:t>Fontecave</w:t>
            </w:r>
            <w:r>
              <w:rPr>
                <w:spacing w:val="-2"/>
                <w:sz w:val="18"/>
              </w:rPr>
              <w:t> </w:t>
            </w:r>
            <w:r>
              <w:rPr>
                <w:sz w:val="18"/>
              </w:rPr>
              <w:t>is</w:t>
            </w:r>
            <w:r>
              <w:rPr>
                <w:spacing w:val="-2"/>
                <w:sz w:val="18"/>
              </w:rPr>
              <w:t> </w:t>
            </w:r>
            <w:r>
              <w:rPr>
                <w:spacing w:val="-5"/>
                <w:sz w:val="18"/>
              </w:rPr>
              <w:t>an</w:t>
            </w:r>
          </w:p>
        </w:tc>
        <w:tc>
          <w:tcPr>
            <w:tcW w:w="1471" w:type="dxa"/>
          </w:tcPr>
          <w:p>
            <w:pPr>
              <w:pStyle w:val="TableParagraph"/>
              <w:spacing w:line="278" w:lineRule="auto"/>
              <w:ind w:left="107"/>
              <w:rPr>
                <w:sz w:val="18"/>
              </w:rPr>
            </w:pPr>
            <w:r>
              <w:rPr>
                <w:sz w:val="18"/>
              </w:rPr>
              <w:t>Very</w:t>
            </w:r>
            <w:r>
              <w:rPr>
                <w:spacing w:val="-11"/>
                <w:sz w:val="18"/>
              </w:rPr>
              <w:t> </w:t>
            </w:r>
            <w:r>
              <w:rPr>
                <w:sz w:val="18"/>
              </w:rPr>
              <w:t>high</w:t>
            </w:r>
            <w:r>
              <w:rPr>
                <w:spacing w:val="-10"/>
                <w:sz w:val="18"/>
              </w:rPr>
              <w:t> </w:t>
            </w:r>
            <w:r>
              <w:rPr>
                <w:sz w:val="18"/>
              </w:rPr>
              <w:t>(all </w:t>
            </w:r>
            <w:r>
              <w:rPr>
                <w:spacing w:val="-2"/>
                <w:sz w:val="18"/>
              </w:rPr>
              <w:t>outcomes)</w:t>
            </w:r>
          </w:p>
        </w:tc>
      </w:tr>
    </w:tbl>
    <w:p>
      <w:pPr>
        <w:pStyle w:val="TableParagraph"/>
        <w:spacing w:after="0" w:line="278" w:lineRule="auto"/>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85"/>
        <w:gridCol w:w="2724"/>
        <w:gridCol w:w="2494"/>
        <w:gridCol w:w="1262"/>
        <w:gridCol w:w="2652"/>
        <w:gridCol w:w="2640"/>
        <w:gridCol w:w="1471"/>
      </w:tblGrid>
      <w:tr>
        <w:trPr>
          <w:trHeight w:val="3482" w:hRule="atLeast"/>
        </w:trPr>
        <w:tc>
          <w:tcPr>
            <w:tcW w:w="785" w:type="dxa"/>
          </w:tcPr>
          <w:p>
            <w:pPr>
              <w:pStyle w:val="TableParagraph"/>
              <w:rPr>
                <w:rFonts w:ascii="Times New Roman"/>
                <w:sz w:val="16"/>
              </w:rPr>
            </w:pPr>
          </w:p>
        </w:tc>
        <w:tc>
          <w:tcPr>
            <w:tcW w:w="2724" w:type="dxa"/>
          </w:tcPr>
          <w:p>
            <w:pPr>
              <w:pStyle w:val="TableParagraph"/>
              <w:spacing w:line="218" w:lineRule="exact"/>
              <w:ind w:left="105"/>
              <w:rPr>
                <w:sz w:val="18"/>
              </w:rPr>
            </w:pPr>
            <w:r>
              <w:rPr>
                <w:spacing w:val="-5"/>
                <w:sz w:val="18"/>
                <w:u w:val="single"/>
              </w:rPr>
              <w:t>Sex</w:t>
            </w:r>
          </w:p>
          <w:p>
            <w:pPr>
              <w:pStyle w:val="TableParagraph"/>
              <w:spacing w:before="37"/>
              <w:ind w:left="105"/>
              <w:rPr>
                <w:sz w:val="18"/>
              </w:rPr>
            </w:pPr>
            <w:r>
              <w:rPr>
                <w:sz w:val="18"/>
              </w:rPr>
              <w:t>Not</w:t>
            </w:r>
            <w:r>
              <w:rPr>
                <w:spacing w:val="-3"/>
                <w:sz w:val="18"/>
              </w:rPr>
              <w:t> </w:t>
            </w:r>
            <w:r>
              <w:rPr>
                <w:spacing w:val="-2"/>
                <w:sz w:val="18"/>
              </w:rPr>
              <w:t>reported</w:t>
            </w:r>
          </w:p>
        </w:tc>
        <w:tc>
          <w:tcPr>
            <w:tcW w:w="2494" w:type="dxa"/>
          </w:tcPr>
          <w:p>
            <w:pPr>
              <w:pStyle w:val="TableParagraph"/>
              <w:rPr>
                <w:rFonts w:ascii="Times New Roman"/>
                <w:sz w:val="16"/>
              </w:rPr>
            </w:pPr>
          </w:p>
        </w:tc>
        <w:tc>
          <w:tcPr>
            <w:tcW w:w="1262" w:type="dxa"/>
          </w:tcPr>
          <w:p>
            <w:pPr>
              <w:pStyle w:val="TableParagraph"/>
              <w:rPr>
                <w:rFonts w:ascii="Times New Roman"/>
                <w:sz w:val="16"/>
              </w:rPr>
            </w:pPr>
          </w:p>
        </w:tc>
        <w:tc>
          <w:tcPr>
            <w:tcW w:w="2652" w:type="dxa"/>
          </w:tcPr>
          <w:p>
            <w:pPr>
              <w:pStyle w:val="TableParagraph"/>
              <w:rPr>
                <w:rFonts w:ascii="Times New Roman"/>
                <w:sz w:val="16"/>
              </w:rPr>
            </w:pPr>
          </w:p>
        </w:tc>
        <w:tc>
          <w:tcPr>
            <w:tcW w:w="2640" w:type="dxa"/>
          </w:tcPr>
          <w:p>
            <w:pPr>
              <w:pStyle w:val="TableParagraph"/>
              <w:spacing w:line="278" w:lineRule="auto"/>
              <w:ind w:left="104" w:right="92"/>
              <w:rPr>
                <w:sz w:val="18"/>
              </w:rPr>
            </w:pPr>
            <w:r>
              <w:rPr>
                <w:sz w:val="18"/>
              </w:rPr>
              <w:t>employee</w:t>
            </w:r>
            <w:r>
              <w:rPr>
                <w:spacing w:val="-11"/>
                <w:sz w:val="18"/>
              </w:rPr>
              <w:t> </w:t>
            </w:r>
            <w:r>
              <w:rPr>
                <w:sz w:val="18"/>
              </w:rPr>
              <w:t>of</w:t>
            </w:r>
            <w:r>
              <w:rPr>
                <w:spacing w:val="-10"/>
                <w:sz w:val="18"/>
              </w:rPr>
              <w:t> </w:t>
            </w:r>
            <w:r>
              <w:rPr>
                <w:sz w:val="18"/>
              </w:rPr>
              <w:t>Sanofi-aventis</w:t>
            </w:r>
            <w:r>
              <w:rPr>
                <w:spacing w:val="-10"/>
                <w:sz w:val="18"/>
              </w:rPr>
              <w:t> </w:t>
            </w:r>
            <w:r>
              <w:rPr>
                <w:sz w:val="18"/>
              </w:rPr>
              <w:t>Paris. All authors, excluding Dr Michel-Behnke, who reports no</w:t>
            </w:r>
            <w:r>
              <w:rPr>
                <w:spacing w:val="40"/>
                <w:sz w:val="18"/>
              </w:rPr>
              <w:t> </w:t>
            </w:r>
            <w:r>
              <w:rPr>
                <w:sz w:val="18"/>
              </w:rPr>
              <w:t>conflicts, indicate that their institutions have received research grants from Birstol-Meyers Squibb and Sanofi-aventis.</w:t>
            </w:r>
            <w:r>
              <w:rPr>
                <w:spacing w:val="-5"/>
                <w:sz w:val="18"/>
              </w:rPr>
              <w:t> </w:t>
            </w:r>
            <w:r>
              <w:rPr>
                <w:sz w:val="18"/>
              </w:rPr>
              <w:t>Drs</w:t>
            </w:r>
            <w:r>
              <w:rPr>
                <w:spacing w:val="-5"/>
                <w:sz w:val="18"/>
              </w:rPr>
              <w:t> </w:t>
            </w:r>
            <w:r>
              <w:rPr>
                <w:sz w:val="18"/>
              </w:rPr>
              <w:t>Califf</w:t>
            </w:r>
            <w:r>
              <w:rPr>
                <w:spacing w:val="-4"/>
                <w:sz w:val="18"/>
              </w:rPr>
              <w:t> </w:t>
            </w:r>
            <w:r>
              <w:rPr>
                <w:sz w:val="18"/>
              </w:rPr>
              <w:t>and</w:t>
            </w:r>
            <w:r>
              <w:rPr>
                <w:spacing w:val="-5"/>
                <w:sz w:val="18"/>
              </w:rPr>
              <w:t> </w:t>
            </w:r>
            <w:r>
              <w:rPr>
                <w:sz w:val="18"/>
              </w:rPr>
              <w:t>Li</w:t>
            </w:r>
            <w:r>
              <w:rPr>
                <w:spacing w:val="-5"/>
                <w:sz w:val="18"/>
              </w:rPr>
              <w:t> </w:t>
            </w:r>
            <w:r>
              <w:rPr>
                <w:sz w:val="18"/>
              </w:rPr>
              <w:t>received funding from grant 1UL 1RR024128-01</w:t>
            </w:r>
            <w:r>
              <w:rPr>
                <w:spacing w:val="-9"/>
                <w:sz w:val="18"/>
              </w:rPr>
              <w:t> </w:t>
            </w:r>
            <w:r>
              <w:rPr>
                <w:sz w:val="18"/>
              </w:rPr>
              <w:t>from</w:t>
            </w:r>
            <w:r>
              <w:rPr>
                <w:spacing w:val="-9"/>
                <w:sz w:val="18"/>
              </w:rPr>
              <w:t> </w:t>
            </w:r>
            <w:r>
              <w:rPr>
                <w:sz w:val="18"/>
              </w:rPr>
              <w:t>the</w:t>
            </w:r>
            <w:r>
              <w:rPr>
                <w:spacing w:val="-10"/>
                <w:sz w:val="18"/>
              </w:rPr>
              <w:t> </w:t>
            </w:r>
            <w:r>
              <w:rPr>
                <w:sz w:val="18"/>
              </w:rPr>
              <w:t>National Center for Research Resources and the National Institutes of </w:t>
            </w:r>
            <w:r>
              <w:rPr>
                <w:spacing w:val="-2"/>
                <w:sz w:val="18"/>
              </w:rPr>
              <w:t>Health</w:t>
            </w:r>
          </w:p>
        </w:tc>
        <w:tc>
          <w:tcPr>
            <w:tcW w:w="1471" w:type="dxa"/>
          </w:tcPr>
          <w:p>
            <w:pPr>
              <w:pStyle w:val="TableParagraph"/>
              <w:rPr>
                <w:rFonts w:ascii="Times New Roman"/>
                <w:sz w:val="16"/>
              </w:rPr>
            </w:pPr>
          </w:p>
        </w:tc>
      </w:tr>
      <w:tr>
        <w:trPr>
          <w:trHeight w:val="5335" w:hRule="atLeast"/>
        </w:trPr>
        <w:tc>
          <w:tcPr>
            <w:tcW w:w="785" w:type="dxa"/>
          </w:tcPr>
          <w:p>
            <w:pPr>
              <w:pStyle w:val="TableParagraph"/>
              <w:spacing w:line="278" w:lineRule="auto"/>
              <w:ind w:left="105" w:right="92"/>
              <w:rPr>
                <w:sz w:val="18"/>
              </w:rPr>
            </w:pPr>
            <w:r>
              <w:rPr>
                <w:spacing w:val="-2"/>
                <w:sz w:val="18"/>
              </w:rPr>
              <w:t>Wessel,</w:t>
            </w:r>
            <w:r>
              <w:rPr>
                <w:sz w:val="18"/>
              </w:rPr>
              <w:t> </w:t>
            </w:r>
            <w:r>
              <w:rPr>
                <w:spacing w:val="-4"/>
                <w:sz w:val="18"/>
              </w:rPr>
              <w:t>2013</w:t>
            </w:r>
          </w:p>
        </w:tc>
        <w:tc>
          <w:tcPr>
            <w:tcW w:w="2724" w:type="dxa"/>
          </w:tcPr>
          <w:p>
            <w:pPr>
              <w:pStyle w:val="TableParagraph"/>
              <w:spacing w:line="278" w:lineRule="auto"/>
              <w:ind w:left="105" w:right="1323"/>
              <w:rPr>
                <w:sz w:val="18"/>
              </w:rPr>
            </w:pPr>
            <w:r>
              <w:rPr>
                <w:sz w:val="18"/>
                <w:u w:val="single"/>
              </w:rPr>
              <w:t>N</w:t>
            </w:r>
            <w:r>
              <w:rPr>
                <w:spacing w:val="-11"/>
                <w:sz w:val="18"/>
                <w:u w:val="single"/>
              </w:rPr>
              <w:t> </w:t>
            </w:r>
            <w:r>
              <w:rPr>
                <w:sz w:val="18"/>
                <w:u w:val="single"/>
              </w:rPr>
              <w:t>at</w:t>
            </w:r>
            <w:r>
              <w:rPr>
                <w:spacing w:val="-10"/>
                <w:sz w:val="18"/>
                <w:u w:val="single"/>
              </w:rPr>
              <w:t> </w:t>
            </w:r>
            <w:r>
              <w:rPr>
                <w:sz w:val="18"/>
                <w:u w:val="single"/>
              </w:rPr>
              <w:t>baseline</w:t>
            </w:r>
            <w:r>
              <w:rPr>
                <w:sz w:val="18"/>
                <w:u w:val="none"/>
              </w:rPr>
              <w:t> </w:t>
            </w:r>
            <w:r>
              <w:rPr>
                <w:spacing w:val="-2"/>
                <w:sz w:val="18"/>
                <w:u w:val="none"/>
              </w:rPr>
              <w:t>Intervention:</w:t>
            </w:r>
          </w:p>
          <w:p>
            <w:pPr>
              <w:pStyle w:val="TableParagraph"/>
              <w:spacing w:line="453" w:lineRule="auto"/>
              <w:ind w:left="105" w:right="855"/>
              <w:rPr>
                <w:sz w:val="18"/>
              </w:rPr>
            </w:pPr>
            <w:r>
              <w:rPr>
                <w:sz w:val="18"/>
              </w:rPr>
              <w:t>A:</w:t>
            </w:r>
            <w:r>
              <w:rPr>
                <w:spacing w:val="-11"/>
                <w:sz w:val="18"/>
              </w:rPr>
              <w:t> </w:t>
            </w:r>
            <w:r>
              <w:rPr>
                <w:sz w:val="18"/>
              </w:rPr>
              <w:t>Clopidogrel</w:t>
            </w:r>
            <w:r>
              <w:rPr>
                <w:spacing w:val="-10"/>
                <w:sz w:val="18"/>
              </w:rPr>
              <w:t> </w:t>
            </w:r>
            <w:r>
              <w:rPr>
                <w:sz w:val="18"/>
              </w:rPr>
              <w:t>only:</w:t>
            </w:r>
            <w:r>
              <w:rPr>
                <w:spacing w:val="-10"/>
                <w:sz w:val="18"/>
              </w:rPr>
              <w:t> </w:t>
            </w:r>
            <w:r>
              <w:rPr>
                <w:sz w:val="18"/>
              </w:rPr>
              <w:t>53 B: Aspirin only: 382</w:t>
            </w:r>
          </w:p>
          <w:p>
            <w:pPr>
              <w:pStyle w:val="TableParagraph"/>
              <w:ind w:left="105"/>
              <w:rPr>
                <w:sz w:val="18"/>
              </w:rPr>
            </w:pPr>
            <w:r>
              <w:rPr>
                <w:sz w:val="18"/>
              </w:rPr>
              <w:t>C:</w:t>
            </w:r>
            <w:r>
              <w:rPr>
                <w:spacing w:val="-3"/>
                <w:sz w:val="18"/>
              </w:rPr>
              <w:t> </w:t>
            </w:r>
            <w:r>
              <w:rPr>
                <w:sz w:val="18"/>
              </w:rPr>
              <w:t>Clopidogrel</w:t>
            </w:r>
            <w:r>
              <w:rPr>
                <w:spacing w:val="-3"/>
                <w:sz w:val="18"/>
              </w:rPr>
              <w:t> </w:t>
            </w:r>
            <w:r>
              <w:rPr>
                <w:sz w:val="18"/>
              </w:rPr>
              <w:t>+</w:t>
            </w:r>
            <w:r>
              <w:rPr>
                <w:spacing w:val="-3"/>
                <w:sz w:val="18"/>
              </w:rPr>
              <w:t> </w:t>
            </w:r>
            <w:r>
              <w:rPr>
                <w:sz w:val="18"/>
              </w:rPr>
              <w:t>aspirin:</w:t>
            </w:r>
            <w:r>
              <w:rPr>
                <w:spacing w:val="-3"/>
                <w:sz w:val="18"/>
              </w:rPr>
              <w:t> </w:t>
            </w:r>
            <w:r>
              <w:rPr>
                <w:spacing w:val="-5"/>
                <w:sz w:val="18"/>
              </w:rPr>
              <w:t>414</w:t>
            </w:r>
          </w:p>
          <w:p>
            <w:pPr>
              <w:pStyle w:val="TableParagraph"/>
              <w:rPr>
                <w:sz w:val="18"/>
              </w:rPr>
            </w:pPr>
          </w:p>
          <w:p>
            <w:pPr>
              <w:pStyle w:val="TableParagraph"/>
              <w:spacing w:before="171"/>
              <w:rPr>
                <w:sz w:val="18"/>
              </w:rPr>
            </w:pPr>
          </w:p>
          <w:p>
            <w:pPr>
              <w:pStyle w:val="TableParagraph"/>
              <w:ind w:left="105"/>
              <w:rPr>
                <w:sz w:val="18"/>
              </w:rPr>
            </w:pPr>
            <w:r>
              <w:rPr>
                <w:sz w:val="18"/>
              </w:rPr>
              <w:t>Control:</w:t>
            </w:r>
            <w:r>
              <w:rPr>
                <w:spacing w:val="-5"/>
                <w:sz w:val="18"/>
              </w:rPr>
              <w:t> 57</w:t>
            </w:r>
          </w:p>
          <w:p>
            <w:pPr>
              <w:pStyle w:val="TableParagraph"/>
              <w:rPr>
                <w:sz w:val="18"/>
              </w:rPr>
            </w:pPr>
          </w:p>
          <w:p>
            <w:pPr>
              <w:pStyle w:val="TableParagraph"/>
              <w:spacing w:before="171"/>
              <w:rPr>
                <w:sz w:val="18"/>
              </w:rPr>
            </w:pPr>
          </w:p>
          <w:p>
            <w:pPr>
              <w:pStyle w:val="TableParagraph"/>
              <w:spacing w:line="280" w:lineRule="auto" w:before="1"/>
              <w:ind w:left="105" w:right="399"/>
              <w:rPr>
                <w:sz w:val="18"/>
              </w:rPr>
            </w:pPr>
            <w:r>
              <w:rPr>
                <w:sz w:val="18"/>
                <w:u w:val="single"/>
              </w:rPr>
              <w:t>Age (mean ± SD)</w:t>
            </w:r>
            <w:r>
              <w:rPr>
                <w:position w:val="5"/>
                <w:sz w:val="12"/>
                <w:u w:val="none"/>
              </w:rPr>
              <w:t>2</w:t>
            </w:r>
            <w:r>
              <w:rPr>
                <w:spacing w:val="40"/>
                <w:position w:val="5"/>
                <w:sz w:val="12"/>
                <w:u w:val="none"/>
              </w:rPr>
              <w:t> </w:t>
            </w:r>
            <w:r>
              <w:rPr>
                <w:sz w:val="18"/>
                <w:u w:val="none"/>
              </w:rPr>
              <w:t>Intervention:</w:t>
            </w:r>
            <w:r>
              <w:rPr>
                <w:spacing w:val="-10"/>
                <w:sz w:val="18"/>
                <w:u w:val="none"/>
              </w:rPr>
              <w:t> </w:t>
            </w:r>
            <w:r>
              <w:rPr>
                <w:sz w:val="18"/>
                <w:u w:val="none"/>
              </w:rPr>
              <w:t>36.1</w:t>
            </w:r>
            <w:r>
              <w:rPr>
                <w:spacing w:val="-10"/>
                <w:sz w:val="18"/>
                <w:u w:val="none"/>
              </w:rPr>
              <w:t> </w:t>
            </w:r>
            <w:r>
              <w:rPr>
                <w:sz w:val="18"/>
                <w:u w:val="none"/>
              </w:rPr>
              <w:t>±</w:t>
            </w:r>
            <w:r>
              <w:rPr>
                <w:spacing w:val="-10"/>
                <w:sz w:val="18"/>
                <w:u w:val="none"/>
              </w:rPr>
              <w:t> </w:t>
            </w:r>
            <w:r>
              <w:rPr>
                <w:sz w:val="18"/>
                <w:u w:val="none"/>
              </w:rPr>
              <w:t>22.3</w:t>
            </w:r>
            <w:r>
              <w:rPr>
                <w:spacing w:val="-10"/>
                <w:sz w:val="18"/>
                <w:u w:val="none"/>
              </w:rPr>
              <w:t> </w:t>
            </w:r>
            <w:r>
              <w:rPr>
                <w:sz w:val="18"/>
                <w:u w:val="none"/>
              </w:rPr>
              <w:t>days</w:t>
            </w:r>
          </w:p>
          <w:p>
            <w:pPr>
              <w:pStyle w:val="TableParagraph"/>
              <w:spacing w:before="157"/>
              <w:ind w:left="105"/>
              <w:rPr>
                <w:sz w:val="18"/>
              </w:rPr>
            </w:pPr>
            <w:r>
              <w:rPr>
                <w:sz w:val="18"/>
              </w:rPr>
              <w:t>Control:</w:t>
            </w:r>
            <w:r>
              <w:rPr>
                <w:spacing w:val="-3"/>
                <w:sz w:val="18"/>
              </w:rPr>
              <w:t> </w:t>
            </w:r>
            <w:r>
              <w:rPr>
                <w:sz w:val="18"/>
              </w:rPr>
              <w:t>36.0</w:t>
            </w:r>
            <w:r>
              <w:rPr>
                <w:spacing w:val="-1"/>
                <w:sz w:val="18"/>
              </w:rPr>
              <w:t> </w:t>
            </w:r>
            <w:r>
              <w:rPr>
                <w:sz w:val="18"/>
              </w:rPr>
              <w:t>±</w:t>
            </w:r>
            <w:r>
              <w:rPr>
                <w:spacing w:val="-2"/>
                <w:sz w:val="18"/>
              </w:rPr>
              <w:t> </w:t>
            </w:r>
            <w:r>
              <w:rPr>
                <w:sz w:val="18"/>
              </w:rPr>
              <w:t>22.5 </w:t>
            </w:r>
            <w:r>
              <w:rPr>
                <w:spacing w:val="-4"/>
                <w:sz w:val="18"/>
              </w:rPr>
              <w:t>days</w:t>
            </w:r>
          </w:p>
          <w:p>
            <w:pPr>
              <w:pStyle w:val="TableParagraph"/>
              <w:rPr>
                <w:sz w:val="18"/>
              </w:rPr>
            </w:pPr>
          </w:p>
          <w:p>
            <w:pPr>
              <w:pStyle w:val="TableParagraph"/>
              <w:spacing w:before="172"/>
              <w:rPr>
                <w:sz w:val="18"/>
              </w:rPr>
            </w:pPr>
          </w:p>
          <w:p>
            <w:pPr>
              <w:pStyle w:val="TableParagraph"/>
              <w:ind w:left="105"/>
              <w:rPr>
                <w:position w:val="5"/>
                <w:sz w:val="12"/>
              </w:rPr>
            </w:pPr>
            <w:r>
              <w:rPr>
                <w:spacing w:val="-4"/>
                <w:sz w:val="18"/>
                <w:u w:val="single"/>
              </w:rPr>
              <w:t>Sex</w:t>
            </w:r>
            <w:r>
              <w:rPr>
                <w:spacing w:val="-4"/>
                <w:position w:val="5"/>
                <w:sz w:val="12"/>
                <w:u w:val="none"/>
              </w:rPr>
              <w:t>2</w:t>
            </w:r>
          </w:p>
          <w:p>
            <w:pPr>
              <w:pStyle w:val="TableParagraph"/>
              <w:spacing w:before="196"/>
              <w:ind w:left="105"/>
              <w:rPr>
                <w:sz w:val="18"/>
              </w:rPr>
            </w:pPr>
            <w:r>
              <w:rPr>
                <w:sz w:val="18"/>
              </w:rPr>
              <w:t>Intervention:</w:t>
            </w:r>
            <w:r>
              <w:rPr>
                <w:spacing w:val="-3"/>
                <w:sz w:val="18"/>
              </w:rPr>
              <w:t> </w:t>
            </w:r>
            <w:r>
              <w:rPr>
                <w:sz w:val="18"/>
              </w:rPr>
              <w:t>58%</w:t>
            </w:r>
            <w:r>
              <w:rPr>
                <w:spacing w:val="-2"/>
                <w:sz w:val="18"/>
              </w:rPr>
              <w:t> </w:t>
            </w:r>
            <w:r>
              <w:rPr>
                <w:spacing w:val="-4"/>
                <w:sz w:val="18"/>
              </w:rPr>
              <w:t>male</w:t>
            </w:r>
          </w:p>
        </w:tc>
        <w:tc>
          <w:tcPr>
            <w:tcW w:w="2494" w:type="dxa"/>
          </w:tcPr>
          <w:p>
            <w:pPr>
              <w:pStyle w:val="TableParagraph"/>
              <w:spacing w:line="218" w:lineRule="exact"/>
              <w:ind w:left="105"/>
              <w:rPr>
                <w:sz w:val="18"/>
              </w:rPr>
            </w:pPr>
            <w:r>
              <w:rPr>
                <w:spacing w:val="-2"/>
                <w:sz w:val="18"/>
                <w:u w:val="single"/>
              </w:rPr>
              <w:t>Intervention</w:t>
            </w:r>
          </w:p>
          <w:p>
            <w:pPr>
              <w:pStyle w:val="TableParagraph"/>
              <w:spacing w:before="195"/>
              <w:ind w:left="105"/>
              <w:rPr>
                <w:sz w:val="18"/>
              </w:rPr>
            </w:pPr>
            <w:r>
              <w:rPr>
                <w:spacing w:val="-2"/>
                <w:sz w:val="18"/>
              </w:rPr>
              <w:t>Clopidogrel/aspirin/clopidogrel</w:t>
            </w:r>
          </w:p>
          <w:p>
            <w:pPr>
              <w:pStyle w:val="TableParagraph"/>
              <w:spacing w:before="35"/>
              <w:ind w:left="105"/>
              <w:rPr>
                <w:sz w:val="18"/>
              </w:rPr>
            </w:pPr>
            <w:r>
              <w:rPr>
                <w:sz w:val="18"/>
              </w:rPr>
              <w:t>+</w:t>
            </w:r>
            <w:r>
              <w:rPr>
                <w:spacing w:val="-1"/>
                <w:sz w:val="18"/>
              </w:rPr>
              <w:t> </w:t>
            </w:r>
            <w:r>
              <w:rPr>
                <w:spacing w:val="-2"/>
                <w:sz w:val="18"/>
              </w:rPr>
              <w:t>aspirin</w:t>
            </w:r>
          </w:p>
          <w:p>
            <w:pPr>
              <w:pStyle w:val="TableParagraph"/>
              <w:rPr>
                <w:sz w:val="18"/>
              </w:rPr>
            </w:pPr>
          </w:p>
          <w:p>
            <w:pPr>
              <w:pStyle w:val="TableParagraph"/>
              <w:spacing w:before="171"/>
              <w:rPr>
                <w:sz w:val="18"/>
              </w:rPr>
            </w:pPr>
          </w:p>
          <w:p>
            <w:pPr>
              <w:pStyle w:val="TableParagraph"/>
              <w:ind w:left="105"/>
              <w:rPr>
                <w:sz w:val="18"/>
              </w:rPr>
            </w:pPr>
            <w:r>
              <w:rPr>
                <w:spacing w:val="-2"/>
                <w:sz w:val="18"/>
                <w:u w:val="single"/>
              </w:rPr>
              <w:t>Control</w:t>
            </w:r>
          </w:p>
          <w:p>
            <w:pPr>
              <w:pStyle w:val="TableParagraph"/>
              <w:spacing w:before="198"/>
              <w:ind w:left="105"/>
              <w:rPr>
                <w:sz w:val="18"/>
              </w:rPr>
            </w:pPr>
            <w:r>
              <w:rPr>
                <w:sz w:val="18"/>
              </w:rPr>
              <w:t>No</w:t>
            </w:r>
            <w:r>
              <w:rPr>
                <w:spacing w:val="-1"/>
                <w:sz w:val="18"/>
              </w:rPr>
              <w:t> </w:t>
            </w:r>
            <w:r>
              <w:rPr>
                <w:spacing w:val="-2"/>
                <w:sz w:val="18"/>
              </w:rPr>
              <w:t>thromboprophylaxis</w:t>
            </w:r>
          </w:p>
        </w:tc>
        <w:tc>
          <w:tcPr>
            <w:tcW w:w="1262" w:type="dxa"/>
          </w:tcPr>
          <w:p>
            <w:pPr>
              <w:pStyle w:val="TableParagraph"/>
              <w:spacing w:line="278" w:lineRule="auto"/>
              <w:ind w:left="105" w:right="5"/>
              <w:rPr>
                <w:position w:val="5"/>
                <w:sz w:val="12"/>
              </w:rPr>
            </w:pPr>
            <w:r>
              <w:rPr>
                <w:spacing w:val="-2"/>
                <w:sz w:val="18"/>
                <w:u w:val="single"/>
              </w:rPr>
              <w:t>Intervention</w:t>
            </w:r>
            <w:r>
              <w:rPr>
                <w:sz w:val="18"/>
                <w:u w:val="none"/>
              </w:rPr>
              <w:t> </w:t>
            </w:r>
            <w:r>
              <w:rPr>
                <w:spacing w:val="-2"/>
                <w:sz w:val="18"/>
                <w:u w:val="single"/>
              </w:rPr>
              <w:t>(median</w:t>
            </w:r>
            <w:r>
              <w:rPr>
                <w:sz w:val="18"/>
                <w:u w:val="none"/>
              </w:rPr>
              <w:t> </w:t>
            </w:r>
            <w:r>
              <w:rPr>
                <w:spacing w:val="-2"/>
                <w:sz w:val="18"/>
                <w:u w:val="single"/>
              </w:rPr>
              <w:t>(range))</w:t>
            </w:r>
            <w:r>
              <w:rPr>
                <w:spacing w:val="-2"/>
                <w:position w:val="5"/>
                <w:sz w:val="12"/>
                <w:u w:val="none"/>
              </w:rPr>
              <w:t>2</w:t>
            </w:r>
          </w:p>
          <w:p>
            <w:pPr>
              <w:pStyle w:val="TableParagraph"/>
              <w:spacing w:before="160"/>
              <w:ind w:left="105"/>
              <w:rPr>
                <w:sz w:val="18"/>
              </w:rPr>
            </w:pPr>
            <w:r>
              <w:rPr>
                <w:sz w:val="18"/>
              </w:rPr>
              <w:t>5.9 (0-</w:t>
            </w:r>
            <w:r>
              <w:rPr>
                <w:spacing w:val="-5"/>
                <w:sz w:val="18"/>
              </w:rPr>
              <w:t>12)</w:t>
            </w:r>
          </w:p>
          <w:p>
            <w:pPr>
              <w:pStyle w:val="TableParagraph"/>
              <w:spacing w:before="35"/>
              <w:ind w:left="105"/>
              <w:rPr>
                <w:sz w:val="18"/>
              </w:rPr>
            </w:pPr>
            <w:r>
              <w:rPr>
                <w:spacing w:val="-2"/>
                <w:sz w:val="18"/>
              </w:rPr>
              <w:t>months</w:t>
            </w:r>
          </w:p>
          <w:p>
            <w:pPr>
              <w:pStyle w:val="TableParagraph"/>
              <w:rPr>
                <w:sz w:val="18"/>
              </w:rPr>
            </w:pPr>
          </w:p>
          <w:p>
            <w:pPr>
              <w:pStyle w:val="TableParagraph"/>
              <w:spacing w:before="171"/>
              <w:rPr>
                <w:sz w:val="18"/>
              </w:rPr>
            </w:pPr>
          </w:p>
          <w:p>
            <w:pPr>
              <w:pStyle w:val="TableParagraph"/>
              <w:ind w:left="105"/>
              <w:rPr>
                <w:position w:val="5"/>
                <w:sz w:val="12"/>
              </w:rPr>
            </w:pPr>
            <w:r>
              <w:rPr>
                <w:spacing w:val="-2"/>
                <w:sz w:val="18"/>
                <w:u w:val="single"/>
              </w:rPr>
              <w:t>Control</w:t>
            </w:r>
            <w:r>
              <w:rPr>
                <w:spacing w:val="-2"/>
                <w:position w:val="5"/>
                <w:sz w:val="12"/>
                <w:u w:val="none"/>
              </w:rPr>
              <w:t>2</w:t>
            </w:r>
          </w:p>
          <w:p>
            <w:pPr>
              <w:pStyle w:val="TableParagraph"/>
              <w:spacing w:before="196"/>
              <w:ind w:left="105"/>
              <w:rPr>
                <w:sz w:val="18"/>
              </w:rPr>
            </w:pPr>
            <w:r>
              <w:rPr>
                <w:sz w:val="18"/>
              </w:rPr>
              <w:t>5.6 (0-</w:t>
            </w:r>
            <w:r>
              <w:rPr>
                <w:spacing w:val="-5"/>
                <w:sz w:val="18"/>
              </w:rPr>
              <w:t>12)</w:t>
            </w:r>
          </w:p>
          <w:p>
            <w:pPr>
              <w:pStyle w:val="TableParagraph"/>
              <w:spacing w:before="37"/>
              <w:ind w:left="105"/>
              <w:rPr>
                <w:sz w:val="18"/>
              </w:rPr>
            </w:pPr>
            <w:r>
              <w:rPr>
                <w:spacing w:val="-2"/>
                <w:sz w:val="18"/>
              </w:rPr>
              <w:t>months</w:t>
            </w:r>
          </w:p>
        </w:tc>
        <w:tc>
          <w:tcPr>
            <w:tcW w:w="2652" w:type="dxa"/>
          </w:tcPr>
          <w:p>
            <w:pPr>
              <w:pStyle w:val="TableParagraph"/>
              <w:spacing w:line="278" w:lineRule="auto"/>
              <w:ind w:left="106" w:right="140"/>
              <w:rPr>
                <w:sz w:val="18"/>
              </w:rPr>
            </w:pPr>
            <w:r>
              <w:rPr>
                <w:b/>
                <w:sz w:val="18"/>
              </w:rPr>
              <w:t>Shunt occlusion</w:t>
            </w:r>
            <w:r>
              <w:rPr>
                <w:sz w:val="18"/>
              </w:rPr>
              <w:t>, confirmed by detection</w:t>
            </w:r>
            <w:r>
              <w:rPr>
                <w:spacing w:val="-7"/>
                <w:sz w:val="18"/>
              </w:rPr>
              <w:t> </w:t>
            </w:r>
            <w:r>
              <w:rPr>
                <w:sz w:val="18"/>
              </w:rPr>
              <w:t>of</w:t>
            </w:r>
            <w:r>
              <w:rPr>
                <w:spacing w:val="-7"/>
                <w:sz w:val="18"/>
              </w:rPr>
              <w:t> </w:t>
            </w:r>
            <w:r>
              <w:rPr>
                <w:sz w:val="18"/>
              </w:rPr>
              <w:t>one</w:t>
            </w:r>
            <w:r>
              <w:rPr>
                <w:spacing w:val="-7"/>
                <w:sz w:val="18"/>
              </w:rPr>
              <w:t> </w:t>
            </w:r>
            <w:r>
              <w:rPr>
                <w:sz w:val="18"/>
              </w:rPr>
              <w:t>or</w:t>
            </w:r>
            <w:r>
              <w:rPr>
                <w:spacing w:val="-6"/>
                <w:sz w:val="18"/>
              </w:rPr>
              <w:t> </w:t>
            </w:r>
            <w:r>
              <w:rPr>
                <w:sz w:val="18"/>
              </w:rPr>
              <w:t>more</w:t>
            </w:r>
            <w:r>
              <w:rPr>
                <w:spacing w:val="-8"/>
                <w:sz w:val="18"/>
              </w:rPr>
              <w:t> </w:t>
            </w:r>
            <w:r>
              <w:rPr>
                <w:sz w:val="18"/>
              </w:rPr>
              <w:t>of</w:t>
            </w:r>
            <w:r>
              <w:rPr>
                <w:spacing w:val="-7"/>
                <w:sz w:val="18"/>
              </w:rPr>
              <w:t> </w:t>
            </w:r>
            <w:r>
              <w:rPr>
                <w:sz w:val="18"/>
              </w:rPr>
              <w:t>the following: decreased murmur and increased cyanosis; impairment of shunt flow observed on Doppler echocardiography, on angiography during surgery, or an MRI or CT after death; or progressive cyanosis requiring urgent shunt revision or a revascularization</w:t>
            </w:r>
            <w:r>
              <w:rPr>
                <w:spacing w:val="-2"/>
                <w:sz w:val="18"/>
              </w:rPr>
              <w:t> </w:t>
            </w:r>
            <w:r>
              <w:rPr>
                <w:sz w:val="18"/>
              </w:rPr>
              <w:t>procedure</w:t>
            </w:r>
          </w:p>
        </w:tc>
        <w:tc>
          <w:tcPr>
            <w:tcW w:w="2640" w:type="dxa"/>
          </w:tcPr>
          <w:p>
            <w:pPr>
              <w:pStyle w:val="TableParagraph"/>
              <w:spacing w:line="278" w:lineRule="auto"/>
              <w:ind w:left="104"/>
              <w:rPr>
                <w:sz w:val="18"/>
              </w:rPr>
            </w:pPr>
            <w:r>
              <w:rPr>
                <w:sz w:val="18"/>
              </w:rPr>
              <w:t>Funding: supported by Sanofi-Aventis</w:t>
            </w:r>
            <w:r>
              <w:rPr>
                <w:spacing w:val="-11"/>
                <w:sz w:val="18"/>
              </w:rPr>
              <w:t> </w:t>
            </w:r>
            <w:r>
              <w:rPr>
                <w:sz w:val="18"/>
              </w:rPr>
              <w:t>and</w:t>
            </w:r>
            <w:r>
              <w:rPr>
                <w:spacing w:val="-10"/>
                <w:sz w:val="18"/>
              </w:rPr>
              <w:t> </w:t>
            </w:r>
            <w:r>
              <w:rPr>
                <w:sz w:val="18"/>
              </w:rPr>
              <w:t>Bristol-Myers</w:t>
            </w:r>
            <w:r>
              <w:rPr>
                <w:spacing w:val="-10"/>
                <w:sz w:val="18"/>
              </w:rPr>
              <w:t> </w:t>
            </w:r>
            <w:r>
              <w:rPr>
                <w:sz w:val="18"/>
              </w:rPr>
              <w:t>Squibb</w:t>
            </w:r>
          </w:p>
          <w:p>
            <w:pPr>
              <w:pStyle w:val="TableParagraph"/>
              <w:rPr>
                <w:sz w:val="18"/>
              </w:rPr>
            </w:pPr>
          </w:p>
          <w:p>
            <w:pPr>
              <w:pStyle w:val="TableParagraph"/>
              <w:spacing w:before="59"/>
              <w:rPr>
                <w:sz w:val="18"/>
              </w:rPr>
            </w:pPr>
          </w:p>
          <w:p>
            <w:pPr>
              <w:pStyle w:val="TableParagraph"/>
              <w:spacing w:line="280" w:lineRule="auto" w:before="1"/>
              <w:ind w:left="104" w:right="170"/>
              <w:rPr>
                <w:sz w:val="18"/>
              </w:rPr>
            </w:pPr>
            <w:r>
              <w:rPr>
                <w:sz w:val="18"/>
              </w:rPr>
              <w:t>Conflicts</w:t>
            </w:r>
            <w:r>
              <w:rPr>
                <w:spacing w:val="-11"/>
                <w:sz w:val="18"/>
              </w:rPr>
              <w:t> </w:t>
            </w:r>
            <w:r>
              <w:rPr>
                <w:sz w:val="18"/>
              </w:rPr>
              <w:t>of</w:t>
            </w:r>
            <w:r>
              <w:rPr>
                <w:spacing w:val="-10"/>
                <w:sz w:val="18"/>
              </w:rPr>
              <w:t> </w:t>
            </w:r>
            <w:r>
              <w:rPr>
                <w:sz w:val="18"/>
              </w:rPr>
              <w:t>interest:</w:t>
            </w:r>
            <w:r>
              <w:rPr>
                <w:spacing w:val="-10"/>
                <w:sz w:val="18"/>
              </w:rPr>
              <w:t> </w:t>
            </w:r>
            <w:r>
              <w:rPr>
                <w:sz w:val="18"/>
              </w:rPr>
              <w:t>not </w:t>
            </w:r>
            <w:r>
              <w:rPr>
                <w:spacing w:val="-2"/>
                <w:sz w:val="18"/>
              </w:rPr>
              <w:t>reported</w:t>
            </w:r>
          </w:p>
        </w:tc>
        <w:tc>
          <w:tcPr>
            <w:tcW w:w="1471" w:type="dxa"/>
          </w:tcPr>
          <w:p>
            <w:pPr>
              <w:pStyle w:val="TableParagraph"/>
              <w:spacing w:line="278" w:lineRule="auto"/>
              <w:ind w:left="107" w:right="229"/>
              <w:rPr>
                <w:sz w:val="18"/>
              </w:rPr>
            </w:pPr>
            <w:r>
              <w:rPr>
                <w:sz w:val="18"/>
              </w:rPr>
              <w:t>Some</w:t>
            </w:r>
            <w:r>
              <w:rPr>
                <w:spacing w:val="-11"/>
                <w:sz w:val="18"/>
              </w:rPr>
              <w:t> </w:t>
            </w:r>
            <w:r>
              <w:rPr>
                <w:sz w:val="18"/>
              </w:rPr>
              <w:t>concerns (all</w:t>
            </w:r>
            <w:r>
              <w:rPr>
                <w:spacing w:val="-2"/>
                <w:sz w:val="18"/>
              </w:rPr>
              <w:t> </w:t>
            </w:r>
            <w:r>
              <w:rPr>
                <w:sz w:val="18"/>
              </w:rPr>
              <w:t>outcomes)</w:t>
            </w:r>
          </w:p>
        </w:tc>
      </w:tr>
    </w:tbl>
    <w:p>
      <w:pPr>
        <w:pStyle w:val="TableParagraph"/>
        <w:spacing w:after="0" w:line="278" w:lineRule="auto"/>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85"/>
        <w:gridCol w:w="2724"/>
        <w:gridCol w:w="2494"/>
        <w:gridCol w:w="1262"/>
        <w:gridCol w:w="2652"/>
        <w:gridCol w:w="2640"/>
        <w:gridCol w:w="1471"/>
      </w:tblGrid>
      <w:tr>
        <w:trPr>
          <w:trHeight w:val="1086" w:hRule="atLeast"/>
        </w:trPr>
        <w:tc>
          <w:tcPr>
            <w:tcW w:w="785" w:type="dxa"/>
          </w:tcPr>
          <w:p>
            <w:pPr>
              <w:pStyle w:val="TableParagraph"/>
              <w:rPr>
                <w:rFonts w:ascii="Times New Roman"/>
                <w:sz w:val="18"/>
              </w:rPr>
            </w:pPr>
          </w:p>
        </w:tc>
        <w:tc>
          <w:tcPr>
            <w:tcW w:w="2724" w:type="dxa"/>
          </w:tcPr>
          <w:p>
            <w:pPr>
              <w:pStyle w:val="TableParagraph"/>
              <w:spacing w:before="194"/>
              <w:rPr>
                <w:sz w:val="18"/>
              </w:rPr>
            </w:pPr>
          </w:p>
          <w:p>
            <w:pPr>
              <w:pStyle w:val="TableParagraph"/>
              <w:spacing w:line="280" w:lineRule="auto"/>
              <w:ind w:left="105" w:right="1882"/>
              <w:rPr>
                <w:sz w:val="18"/>
              </w:rPr>
            </w:pPr>
            <w:r>
              <w:rPr>
                <w:spacing w:val="-2"/>
                <w:sz w:val="18"/>
              </w:rPr>
              <w:t>Control:</w:t>
            </w:r>
            <w:r>
              <w:rPr>
                <w:sz w:val="18"/>
              </w:rPr>
              <w:t> 58%</w:t>
            </w:r>
            <w:r>
              <w:rPr>
                <w:spacing w:val="-11"/>
                <w:sz w:val="18"/>
              </w:rPr>
              <w:t> </w:t>
            </w:r>
            <w:r>
              <w:rPr>
                <w:sz w:val="18"/>
              </w:rPr>
              <w:t>male</w:t>
            </w:r>
          </w:p>
        </w:tc>
        <w:tc>
          <w:tcPr>
            <w:tcW w:w="2494" w:type="dxa"/>
          </w:tcPr>
          <w:p>
            <w:pPr>
              <w:pStyle w:val="TableParagraph"/>
              <w:rPr>
                <w:rFonts w:ascii="Times New Roman"/>
                <w:sz w:val="18"/>
              </w:rPr>
            </w:pPr>
          </w:p>
        </w:tc>
        <w:tc>
          <w:tcPr>
            <w:tcW w:w="1262" w:type="dxa"/>
          </w:tcPr>
          <w:p>
            <w:pPr>
              <w:pStyle w:val="TableParagraph"/>
              <w:rPr>
                <w:rFonts w:ascii="Times New Roman"/>
                <w:sz w:val="18"/>
              </w:rPr>
            </w:pPr>
          </w:p>
        </w:tc>
        <w:tc>
          <w:tcPr>
            <w:tcW w:w="2652" w:type="dxa"/>
          </w:tcPr>
          <w:p>
            <w:pPr>
              <w:pStyle w:val="TableParagraph"/>
              <w:rPr>
                <w:rFonts w:ascii="Times New Roman"/>
                <w:sz w:val="18"/>
              </w:rPr>
            </w:pPr>
          </w:p>
        </w:tc>
        <w:tc>
          <w:tcPr>
            <w:tcW w:w="2640" w:type="dxa"/>
          </w:tcPr>
          <w:p>
            <w:pPr>
              <w:pStyle w:val="TableParagraph"/>
              <w:rPr>
                <w:rFonts w:ascii="Times New Roman"/>
                <w:sz w:val="18"/>
              </w:rPr>
            </w:pPr>
          </w:p>
        </w:tc>
        <w:tc>
          <w:tcPr>
            <w:tcW w:w="1471" w:type="dxa"/>
          </w:tcPr>
          <w:p>
            <w:pPr>
              <w:pStyle w:val="TableParagraph"/>
              <w:rPr>
                <w:rFonts w:ascii="Times New Roman"/>
                <w:sz w:val="18"/>
              </w:rPr>
            </w:pPr>
          </w:p>
        </w:tc>
      </w:tr>
      <w:tr>
        <w:trPr>
          <w:trHeight w:val="414" w:hRule="atLeast"/>
        </w:trPr>
        <w:tc>
          <w:tcPr>
            <w:tcW w:w="14028" w:type="dxa"/>
            <w:gridSpan w:val="7"/>
            <w:shd w:val="clear" w:color="auto" w:fill="D0CECE"/>
          </w:tcPr>
          <w:p>
            <w:pPr>
              <w:pStyle w:val="TableParagraph"/>
              <w:tabs>
                <w:tab w:pos="825" w:val="left" w:leader="none"/>
              </w:tabs>
              <w:spacing w:line="218" w:lineRule="exact"/>
              <w:ind w:left="465"/>
              <w:rPr>
                <w:b/>
                <w:sz w:val="18"/>
              </w:rPr>
            </w:pPr>
            <w:r>
              <w:rPr>
                <w:spacing w:val="-5"/>
                <w:sz w:val="18"/>
              </w:rPr>
              <w:t>2.</w:t>
            </w:r>
            <w:r>
              <w:rPr>
                <w:sz w:val="18"/>
              </w:rPr>
              <w:tab/>
            </w:r>
            <w:r>
              <w:rPr>
                <w:b/>
                <w:sz w:val="18"/>
              </w:rPr>
              <w:t>Studies</w:t>
            </w:r>
            <w:r>
              <w:rPr>
                <w:b/>
                <w:spacing w:val="-7"/>
                <w:sz w:val="18"/>
              </w:rPr>
              <w:t> </w:t>
            </w:r>
            <w:r>
              <w:rPr>
                <w:b/>
                <w:sz w:val="18"/>
              </w:rPr>
              <w:t>comparing</w:t>
            </w:r>
            <w:r>
              <w:rPr>
                <w:b/>
                <w:spacing w:val="-4"/>
                <w:sz w:val="18"/>
              </w:rPr>
              <w:t> </w:t>
            </w:r>
            <w:r>
              <w:rPr>
                <w:b/>
                <w:sz w:val="18"/>
              </w:rPr>
              <w:t>thromboprophylaxis</w:t>
            </w:r>
            <w:r>
              <w:rPr>
                <w:b/>
                <w:spacing w:val="-4"/>
                <w:sz w:val="18"/>
              </w:rPr>
              <w:t> </w:t>
            </w:r>
            <w:r>
              <w:rPr>
                <w:b/>
                <w:sz w:val="18"/>
              </w:rPr>
              <w:t>A</w:t>
            </w:r>
            <w:r>
              <w:rPr>
                <w:b/>
                <w:spacing w:val="-5"/>
                <w:sz w:val="18"/>
              </w:rPr>
              <w:t> </w:t>
            </w:r>
            <w:r>
              <w:rPr>
                <w:b/>
                <w:sz w:val="18"/>
              </w:rPr>
              <w:t>with</w:t>
            </w:r>
            <w:r>
              <w:rPr>
                <w:b/>
                <w:spacing w:val="-3"/>
                <w:sz w:val="18"/>
              </w:rPr>
              <w:t> </w:t>
            </w:r>
            <w:r>
              <w:rPr>
                <w:b/>
                <w:sz w:val="18"/>
              </w:rPr>
              <w:t>thromboprophylaxis</w:t>
            </w:r>
            <w:r>
              <w:rPr>
                <w:b/>
                <w:spacing w:val="-4"/>
                <w:sz w:val="18"/>
              </w:rPr>
              <w:t> </w:t>
            </w:r>
            <w:r>
              <w:rPr>
                <w:b/>
                <w:spacing w:val="-10"/>
                <w:sz w:val="18"/>
              </w:rPr>
              <w:t>B</w:t>
            </w:r>
          </w:p>
        </w:tc>
      </w:tr>
      <w:tr>
        <w:trPr>
          <w:trHeight w:val="7378" w:hRule="atLeast"/>
        </w:trPr>
        <w:tc>
          <w:tcPr>
            <w:tcW w:w="785" w:type="dxa"/>
          </w:tcPr>
          <w:p>
            <w:pPr>
              <w:pStyle w:val="TableParagraph"/>
              <w:spacing w:line="280" w:lineRule="auto"/>
              <w:ind w:left="105" w:right="92"/>
              <w:rPr>
                <w:sz w:val="18"/>
              </w:rPr>
            </w:pPr>
            <w:r>
              <w:rPr>
                <w:spacing w:val="-2"/>
                <w:sz w:val="18"/>
              </w:rPr>
              <w:t>Wessel,</w:t>
            </w:r>
            <w:r>
              <w:rPr>
                <w:sz w:val="18"/>
              </w:rPr>
              <w:t> </w:t>
            </w:r>
            <w:r>
              <w:rPr>
                <w:spacing w:val="-4"/>
                <w:sz w:val="18"/>
              </w:rPr>
              <w:t>2013</w:t>
            </w:r>
          </w:p>
        </w:tc>
        <w:tc>
          <w:tcPr>
            <w:tcW w:w="2724" w:type="dxa"/>
          </w:tcPr>
          <w:p>
            <w:pPr>
              <w:pStyle w:val="TableParagraph"/>
              <w:spacing w:line="456" w:lineRule="auto"/>
              <w:ind w:left="105" w:right="715"/>
              <w:rPr>
                <w:sz w:val="18"/>
              </w:rPr>
            </w:pPr>
            <w:r>
              <w:rPr>
                <w:sz w:val="18"/>
                <w:u w:val="single"/>
              </w:rPr>
              <w:t>N at baseline</w:t>
            </w:r>
            <w:r>
              <w:rPr>
                <w:sz w:val="18"/>
                <w:u w:val="none"/>
              </w:rPr>
              <w:t> Intervention:</w:t>
            </w:r>
            <w:r>
              <w:rPr>
                <w:spacing w:val="-11"/>
                <w:sz w:val="18"/>
                <w:u w:val="none"/>
              </w:rPr>
              <w:t> </w:t>
            </w:r>
            <w:r>
              <w:rPr>
                <w:sz w:val="18"/>
                <w:u w:val="none"/>
              </w:rPr>
              <w:t>N</w:t>
            </w:r>
            <w:r>
              <w:rPr>
                <w:spacing w:val="-10"/>
                <w:sz w:val="18"/>
                <w:u w:val="none"/>
              </w:rPr>
              <w:t> </w:t>
            </w:r>
            <w:r>
              <w:rPr>
                <w:sz w:val="18"/>
                <w:u w:val="none"/>
              </w:rPr>
              <w:t>=</w:t>
            </w:r>
            <w:r>
              <w:rPr>
                <w:spacing w:val="-10"/>
                <w:sz w:val="18"/>
                <w:u w:val="none"/>
              </w:rPr>
              <w:t> </w:t>
            </w:r>
            <w:r>
              <w:rPr>
                <w:sz w:val="18"/>
                <w:u w:val="none"/>
              </w:rPr>
              <w:t>467 Control: N = 439</w:t>
            </w:r>
          </w:p>
          <w:p>
            <w:pPr>
              <w:pStyle w:val="TableParagraph"/>
              <w:spacing w:before="190"/>
              <w:rPr>
                <w:sz w:val="18"/>
              </w:rPr>
            </w:pPr>
          </w:p>
          <w:p>
            <w:pPr>
              <w:pStyle w:val="TableParagraph"/>
              <w:spacing w:line="278" w:lineRule="auto"/>
              <w:ind w:left="105" w:right="399"/>
              <w:rPr>
                <w:sz w:val="18"/>
              </w:rPr>
            </w:pPr>
            <w:r>
              <w:rPr>
                <w:sz w:val="18"/>
                <w:u w:val="single"/>
              </w:rPr>
              <w:t>Age (mean ± SD)</w:t>
            </w:r>
            <w:r>
              <w:rPr>
                <w:position w:val="5"/>
                <w:sz w:val="12"/>
                <w:u w:val="none"/>
              </w:rPr>
              <w:t>2</w:t>
            </w:r>
            <w:r>
              <w:rPr>
                <w:spacing w:val="40"/>
                <w:position w:val="5"/>
                <w:sz w:val="12"/>
                <w:u w:val="none"/>
              </w:rPr>
              <w:t> </w:t>
            </w:r>
            <w:r>
              <w:rPr>
                <w:sz w:val="18"/>
                <w:u w:val="none"/>
              </w:rPr>
              <w:t>Intervention:</w:t>
            </w:r>
            <w:r>
              <w:rPr>
                <w:spacing w:val="-10"/>
                <w:sz w:val="18"/>
                <w:u w:val="none"/>
              </w:rPr>
              <w:t> </w:t>
            </w:r>
            <w:r>
              <w:rPr>
                <w:sz w:val="18"/>
                <w:u w:val="none"/>
              </w:rPr>
              <w:t>36.1</w:t>
            </w:r>
            <w:r>
              <w:rPr>
                <w:spacing w:val="-10"/>
                <w:sz w:val="18"/>
                <w:u w:val="none"/>
              </w:rPr>
              <w:t> </w:t>
            </w:r>
            <w:r>
              <w:rPr>
                <w:sz w:val="18"/>
                <w:u w:val="none"/>
              </w:rPr>
              <w:t>±</w:t>
            </w:r>
            <w:r>
              <w:rPr>
                <w:spacing w:val="-10"/>
                <w:sz w:val="18"/>
                <w:u w:val="none"/>
              </w:rPr>
              <w:t> </w:t>
            </w:r>
            <w:r>
              <w:rPr>
                <w:sz w:val="18"/>
                <w:u w:val="none"/>
              </w:rPr>
              <w:t>22.3</w:t>
            </w:r>
            <w:r>
              <w:rPr>
                <w:spacing w:val="-10"/>
                <w:sz w:val="18"/>
                <w:u w:val="none"/>
              </w:rPr>
              <w:t> </w:t>
            </w:r>
            <w:r>
              <w:rPr>
                <w:sz w:val="18"/>
                <w:u w:val="none"/>
              </w:rPr>
              <w:t>days</w:t>
            </w:r>
          </w:p>
          <w:p>
            <w:pPr>
              <w:pStyle w:val="TableParagraph"/>
              <w:spacing w:before="160"/>
              <w:ind w:left="105"/>
              <w:rPr>
                <w:sz w:val="18"/>
              </w:rPr>
            </w:pPr>
            <w:r>
              <w:rPr>
                <w:sz w:val="18"/>
              </w:rPr>
              <w:t>Control:</w:t>
            </w:r>
            <w:r>
              <w:rPr>
                <w:spacing w:val="-3"/>
                <w:sz w:val="18"/>
              </w:rPr>
              <w:t> </w:t>
            </w:r>
            <w:r>
              <w:rPr>
                <w:sz w:val="18"/>
              </w:rPr>
              <w:t>36.0</w:t>
            </w:r>
            <w:r>
              <w:rPr>
                <w:spacing w:val="-1"/>
                <w:sz w:val="18"/>
              </w:rPr>
              <w:t> </w:t>
            </w:r>
            <w:r>
              <w:rPr>
                <w:sz w:val="18"/>
              </w:rPr>
              <w:t>±</w:t>
            </w:r>
            <w:r>
              <w:rPr>
                <w:spacing w:val="-2"/>
                <w:sz w:val="18"/>
              </w:rPr>
              <w:t> </w:t>
            </w:r>
            <w:r>
              <w:rPr>
                <w:sz w:val="18"/>
              </w:rPr>
              <w:t>22.5 </w:t>
            </w:r>
            <w:r>
              <w:rPr>
                <w:spacing w:val="-4"/>
                <w:sz w:val="18"/>
              </w:rPr>
              <w:t>days</w:t>
            </w:r>
          </w:p>
          <w:p>
            <w:pPr>
              <w:pStyle w:val="TableParagraph"/>
              <w:rPr>
                <w:sz w:val="18"/>
              </w:rPr>
            </w:pPr>
          </w:p>
          <w:p>
            <w:pPr>
              <w:pStyle w:val="TableParagraph"/>
              <w:spacing w:before="173"/>
              <w:rPr>
                <w:sz w:val="18"/>
              </w:rPr>
            </w:pPr>
          </w:p>
          <w:p>
            <w:pPr>
              <w:pStyle w:val="TableParagraph"/>
              <w:ind w:left="105"/>
              <w:rPr>
                <w:sz w:val="18"/>
              </w:rPr>
            </w:pPr>
            <w:r>
              <w:rPr>
                <w:spacing w:val="-5"/>
                <w:sz w:val="18"/>
                <w:u w:val="single"/>
              </w:rPr>
              <w:t>Sex</w:t>
            </w:r>
          </w:p>
          <w:p>
            <w:pPr>
              <w:pStyle w:val="TableParagraph"/>
              <w:spacing w:before="196"/>
              <w:ind w:left="105"/>
              <w:rPr>
                <w:sz w:val="18"/>
              </w:rPr>
            </w:pPr>
            <w:r>
              <w:rPr>
                <w:sz w:val="18"/>
              </w:rPr>
              <w:t>Intervention:</w:t>
            </w:r>
            <w:r>
              <w:rPr>
                <w:spacing w:val="-3"/>
                <w:sz w:val="18"/>
              </w:rPr>
              <w:t> </w:t>
            </w:r>
            <w:r>
              <w:rPr>
                <w:sz w:val="18"/>
              </w:rPr>
              <w:t>58%</w:t>
            </w:r>
            <w:r>
              <w:rPr>
                <w:spacing w:val="-2"/>
                <w:sz w:val="18"/>
              </w:rPr>
              <w:t> </w:t>
            </w:r>
            <w:r>
              <w:rPr>
                <w:spacing w:val="-4"/>
                <w:sz w:val="18"/>
              </w:rPr>
              <w:t>male</w:t>
            </w:r>
          </w:p>
          <w:p>
            <w:pPr>
              <w:pStyle w:val="TableParagraph"/>
              <w:rPr>
                <w:sz w:val="18"/>
              </w:rPr>
            </w:pPr>
          </w:p>
          <w:p>
            <w:pPr>
              <w:pStyle w:val="TableParagraph"/>
              <w:spacing w:before="171"/>
              <w:rPr>
                <w:sz w:val="18"/>
              </w:rPr>
            </w:pPr>
          </w:p>
          <w:p>
            <w:pPr>
              <w:pStyle w:val="TableParagraph"/>
              <w:spacing w:line="278" w:lineRule="auto" w:before="1"/>
              <w:ind w:left="105" w:right="1882"/>
              <w:rPr>
                <w:sz w:val="18"/>
              </w:rPr>
            </w:pPr>
            <w:r>
              <w:rPr>
                <w:spacing w:val="-2"/>
                <w:sz w:val="18"/>
              </w:rPr>
              <w:t>Control:</w:t>
            </w:r>
            <w:r>
              <w:rPr>
                <w:sz w:val="18"/>
              </w:rPr>
              <w:t> 58%</w:t>
            </w:r>
            <w:r>
              <w:rPr>
                <w:spacing w:val="-11"/>
                <w:sz w:val="18"/>
              </w:rPr>
              <w:t> </w:t>
            </w:r>
            <w:r>
              <w:rPr>
                <w:sz w:val="18"/>
              </w:rPr>
              <w:t>male</w:t>
            </w:r>
          </w:p>
        </w:tc>
        <w:tc>
          <w:tcPr>
            <w:tcW w:w="2494" w:type="dxa"/>
          </w:tcPr>
          <w:p>
            <w:pPr>
              <w:pStyle w:val="TableParagraph"/>
              <w:spacing w:line="218" w:lineRule="exact"/>
              <w:ind w:left="105"/>
              <w:rPr>
                <w:sz w:val="18"/>
              </w:rPr>
            </w:pPr>
            <w:r>
              <w:rPr>
                <w:spacing w:val="-2"/>
                <w:sz w:val="18"/>
                <w:u w:val="single"/>
              </w:rPr>
              <w:t>Intervention</w:t>
            </w:r>
          </w:p>
          <w:p>
            <w:pPr>
              <w:pStyle w:val="TableParagraph"/>
              <w:spacing w:line="278" w:lineRule="auto" w:before="198"/>
              <w:ind w:left="105"/>
              <w:rPr>
                <w:sz w:val="18"/>
              </w:rPr>
            </w:pPr>
            <w:r>
              <w:rPr>
                <w:sz w:val="18"/>
              </w:rPr>
              <w:t>Clopidogrel</w:t>
            </w:r>
            <w:r>
              <w:rPr>
                <w:spacing w:val="-11"/>
                <w:sz w:val="18"/>
              </w:rPr>
              <w:t> </w:t>
            </w:r>
            <w:r>
              <w:rPr>
                <w:sz w:val="18"/>
              </w:rPr>
              <w:t>(+</w:t>
            </w:r>
            <w:r>
              <w:rPr>
                <w:spacing w:val="-10"/>
                <w:sz w:val="18"/>
              </w:rPr>
              <w:t> </w:t>
            </w:r>
            <w:r>
              <w:rPr>
                <w:sz w:val="18"/>
              </w:rPr>
              <w:t>concomitant aspirin in 83% of patients)</w:t>
            </w:r>
          </w:p>
          <w:p>
            <w:pPr>
              <w:pStyle w:val="TableParagraph"/>
              <w:rPr>
                <w:sz w:val="18"/>
              </w:rPr>
            </w:pPr>
          </w:p>
          <w:p>
            <w:pPr>
              <w:pStyle w:val="TableParagraph"/>
              <w:spacing w:before="136"/>
              <w:rPr>
                <w:sz w:val="18"/>
              </w:rPr>
            </w:pPr>
          </w:p>
          <w:p>
            <w:pPr>
              <w:pStyle w:val="TableParagraph"/>
              <w:ind w:left="105"/>
              <w:rPr>
                <w:sz w:val="18"/>
              </w:rPr>
            </w:pPr>
            <w:r>
              <w:rPr>
                <w:spacing w:val="-2"/>
                <w:sz w:val="18"/>
                <w:u w:val="single"/>
              </w:rPr>
              <w:t>Control</w:t>
            </w:r>
          </w:p>
          <w:p>
            <w:pPr>
              <w:pStyle w:val="TableParagraph"/>
              <w:spacing w:line="280" w:lineRule="auto" w:before="195"/>
              <w:ind w:left="105" w:right="32"/>
              <w:rPr>
                <w:sz w:val="18"/>
              </w:rPr>
            </w:pPr>
            <w:r>
              <w:rPr>
                <w:sz w:val="18"/>
              </w:rPr>
              <w:t>Placebo</w:t>
            </w:r>
            <w:r>
              <w:rPr>
                <w:spacing w:val="-11"/>
                <w:sz w:val="18"/>
              </w:rPr>
              <w:t> </w:t>
            </w:r>
            <w:r>
              <w:rPr>
                <w:sz w:val="18"/>
              </w:rPr>
              <w:t>(+</w:t>
            </w:r>
            <w:r>
              <w:rPr>
                <w:spacing w:val="-10"/>
                <w:sz w:val="18"/>
              </w:rPr>
              <w:t> </w:t>
            </w:r>
            <w:r>
              <w:rPr>
                <w:sz w:val="18"/>
              </w:rPr>
              <w:t>concomitant</w:t>
            </w:r>
            <w:r>
              <w:rPr>
                <w:spacing w:val="-10"/>
                <w:sz w:val="18"/>
              </w:rPr>
              <w:t> </w:t>
            </w:r>
            <w:r>
              <w:rPr>
                <w:sz w:val="18"/>
              </w:rPr>
              <w:t>aspirin in 85% of patients)</w:t>
            </w:r>
          </w:p>
        </w:tc>
        <w:tc>
          <w:tcPr>
            <w:tcW w:w="1262" w:type="dxa"/>
          </w:tcPr>
          <w:p>
            <w:pPr>
              <w:pStyle w:val="TableParagraph"/>
              <w:spacing w:line="278" w:lineRule="auto"/>
              <w:ind w:left="105" w:right="5"/>
              <w:rPr>
                <w:sz w:val="18"/>
              </w:rPr>
            </w:pPr>
            <w:r>
              <w:rPr>
                <w:spacing w:val="-2"/>
                <w:sz w:val="18"/>
                <w:u w:val="single"/>
              </w:rPr>
              <w:t>Intervention</w:t>
            </w:r>
            <w:r>
              <w:rPr>
                <w:sz w:val="18"/>
                <w:u w:val="none"/>
              </w:rPr>
              <w:t> </w:t>
            </w:r>
            <w:r>
              <w:rPr>
                <w:spacing w:val="-2"/>
                <w:sz w:val="18"/>
                <w:u w:val="single"/>
              </w:rPr>
              <w:t>(median</w:t>
            </w:r>
            <w:r>
              <w:rPr>
                <w:sz w:val="18"/>
                <w:u w:val="none"/>
              </w:rPr>
              <w:t> </w:t>
            </w:r>
            <w:r>
              <w:rPr>
                <w:spacing w:val="-2"/>
                <w:sz w:val="18"/>
                <w:u w:val="single"/>
              </w:rPr>
              <w:t>(range))</w:t>
            </w:r>
          </w:p>
          <w:p>
            <w:pPr>
              <w:pStyle w:val="TableParagraph"/>
              <w:spacing w:before="161"/>
              <w:ind w:left="105"/>
              <w:rPr>
                <w:sz w:val="18"/>
              </w:rPr>
            </w:pPr>
            <w:r>
              <w:rPr>
                <w:sz w:val="18"/>
              </w:rPr>
              <w:t>5.9 (0-</w:t>
            </w:r>
            <w:r>
              <w:rPr>
                <w:spacing w:val="-5"/>
                <w:sz w:val="18"/>
              </w:rPr>
              <w:t>12)</w:t>
            </w:r>
          </w:p>
          <w:p>
            <w:pPr>
              <w:pStyle w:val="TableParagraph"/>
              <w:spacing w:before="37"/>
              <w:ind w:left="105"/>
              <w:rPr>
                <w:sz w:val="18"/>
              </w:rPr>
            </w:pPr>
            <w:r>
              <w:rPr>
                <w:spacing w:val="-2"/>
                <w:sz w:val="18"/>
              </w:rPr>
              <w:t>months</w:t>
            </w:r>
          </w:p>
          <w:p>
            <w:pPr>
              <w:pStyle w:val="TableParagraph"/>
              <w:rPr>
                <w:sz w:val="18"/>
              </w:rPr>
            </w:pPr>
          </w:p>
          <w:p>
            <w:pPr>
              <w:pStyle w:val="TableParagraph"/>
              <w:spacing w:before="171"/>
              <w:rPr>
                <w:sz w:val="18"/>
              </w:rPr>
            </w:pPr>
          </w:p>
          <w:p>
            <w:pPr>
              <w:pStyle w:val="TableParagraph"/>
              <w:ind w:left="105"/>
              <w:rPr>
                <w:sz w:val="18"/>
              </w:rPr>
            </w:pPr>
            <w:r>
              <w:rPr>
                <w:spacing w:val="-2"/>
                <w:sz w:val="18"/>
                <w:u w:val="single"/>
              </w:rPr>
              <w:t>Control</w:t>
            </w:r>
          </w:p>
          <w:p>
            <w:pPr>
              <w:pStyle w:val="TableParagraph"/>
              <w:spacing w:before="196"/>
              <w:ind w:left="105"/>
              <w:rPr>
                <w:sz w:val="18"/>
              </w:rPr>
            </w:pPr>
            <w:r>
              <w:rPr>
                <w:sz w:val="18"/>
              </w:rPr>
              <w:t>5.6 (0-</w:t>
            </w:r>
            <w:r>
              <w:rPr>
                <w:spacing w:val="-5"/>
                <w:sz w:val="18"/>
              </w:rPr>
              <w:t>12)</w:t>
            </w:r>
          </w:p>
          <w:p>
            <w:pPr>
              <w:pStyle w:val="TableParagraph"/>
              <w:spacing w:before="37"/>
              <w:ind w:left="105"/>
              <w:rPr>
                <w:sz w:val="18"/>
              </w:rPr>
            </w:pPr>
            <w:r>
              <w:rPr>
                <w:spacing w:val="-2"/>
                <w:sz w:val="18"/>
              </w:rPr>
              <w:t>months</w:t>
            </w:r>
          </w:p>
        </w:tc>
        <w:tc>
          <w:tcPr>
            <w:tcW w:w="2652" w:type="dxa"/>
          </w:tcPr>
          <w:p>
            <w:pPr>
              <w:pStyle w:val="TableParagraph"/>
              <w:spacing w:line="278" w:lineRule="auto"/>
              <w:ind w:left="106" w:right="140"/>
              <w:rPr>
                <w:sz w:val="18"/>
              </w:rPr>
            </w:pPr>
            <w:r>
              <w:rPr>
                <w:b/>
                <w:sz w:val="18"/>
              </w:rPr>
              <w:t>Shunt occlusion</w:t>
            </w:r>
            <w:r>
              <w:rPr>
                <w:sz w:val="18"/>
              </w:rPr>
              <w:t>, confirmed by detection</w:t>
            </w:r>
            <w:r>
              <w:rPr>
                <w:spacing w:val="-7"/>
                <w:sz w:val="18"/>
              </w:rPr>
              <w:t> </w:t>
            </w:r>
            <w:r>
              <w:rPr>
                <w:sz w:val="18"/>
              </w:rPr>
              <w:t>of</w:t>
            </w:r>
            <w:r>
              <w:rPr>
                <w:spacing w:val="-7"/>
                <w:sz w:val="18"/>
              </w:rPr>
              <w:t> </w:t>
            </w:r>
            <w:r>
              <w:rPr>
                <w:sz w:val="18"/>
              </w:rPr>
              <w:t>one</w:t>
            </w:r>
            <w:r>
              <w:rPr>
                <w:spacing w:val="-7"/>
                <w:sz w:val="18"/>
              </w:rPr>
              <w:t> </w:t>
            </w:r>
            <w:r>
              <w:rPr>
                <w:sz w:val="18"/>
              </w:rPr>
              <w:t>or</w:t>
            </w:r>
            <w:r>
              <w:rPr>
                <w:spacing w:val="-6"/>
                <w:sz w:val="18"/>
              </w:rPr>
              <w:t> </w:t>
            </w:r>
            <w:r>
              <w:rPr>
                <w:sz w:val="18"/>
              </w:rPr>
              <w:t>more</w:t>
            </w:r>
            <w:r>
              <w:rPr>
                <w:spacing w:val="-8"/>
                <w:sz w:val="18"/>
              </w:rPr>
              <w:t> </w:t>
            </w:r>
            <w:r>
              <w:rPr>
                <w:sz w:val="18"/>
              </w:rPr>
              <w:t>of</w:t>
            </w:r>
            <w:r>
              <w:rPr>
                <w:spacing w:val="-7"/>
                <w:sz w:val="18"/>
              </w:rPr>
              <w:t> </w:t>
            </w:r>
            <w:r>
              <w:rPr>
                <w:sz w:val="18"/>
              </w:rPr>
              <w:t>the following: decreased murmur and increased cyanosis; impairment of shunt flow observed on Doppler echocardiography, on angiography during surgery, or an MRI or CT after death; or progressive cyanosis requiring urgent shunt revision or a revascularization</w:t>
            </w:r>
            <w:r>
              <w:rPr>
                <w:spacing w:val="-2"/>
                <w:sz w:val="18"/>
              </w:rPr>
              <w:t> </w:t>
            </w:r>
            <w:r>
              <w:rPr>
                <w:sz w:val="18"/>
              </w:rPr>
              <w:t>procedure</w:t>
            </w:r>
          </w:p>
          <w:p>
            <w:pPr>
              <w:pStyle w:val="TableParagraph"/>
              <w:rPr>
                <w:sz w:val="18"/>
              </w:rPr>
            </w:pPr>
          </w:p>
          <w:p>
            <w:pPr>
              <w:pStyle w:val="TableParagraph"/>
              <w:spacing w:before="68"/>
              <w:rPr>
                <w:sz w:val="18"/>
              </w:rPr>
            </w:pPr>
          </w:p>
          <w:p>
            <w:pPr>
              <w:pStyle w:val="TableParagraph"/>
              <w:ind w:left="106"/>
              <w:rPr>
                <w:b/>
                <w:sz w:val="18"/>
              </w:rPr>
            </w:pPr>
            <w:r>
              <w:rPr>
                <w:b/>
                <w:sz w:val="18"/>
              </w:rPr>
              <w:t>(Gastrointestinal)</w:t>
            </w:r>
            <w:r>
              <w:rPr>
                <w:b/>
                <w:spacing w:val="-8"/>
                <w:sz w:val="18"/>
              </w:rPr>
              <w:t> </w:t>
            </w:r>
            <w:r>
              <w:rPr>
                <w:b/>
                <w:spacing w:val="-2"/>
                <w:sz w:val="18"/>
              </w:rPr>
              <w:t>hemorrhage</w:t>
            </w:r>
          </w:p>
          <w:p>
            <w:pPr>
              <w:pStyle w:val="TableParagraph"/>
              <w:rPr>
                <w:sz w:val="18"/>
              </w:rPr>
            </w:pPr>
          </w:p>
          <w:p>
            <w:pPr>
              <w:pStyle w:val="TableParagraph"/>
              <w:spacing w:before="96"/>
              <w:rPr>
                <w:sz w:val="18"/>
              </w:rPr>
            </w:pPr>
          </w:p>
          <w:p>
            <w:pPr>
              <w:pStyle w:val="TableParagraph"/>
              <w:spacing w:before="1"/>
              <w:ind w:left="106"/>
              <w:rPr>
                <w:b/>
                <w:sz w:val="18"/>
              </w:rPr>
            </w:pPr>
            <w:r>
              <w:rPr>
                <w:b/>
                <w:spacing w:val="-2"/>
                <w:sz w:val="18"/>
              </w:rPr>
              <w:t>Mortality</w:t>
            </w:r>
          </w:p>
          <w:p>
            <w:pPr>
              <w:pStyle w:val="TableParagraph"/>
              <w:rPr>
                <w:sz w:val="18"/>
              </w:rPr>
            </w:pPr>
          </w:p>
          <w:p>
            <w:pPr>
              <w:pStyle w:val="TableParagraph"/>
              <w:spacing w:before="96"/>
              <w:rPr>
                <w:sz w:val="18"/>
              </w:rPr>
            </w:pPr>
          </w:p>
          <w:p>
            <w:pPr>
              <w:pStyle w:val="TableParagraph"/>
              <w:spacing w:line="278" w:lineRule="auto"/>
              <w:ind w:left="106" w:right="140"/>
              <w:rPr>
                <w:sz w:val="18"/>
              </w:rPr>
            </w:pPr>
            <w:r>
              <w:rPr>
                <w:b/>
                <w:sz w:val="18"/>
              </w:rPr>
              <w:t>Adverse events </w:t>
            </w:r>
            <w:r>
              <w:rPr>
                <w:sz w:val="18"/>
              </w:rPr>
              <w:t>(including bleeding</w:t>
            </w:r>
            <w:r>
              <w:rPr>
                <w:spacing w:val="-7"/>
                <w:sz w:val="18"/>
              </w:rPr>
              <w:t> </w:t>
            </w:r>
            <w:r>
              <w:rPr>
                <w:sz w:val="18"/>
              </w:rPr>
              <w:t>events,</w:t>
            </w:r>
            <w:r>
              <w:rPr>
                <w:spacing w:val="-6"/>
                <w:sz w:val="18"/>
              </w:rPr>
              <w:t> </w:t>
            </w:r>
            <w:r>
              <w:rPr>
                <w:sz w:val="18"/>
              </w:rPr>
              <w:t>infections</w:t>
            </w:r>
            <w:r>
              <w:rPr>
                <w:spacing w:val="-7"/>
                <w:sz w:val="18"/>
              </w:rPr>
              <w:t> </w:t>
            </w:r>
            <w:r>
              <w:rPr>
                <w:sz w:val="18"/>
              </w:rPr>
              <w:t>and infestations, gastrointestinal disorders,</w:t>
            </w:r>
            <w:r>
              <w:rPr>
                <w:spacing w:val="-11"/>
                <w:sz w:val="18"/>
              </w:rPr>
              <w:t> </w:t>
            </w:r>
            <w:r>
              <w:rPr>
                <w:sz w:val="18"/>
              </w:rPr>
              <w:t>respiratory,</w:t>
            </w:r>
            <w:r>
              <w:rPr>
                <w:spacing w:val="-10"/>
                <w:sz w:val="18"/>
              </w:rPr>
              <w:t> </w:t>
            </w:r>
            <w:r>
              <w:rPr>
                <w:sz w:val="18"/>
              </w:rPr>
              <w:t>thoracic, and mediastinal disorders, cardiac disorders, injury, poisoning, and procedural complications, skin and</w:t>
            </w:r>
          </w:p>
          <w:p>
            <w:pPr>
              <w:pStyle w:val="TableParagraph"/>
              <w:spacing w:before="7"/>
              <w:ind w:left="106"/>
              <w:rPr>
                <w:sz w:val="18"/>
              </w:rPr>
            </w:pPr>
            <w:r>
              <w:rPr>
                <w:sz w:val="18"/>
              </w:rPr>
              <w:t>subcutaneous</w:t>
            </w:r>
            <w:r>
              <w:rPr>
                <w:spacing w:val="-4"/>
                <w:sz w:val="18"/>
              </w:rPr>
              <w:t> </w:t>
            </w:r>
            <w:r>
              <w:rPr>
                <w:sz w:val="18"/>
              </w:rPr>
              <w:t>tissue</w:t>
            </w:r>
            <w:r>
              <w:rPr>
                <w:spacing w:val="-4"/>
                <w:sz w:val="18"/>
              </w:rPr>
              <w:t> </w:t>
            </w:r>
            <w:r>
              <w:rPr>
                <w:spacing w:val="-2"/>
                <w:sz w:val="18"/>
              </w:rPr>
              <w:t>disorders,</w:t>
            </w:r>
          </w:p>
        </w:tc>
        <w:tc>
          <w:tcPr>
            <w:tcW w:w="2640" w:type="dxa"/>
          </w:tcPr>
          <w:p>
            <w:pPr>
              <w:pStyle w:val="TableParagraph"/>
              <w:spacing w:line="280" w:lineRule="auto"/>
              <w:ind w:left="104"/>
              <w:rPr>
                <w:sz w:val="18"/>
              </w:rPr>
            </w:pPr>
            <w:r>
              <w:rPr>
                <w:sz w:val="18"/>
              </w:rPr>
              <w:t>Funding: supported by Sanofi-Aventis</w:t>
            </w:r>
            <w:r>
              <w:rPr>
                <w:spacing w:val="-3"/>
                <w:sz w:val="18"/>
              </w:rPr>
              <w:t> </w:t>
            </w:r>
            <w:r>
              <w:rPr>
                <w:sz w:val="18"/>
              </w:rPr>
              <w:t>and</w:t>
            </w:r>
            <w:r>
              <w:rPr>
                <w:spacing w:val="-3"/>
                <w:sz w:val="18"/>
              </w:rPr>
              <w:t> </w:t>
            </w:r>
            <w:r>
              <w:rPr>
                <w:sz w:val="18"/>
              </w:rPr>
              <w:t>Bristol-Myers</w:t>
            </w:r>
            <w:r>
              <w:rPr>
                <w:spacing w:val="-3"/>
                <w:sz w:val="18"/>
              </w:rPr>
              <w:t> </w:t>
            </w:r>
            <w:r>
              <w:rPr>
                <w:spacing w:val="-2"/>
                <w:sz w:val="18"/>
              </w:rPr>
              <w:t>Squibb</w:t>
            </w:r>
          </w:p>
          <w:p>
            <w:pPr>
              <w:pStyle w:val="TableParagraph"/>
              <w:rPr>
                <w:sz w:val="18"/>
              </w:rPr>
            </w:pPr>
          </w:p>
          <w:p>
            <w:pPr>
              <w:pStyle w:val="TableParagraph"/>
              <w:spacing w:before="58"/>
              <w:rPr>
                <w:sz w:val="18"/>
              </w:rPr>
            </w:pPr>
          </w:p>
          <w:p>
            <w:pPr>
              <w:pStyle w:val="TableParagraph"/>
              <w:spacing w:line="278" w:lineRule="auto"/>
              <w:ind w:left="104" w:right="92"/>
              <w:rPr>
                <w:sz w:val="18"/>
              </w:rPr>
            </w:pPr>
            <w:r>
              <w:rPr>
                <w:sz w:val="18"/>
              </w:rPr>
              <w:t>Conflicts</w:t>
            </w:r>
            <w:r>
              <w:rPr>
                <w:spacing w:val="-11"/>
                <w:sz w:val="18"/>
              </w:rPr>
              <w:t> </w:t>
            </w:r>
            <w:r>
              <w:rPr>
                <w:sz w:val="18"/>
              </w:rPr>
              <w:t>of</w:t>
            </w:r>
            <w:r>
              <w:rPr>
                <w:spacing w:val="-10"/>
                <w:sz w:val="18"/>
              </w:rPr>
              <w:t> </w:t>
            </w:r>
            <w:r>
              <w:rPr>
                <w:sz w:val="18"/>
              </w:rPr>
              <w:t>interest:</w:t>
            </w:r>
            <w:r>
              <w:rPr>
                <w:spacing w:val="-9"/>
                <w:sz w:val="18"/>
              </w:rPr>
              <w:t> </w:t>
            </w:r>
            <w:r>
              <w:rPr>
                <w:sz w:val="18"/>
              </w:rPr>
              <w:t>please</w:t>
            </w:r>
            <w:r>
              <w:rPr>
                <w:spacing w:val="-10"/>
                <w:sz w:val="18"/>
              </w:rPr>
              <w:t> </w:t>
            </w:r>
            <w:r>
              <w:rPr>
                <w:sz w:val="18"/>
              </w:rPr>
              <w:t>refer to full text at NEJM.org</w:t>
            </w:r>
          </w:p>
        </w:tc>
        <w:tc>
          <w:tcPr>
            <w:tcW w:w="1471" w:type="dxa"/>
          </w:tcPr>
          <w:p>
            <w:pPr>
              <w:pStyle w:val="TableParagraph"/>
              <w:spacing w:line="280" w:lineRule="auto"/>
              <w:ind w:left="107" w:right="229"/>
              <w:rPr>
                <w:sz w:val="18"/>
              </w:rPr>
            </w:pPr>
            <w:r>
              <w:rPr>
                <w:sz w:val="18"/>
              </w:rPr>
              <w:t>Some</w:t>
            </w:r>
            <w:r>
              <w:rPr>
                <w:spacing w:val="-11"/>
                <w:sz w:val="18"/>
              </w:rPr>
              <w:t> </w:t>
            </w:r>
            <w:r>
              <w:rPr>
                <w:sz w:val="18"/>
              </w:rPr>
              <w:t>concerns (all</w:t>
            </w:r>
            <w:r>
              <w:rPr>
                <w:spacing w:val="-2"/>
                <w:sz w:val="18"/>
              </w:rPr>
              <w:t> </w:t>
            </w:r>
            <w:r>
              <w:rPr>
                <w:sz w:val="18"/>
              </w:rPr>
              <w:t>outcomes)</w:t>
            </w:r>
          </w:p>
        </w:tc>
      </w:tr>
    </w:tbl>
    <w:p>
      <w:pPr>
        <w:pStyle w:val="TableParagraph"/>
        <w:spacing w:after="0" w:line="280" w:lineRule="auto"/>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85"/>
        <w:gridCol w:w="2724"/>
        <w:gridCol w:w="2494"/>
        <w:gridCol w:w="1262"/>
        <w:gridCol w:w="2652"/>
        <w:gridCol w:w="2640"/>
        <w:gridCol w:w="1471"/>
      </w:tblGrid>
      <w:tr>
        <w:trPr>
          <w:trHeight w:val="2205" w:hRule="atLeast"/>
        </w:trPr>
        <w:tc>
          <w:tcPr>
            <w:tcW w:w="785" w:type="dxa"/>
          </w:tcPr>
          <w:p>
            <w:pPr>
              <w:pStyle w:val="TableParagraph"/>
              <w:rPr>
                <w:rFonts w:ascii="Times New Roman"/>
                <w:sz w:val="18"/>
              </w:rPr>
            </w:pPr>
          </w:p>
        </w:tc>
        <w:tc>
          <w:tcPr>
            <w:tcW w:w="2724" w:type="dxa"/>
          </w:tcPr>
          <w:p>
            <w:pPr>
              <w:pStyle w:val="TableParagraph"/>
              <w:rPr>
                <w:rFonts w:ascii="Times New Roman"/>
                <w:sz w:val="18"/>
              </w:rPr>
            </w:pPr>
          </w:p>
        </w:tc>
        <w:tc>
          <w:tcPr>
            <w:tcW w:w="2494" w:type="dxa"/>
          </w:tcPr>
          <w:p>
            <w:pPr>
              <w:pStyle w:val="TableParagraph"/>
              <w:rPr>
                <w:rFonts w:ascii="Times New Roman"/>
                <w:sz w:val="18"/>
              </w:rPr>
            </w:pPr>
          </w:p>
        </w:tc>
        <w:tc>
          <w:tcPr>
            <w:tcW w:w="1262" w:type="dxa"/>
          </w:tcPr>
          <w:p>
            <w:pPr>
              <w:pStyle w:val="TableParagraph"/>
              <w:rPr>
                <w:rFonts w:ascii="Times New Roman"/>
                <w:sz w:val="18"/>
              </w:rPr>
            </w:pPr>
          </w:p>
        </w:tc>
        <w:tc>
          <w:tcPr>
            <w:tcW w:w="2652" w:type="dxa"/>
          </w:tcPr>
          <w:p>
            <w:pPr>
              <w:pStyle w:val="TableParagraph"/>
              <w:spacing w:line="278" w:lineRule="auto"/>
              <w:ind w:left="106"/>
              <w:rPr>
                <w:sz w:val="18"/>
              </w:rPr>
            </w:pPr>
            <w:r>
              <w:rPr>
                <w:sz w:val="18"/>
              </w:rPr>
              <w:t>general disorders and administration</w:t>
            </w:r>
            <w:r>
              <w:rPr>
                <w:spacing w:val="-1"/>
                <w:sz w:val="18"/>
              </w:rPr>
              <w:t> </w:t>
            </w:r>
            <w:r>
              <w:rPr>
                <w:sz w:val="18"/>
              </w:rPr>
              <w:t>site</w:t>
            </w:r>
            <w:r>
              <w:rPr>
                <w:spacing w:val="-2"/>
                <w:sz w:val="18"/>
              </w:rPr>
              <w:t> </w:t>
            </w:r>
            <w:r>
              <w:rPr>
                <w:sz w:val="18"/>
              </w:rPr>
              <w:t>conditions, metabolism and nutrition disorders, nervous system disorders, investigations, eye disorders,</w:t>
            </w:r>
            <w:r>
              <w:rPr>
                <w:spacing w:val="-11"/>
                <w:sz w:val="18"/>
              </w:rPr>
              <w:t> </w:t>
            </w:r>
            <w:r>
              <w:rPr>
                <w:sz w:val="18"/>
              </w:rPr>
              <w:t>blood</w:t>
            </w:r>
            <w:r>
              <w:rPr>
                <w:spacing w:val="-10"/>
                <w:sz w:val="18"/>
              </w:rPr>
              <w:t> </w:t>
            </w:r>
            <w:r>
              <w:rPr>
                <w:sz w:val="18"/>
              </w:rPr>
              <w:t>and</w:t>
            </w:r>
            <w:r>
              <w:rPr>
                <w:spacing w:val="-10"/>
                <w:sz w:val="18"/>
              </w:rPr>
              <w:t> </w:t>
            </w:r>
            <w:r>
              <w:rPr>
                <w:sz w:val="18"/>
              </w:rPr>
              <w:t>lymphatic system</w:t>
            </w:r>
            <w:r>
              <w:rPr>
                <w:spacing w:val="-6"/>
                <w:sz w:val="18"/>
              </w:rPr>
              <w:t> </w:t>
            </w:r>
            <w:r>
              <w:rPr>
                <w:sz w:val="18"/>
              </w:rPr>
              <w:t>disorders,</w:t>
            </w:r>
            <w:r>
              <w:rPr>
                <w:spacing w:val="-6"/>
                <w:sz w:val="18"/>
              </w:rPr>
              <w:t> </w:t>
            </w:r>
            <w:r>
              <w:rPr>
                <w:sz w:val="18"/>
              </w:rPr>
              <w:t>and</w:t>
            </w:r>
            <w:r>
              <w:rPr>
                <w:spacing w:val="-7"/>
                <w:sz w:val="18"/>
              </w:rPr>
              <w:t> </w:t>
            </w:r>
            <w:r>
              <w:rPr>
                <w:sz w:val="18"/>
              </w:rPr>
              <w:t>vascular </w:t>
            </w:r>
            <w:r>
              <w:rPr>
                <w:spacing w:val="-2"/>
                <w:sz w:val="18"/>
              </w:rPr>
              <w:t>disorders</w:t>
            </w:r>
          </w:p>
        </w:tc>
        <w:tc>
          <w:tcPr>
            <w:tcW w:w="2640" w:type="dxa"/>
          </w:tcPr>
          <w:p>
            <w:pPr>
              <w:pStyle w:val="TableParagraph"/>
              <w:rPr>
                <w:rFonts w:ascii="Times New Roman"/>
                <w:sz w:val="18"/>
              </w:rPr>
            </w:pPr>
          </w:p>
        </w:tc>
        <w:tc>
          <w:tcPr>
            <w:tcW w:w="1471" w:type="dxa"/>
          </w:tcPr>
          <w:p>
            <w:pPr>
              <w:pStyle w:val="TableParagraph"/>
              <w:rPr>
                <w:rFonts w:ascii="Times New Roman"/>
                <w:sz w:val="18"/>
              </w:rPr>
            </w:pPr>
          </w:p>
        </w:tc>
      </w:tr>
    </w:tbl>
    <w:p>
      <w:pPr>
        <w:spacing w:before="0"/>
        <w:ind w:left="23" w:right="0" w:firstLine="0"/>
        <w:jc w:val="left"/>
        <w:rPr>
          <w:sz w:val="18"/>
        </w:rPr>
      </w:pPr>
      <w:r>
        <w:rPr>
          <w:sz w:val="18"/>
        </w:rPr>
        <w:t>*</w:t>
      </w:r>
      <w:r>
        <w:rPr>
          <w:spacing w:val="-2"/>
          <w:sz w:val="18"/>
        </w:rPr>
        <w:t> </w:t>
      </w:r>
      <w:r>
        <w:rPr>
          <w:sz w:val="18"/>
        </w:rPr>
        <w:t>For</w:t>
      </w:r>
      <w:r>
        <w:rPr>
          <w:spacing w:val="-1"/>
          <w:sz w:val="18"/>
        </w:rPr>
        <w:t> </w:t>
      </w:r>
      <w:r>
        <w:rPr>
          <w:sz w:val="18"/>
        </w:rPr>
        <w:t>further</w:t>
      </w:r>
      <w:r>
        <w:rPr>
          <w:spacing w:val="-1"/>
          <w:sz w:val="18"/>
        </w:rPr>
        <w:t> </w:t>
      </w:r>
      <w:r>
        <w:rPr>
          <w:sz w:val="18"/>
        </w:rPr>
        <w:t>details,</w:t>
      </w:r>
      <w:r>
        <w:rPr>
          <w:spacing w:val="-1"/>
          <w:sz w:val="18"/>
        </w:rPr>
        <w:t> </w:t>
      </w:r>
      <w:r>
        <w:rPr>
          <w:sz w:val="18"/>
        </w:rPr>
        <w:t>see</w:t>
      </w:r>
      <w:r>
        <w:rPr>
          <w:spacing w:val="-2"/>
          <w:sz w:val="18"/>
        </w:rPr>
        <w:t> </w:t>
      </w:r>
      <w:r>
        <w:rPr>
          <w:sz w:val="18"/>
        </w:rPr>
        <w:t>risk</w:t>
      </w:r>
      <w:r>
        <w:rPr>
          <w:spacing w:val="-1"/>
          <w:sz w:val="18"/>
        </w:rPr>
        <w:t> </w:t>
      </w:r>
      <w:r>
        <w:rPr>
          <w:sz w:val="18"/>
        </w:rPr>
        <w:t>of</w:t>
      </w:r>
      <w:r>
        <w:rPr>
          <w:spacing w:val="-2"/>
          <w:sz w:val="18"/>
        </w:rPr>
        <w:t> </w:t>
      </w:r>
      <w:r>
        <w:rPr>
          <w:sz w:val="18"/>
        </w:rPr>
        <w:t>bias</w:t>
      </w:r>
      <w:r>
        <w:rPr>
          <w:spacing w:val="-2"/>
          <w:sz w:val="18"/>
        </w:rPr>
        <w:t> </w:t>
      </w:r>
      <w:r>
        <w:rPr>
          <w:sz w:val="18"/>
        </w:rPr>
        <w:t>table</w:t>
      </w:r>
      <w:r>
        <w:rPr>
          <w:spacing w:val="-2"/>
          <w:sz w:val="18"/>
        </w:rPr>
        <w:t> </w:t>
      </w:r>
      <w:r>
        <w:rPr>
          <w:sz w:val="18"/>
        </w:rPr>
        <w:t>in</w:t>
      </w:r>
      <w:r>
        <w:rPr>
          <w:spacing w:val="-2"/>
          <w:sz w:val="18"/>
        </w:rPr>
        <w:t> </w:t>
      </w:r>
      <w:r>
        <w:rPr>
          <w:sz w:val="18"/>
        </w:rPr>
        <w:t>the</w:t>
      </w:r>
      <w:r>
        <w:rPr>
          <w:spacing w:val="-1"/>
          <w:sz w:val="18"/>
        </w:rPr>
        <w:t> </w:t>
      </w:r>
      <w:r>
        <w:rPr>
          <w:spacing w:val="-2"/>
          <w:sz w:val="18"/>
        </w:rPr>
        <w:t>appendix</w:t>
      </w:r>
    </w:p>
    <w:p>
      <w:pPr>
        <w:spacing w:before="33"/>
        <w:ind w:left="23" w:right="0" w:firstLine="0"/>
        <w:jc w:val="left"/>
        <w:rPr>
          <w:sz w:val="18"/>
        </w:rPr>
      </w:pPr>
      <w:r>
        <w:rPr>
          <w:position w:val="5"/>
          <w:sz w:val="12"/>
        </w:rPr>
        <w:t>1</w:t>
      </w:r>
      <w:r>
        <w:rPr>
          <w:sz w:val="18"/>
        </w:rPr>
        <w:t>Only</w:t>
      </w:r>
      <w:r>
        <w:rPr>
          <w:spacing w:val="-3"/>
          <w:sz w:val="18"/>
        </w:rPr>
        <w:t> </w:t>
      </w:r>
      <w:r>
        <w:rPr>
          <w:sz w:val="18"/>
        </w:rPr>
        <w:t>provided</w:t>
      </w:r>
      <w:r>
        <w:rPr>
          <w:spacing w:val="-3"/>
          <w:sz w:val="18"/>
        </w:rPr>
        <w:t> </w:t>
      </w:r>
      <w:r>
        <w:rPr>
          <w:sz w:val="18"/>
        </w:rPr>
        <w:t>for</w:t>
      </w:r>
      <w:r>
        <w:rPr>
          <w:spacing w:val="-2"/>
          <w:sz w:val="18"/>
        </w:rPr>
        <w:t> </w:t>
      </w:r>
      <w:r>
        <w:rPr>
          <w:sz w:val="18"/>
        </w:rPr>
        <w:t>the</w:t>
      </w:r>
      <w:r>
        <w:rPr>
          <w:spacing w:val="-3"/>
          <w:sz w:val="18"/>
        </w:rPr>
        <w:t> </w:t>
      </w:r>
      <w:r>
        <w:rPr>
          <w:sz w:val="18"/>
        </w:rPr>
        <w:t>overall</w:t>
      </w:r>
      <w:r>
        <w:rPr>
          <w:spacing w:val="-1"/>
          <w:sz w:val="18"/>
        </w:rPr>
        <w:t> </w:t>
      </w:r>
      <w:r>
        <w:rPr>
          <w:sz w:val="18"/>
        </w:rPr>
        <w:t>study</w:t>
      </w:r>
      <w:r>
        <w:rPr>
          <w:spacing w:val="-2"/>
          <w:sz w:val="18"/>
        </w:rPr>
        <w:t> population</w:t>
      </w:r>
    </w:p>
    <w:p>
      <w:pPr>
        <w:spacing w:before="35"/>
        <w:ind w:left="23" w:right="0" w:firstLine="0"/>
        <w:jc w:val="left"/>
        <w:rPr>
          <w:sz w:val="18"/>
        </w:rPr>
      </w:pPr>
      <w:r>
        <w:rPr>
          <w:position w:val="5"/>
          <w:sz w:val="12"/>
        </w:rPr>
        <w:t>2</w:t>
      </w:r>
      <w:r>
        <w:rPr>
          <w:sz w:val="18"/>
        </w:rPr>
        <w:t>Only</w:t>
      </w:r>
      <w:r>
        <w:rPr>
          <w:spacing w:val="-5"/>
          <w:sz w:val="18"/>
        </w:rPr>
        <w:t> </w:t>
      </w:r>
      <w:r>
        <w:rPr>
          <w:sz w:val="18"/>
        </w:rPr>
        <w:t>provided</w:t>
      </w:r>
      <w:r>
        <w:rPr>
          <w:spacing w:val="-3"/>
          <w:sz w:val="18"/>
        </w:rPr>
        <w:t> </w:t>
      </w:r>
      <w:r>
        <w:rPr>
          <w:sz w:val="18"/>
        </w:rPr>
        <w:t>for</w:t>
      </w:r>
      <w:r>
        <w:rPr>
          <w:spacing w:val="-3"/>
          <w:sz w:val="18"/>
        </w:rPr>
        <w:t> </w:t>
      </w:r>
      <w:r>
        <w:rPr>
          <w:sz w:val="18"/>
        </w:rPr>
        <w:t>the</w:t>
      </w:r>
      <w:r>
        <w:rPr>
          <w:spacing w:val="-3"/>
          <w:sz w:val="18"/>
        </w:rPr>
        <w:t> </w:t>
      </w:r>
      <w:r>
        <w:rPr>
          <w:sz w:val="18"/>
        </w:rPr>
        <w:t>intervention</w:t>
      </w:r>
      <w:r>
        <w:rPr>
          <w:spacing w:val="-2"/>
          <w:sz w:val="18"/>
        </w:rPr>
        <w:t> </w:t>
      </w:r>
      <w:r>
        <w:rPr>
          <w:sz w:val="18"/>
        </w:rPr>
        <w:t>(clopidogrel</w:t>
      </w:r>
      <w:r>
        <w:rPr>
          <w:spacing w:val="-3"/>
          <w:sz w:val="18"/>
        </w:rPr>
        <w:t> </w:t>
      </w:r>
      <w:r>
        <w:rPr>
          <w:sz w:val="18"/>
        </w:rPr>
        <w:t>+</w:t>
      </w:r>
      <w:r>
        <w:rPr>
          <w:spacing w:val="-3"/>
          <w:sz w:val="18"/>
        </w:rPr>
        <w:t> </w:t>
      </w:r>
      <w:r>
        <w:rPr>
          <w:sz w:val="18"/>
        </w:rPr>
        <w:t>possible</w:t>
      </w:r>
      <w:r>
        <w:rPr>
          <w:spacing w:val="-4"/>
          <w:sz w:val="18"/>
        </w:rPr>
        <w:t> </w:t>
      </w:r>
      <w:r>
        <w:rPr>
          <w:sz w:val="18"/>
        </w:rPr>
        <w:t>additional</w:t>
      </w:r>
      <w:r>
        <w:rPr>
          <w:spacing w:val="-2"/>
          <w:sz w:val="18"/>
        </w:rPr>
        <w:t> </w:t>
      </w:r>
      <w:r>
        <w:rPr>
          <w:sz w:val="18"/>
        </w:rPr>
        <w:t>aspirin)</w:t>
      </w:r>
      <w:r>
        <w:rPr>
          <w:spacing w:val="-2"/>
          <w:sz w:val="18"/>
        </w:rPr>
        <w:t> </w:t>
      </w:r>
      <w:r>
        <w:rPr>
          <w:sz w:val="18"/>
        </w:rPr>
        <w:t>and</w:t>
      </w:r>
      <w:r>
        <w:rPr>
          <w:spacing w:val="-4"/>
          <w:sz w:val="18"/>
        </w:rPr>
        <w:t> </w:t>
      </w:r>
      <w:r>
        <w:rPr>
          <w:sz w:val="18"/>
        </w:rPr>
        <w:t>placebo</w:t>
      </w:r>
      <w:r>
        <w:rPr>
          <w:spacing w:val="-2"/>
          <w:sz w:val="18"/>
        </w:rPr>
        <w:t> </w:t>
      </w:r>
      <w:r>
        <w:rPr>
          <w:sz w:val="18"/>
        </w:rPr>
        <w:t>(only</w:t>
      </w:r>
      <w:r>
        <w:rPr>
          <w:spacing w:val="-3"/>
          <w:sz w:val="18"/>
        </w:rPr>
        <w:t> </w:t>
      </w:r>
      <w:r>
        <w:rPr>
          <w:sz w:val="18"/>
        </w:rPr>
        <w:t>possible</w:t>
      </w:r>
      <w:r>
        <w:rPr>
          <w:spacing w:val="-3"/>
          <w:sz w:val="18"/>
        </w:rPr>
        <w:t> </w:t>
      </w:r>
      <w:r>
        <w:rPr>
          <w:sz w:val="18"/>
        </w:rPr>
        <w:t>aspirin)</w:t>
      </w:r>
      <w:r>
        <w:rPr>
          <w:spacing w:val="-2"/>
          <w:sz w:val="18"/>
        </w:rPr>
        <w:t> groups</w:t>
      </w:r>
    </w:p>
    <w:p>
      <w:pPr>
        <w:pStyle w:val="BodyText"/>
        <w:rPr>
          <w:sz w:val="18"/>
        </w:rPr>
      </w:pPr>
    </w:p>
    <w:p>
      <w:pPr>
        <w:pStyle w:val="BodyText"/>
        <w:rPr>
          <w:sz w:val="18"/>
        </w:rPr>
      </w:pPr>
    </w:p>
    <w:p>
      <w:pPr>
        <w:pStyle w:val="BodyText"/>
        <w:spacing w:before="9"/>
        <w:rPr>
          <w:sz w:val="18"/>
        </w:rPr>
      </w:pPr>
    </w:p>
    <w:p>
      <w:pPr>
        <w:pStyle w:val="BodyText"/>
        <w:ind w:left="23"/>
      </w:pPr>
      <w:r>
        <w:rPr/>
        <w:t>Table</w:t>
      </w:r>
      <w:r>
        <w:rPr>
          <w:spacing w:val="-5"/>
        </w:rPr>
        <w:t> </w:t>
      </w:r>
      <w:r>
        <w:rPr/>
        <w:t>1.3.1.</w:t>
      </w:r>
      <w:r>
        <w:rPr>
          <w:spacing w:val="-6"/>
        </w:rPr>
        <w:t> </w:t>
      </w:r>
      <w:r>
        <w:rPr/>
        <w:t>Risk</w:t>
      </w:r>
      <w:r>
        <w:rPr>
          <w:spacing w:val="-5"/>
        </w:rPr>
        <w:t> </w:t>
      </w:r>
      <w:r>
        <w:rPr/>
        <w:t>of</w:t>
      </w:r>
      <w:r>
        <w:rPr>
          <w:spacing w:val="-2"/>
        </w:rPr>
        <w:t> </w:t>
      </w:r>
      <w:r>
        <w:rPr/>
        <w:t>bias</w:t>
      </w:r>
      <w:r>
        <w:rPr>
          <w:spacing w:val="-6"/>
        </w:rPr>
        <w:t> </w:t>
      </w:r>
      <w:r>
        <w:rPr/>
        <w:t>table</w:t>
      </w:r>
      <w:r>
        <w:rPr>
          <w:spacing w:val="-3"/>
        </w:rPr>
        <w:t> </w:t>
      </w:r>
      <w:r>
        <w:rPr/>
        <w:t>for</w:t>
      </w:r>
      <w:r>
        <w:rPr>
          <w:spacing w:val="-5"/>
        </w:rPr>
        <w:t> </w:t>
      </w:r>
      <w:r>
        <w:rPr/>
        <w:t>interventions</w:t>
      </w:r>
      <w:r>
        <w:rPr>
          <w:spacing w:val="-3"/>
        </w:rPr>
        <w:t> </w:t>
      </w:r>
      <w:r>
        <w:rPr/>
        <w:t>studies</w:t>
      </w:r>
      <w:r>
        <w:rPr>
          <w:spacing w:val="-5"/>
        </w:rPr>
        <w:t> </w:t>
      </w:r>
      <w:r>
        <w:rPr/>
        <w:t>(cohort</w:t>
      </w:r>
      <w:r>
        <w:rPr>
          <w:spacing w:val="-3"/>
        </w:rPr>
        <w:t> </w:t>
      </w:r>
      <w:r>
        <w:rPr/>
        <w:t>studies</w:t>
      </w:r>
      <w:r>
        <w:rPr>
          <w:spacing w:val="-2"/>
        </w:rPr>
        <w:t> </w:t>
      </w:r>
      <w:r>
        <w:rPr/>
        <w:t>based</w:t>
      </w:r>
      <w:r>
        <w:rPr>
          <w:spacing w:val="-3"/>
        </w:rPr>
        <w:t> </w:t>
      </w:r>
      <w:r>
        <w:rPr/>
        <w:t>on</w:t>
      </w:r>
      <w:r>
        <w:rPr>
          <w:spacing w:val="-4"/>
        </w:rPr>
        <w:t> </w:t>
      </w:r>
      <w:r>
        <w:rPr/>
        <w:t>risk</w:t>
      </w:r>
      <w:r>
        <w:rPr>
          <w:spacing w:val="-3"/>
        </w:rPr>
        <w:t> </w:t>
      </w:r>
      <w:r>
        <w:rPr/>
        <w:t>of</w:t>
      </w:r>
      <w:r>
        <w:rPr>
          <w:spacing w:val="-5"/>
        </w:rPr>
        <w:t> </w:t>
      </w:r>
      <w:r>
        <w:rPr/>
        <w:t>bias</w:t>
      </w:r>
      <w:r>
        <w:rPr>
          <w:spacing w:val="-3"/>
        </w:rPr>
        <w:t> </w:t>
      </w:r>
      <w:r>
        <w:rPr/>
        <w:t>tool</w:t>
      </w:r>
      <w:r>
        <w:rPr>
          <w:spacing w:val="-3"/>
        </w:rPr>
        <w:t> </w:t>
      </w:r>
      <w:r>
        <w:rPr/>
        <w:t>by</w:t>
      </w:r>
      <w:r>
        <w:rPr>
          <w:spacing w:val="-5"/>
        </w:rPr>
        <w:t> </w:t>
      </w:r>
      <w:r>
        <w:rPr/>
        <w:t>the</w:t>
      </w:r>
      <w:r>
        <w:rPr>
          <w:spacing w:val="-2"/>
        </w:rPr>
        <w:t> </w:t>
      </w:r>
      <w:r>
        <w:rPr/>
        <w:t>CLARITY</w:t>
      </w:r>
      <w:r>
        <w:rPr>
          <w:spacing w:val="-3"/>
        </w:rPr>
        <w:t> </w:t>
      </w:r>
      <w:r>
        <w:rPr/>
        <w:t>Group</w:t>
      </w:r>
      <w:r>
        <w:rPr>
          <w:spacing w:val="-4"/>
        </w:rPr>
        <w:t> </w:t>
      </w:r>
      <w:r>
        <w:rPr/>
        <w:t>at</w:t>
      </w:r>
      <w:r>
        <w:rPr>
          <w:spacing w:val="-5"/>
        </w:rPr>
        <w:t> </w:t>
      </w:r>
      <w:r>
        <w:rPr/>
        <w:t>McMaster</w:t>
      </w:r>
      <w:r>
        <w:rPr>
          <w:spacing w:val="-2"/>
        </w:rPr>
        <w:t> University)</w:t>
      </w:r>
    </w:p>
    <w:p>
      <w:pPr>
        <w:pStyle w:val="BodyText"/>
        <w:spacing w:before="10"/>
        <w:rPr>
          <w:sz w:val="16"/>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83"/>
        <w:gridCol w:w="1337"/>
        <w:gridCol w:w="1277"/>
        <w:gridCol w:w="1275"/>
        <w:gridCol w:w="1262"/>
        <w:gridCol w:w="1416"/>
        <w:gridCol w:w="1277"/>
        <w:gridCol w:w="1759"/>
        <w:gridCol w:w="1702"/>
        <w:gridCol w:w="1641"/>
      </w:tblGrid>
      <w:tr>
        <w:trPr>
          <w:trHeight w:val="456" w:hRule="atLeast"/>
        </w:trPr>
        <w:tc>
          <w:tcPr>
            <w:tcW w:w="783" w:type="dxa"/>
            <w:tcBorders>
              <w:bottom w:val="nil"/>
              <w:right w:val="single" w:sz="4" w:space="0" w:color="000000"/>
            </w:tcBorders>
            <w:shd w:val="clear" w:color="auto" w:fill="D9D9D9"/>
          </w:tcPr>
          <w:p>
            <w:pPr>
              <w:pStyle w:val="TableParagraph"/>
              <w:spacing w:line="219" w:lineRule="exact" w:before="1"/>
              <w:ind w:left="105"/>
              <w:rPr>
                <w:b/>
                <w:sz w:val="18"/>
              </w:rPr>
            </w:pPr>
            <w:r>
              <w:rPr>
                <w:b/>
                <w:spacing w:val="-2"/>
                <w:sz w:val="18"/>
              </w:rPr>
              <w:t>Author,</w:t>
            </w:r>
          </w:p>
          <w:p>
            <w:pPr>
              <w:pStyle w:val="TableParagraph"/>
              <w:spacing w:line="216" w:lineRule="exact"/>
              <w:ind w:left="105"/>
              <w:rPr>
                <w:b/>
                <w:sz w:val="18"/>
              </w:rPr>
            </w:pPr>
            <w:r>
              <w:rPr>
                <w:b/>
                <w:spacing w:val="-4"/>
                <w:sz w:val="18"/>
              </w:rPr>
              <w:t>year</w:t>
            </w:r>
          </w:p>
        </w:tc>
        <w:tc>
          <w:tcPr>
            <w:tcW w:w="1337" w:type="dxa"/>
            <w:tcBorders>
              <w:left w:val="single" w:sz="4" w:space="0" w:color="000000"/>
              <w:bottom w:val="nil"/>
              <w:right w:val="single" w:sz="4" w:space="0" w:color="000000"/>
            </w:tcBorders>
            <w:shd w:val="clear" w:color="auto" w:fill="D9D9D9"/>
          </w:tcPr>
          <w:p>
            <w:pPr>
              <w:pStyle w:val="TableParagraph"/>
              <w:spacing w:line="219" w:lineRule="exact" w:before="1"/>
              <w:ind w:left="107"/>
              <w:rPr>
                <w:b/>
                <w:sz w:val="18"/>
              </w:rPr>
            </w:pPr>
            <w:r>
              <w:rPr>
                <w:b/>
                <w:sz w:val="18"/>
              </w:rPr>
              <w:t>Selection</w:t>
            </w:r>
            <w:r>
              <w:rPr>
                <w:b/>
                <w:spacing w:val="-5"/>
                <w:sz w:val="18"/>
              </w:rPr>
              <w:t> of</w:t>
            </w:r>
          </w:p>
          <w:p>
            <w:pPr>
              <w:pStyle w:val="TableParagraph"/>
              <w:spacing w:line="216" w:lineRule="exact"/>
              <w:ind w:left="107"/>
              <w:rPr>
                <w:b/>
                <w:sz w:val="18"/>
              </w:rPr>
            </w:pPr>
            <w:r>
              <w:rPr>
                <w:b/>
                <w:spacing w:val="-2"/>
                <w:sz w:val="18"/>
              </w:rPr>
              <w:t>participants</w:t>
            </w:r>
          </w:p>
        </w:tc>
        <w:tc>
          <w:tcPr>
            <w:tcW w:w="1277" w:type="dxa"/>
            <w:tcBorders>
              <w:left w:val="single" w:sz="4" w:space="0" w:color="000000"/>
              <w:bottom w:val="nil"/>
              <w:right w:val="single" w:sz="4" w:space="0" w:color="000000"/>
            </w:tcBorders>
            <w:shd w:val="clear" w:color="auto" w:fill="D9D9D9"/>
          </w:tcPr>
          <w:p>
            <w:pPr>
              <w:pStyle w:val="TableParagraph"/>
              <w:spacing w:before="1"/>
              <w:ind w:left="107"/>
              <w:rPr>
                <w:b/>
                <w:sz w:val="18"/>
              </w:rPr>
            </w:pPr>
            <w:r>
              <w:rPr>
                <w:b/>
                <w:spacing w:val="-2"/>
                <w:sz w:val="18"/>
              </w:rPr>
              <w:t>Exposure</w:t>
            </w:r>
          </w:p>
        </w:tc>
        <w:tc>
          <w:tcPr>
            <w:tcW w:w="1275" w:type="dxa"/>
            <w:tcBorders>
              <w:left w:val="single" w:sz="4" w:space="0" w:color="000000"/>
              <w:bottom w:val="nil"/>
              <w:right w:val="single" w:sz="4" w:space="0" w:color="000000"/>
            </w:tcBorders>
            <w:shd w:val="clear" w:color="auto" w:fill="D9D9D9"/>
          </w:tcPr>
          <w:p>
            <w:pPr>
              <w:pStyle w:val="TableParagraph"/>
              <w:spacing w:line="219" w:lineRule="exact" w:before="1"/>
              <w:ind w:left="104"/>
              <w:rPr>
                <w:b/>
                <w:sz w:val="18"/>
              </w:rPr>
            </w:pPr>
            <w:r>
              <w:rPr>
                <w:b/>
                <w:sz w:val="18"/>
              </w:rPr>
              <w:t>Outcome</w:t>
            </w:r>
            <w:r>
              <w:rPr>
                <w:b/>
                <w:spacing w:val="-5"/>
                <w:sz w:val="18"/>
              </w:rPr>
              <w:t> of</w:t>
            </w:r>
          </w:p>
          <w:p>
            <w:pPr>
              <w:pStyle w:val="TableParagraph"/>
              <w:spacing w:line="216" w:lineRule="exact"/>
              <w:ind w:left="104"/>
              <w:rPr>
                <w:b/>
                <w:sz w:val="18"/>
              </w:rPr>
            </w:pPr>
            <w:r>
              <w:rPr>
                <w:b/>
                <w:spacing w:val="-2"/>
                <w:sz w:val="18"/>
              </w:rPr>
              <w:t>interest</w:t>
            </w:r>
          </w:p>
        </w:tc>
        <w:tc>
          <w:tcPr>
            <w:tcW w:w="1262" w:type="dxa"/>
            <w:tcBorders>
              <w:left w:val="single" w:sz="4" w:space="0" w:color="000000"/>
              <w:bottom w:val="nil"/>
              <w:right w:val="single" w:sz="4" w:space="0" w:color="000000"/>
            </w:tcBorders>
            <w:shd w:val="clear" w:color="auto" w:fill="D9D9D9"/>
          </w:tcPr>
          <w:p>
            <w:pPr>
              <w:pStyle w:val="TableParagraph"/>
              <w:spacing w:line="219" w:lineRule="exact" w:before="1"/>
              <w:ind w:left="107"/>
              <w:rPr>
                <w:b/>
                <w:sz w:val="18"/>
              </w:rPr>
            </w:pPr>
            <w:r>
              <w:rPr>
                <w:b/>
                <w:spacing w:val="-2"/>
                <w:sz w:val="18"/>
              </w:rPr>
              <w:t>Confounding-</w:t>
            </w:r>
          </w:p>
          <w:p>
            <w:pPr>
              <w:pStyle w:val="TableParagraph"/>
              <w:spacing w:line="216" w:lineRule="exact"/>
              <w:ind w:left="107"/>
              <w:rPr>
                <w:b/>
                <w:sz w:val="18"/>
              </w:rPr>
            </w:pPr>
            <w:r>
              <w:rPr>
                <w:b/>
                <w:spacing w:val="-2"/>
                <w:sz w:val="18"/>
              </w:rPr>
              <w:t>assessment</w:t>
            </w:r>
          </w:p>
        </w:tc>
        <w:tc>
          <w:tcPr>
            <w:tcW w:w="1416" w:type="dxa"/>
            <w:tcBorders>
              <w:left w:val="single" w:sz="4" w:space="0" w:color="000000"/>
              <w:bottom w:val="nil"/>
              <w:right w:val="single" w:sz="4" w:space="0" w:color="000000"/>
            </w:tcBorders>
            <w:shd w:val="clear" w:color="auto" w:fill="D9D9D9"/>
          </w:tcPr>
          <w:p>
            <w:pPr>
              <w:pStyle w:val="TableParagraph"/>
              <w:spacing w:line="219" w:lineRule="exact" w:before="1"/>
              <w:ind w:left="105"/>
              <w:rPr>
                <w:b/>
                <w:sz w:val="18"/>
              </w:rPr>
            </w:pPr>
            <w:r>
              <w:rPr>
                <w:b/>
                <w:spacing w:val="-2"/>
                <w:sz w:val="18"/>
              </w:rPr>
              <w:t>Confounding-</w:t>
            </w:r>
          </w:p>
          <w:p>
            <w:pPr>
              <w:pStyle w:val="TableParagraph"/>
              <w:spacing w:line="216" w:lineRule="exact"/>
              <w:ind w:left="105"/>
              <w:rPr>
                <w:b/>
                <w:sz w:val="18"/>
              </w:rPr>
            </w:pPr>
            <w:r>
              <w:rPr>
                <w:b/>
                <w:spacing w:val="-2"/>
                <w:sz w:val="18"/>
              </w:rPr>
              <w:t>analysis</w:t>
            </w:r>
          </w:p>
        </w:tc>
        <w:tc>
          <w:tcPr>
            <w:tcW w:w="1277" w:type="dxa"/>
            <w:tcBorders>
              <w:left w:val="single" w:sz="4" w:space="0" w:color="000000"/>
              <w:bottom w:val="nil"/>
              <w:right w:val="single" w:sz="4" w:space="0" w:color="000000"/>
            </w:tcBorders>
            <w:shd w:val="clear" w:color="auto" w:fill="D9D9D9"/>
          </w:tcPr>
          <w:p>
            <w:pPr>
              <w:pStyle w:val="TableParagraph"/>
              <w:spacing w:line="219" w:lineRule="exact" w:before="1"/>
              <w:ind w:left="107"/>
              <w:rPr>
                <w:b/>
                <w:sz w:val="18"/>
              </w:rPr>
            </w:pPr>
            <w:r>
              <w:rPr>
                <w:b/>
                <w:spacing w:val="-2"/>
                <w:sz w:val="18"/>
              </w:rPr>
              <w:t>Assessment</w:t>
            </w:r>
          </w:p>
          <w:p>
            <w:pPr>
              <w:pStyle w:val="TableParagraph"/>
              <w:spacing w:line="216" w:lineRule="exact"/>
              <w:ind w:left="107"/>
              <w:rPr>
                <w:b/>
                <w:sz w:val="18"/>
              </w:rPr>
            </w:pPr>
            <w:r>
              <w:rPr>
                <w:b/>
                <w:sz w:val="18"/>
              </w:rPr>
              <w:t>of</w:t>
            </w:r>
            <w:r>
              <w:rPr>
                <w:b/>
                <w:spacing w:val="-1"/>
                <w:sz w:val="18"/>
              </w:rPr>
              <w:t> </w:t>
            </w:r>
            <w:r>
              <w:rPr>
                <w:b/>
                <w:spacing w:val="-2"/>
                <w:sz w:val="18"/>
              </w:rPr>
              <w:t>outcome</w:t>
            </w:r>
          </w:p>
        </w:tc>
        <w:tc>
          <w:tcPr>
            <w:tcW w:w="1759" w:type="dxa"/>
            <w:tcBorders>
              <w:left w:val="single" w:sz="4" w:space="0" w:color="000000"/>
              <w:bottom w:val="nil"/>
              <w:right w:val="single" w:sz="4" w:space="0" w:color="000000"/>
            </w:tcBorders>
            <w:shd w:val="clear" w:color="auto" w:fill="D9D9D9"/>
          </w:tcPr>
          <w:p>
            <w:pPr>
              <w:pStyle w:val="TableParagraph"/>
              <w:spacing w:before="1"/>
              <w:ind w:left="107"/>
              <w:rPr>
                <w:b/>
                <w:sz w:val="18"/>
              </w:rPr>
            </w:pPr>
            <w:r>
              <w:rPr>
                <w:b/>
                <w:sz w:val="18"/>
              </w:rPr>
              <w:t>Follow</w:t>
            </w:r>
            <w:r>
              <w:rPr>
                <w:b/>
                <w:spacing w:val="-5"/>
                <w:sz w:val="18"/>
              </w:rPr>
              <w:t> up</w:t>
            </w:r>
          </w:p>
        </w:tc>
        <w:tc>
          <w:tcPr>
            <w:tcW w:w="1702" w:type="dxa"/>
            <w:tcBorders>
              <w:left w:val="single" w:sz="4" w:space="0" w:color="000000"/>
              <w:bottom w:val="nil"/>
              <w:right w:val="single" w:sz="4" w:space="0" w:color="000000"/>
            </w:tcBorders>
            <w:shd w:val="clear" w:color="auto" w:fill="D9D9D9"/>
          </w:tcPr>
          <w:p>
            <w:pPr>
              <w:pStyle w:val="TableParagraph"/>
              <w:spacing w:before="1"/>
              <w:ind w:left="107"/>
              <w:rPr>
                <w:b/>
                <w:sz w:val="18"/>
              </w:rPr>
            </w:pPr>
            <w:r>
              <w:rPr>
                <w:b/>
                <w:spacing w:val="-2"/>
                <w:sz w:val="18"/>
              </w:rPr>
              <w:t>Co-interventions</w:t>
            </w:r>
          </w:p>
        </w:tc>
        <w:tc>
          <w:tcPr>
            <w:tcW w:w="1641" w:type="dxa"/>
            <w:tcBorders>
              <w:left w:val="single" w:sz="4" w:space="0" w:color="000000"/>
              <w:bottom w:val="nil"/>
            </w:tcBorders>
            <w:shd w:val="clear" w:color="auto" w:fill="D9D9D9"/>
          </w:tcPr>
          <w:p>
            <w:pPr>
              <w:pStyle w:val="TableParagraph"/>
              <w:spacing w:before="1"/>
              <w:ind w:left="108"/>
              <w:rPr>
                <w:b/>
                <w:sz w:val="18"/>
              </w:rPr>
            </w:pPr>
            <w:r>
              <w:rPr>
                <w:b/>
                <w:sz w:val="18"/>
              </w:rPr>
              <w:t>Overall</w:t>
            </w:r>
            <w:r>
              <w:rPr>
                <w:b/>
                <w:spacing w:val="-4"/>
                <w:sz w:val="18"/>
              </w:rPr>
              <w:t> </w:t>
            </w:r>
            <w:r>
              <w:rPr>
                <w:b/>
                <w:sz w:val="18"/>
              </w:rPr>
              <w:t>Risk</w:t>
            </w:r>
            <w:r>
              <w:rPr>
                <w:b/>
                <w:spacing w:val="-1"/>
                <w:sz w:val="18"/>
              </w:rPr>
              <w:t> </w:t>
            </w:r>
            <w:r>
              <w:rPr>
                <w:b/>
                <w:sz w:val="18"/>
              </w:rPr>
              <w:t>of</w:t>
            </w:r>
            <w:r>
              <w:rPr>
                <w:b/>
                <w:spacing w:val="-2"/>
                <w:sz w:val="18"/>
              </w:rPr>
              <w:t> </w:t>
            </w:r>
            <w:r>
              <w:rPr>
                <w:b/>
                <w:spacing w:val="-4"/>
                <w:sz w:val="18"/>
              </w:rPr>
              <w:t>bias</w:t>
            </w:r>
          </w:p>
        </w:tc>
      </w:tr>
      <w:tr>
        <w:trPr>
          <w:trHeight w:val="3191" w:hRule="atLeast"/>
        </w:trPr>
        <w:tc>
          <w:tcPr>
            <w:tcW w:w="783" w:type="dxa"/>
            <w:tcBorders>
              <w:top w:val="nil"/>
              <w:bottom w:val="nil"/>
              <w:right w:val="single" w:sz="4" w:space="0" w:color="000000"/>
            </w:tcBorders>
            <w:shd w:val="clear" w:color="auto" w:fill="D9D9D9"/>
          </w:tcPr>
          <w:p>
            <w:pPr>
              <w:pStyle w:val="TableParagraph"/>
              <w:rPr>
                <w:rFonts w:ascii="Times New Roman"/>
                <w:sz w:val="18"/>
              </w:rPr>
            </w:pPr>
          </w:p>
        </w:tc>
        <w:tc>
          <w:tcPr>
            <w:tcW w:w="1337" w:type="dxa"/>
            <w:tcBorders>
              <w:top w:val="nil"/>
              <w:left w:val="single" w:sz="4" w:space="0" w:color="000000"/>
              <w:bottom w:val="nil"/>
              <w:right w:val="single" w:sz="4" w:space="0" w:color="000000"/>
            </w:tcBorders>
            <w:shd w:val="clear" w:color="auto" w:fill="D9D9D9"/>
          </w:tcPr>
          <w:p>
            <w:pPr>
              <w:pStyle w:val="TableParagraph"/>
              <w:spacing w:before="205"/>
              <w:ind w:left="107" w:right="124"/>
              <w:rPr>
                <w:b/>
                <w:sz w:val="18"/>
              </w:rPr>
            </w:pPr>
            <w:r>
              <w:rPr>
                <w:b/>
                <w:sz w:val="18"/>
              </w:rPr>
              <w:t>Was selection of exposed and</w:t>
            </w:r>
            <w:r>
              <w:rPr>
                <w:b/>
                <w:spacing w:val="-2"/>
                <w:sz w:val="18"/>
              </w:rPr>
              <w:t> </w:t>
            </w:r>
            <w:r>
              <w:rPr>
                <w:b/>
                <w:sz w:val="18"/>
              </w:rPr>
              <w:t>non-</w:t>
            </w:r>
            <w:r>
              <w:rPr>
                <w:b/>
                <w:spacing w:val="-2"/>
                <w:sz w:val="18"/>
              </w:rPr>
              <w:t>exposed</w:t>
            </w:r>
            <w:r>
              <w:rPr>
                <w:b/>
                <w:sz w:val="18"/>
              </w:rPr>
              <w:t> cohorts</w:t>
            </w:r>
            <w:r>
              <w:rPr>
                <w:b/>
                <w:spacing w:val="-11"/>
                <w:sz w:val="18"/>
              </w:rPr>
              <w:t> </w:t>
            </w:r>
            <w:r>
              <w:rPr>
                <w:b/>
                <w:sz w:val="18"/>
              </w:rPr>
              <w:t>drawn from</w:t>
            </w:r>
            <w:r>
              <w:rPr>
                <w:b/>
                <w:spacing w:val="-11"/>
                <w:sz w:val="18"/>
              </w:rPr>
              <w:t> </w:t>
            </w:r>
            <w:r>
              <w:rPr>
                <w:b/>
                <w:sz w:val="18"/>
              </w:rPr>
              <w:t>the</w:t>
            </w:r>
            <w:r>
              <w:rPr>
                <w:b/>
                <w:spacing w:val="-10"/>
                <w:sz w:val="18"/>
              </w:rPr>
              <w:t> </w:t>
            </w:r>
            <w:r>
              <w:rPr>
                <w:b/>
                <w:sz w:val="18"/>
              </w:rPr>
              <w:t>same </w:t>
            </w:r>
            <w:r>
              <w:rPr>
                <w:b/>
                <w:spacing w:val="-2"/>
                <w:sz w:val="18"/>
              </w:rPr>
              <w:t>population?</w:t>
            </w:r>
          </w:p>
        </w:tc>
        <w:tc>
          <w:tcPr>
            <w:tcW w:w="1277" w:type="dxa"/>
            <w:tcBorders>
              <w:top w:val="nil"/>
              <w:left w:val="single" w:sz="4" w:space="0" w:color="000000"/>
              <w:bottom w:val="nil"/>
              <w:right w:val="single" w:sz="4" w:space="0" w:color="000000"/>
            </w:tcBorders>
            <w:shd w:val="clear" w:color="auto" w:fill="D9D9D9"/>
          </w:tcPr>
          <w:p>
            <w:pPr>
              <w:pStyle w:val="TableParagraph"/>
              <w:spacing w:before="205"/>
              <w:ind w:left="107" w:right="93"/>
              <w:rPr>
                <w:b/>
                <w:sz w:val="18"/>
              </w:rPr>
            </w:pPr>
            <w:r>
              <w:rPr>
                <w:b/>
                <w:sz w:val="18"/>
              </w:rPr>
              <w:t>Can we be confident in </w:t>
            </w:r>
            <w:r>
              <w:rPr>
                <w:b/>
                <w:spacing w:val="-4"/>
                <w:sz w:val="18"/>
              </w:rPr>
              <w:t>the</w:t>
            </w:r>
            <w:r>
              <w:rPr>
                <w:b/>
                <w:sz w:val="18"/>
              </w:rPr>
              <w:t> assessment</w:t>
            </w:r>
            <w:r>
              <w:rPr>
                <w:b/>
                <w:spacing w:val="-11"/>
                <w:sz w:val="18"/>
              </w:rPr>
              <w:t> </w:t>
            </w:r>
            <w:r>
              <w:rPr>
                <w:b/>
                <w:sz w:val="18"/>
              </w:rPr>
              <w:t>of </w:t>
            </w:r>
            <w:r>
              <w:rPr>
                <w:b/>
                <w:spacing w:val="-2"/>
                <w:sz w:val="18"/>
              </w:rPr>
              <w:t>exposure?</w:t>
            </w:r>
          </w:p>
        </w:tc>
        <w:tc>
          <w:tcPr>
            <w:tcW w:w="1275" w:type="dxa"/>
            <w:tcBorders>
              <w:top w:val="nil"/>
              <w:left w:val="single" w:sz="4" w:space="0" w:color="000000"/>
              <w:bottom w:val="nil"/>
              <w:right w:val="single" w:sz="4" w:space="0" w:color="000000"/>
            </w:tcBorders>
            <w:shd w:val="clear" w:color="auto" w:fill="D9D9D9"/>
          </w:tcPr>
          <w:p>
            <w:pPr>
              <w:pStyle w:val="TableParagraph"/>
              <w:spacing w:before="205"/>
              <w:ind w:left="104" w:right="97"/>
              <w:rPr>
                <w:b/>
                <w:sz w:val="18"/>
              </w:rPr>
            </w:pPr>
            <w:r>
              <w:rPr>
                <w:b/>
                <w:sz w:val="18"/>
              </w:rPr>
              <w:t>Can we be </w:t>
            </w:r>
            <w:r>
              <w:rPr>
                <w:b/>
                <w:spacing w:val="-2"/>
                <w:sz w:val="18"/>
              </w:rPr>
              <w:t>confident</w:t>
            </w:r>
            <w:r>
              <w:rPr>
                <w:b/>
                <w:spacing w:val="80"/>
                <w:sz w:val="18"/>
              </w:rPr>
              <w:t> </w:t>
            </w:r>
            <w:r>
              <w:rPr>
                <w:b/>
                <w:sz w:val="18"/>
              </w:rPr>
              <w:t>that the outcome of interest was not</w:t>
            </w:r>
            <w:r>
              <w:rPr>
                <w:b/>
                <w:spacing w:val="-11"/>
                <w:sz w:val="18"/>
              </w:rPr>
              <w:t> </w:t>
            </w:r>
            <w:r>
              <w:rPr>
                <w:b/>
                <w:sz w:val="18"/>
              </w:rPr>
              <w:t>present</w:t>
            </w:r>
            <w:r>
              <w:rPr>
                <w:b/>
                <w:spacing w:val="-10"/>
                <w:sz w:val="18"/>
              </w:rPr>
              <w:t> </w:t>
            </w:r>
            <w:r>
              <w:rPr>
                <w:b/>
                <w:sz w:val="18"/>
              </w:rPr>
              <w:t>at start of</w:t>
            </w:r>
            <w:r>
              <w:rPr>
                <w:b/>
                <w:spacing w:val="40"/>
                <w:sz w:val="18"/>
              </w:rPr>
              <w:t> </w:t>
            </w:r>
            <w:r>
              <w:rPr>
                <w:b/>
                <w:spacing w:val="-2"/>
                <w:sz w:val="18"/>
              </w:rPr>
              <w:t>study?</w:t>
            </w:r>
          </w:p>
        </w:tc>
        <w:tc>
          <w:tcPr>
            <w:tcW w:w="1262" w:type="dxa"/>
            <w:tcBorders>
              <w:top w:val="nil"/>
              <w:left w:val="single" w:sz="4" w:space="0" w:color="000000"/>
              <w:bottom w:val="nil"/>
              <w:right w:val="single" w:sz="4" w:space="0" w:color="000000"/>
            </w:tcBorders>
            <w:shd w:val="clear" w:color="auto" w:fill="D9D9D9"/>
          </w:tcPr>
          <w:p>
            <w:pPr>
              <w:pStyle w:val="TableParagraph"/>
              <w:spacing w:before="205"/>
              <w:ind w:left="107" w:right="180"/>
              <w:rPr>
                <w:b/>
                <w:sz w:val="18"/>
              </w:rPr>
            </w:pPr>
            <w:r>
              <w:rPr>
                <w:b/>
                <w:sz w:val="18"/>
              </w:rPr>
              <w:t>Can we be confident</w:t>
            </w:r>
            <w:r>
              <w:rPr>
                <w:b/>
                <w:spacing w:val="-1"/>
                <w:sz w:val="18"/>
              </w:rPr>
              <w:t> </w:t>
            </w:r>
            <w:r>
              <w:rPr>
                <w:b/>
                <w:sz w:val="18"/>
              </w:rPr>
              <w:t>in </w:t>
            </w:r>
            <w:r>
              <w:rPr>
                <w:b/>
                <w:spacing w:val="-4"/>
                <w:sz w:val="18"/>
              </w:rPr>
              <w:t>the</w:t>
            </w:r>
            <w:r>
              <w:rPr>
                <w:b/>
                <w:sz w:val="18"/>
              </w:rPr>
              <w:t> </w:t>
            </w:r>
            <w:r>
              <w:rPr>
                <w:b/>
                <w:spacing w:val="-2"/>
                <w:sz w:val="18"/>
              </w:rPr>
              <w:t>assessment</w:t>
            </w:r>
            <w:r>
              <w:rPr>
                <w:b/>
                <w:sz w:val="18"/>
              </w:rPr>
              <w:t> </w:t>
            </w:r>
            <w:r>
              <w:rPr>
                <w:b/>
                <w:spacing w:val="-6"/>
                <w:sz w:val="18"/>
              </w:rPr>
              <w:t>of</w:t>
            </w:r>
            <w:r>
              <w:rPr>
                <w:b/>
                <w:sz w:val="18"/>
              </w:rPr>
              <w:t> </w:t>
            </w:r>
            <w:r>
              <w:rPr>
                <w:b/>
                <w:spacing w:val="-2"/>
                <w:sz w:val="18"/>
              </w:rPr>
              <w:t>confounding</w:t>
            </w:r>
            <w:r>
              <w:rPr>
                <w:b/>
                <w:sz w:val="18"/>
              </w:rPr>
              <w:t> </w:t>
            </w:r>
            <w:r>
              <w:rPr>
                <w:b/>
                <w:spacing w:val="-2"/>
                <w:sz w:val="18"/>
              </w:rPr>
              <w:t>factors?</w:t>
            </w:r>
          </w:p>
        </w:tc>
        <w:tc>
          <w:tcPr>
            <w:tcW w:w="1416" w:type="dxa"/>
            <w:tcBorders>
              <w:top w:val="nil"/>
              <w:left w:val="single" w:sz="4" w:space="0" w:color="000000"/>
              <w:bottom w:val="nil"/>
              <w:right w:val="single" w:sz="4" w:space="0" w:color="000000"/>
            </w:tcBorders>
            <w:shd w:val="clear" w:color="auto" w:fill="D9D9D9"/>
          </w:tcPr>
          <w:p>
            <w:pPr>
              <w:pStyle w:val="TableParagraph"/>
              <w:spacing w:before="205"/>
              <w:ind w:left="105" w:right="126"/>
              <w:rPr>
                <w:b/>
                <w:sz w:val="18"/>
              </w:rPr>
            </w:pPr>
            <w:r>
              <w:rPr>
                <w:b/>
                <w:sz w:val="18"/>
              </w:rPr>
              <w:t>Did the study match</w:t>
            </w:r>
            <w:r>
              <w:rPr>
                <w:b/>
                <w:spacing w:val="-10"/>
                <w:sz w:val="18"/>
              </w:rPr>
              <w:t> </w:t>
            </w:r>
            <w:r>
              <w:rPr>
                <w:b/>
                <w:sz w:val="18"/>
              </w:rPr>
              <w:t>exposed and</w:t>
            </w:r>
            <w:r>
              <w:rPr>
                <w:b/>
                <w:spacing w:val="-11"/>
                <w:sz w:val="18"/>
              </w:rPr>
              <w:t> </w:t>
            </w:r>
            <w:r>
              <w:rPr>
                <w:b/>
                <w:sz w:val="18"/>
              </w:rPr>
              <w:t>unexposed for</w:t>
            </w:r>
            <w:r>
              <w:rPr>
                <w:b/>
                <w:spacing w:val="-11"/>
                <w:sz w:val="18"/>
              </w:rPr>
              <w:t> </w:t>
            </w:r>
            <w:r>
              <w:rPr>
                <w:b/>
                <w:sz w:val="18"/>
              </w:rPr>
              <w:t>all</w:t>
            </w:r>
            <w:r>
              <w:rPr>
                <w:b/>
                <w:spacing w:val="-10"/>
                <w:sz w:val="18"/>
              </w:rPr>
              <w:t> </w:t>
            </w:r>
            <w:r>
              <w:rPr>
                <w:b/>
                <w:sz w:val="18"/>
              </w:rPr>
              <w:t>variables that are associated</w:t>
            </w:r>
            <w:r>
              <w:rPr>
                <w:b/>
                <w:spacing w:val="-11"/>
                <w:sz w:val="18"/>
              </w:rPr>
              <w:t> </w:t>
            </w:r>
            <w:r>
              <w:rPr>
                <w:b/>
                <w:sz w:val="18"/>
              </w:rPr>
              <w:t>with the</w:t>
            </w:r>
            <w:r>
              <w:rPr>
                <w:b/>
                <w:spacing w:val="-11"/>
                <w:sz w:val="18"/>
              </w:rPr>
              <w:t> </w:t>
            </w:r>
            <w:r>
              <w:rPr>
                <w:b/>
                <w:sz w:val="18"/>
              </w:rPr>
              <w:t>outcome</w:t>
            </w:r>
            <w:r>
              <w:rPr>
                <w:b/>
                <w:spacing w:val="-10"/>
                <w:sz w:val="18"/>
              </w:rPr>
              <w:t> </w:t>
            </w:r>
            <w:r>
              <w:rPr>
                <w:b/>
                <w:sz w:val="18"/>
              </w:rPr>
              <w:t>of interest or did the statistical analysis adjust for these </w:t>
            </w:r>
            <w:r>
              <w:rPr>
                <w:b/>
                <w:spacing w:val="-2"/>
                <w:sz w:val="18"/>
              </w:rPr>
              <w:t>confounding</w:t>
            </w:r>
            <w:r>
              <w:rPr>
                <w:b/>
                <w:sz w:val="18"/>
              </w:rPr>
              <w:t> </w:t>
            </w:r>
            <w:r>
              <w:rPr>
                <w:b/>
                <w:spacing w:val="-2"/>
                <w:sz w:val="18"/>
              </w:rPr>
              <w:t>variables?</w:t>
            </w:r>
          </w:p>
        </w:tc>
        <w:tc>
          <w:tcPr>
            <w:tcW w:w="1277" w:type="dxa"/>
            <w:tcBorders>
              <w:top w:val="nil"/>
              <w:left w:val="single" w:sz="4" w:space="0" w:color="000000"/>
              <w:bottom w:val="nil"/>
              <w:right w:val="single" w:sz="4" w:space="0" w:color="000000"/>
            </w:tcBorders>
            <w:shd w:val="clear" w:color="auto" w:fill="D9D9D9"/>
          </w:tcPr>
          <w:p>
            <w:pPr>
              <w:pStyle w:val="TableParagraph"/>
              <w:spacing w:before="205"/>
              <w:ind w:left="107" w:right="93"/>
              <w:rPr>
                <w:b/>
                <w:sz w:val="18"/>
              </w:rPr>
            </w:pPr>
            <w:r>
              <w:rPr>
                <w:b/>
                <w:sz w:val="18"/>
              </w:rPr>
              <w:t>Can we be confident in </w:t>
            </w:r>
            <w:r>
              <w:rPr>
                <w:b/>
                <w:spacing w:val="-4"/>
                <w:sz w:val="18"/>
              </w:rPr>
              <w:t>the</w:t>
            </w:r>
            <w:r>
              <w:rPr>
                <w:b/>
                <w:sz w:val="18"/>
              </w:rPr>
              <w:t> assessment</w:t>
            </w:r>
            <w:r>
              <w:rPr>
                <w:b/>
                <w:spacing w:val="-11"/>
                <w:sz w:val="18"/>
              </w:rPr>
              <w:t> </w:t>
            </w:r>
            <w:r>
              <w:rPr>
                <w:b/>
                <w:sz w:val="18"/>
              </w:rPr>
              <w:t>of </w:t>
            </w:r>
            <w:r>
              <w:rPr>
                <w:b/>
                <w:spacing w:val="-2"/>
                <w:sz w:val="18"/>
              </w:rPr>
              <w:t>outcome?</w:t>
            </w:r>
          </w:p>
        </w:tc>
        <w:tc>
          <w:tcPr>
            <w:tcW w:w="1759" w:type="dxa"/>
            <w:tcBorders>
              <w:top w:val="nil"/>
              <w:left w:val="single" w:sz="4" w:space="0" w:color="000000"/>
              <w:bottom w:val="nil"/>
              <w:right w:val="single" w:sz="4" w:space="0" w:color="000000"/>
            </w:tcBorders>
            <w:shd w:val="clear" w:color="auto" w:fill="D9D9D9"/>
          </w:tcPr>
          <w:p>
            <w:pPr>
              <w:pStyle w:val="TableParagraph"/>
              <w:spacing w:before="205"/>
              <w:ind w:left="107" w:right="177"/>
              <w:rPr>
                <w:b/>
                <w:sz w:val="18"/>
              </w:rPr>
            </w:pPr>
            <w:r>
              <w:rPr>
                <w:b/>
                <w:sz w:val="18"/>
              </w:rPr>
              <w:t>Was</w:t>
            </w:r>
            <w:r>
              <w:rPr>
                <w:b/>
                <w:spacing w:val="-11"/>
                <w:sz w:val="18"/>
              </w:rPr>
              <w:t> </w:t>
            </w:r>
            <w:r>
              <w:rPr>
                <w:b/>
                <w:sz w:val="18"/>
              </w:rPr>
              <w:t>the</w:t>
            </w:r>
            <w:r>
              <w:rPr>
                <w:b/>
                <w:spacing w:val="-10"/>
                <w:sz w:val="18"/>
              </w:rPr>
              <w:t> </w:t>
            </w:r>
            <w:r>
              <w:rPr>
                <w:b/>
                <w:sz w:val="18"/>
              </w:rPr>
              <w:t>follow</w:t>
            </w:r>
            <w:r>
              <w:rPr>
                <w:b/>
                <w:spacing w:val="-10"/>
                <w:sz w:val="18"/>
              </w:rPr>
              <w:t> </w:t>
            </w:r>
            <w:r>
              <w:rPr>
                <w:b/>
                <w:sz w:val="18"/>
              </w:rPr>
              <w:t>up of cohorts adequate? In particular,</w:t>
            </w:r>
            <w:r>
              <w:rPr>
                <w:b/>
                <w:spacing w:val="-2"/>
                <w:sz w:val="18"/>
              </w:rPr>
              <w:t> </w:t>
            </w:r>
            <w:r>
              <w:rPr>
                <w:b/>
                <w:sz w:val="18"/>
              </w:rPr>
              <w:t>was outcome data complete or </w:t>
            </w:r>
            <w:r>
              <w:rPr>
                <w:b/>
                <w:spacing w:val="-2"/>
                <w:sz w:val="18"/>
              </w:rPr>
              <w:t>imputed?</w:t>
            </w:r>
          </w:p>
        </w:tc>
        <w:tc>
          <w:tcPr>
            <w:tcW w:w="1702" w:type="dxa"/>
            <w:tcBorders>
              <w:top w:val="nil"/>
              <w:left w:val="single" w:sz="4" w:space="0" w:color="000000"/>
              <w:bottom w:val="nil"/>
              <w:right w:val="single" w:sz="4" w:space="0" w:color="000000"/>
            </w:tcBorders>
            <w:shd w:val="clear" w:color="auto" w:fill="D9D9D9"/>
          </w:tcPr>
          <w:p>
            <w:pPr>
              <w:pStyle w:val="TableParagraph"/>
              <w:spacing w:line="204" w:lineRule="exact"/>
              <w:ind w:left="107"/>
              <w:rPr>
                <w:b/>
                <w:sz w:val="18"/>
              </w:rPr>
            </w:pPr>
            <w:r>
              <w:rPr>
                <w:b/>
                <w:sz w:val="18"/>
              </w:rPr>
              <w:t>Were</w:t>
            </w:r>
            <w:r>
              <w:rPr>
                <w:b/>
                <w:spacing w:val="-1"/>
                <w:sz w:val="18"/>
              </w:rPr>
              <w:t> </w:t>
            </w:r>
            <w:r>
              <w:rPr>
                <w:b/>
                <w:spacing w:val="-5"/>
                <w:sz w:val="18"/>
              </w:rPr>
              <w:t>co-</w:t>
            </w:r>
          </w:p>
          <w:p>
            <w:pPr>
              <w:pStyle w:val="TableParagraph"/>
              <w:spacing w:before="1"/>
              <w:ind w:left="107" w:right="370"/>
              <w:rPr>
                <w:b/>
                <w:sz w:val="18"/>
              </w:rPr>
            </w:pPr>
            <w:r>
              <w:rPr>
                <w:b/>
                <w:spacing w:val="-2"/>
                <w:sz w:val="18"/>
              </w:rPr>
              <w:t>interventions</w:t>
            </w:r>
            <w:r>
              <w:rPr>
                <w:b/>
                <w:sz w:val="18"/>
              </w:rPr>
              <w:t> similar</w:t>
            </w:r>
            <w:r>
              <w:rPr>
                <w:b/>
                <w:spacing w:val="-11"/>
                <w:sz w:val="18"/>
              </w:rPr>
              <w:t> </w:t>
            </w:r>
            <w:r>
              <w:rPr>
                <w:b/>
                <w:sz w:val="18"/>
              </w:rPr>
              <w:t>between </w:t>
            </w:r>
            <w:r>
              <w:rPr>
                <w:b/>
                <w:spacing w:val="-2"/>
                <w:sz w:val="18"/>
              </w:rPr>
              <w:t>groups?</w:t>
            </w:r>
          </w:p>
        </w:tc>
        <w:tc>
          <w:tcPr>
            <w:tcW w:w="1641" w:type="dxa"/>
            <w:tcBorders>
              <w:top w:val="nil"/>
              <w:left w:val="single" w:sz="4" w:space="0" w:color="000000"/>
              <w:bottom w:val="nil"/>
            </w:tcBorders>
            <w:shd w:val="clear" w:color="auto" w:fill="D9D9D9"/>
          </w:tcPr>
          <w:p>
            <w:pPr>
              <w:pStyle w:val="TableParagraph"/>
              <w:rPr>
                <w:rFonts w:ascii="Times New Roman"/>
                <w:sz w:val="18"/>
              </w:rPr>
            </w:pPr>
          </w:p>
        </w:tc>
      </w:tr>
      <w:tr>
        <w:trPr>
          <w:trHeight w:val="977" w:hRule="atLeast"/>
        </w:trPr>
        <w:tc>
          <w:tcPr>
            <w:tcW w:w="783" w:type="dxa"/>
            <w:tcBorders>
              <w:top w:val="nil"/>
              <w:right w:val="single" w:sz="4" w:space="0" w:color="000000"/>
            </w:tcBorders>
            <w:shd w:val="clear" w:color="auto" w:fill="D9D9D9"/>
          </w:tcPr>
          <w:p>
            <w:pPr>
              <w:pStyle w:val="TableParagraph"/>
              <w:rPr>
                <w:rFonts w:ascii="Times New Roman"/>
                <w:sz w:val="18"/>
              </w:rPr>
            </w:pPr>
          </w:p>
        </w:tc>
        <w:tc>
          <w:tcPr>
            <w:tcW w:w="1337" w:type="dxa"/>
            <w:tcBorders>
              <w:top w:val="nil"/>
              <w:left w:val="single" w:sz="4" w:space="0" w:color="000000"/>
              <w:right w:val="single" w:sz="4" w:space="0" w:color="000000"/>
            </w:tcBorders>
            <w:shd w:val="clear" w:color="auto" w:fill="D9D9D9"/>
          </w:tcPr>
          <w:p>
            <w:pPr>
              <w:pStyle w:val="TableParagraph"/>
              <w:spacing w:before="98"/>
              <w:ind w:left="107" w:right="188"/>
              <w:jc w:val="both"/>
              <w:rPr>
                <w:sz w:val="18"/>
              </w:rPr>
            </w:pPr>
            <w:r>
              <w:rPr>
                <w:sz w:val="18"/>
              </w:rPr>
              <w:t>Definitely</w:t>
            </w:r>
            <w:r>
              <w:rPr>
                <w:spacing w:val="-11"/>
                <w:sz w:val="18"/>
              </w:rPr>
              <w:t> </w:t>
            </w:r>
            <w:r>
              <w:rPr>
                <w:sz w:val="18"/>
              </w:rPr>
              <w:t>yes, probably yes, probably no,</w:t>
            </w:r>
          </w:p>
          <w:p>
            <w:pPr>
              <w:pStyle w:val="TableParagraph"/>
              <w:spacing w:line="199" w:lineRule="exact" w:before="1"/>
              <w:ind w:left="107"/>
              <w:jc w:val="both"/>
              <w:rPr>
                <w:sz w:val="18"/>
              </w:rPr>
            </w:pPr>
            <w:r>
              <w:rPr>
                <w:sz w:val="18"/>
              </w:rPr>
              <w:t>definitely</w:t>
            </w:r>
            <w:r>
              <w:rPr>
                <w:spacing w:val="-7"/>
                <w:sz w:val="18"/>
              </w:rPr>
              <w:t> </w:t>
            </w:r>
            <w:r>
              <w:rPr>
                <w:spacing w:val="-5"/>
                <w:sz w:val="18"/>
              </w:rPr>
              <w:t>no</w:t>
            </w:r>
          </w:p>
        </w:tc>
        <w:tc>
          <w:tcPr>
            <w:tcW w:w="1277" w:type="dxa"/>
            <w:tcBorders>
              <w:top w:val="nil"/>
              <w:left w:val="single" w:sz="4" w:space="0" w:color="000000"/>
              <w:right w:val="single" w:sz="4" w:space="0" w:color="000000"/>
            </w:tcBorders>
            <w:shd w:val="clear" w:color="auto" w:fill="D9D9D9"/>
          </w:tcPr>
          <w:p>
            <w:pPr>
              <w:pStyle w:val="TableParagraph"/>
              <w:spacing w:before="98"/>
              <w:ind w:left="107" w:right="128"/>
              <w:jc w:val="both"/>
              <w:rPr>
                <w:sz w:val="18"/>
              </w:rPr>
            </w:pPr>
            <w:r>
              <w:rPr>
                <w:sz w:val="18"/>
              </w:rPr>
              <w:t>Definitely</w:t>
            </w:r>
            <w:r>
              <w:rPr>
                <w:spacing w:val="-11"/>
                <w:sz w:val="18"/>
              </w:rPr>
              <w:t> </w:t>
            </w:r>
            <w:r>
              <w:rPr>
                <w:sz w:val="18"/>
              </w:rPr>
              <w:t>yes, probably yes, probably no,</w:t>
            </w:r>
          </w:p>
          <w:p>
            <w:pPr>
              <w:pStyle w:val="TableParagraph"/>
              <w:spacing w:line="199" w:lineRule="exact" w:before="1"/>
              <w:ind w:left="107"/>
              <w:jc w:val="both"/>
              <w:rPr>
                <w:sz w:val="18"/>
              </w:rPr>
            </w:pPr>
            <w:r>
              <w:rPr>
                <w:sz w:val="18"/>
              </w:rPr>
              <w:t>definitely</w:t>
            </w:r>
            <w:r>
              <w:rPr>
                <w:spacing w:val="-7"/>
                <w:sz w:val="18"/>
              </w:rPr>
              <w:t> </w:t>
            </w:r>
            <w:r>
              <w:rPr>
                <w:spacing w:val="-5"/>
                <w:sz w:val="18"/>
              </w:rPr>
              <w:t>no</w:t>
            </w:r>
          </w:p>
        </w:tc>
        <w:tc>
          <w:tcPr>
            <w:tcW w:w="1275" w:type="dxa"/>
            <w:tcBorders>
              <w:top w:val="nil"/>
              <w:left w:val="single" w:sz="4" w:space="0" w:color="000000"/>
              <w:right w:val="single" w:sz="4" w:space="0" w:color="000000"/>
            </w:tcBorders>
            <w:shd w:val="clear" w:color="auto" w:fill="D9D9D9"/>
          </w:tcPr>
          <w:p>
            <w:pPr>
              <w:pStyle w:val="TableParagraph"/>
              <w:spacing w:before="98"/>
              <w:ind w:left="104" w:right="129"/>
              <w:jc w:val="both"/>
              <w:rPr>
                <w:sz w:val="18"/>
              </w:rPr>
            </w:pPr>
            <w:r>
              <w:rPr>
                <w:sz w:val="18"/>
              </w:rPr>
              <w:t>Definitely</w:t>
            </w:r>
            <w:r>
              <w:rPr>
                <w:spacing w:val="-11"/>
                <w:sz w:val="18"/>
              </w:rPr>
              <w:t> </w:t>
            </w:r>
            <w:r>
              <w:rPr>
                <w:sz w:val="18"/>
              </w:rPr>
              <w:t>yes, probably yes, probably no,</w:t>
            </w:r>
          </w:p>
          <w:p>
            <w:pPr>
              <w:pStyle w:val="TableParagraph"/>
              <w:spacing w:line="199" w:lineRule="exact" w:before="1"/>
              <w:ind w:left="104"/>
              <w:jc w:val="both"/>
              <w:rPr>
                <w:sz w:val="18"/>
              </w:rPr>
            </w:pPr>
            <w:r>
              <w:rPr>
                <w:sz w:val="18"/>
              </w:rPr>
              <w:t>definitely</w:t>
            </w:r>
            <w:r>
              <w:rPr>
                <w:spacing w:val="-7"/>
                <w:sz w:val="18"/>
              </w:rPr>
              <w:t> </w:t>
            </w:r>
            <w:r>
              <w:rPr>
                <w:spacing w:val="-5"/>
                <w:sz w:val="18"/>
              </w:rPr>
              <w:t>no</w:t>
            </w:r>
          </w:p>
        </w:tc>
        <w:tc>
          <w:tcPr>
            <w:tcW w:w="1262" w:type="dxa"/>
            <w:tcBorders>
              <w:top w:val="nil"/>
              <w:left w:val="single" w:sz="4" w:space="0" w:color="000000"/>
              <w:right w:val="single" w:sz="4" w:space="0" w:color="000000"/>
            </w:tcBorders>
            <w:shd w:val="clear" w:color="auto" w:fill="D9D9D9"/>
          </w:tcPr>
          <w:p>
            <w:pPr>
              <w:pStyle w:val="TableParagraph"/>
              <w:spacing w:before="98"/>
              <w:ind w:left="107" w:right="113"/>
              <w:jc w:val="both"/>
              <w:rPr>
                <w:sz w:val="18"/>
              </w:rPr>
            </w:pPr>
            <w:r>
              <w:rPr>
                <w:sz w:val="18"/>
              </w:rPr>
              <w:t>Definitely</w:t>
            </w:r>
            <w:r>
              <w:rPr>
                <w:spacing w:val="-11"/>
                <w:sz w:val="18"/>
              </w:rPr>
              <w:t> </w:t>
            </w:r>
            <w:r>
              <w:rPr>
                <w:sz w:val="18"/>
              </w:rPr>
              <w:t>yes, probably yes, probably no,</w:t>
            </w:r>
          </w:p>
          <w:p>
            <w:pPr>
              <w:pStyle w:val="TableParagraph"/>
              <w:spacing w:line="199" w:lineRule="exact" w:before="1"/>
              <w:ind w:left="107"/>
              <w:jc w:val="both"/>
              <w:rPr>
                <w:sz w:val="18"/>
              </w:rPr>
            </w:pPr>
            <w:r>
              <w:rPr>
                <w:sz w:val="18"/>
              </w:rPr>
              <w:t>definitely</w:t>
            </w:r>
            <w:r>
              <w:rPr>
                <w:spacing w:val="-7"/>
                <w:sz w:val="18"/>
              </w:rPr>
              <w:t> </w:t>
            </w:r>
            <w:r>
              <w:rPr>
                <w:spacing w:val="-5"/>
                <w:sz w:val="18"/>
              </w:rPr>
              <w:t>no</w:t>
            </w:r>
          </w:p>
        </w:tc>
        <w:tc>
          <w:tcPr>
            <w:tcW w:w="1416" w:type="dxa"/>
            <w:tcBorders>
              <w:top w:val="nil"/>
              <w:left w:val="single" w:sz="4" w:space="0" w:color="000000"/>
              <w:right w:val="single" w:sz="4" w:space="0" w:color="000000"/>
            </w:tcBorders>
            <w:shd w:val="clear" w:color="auto" w:fill="D9D9D9"/>
          </w:tcPr>
          <w:p>
            <w:pPr>
              <w:pStyle w:val="TableParagraph"/>
              <w:spacing w:before="98"/>
              <w:ind w:left="105" w:right="269"/>
              <w:jc w:val="both"/>
              <w:rPr>
                <w:sz w:val="18"/>
              </w:rPr>
            </w:pPr>
            <w:r>
              <w:rPr>
                <w:sz w:val="18"/>
              </w:rPr>
              <w:t>Definitely</w:t>
            </w:r>
            <w:r>
              <w:rPr>
                <w:spacing w:val="-11"/>
                <w:sz w:val="18"/>
              </w:rPr>
              <w:t> </w:t>
            </w:r>
            <w:r>
              <w:rPr>
                <w:sz w:val="18"/>
              </w:rPr>
              <w:t>yes, probably yes, probably no,</w:t>
            </w:r>
          </w:p>
          <w:p>
            <w:pPr>
              <w:pStyle w:val="TableParagraph"/>
              <w:spacing w:line="199" w:lineRule="exact" w:before="1"/>
              <w:ind w:left="105"/>
              <w:jc w:val="both"/>
              <w:rPr>
                <w:sz w:val="18"/>
              </w:rPr>
            </w:pPr>
            <w:r>
              <w:rPr>
                <w:sz w:val="18"/>
              </w:rPr>
              <w:t>definitely</w:t>
            </w:r>
            <w:r>
              <w:rPr>
                <w:spacing w:val="-7"/>
                <w:sz w:val="18"/>
              </w:rPr>
              <w:t> </w:t>
            </w:r>
            <w:r>
              <w:rPr>
                <w:spacing w:val="-5"/>
                <w:sz w:val="18"/>
              </w:rPr>
              <w:t>no</w:t>
            </w:r>
          </w:p>
        </w:tc>
        <w:tc>
          <w:tcPr>
            <w:tcW w:w="1277" w:type="dxa"/>
            <w:tcBorders>
              <w:top w:val="nil"/>
              <w:left w:val="single" w:sz="4" w:space="0" w:color="000000"/>
              <w:right w:val="single" w:sz="4" w:space="0" w:color="000000"/>
            </w:tcBorders>
            <w:shd w:val="clear" w:color="auto" w:fill="D9D9D9"/>
          </w:tcPr>
          <w:p>
            <w:pPr>
              <w:pStyle w:val="TableParagraph"/>
              <w:spacing w:before="98"/>
              <w:ind w:left="107" w:right="128"/>
              <w:jc w:val="both"/>
              <w:rPr>
                <w:sz w:val="18"/>
              </w:rPr>
            </w:pPr>
            <w:r>
              <w:rPr>
                <w:sz w:val="18"/>
              </w:rPr>
              <w:t>Definitely</w:t>
            </w:r>
            <w:r>
              <w:rPr>
                <w:spacing w:val="-11"/>
                <w:sz w:val="18"/>
              </w:rPr>
              <w:t> </w:t>
            </w:r>
            <w:r>
              <w:rPr>
                <w:sz w:val="18"/>
              </w:rPr>
              <w:t>yes, probably yes, probably no,</w:t>
            </w:r>
          </w:p>
          <w:p>
            <w:pPr>
              <w:pStyle w:val="TableParagraph"/>
              <w:spacing w:line="199" w:lineRule="exact" w:before="1"/>
              <w:ind w:left="107"/>
              <w:jc w:val="both"/>
              <w:rPr>
                <w:sz w:val="18"/>
              </w:rPr>
            </w:pPr>
            <w:r>
              <w:rPr>
                <w:sz w:val="18"/>
              </w:rPr>
              <w:t>definitely</w:t>
            </w:r>
            <w:r>
              <w:rPr>
                <w:spacing w:val="-7"/>
                <w:sz w:val="18"/>
              </w:rPr>
              <w:t> </w:t>
            </w:r>
            <w:r>
              <w:rPr>
                <w:spacing w:val="-5"/>
                <w:sz w:val="18"/>
              </w:rPr>
              <w:t>no</w:t>
            </w:r>
          </w:p>
        </w:tc>
        <w:tc>
          <w:tcPr>
            <w:tcW w:w="1759" w:type="dxa"/>
            <w:tcBorders>
              <w:top w:val="nil"/>
              <w:left w:val="single" w:sz="4" w:space="0" w:color="000000"/>
              <w:right w:val="single" w:sz="4" w:space="0" w:color="000000"/>
            </w:tcBorders>
            <w:shd w:val="clear" w:color="auto" w:fill="D9D9D9"/>
          </w:tcPr>
          <w:p>
            <w:pPr>
              <w:pStyle w:val="TableParagraph"/>
              <w:spacing w:before="98"/>
              <w:ind w:left="107" w:right="610"/>
              <w:jc w:val="both"/>
              <w:rPr>
                <w:sz w:val="18"/>
              </w:rPr>
            </w:pPr>
            <w:r>
              <w:rPr>
                <w:sz w:val="18"/>
              </w:rPr>
              <w:t>Definitely</w:t>
            </w:r>
            <w:r>
              <w:rPr>
                <w:spacing w:val="-11"/>
                <w:sz w:val="18"/>
              </w:rPr>
              <w:t> </w:t>
            </w:r>
            <w:r>
              <w:rPr>
                <w:sz w:val="18"/>
              </w:rPr>
              <w:t>yes, probably yes, probably no,</w:t>
            </w:r>
          </w:p>
          <w:p>
            <w:pPr>
              <w:pStyle w:val="TableParagraph"/>
              <w:spacing w:line="199" w:lineRule="exact" w:before="1"/>
              <w:ind w:left="107"/>
              <w:jc w:val="both"/>
              <w:rPr>
                <w:sz w:val="18"/>
              </w:rPr>
            </w:pPr>
            <w:r>
              <w:rPr>
                <w:sz w:val="18"/>
              </w:rPr>
              <w:t>definitely</w:t>
            </w:r>
            <w:r>
              <w:rPr>
                <w:spacing w:val="-7"/>
                <w:sz w:val="18"/>
              </w:rPr>
              <w:t> </w:t>
            </w:r>
            <w:r>
              <w:rPr>
                <w:spacing w:val="-5"/>
                <w:sz w:val="18"/>
              </w:rPr>
              <w:t>no</w:t>
            </w:r>
          </w:p>
        </w:tc>
        <w:tc>
          <w:tcPr>
            <w:tcW w:w="1702" w:type="dxa"/>
            <w:tcBorders>
              <w:top w:val="nil"/>
              <w:left w:val="single" w:sz="4" w:space="0" w:color="000000"/>
              <w:right w:val="single" w:sz="4" w:space="0" w:color="000000"/>
            </w:tcBorders>
            <w:shd w:val="clear" w:color="auto" w:fill="D9D9D9"/>
          </w:tcPr>
          <w:p>
            <w:pPr>
              <w:pStyle w:val="TableParagraph"/>
              <w:spacing w:before="98"/>
              <w:ind w:left="107" w:right="553"/>
              <w:jc w:val="both"/>
              <w:rPr>
                <w:sz w:val="18"/>
              </w:rPr>
            </w:pPr>
            <w:r>
              <w:rPr>
                <w:sz w:val="18"/>
              </w:rPr>
              <w:t>Definitely</w:t>
            </w:r>
            <w:r>
              <w:rPr>
                <w:spacing w:val="-11"/>
                <w:sz w:val="18"/>
              </w:rPr>
              <w:t> </w:t>
            </w:r>
            <w:r>
              <w:rPr>
                <w:sz w:val="18"/>
              </w:rPr>
              <w:t>yes, probably yes, probably no,</w:t>
            </w:r>
          </w:p>
          <w:p>
            <w:pPr>
              <w:pStyle w:val="TableParagraph"/>
              <w:spacing w:line="199" w:lineRule="exact" w:before="1"/>
              <w:ind w:left="107"/>
              <w:jc w:val="both"/>
              <w:rPr>
                <w:sz w:val="18"/>
              </w:rPr>
            </w:pPr>
            <w:r>
              <w:rPr>
                <w:sz w:val="18"/>
              </w:rPr>
              <w:t>definitely</w:t>
            </w:r>
            <w:r>
              <w:rPr>
                <w:spacing w:val="-7"/>
                <w:sz w:val="18"/>
              </w:rPr>
              <w:t> </w:t>
            </w:r>
            <w:r>
              <w:rPr>
                <w:spacing w:val="-5"/>
                <w:sz w:val="18"/>
              </w:rPr>
              <w:t>no</w:t>
            </w:r>
          </w:p>
        </w:tc>
        <w:tc>
          <w:tcPr>
            <w:tcW w:w="1641" w:type="dxa"/>
            <w:tcBorders>
              <w:top w:val="nil"/>
              <w:left w:val="single" w:sz="4" w:space="0" w:color="000000"/>
            </w:tcBorders>
            <w:shd w:val="clear" w:color="auto" w:fill="D9D9D9"/>
          </w:tcPr>
          <w:p>
            <w:pPr>
              <w:pStyle w:val="TableParagraph"/>
              <w:spacing w:before="98"/>
              <w:ind w:left="108" w:right="434"/>
              <w:rPr>
                <w:sz w:val="18"/>
              </w:rPr>
            </w:pPr>
            <w:r>
              <w:rPr>
                <w:sz w:val="18"/>
              </w:rPr>
              <w:t>Low, Some concerns,</w:t>
            </w:r>
            <w:r>
              <w:rPr>
                <w:spacing w:val="-11"/>
                <w:sz w:val="18"/>
              </w:rPr>
              <w:t> </w:t>
            </w:r>
            <w:r>
              <w:rPr>
                <w:sz w:val="18"/>
              </w:rPr>
              <w:t>High</w:t>
            </w:r>
          </w:p>
        </w:tc>
      </w:tr>
    </w:tbl>
    <w:p>
      <w:pPr>
        <w:pStyle w:val="TableParagraph"/>
        <w:spacing w:after="0"/>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83"/>
        <w:gridCol w:w="1337"/>
        <w:gridCol w:w="1277"/>
        <w:gridCol w:w="1275"/>
        <w:gridCol w:w="1262"/>
        <w:gridCol w:w="1416"/>
        <w:gridCol w:w="1277"/>
        <w:gridCol w:w="1759"/>
        <w:gridCol w:w="1702"/>
        <w:gridCol w:w="1641"/>
      </w:tblGrid>
      <w:tr>
        <w:trPr>
          <w:trHeight w:val="2418" w:hRule="atLeast"/>
        </w:trPr>
        <w:tc>
          <w:tcPr>
            <w:tcW w:w="783" w:type="dxa"/>
            <w:tcBorders>
              <w:right w:val="single" w:sz="4" w:space="0" w:color="000000"/>
            </w:tcBorders>
          </w:tcPr>
          <w:p>
            <w:pPr>
              <w:pStyle w:val="TableParagraph"/>
              <w:spacing w:before="1"/>
              <w:ind w:left="105"/>
              <w:rPr>
                <w:b/>
                <w:sz w:val="18"/>
              </w:rPr>
            </w:pPr>
            <w:r>
              <w:rPr>
                <w:b/>
                <w:sz w:val="18"/>
              </w:rPr>
              <w:t>Li,</w:t>
            </w:r>
            <w:r>
              <w:rPr>
                <w:b/>
                <w:spacing w:val="-4"/>
                <w:sz w:val="18"/>
              </w:rPr>
              <w:t> 2007</w:t>
            </w:r>
          </w:p>
        </w:tc>
        <w:tc>
          <w:tcPr>
            <w:tcW w:w="1337" w:type="dxa"/>
            <w:tcBorders>
              <w:left w:val="single" w:sz="4" w:space="0" w:color="000000"/>
              <w:right w:val="single" w:sz="4" w:space="0" w:color="000000"/>
            </w:tcBorders>
          </w:tcPr>
          <w:p>
            <w:pPr>
              <w:pStyle w:val="TableParagraph"/>
              <w:spacing w:before="1"/>
              <w:ind w:left="107"/>
              <w:rPr>
                <w:sz w:val="18"/>
              </w:rPr>
            </w:pPr>
            <w:r>
              <w:rPr>
                <w:sz w:val="18"/>
              </w:rPr>
              <w:t>Definitely</w:t>
            </w:r>
            <w:r>
              <w:rPr>
                <w:spacing w:val="-7"/>
                <w:sz w:val="18"/>
              </w:rPr>
              <w:t> </w:t>
            </w:r>
            <w:r>
              <w:rPr>
                <w:spacing w:val="-5"/>
                <w:sz w:val="18"/>
              </w:rPr>
              <w:t>yes</w:t>
            </w:r>
          </w:p>
          <w:p>
            <w:pPr>
              <w:pStyle w:val="TableParagraph"/>
              <w:spacing w:before="219"/>
              <w:ind w:left="107" w:right="75"/>
              <w:rPr>
                <w:sz w:val="18"/>
              </w:rPr>
            </w:pPr>
            <w:r>
              <w:rPr>
                <w:spacing w:val="-2"/>
                <w:sz w:val="18"/>
              </w:rPr>
              <w:t>Reason:</w:t>
            </w:r>
            <w:r>
              <w:rPr>
                <w:sz w:val="18"/>
              </w:rPr>
              <w:t> patients</w:t>
            </w:r>
            <w:r>
              <w:rPr>
                <w:spacing w:val="-4"/>
                <w:sz w:val="18"/>
              </w:rPr>
              <w:t> </w:t>
            </w:r>
            <w:r>
              <w:rPr>
                <w:sz w:val="18"/>
              </w:rPr>
              <w:t>were identified</w:t>
            </w:r>
            <w:r>
              <w:rPr>
                <w:spacing w:val="-11"/>
                <w:sz w:val="18"/>
              </w:rPr>
              <w:t> </w:t>
            </w:r>
            <w:r>
              <w:rPr>
                <w:sz w:val="18"/>
              </w:rPr>
              <w:t>from the</w:t>
            </w:r>
            <w:r>
              <w:rPr>
                <w:spacing w:val="-11"/>
                <w:sz w:val="18"/>
              </w:rPr>
              <w:t> </w:t>
            </w:r>
            <w:r>
              <w:rPr>
                <w:sz w:val="18"/>
              </w:rPr>
              <w:t>same</w:t>
            </w:r>
            <w:r>
              <w:rPr>
                <w:spacing w:val="-10"/>
                <w:sz w:val="18"/>
              </w:rPr>
              <w:t> </w:t>
            </w:r>
            <w:r>
              <w:rPr>
                <w:sz w:val="18"/>
              </w:rPr>
              <w:t>set</w:t>
            </w:r>
            <w:r>
              <w:rPr>
                <w:spacing w:val="-10"/>
                <w:sz w:val="18"/>
              </w:rPr>
              <w:t> </w:t>
            </w:r>
            <w:r>
              <w:rPr>
                <w:sz w:val="18"/>
              </w:rPr>
              <w:t>of </w:t>
            </w:r>
            <w:r>
              <w:rPr>
                <w:spacing w:val="-2"/>
                <w:sz w:val="18"/>
              </w:rPr>
              <w:t>hospitals</w:t>
            </w:r>
          </w:p>
        </w:tc>
        <w:tc>
          <w:tcPr>
            <w:tcW w:w="1277" w:type="dxa"/>
            <w:tcBorders>
              <w:left w:val="single" w:sz="4" w:space="0" w:color="000000"/>
              <w:right w:val="single" w:sz="4" w:space="0" w:color="000000"/>
            </w:tcBorders>
          </w:tcPr>
          <w:p>
            <w:pPr>
              <w:pStyle w:val="TableParagraph"/>
              <w:spacing w:before="1"/>
              <w:ind w:left="107"/>
              <w:rPr>
                <w:sz w:val="18"/>
              </w:rPr>
            </w:pPr>
            <w:r>
              <w:rPr>
                <w:sz w:val="18"/>
              </w:rPr>
              <w:t>Definitely</w:t>
            </w:r>
            <w:r>
              <w:rPr>
                <w:spacing w:val="-7"/>
                <w:sz w:val="18"/>
              </w:rPr>
              <w:t> </w:t>
            </w:r>
            <w:r>
              <w:rPr>
                <w:spacing w:val="-5"/>
                <w:sz w:val="18"/>
              </w:rPr>
              <w:t>yes</w:t>
            </w:r>
          </w:p>
          <w:p>
            <w:pPr>
              <w:pStyle w:val="TableParagraph"/>
              <w:spacing w:before="219"/>
              <w:ind w:left="107" w:right="301"/>
              <w:rPr>
                <w:sz w:val="18"/>
              </w:rPr>
            </w:pPr>
            <w:r>
              <w:rPr>
                <w:spacing w:val="-2"/>
                <w:sz w:val="18"/>
              </w:rPr>
              <w:t>Reason:</w:t>
            </w:r>
            <w:r>
              <w:rPr>
                <w:sz w:val="18"/>
              </w:rPr>
              <w:t> </w:t>
            </w:r>
            <w:r>
              <w:rPr>
                <w:spacing w:val="-4"/>
                <w:sz w:val="18"/>
              </w:rPr>
              <w:t>data</w:t>
            </w:r>
            <w:r>
              <w:rPr>
                <w:sz w:val="18"/>
              </w:rPr>
              <w:t> </w:t>
            </w:r>
            <w:r>
              <w:rPr>
                <w:spacing w:val="-2"/>
                <w:sz w:val="18"/>
              </w:rPr>
              <w:t>originated</w:t>
            </w:r>
            <w:r>
              <w:rPr>
                <w:sz w:val="18"/>
              </w:rPr>
              <w:t> </w:t>
            </w:r>
            <w:r>
              <w:rPr>
                <w:spacing w:val="-4"/>
                <w:sz w:val="18"/>
              </w:rPr>
              <w:t>from</w:t>
            </w:r>
          </w:p>
          <w:p>
            <w:pPr>
              <w:pStyle w:val="TableParagraph"/>
              <w:ind w:left="107"/>
              <w:rPr>
                <w:sz w:val="18"/>
              </w:rPr>
            </w:pPr>
            <w:r>
              <w:rPr>
                <w:spacing w:val="-2"/>
                <w:sz w:val="18"/>
              </w:rPr>
              <w:t>multinational</w:t>
            </w:r>
            <w:r>
              <w:rPr>
                <w:sz w:val="18"/>
              </w:rPr>
              <w:t> </w:t>
            </w:r>
            <w:r>
              <w:rPr>
                <w:spacing w:val="-2"/>
                <w:sz w:val="18"/>
              </w:rPr>
              <w:t>registry</w:t>
            </w:r>
          </w:p>
        </w:tc>
        <w:tc>
          <w:tcPr>
            <w:tcW w:w="1275" w:type="dxa"/>
            <w:tcBorders>
              <w:left w:val="single" w:sz="4" w:space="0" w:color="000000"/>
              <w:right w:val="single" w:sz="4" w:space="0" w:color="000000"/>
            </w:tcBorders>
          </w:tcPr>
          <w:p>
            <w:pPr>
              <w:pStyle w:val="TableParagraph"/>
              <w:spacing w:before="1"/>
              <w:ind w:left="104"/>
              <w:rPr>
                <w:sz w:val="18"/>
              </w:rPr>
            </w:pPr>
            <w:r>
              <w:rPr>
                <w:sz w:val="18"/>
              </w:rPr>
              <w:t>Definitely</w:t>
            </w:r>
            <w:r>
              <w:rPr>
                <w:spacing w:val="-7"/>
                <w:sz w:val="18"/>
              </w:rPr>
              <w:t> </w:t>
            </w:r>
            <w:r>
              <w:rPr>
                <w:spacing w:val="-5"/>
                <w:sz w:val="18"/>
              </w:rPr>
              <w:t>yes</w:t>
            </w:r>
          </w:p>
          <w:p>
            <w:pPr>
              <w:pStyle w:val="TableParagraph"/>
              <w:spacing w:before="219"/>
              <w:ind w:left="104" w:right="147"/>
              <w:rPr>
                <w:sz w:val="18"/>
              </w:rPr>
            </w:pPr>
            <w:r>
              <w:rPr>
                <w:spacing w:val="-2"/>
                <w:sz w:val="18"/>
              </w:rPr>
              <w:t>Reason:</w:t>
            </w:r>
            <w:r>
              <w:rPr>
                <w:sz w:val="18"/>
              </w:rPr>
              <w:t> Outcome</w:t>
            </w:r>
            <w:r>
              <w:rPr>
                <w:spacing w:val="-11"/>
                <w:sz w:val="18"/>
              </w:rPr>
              <w:t> </w:t>
            </w:r>
            <w:r>
              <w:rPr>
                <w:sz w:val="18"/>
              </w:rPr>
              <w:t>was </w:t>
            </w:r>
            <w:r>
              <w:rPr>
                <w:spacing w:val="-2"/>
                <w:sz w:val="18"/>
              </w:rPr>
              <w:t>mortality</w:t>
            </w:r>
          </w:p>
        </w:tc>
        <w:tc>
          <w:tcPr>
            <w:tcW w:w="1262" w:type="dxa"/>
            <w:tcBorders>
              <w:left w:val="single" w:sz="4" w:space="0" w:color="000000"/>
              <w:right w:val="single" w:sz="4" w:space="0" w:color="000000"/>
            </w:tcBorders>
          </w:tcPr>
          <w:p>
            <w:pPr>
              <w:pStyle w:val="TableParagraph"/>
              <w:spacing w:before="1"/>
              <w:ind w:left="107"/>
              <w:rPr>
                <w:sz w:val="18"/>
              </w:rPr>
            </w:pPr>
            <w:r>
              <w:rPr>
                <w:sz w:val="18"/>
              </w:rPr>
              <w:t>Definitely</w:t>
            </w:r>
            <w:r>
              <w:rPr>
                <w:spacing w:val="-7"/>
                <w:sz w:val="18"/>
              </w:rPr>
              <w:t> </w:t>
            </w:r>
            <w:r>
              <w:rPr>
                <w:spacing w:val="-5"/>
                <w:sz w:val="18"/>
              </w:rPr>
              <w:t>no</w:t>
            </w:r>
          </w:p>
          <w:p>
            <w:pPr>
              <w:pStyle w:val="TableParagraph"/>
              <w:spacing w:before="219"/>
              <w:ind w:left="107" w:right="81"/>
              <w:rPr>
                <w:sz w:val="18"/>
              </w:rPr>
            </w:pPr>
            <w:r>
              <w:rPr>
                <w:spacing w:val="-2"/>
                <w:sz w:val="18"/>
              </w:rPr>
              <w:t>Reason:</w:t>
            </w:r>
            <w:r>
              <w:rPr>
                <w:sz w:val="18"/>
              </w:rPr>
              <w:t> </w:t>
            </w:r>
            <w:r>
              <w:rPr>
                <w:spacing w:val="-2"/>
                <w:sz w:val="18"/>
              </w:rPr>
              <w:t>Important</w:t>
            </w:r>
            <w:r>
              <w:rPr>
                <w:sz w:val="18"/>
              </w:rPr>
              <w:t> </w:t>
            </w:r>
            <w:r>
              <w:rPr>
                <w:spacing w:val="-2"/>
                <w:sz w:val="18"/>
              </w:rPr>
              <w:t>confounding</w:t>
            </w:r>
            <w:r>
              <w:rPr>
                <w:sz w:val="18"/>
              </w:rPr>
              <w:t> factors, such as</w:t>
            </w:r>
            <w:r>
              <w:rPr>
                <w:spacing w:val="-2"/>
                <w:sz w:val="18"/>
              </w:rPr>
              <w:t> </w:t>
            </w:r>
            <w:r>
              <w:rPr>
                <w:sz w:val="18"/>
              </w:rPr>
              <w:t>other </w:t>
            </w:r>
            <w:r>
              <w:rPr>
                <w:spacing w:val="-2"/>
                <w:sz w:val="18"/>
              </w:rPr>
              <w:t>comorbidities,</w:t>
            </w:r>
            <w:r>
              <w:rPr>
                <w:sz w:val="18"/>
              </w:rPr>
              <w:t> were</w:t>
            </w:r>
            <w:r>
              <w:rPr>
                <w:spacing w:val="-4"/>
                <w:sz w:val="18"/>
              </w:rPr>
              <w:t> </w:t>
            </w:r>
            <w:r>
              <w:rPr>
                <w:sz w:val="18"/>
              </w:rPr>
              <w:t>not </w:t>
            </w:r>
            <w:r>
              <w:rPr>
                <w:spacing w:val="-2"/>
                <w:sz w:val="18"/>
              </w:rPr>
              <w:t>assessed</w:t>
            </w:r>
          </w:p>
        </w:tc>
        <w:tc>
          <w:tcPr>
            <w:tcW w:w="1416" w:type="dxa"/>
            <w:tcBorders>
              <w:left w:val="single" w:sz="4" w:space="0" w:color="000000"/>
              <w:right w:val="single" w:sz="4" w:space="0" w:color="000000"/>
            </w:tcBorders>
          </w:tcPr>
          <w:p>
            <w:pPr>
              <w:pStyle w:val="TableParagraph"/>
              <w:spacing w:before="1"/>
              <w:ind w:left="105"/>
              <w:rPr>
                <w:sz w:val="18"/>
              </w:rPr>
            </w:pPr>
            <w:r>
              <w:rPr>
                <w:sz w:val="18"/>
              </w:rPr>
              <w:t>Definitely</w:t>
            </w:r>
            <w:r>
              <w:rPr>
                <w:spacing w:val="-7"/>
                <w:sz w:val="18"/>
              </w:rPr>
              <w:t> </w:t>
            </w:r>
            <w:r>
              <w:rPr>
                <w:spacing w:val="-5"/>
                <w:sz w:val="18"/>
              </w:rPr>
              <w:t>no</w:t>
            </w:r>
          </w:p>
          <w:p>
            <w:pPr>
              <w:pStyle w:val="TableParagraph"/>
              <w:spacing w:line="219" w:lineRule="exact" w:before="219"/>
              <w:ind w:left="105"/>
              <w:rPr>
                <w:sz w:val="18"/>
              </w:rPr>
            </w:pPr>
            <w:r>
              <w:rPr>
                <w:spacing w:val="-2"/>
                <w:sz w:val="18"/>
              </w:rPr>
              <w:t>Reason:</w:t>
            </w:r>
          </w:p>
          <w:p>
            <w:pPr>
              <w:pStyle w:val="TableParagraph"/>
              <w:ind w:left="105"/>
              <w:rPr>
                <w:sz w:val="18"/>
              </w:rPr>
            </w:pPr>
            <w:r>
              <w:rPr>
                <w:sz w:val="18"/>
              </w:rPr>
              <w:t>not</w:t>
            </w:r>
            <w:r>
              <w:rPr>
                <w:spacing w:val="-11"/>
                <w:sz w:val="18"/>
              </w:rPr>
              <w:t> </w:t>
            </w:r>
            <w:r>
              <w:rPr>
                <w:sz w:val="18"/>
              </w:rPr>
              <w:t>adjusted</w:t>
            </w:r>
            <w:r>
              <w:rPr>
                <w:spacing w:val="-10"/>
                <w:sz w:val="18"/>
              </w:rPr>
              <w:t> </w:t>
            </w:r>
            <w:r>
              <w:rPr>
                <w:sz w:val="18"/>
              </w:rPr>
              <w:t>for all</w:t>
            </w:r>
            <w:r>
              <w:rPr>
                <w:spacing w:val="-2"/>
                <w:sz w:val="18"/>
              </w:rPr>
              <w:t> </w:t>
            </w:r>
            <w:r>
              <w:rPr>
                <w:sz w:val="18"/>
              </w:rPr>
              <w:t>relevant </w:t>
            </w:r>
            <w:r>
              <w:rPr>
                <w:spacing w:val="-2"/>
                <w:sz w:val="18"/>
              </w:rPr>
              <w:t>confounders</w:t>
            </w:r>
          </w:p>
        </w:tc>
        <w:tc>
          <w:tcPr>
            <w:tcW w:w="1277" w:type="dxa"/>
            <w:tcBorders>
              <w:left w:val="single" w:sz="4" w:space="0" w:color="000000"/>
              <w:right w:val="single" w:sz="4" w:space="0" w:color="000000"/>
            </w:tcBorders>
          </w:tcPr>
          <w:p>
            <w:pPr>
              <w:pStyle w:val="TableParagraph"/>
              <w:spacing w:before="1"/>
              <w:ind w:left="107"/>
              <w:rPr>
                <w:sz w:val="18"/>
              </w:rPr>
            </w:pPr>
            <w:r>
              <w:rPr>
                <w:sz w:val="18"/>
              </w:rPr>
              <w:t>Definitely</w:t>
            </w:r>
            <w:r>
              <w:rPr>
                <w:spacing w:val="-7"/>
                <w:sz w:val="18"/>
              </w:rPr>
              <w:t> </w:t>
            </w:r>
            <w:r>
              <w:rPr>
                <w:spacing w:val="-5"/>
                <w:sz w:val="18"/>
              </w:rPr>
              <w:t>yes</w:t>
            </w:r>
          </w:p>
          <w:p>
            <w:pPr>
              <w:pStyle w:val="TableParagraph"/>
              <w:spacing w:line="219" w:lineRule="exact" w:before="219"/>
              <w:ind w:left="107"/>
              <w:rPr>
                <w:sz w:val="18"/>
              </w:rPr>
            </w:pPr>
            <w:r>
              <w:rPr>
                <w:spacing w:val="-2"/>
                <w:sz w:val="18"/>
              </w:rPr>
              <w:t>Reason:</w:t>
            </w:r>
          </w:p>
          <w:p>
            <w:pPr>
              <w:pStyle w:val="TableParagraph"/>
              <w:ind w:left="107" w:right="105"/>
              <w:rPr>
                <w:sz w:val="18"/>
              </w:rPr>
            </w:pPr>
            <w:r>
              <w:rPr>
                <w:sz w:val="18"/>
              </w:rPr>
              <w:t>All</w:t>
            </w:r>
            <w:r>
              <w:rPr>
                <w:spacing w:val="-2"/>
                <w:sz w:val="18"/>
              </w:rPr>
              <w:t> </w:t>
            </w:r>
            <w:r>
              <w:rPr>
                <w:sz w:val="18"/>
              </w:rPr>
              <w:t>patients were</w:t>
            </w:r>
            <w:r>
              <w:rPr>
                <w:spacing w:val="-11"/>
                <w:sz w:val="18"/>
              </w:rPr>
              <w:t> </w:t>
            </w:r>
            <w:r>
              <w:rPr>
                <w:sz w:val="18"/>
              </w:rPr>
              <w:t>followed up for 1 year </w:t>
            </w:r>
            <w:r>
              <w:rPr>
                <w:spacing w:val="-2"/>
                <w:sz w:val="18"/>
              </w:rPr>
              <w:t>post-surgery</w:t>
            </w:r>
          </w:p>
        </w:tc>
        <w:tc>
          <w:tcPr>
            <w:tcW w:w="1759" w:type="dxa"/>
            <w:tcBorders>
              <w:left w:val="single" w:sz="4" w:space="0" w:color="000000"/>
              <w:right w:val="single" w:sz="4" w:space="0" w:color="000000"/>
            </w:tcBorders>
          </w:tcPr>
          <w:p>
            <w:pPr>
              <w:pStyle w:val="TableParagraph"/>
              <w:spacing w:before="1"/>
              <w:ind w:left="107"/>
              <w:rPr>
                <w:sz w:val="18"/>
              </w:rPr>
            </w:pPr>
            <w:r>
              <w:rPr>
                <w:sz w:val="18"/>
              </w:rPr>
              <w:t>Definitely</w:t>
            </w:r>
            <w:r>
              <w:rPr>
                <w:spacing w:val="-7"/>
                <w:sz w:val="18"/>
              </w:rPr>
              <w:t> </w:t>
            </w:r>
            <w:r>
              <w:rPr>
                <w:spacing w:val="-5"/>
                <w:sz w:val="18"/>
              </w:rPr>
              <w:t>no</w:t>
            </w:r>
          </w:p>
          <w:p>
            <w:pPr>
              <w:pStyle w:val="TableParagraph"/>
              <w:spacing w:line="219" w:lineRule="exact" w:before="219"/>
              <w:ind w:left="107"/>
              <w:rPr>
                <w:sz w:val="18"/>
              </w:rPr>
            </w:pPr>
            <w:r>
              <w:rPr>
                <w:spacing w:val="-2"/>
                <w:sz w:val="18"/>
              </w:rPr>
              <w:t>Reason:</w:t>
            </w:r>
          </w:p>
          <w:p>
            <w:pPr>
              <w:pStyle w:val="TableParagraph"/>
              <w:ind w:left="107"/>
              <w:rPr>
                <w:sz w:val="18"/>
              </w:rPr>
            </w:pPr>
            <w:r>
              <w:rPr>
                <w:sz w:val="18"/>
              </w:rPr>
              <w:t>There was no reporting</w:t>
            </w:r>
            <w:r>
              <w:rPr>
                <w:spacing w:val="-11"/>
                <w:sz w:val="18"/>
              </w:rPr>
              <w:t> </w:t>
            </w:r>
            <w:r>
              <w:rPr>
                <w:sz w:val="18"/>
              </w:rPr>
              <w:t>on</w:t>
            </w:r>
            <w:r>
              <w:rPr>
                <w:spacing w:val="-10"/>
                <w:sz w:val="18"/>
              </w:rPr>
              <w:t> </w:t>
            </w:r>
            <w:r>
              <w:rPr>
                <w:sz w:val="18"/>
              </w:rPr>
              <w:t>missing </w:t>
            </w:r>
            <w:r>
              <w:rPr>
                <w:spacing w:val="-4"/>
                <w:sz w:val="18"/>
              </w:rPr>
              <w:t>data</w:t>
            </w:r>
          </w:p>
        </w:tc>
        <w:tc>
          <w:tcPr>
            <w:tcW w:w="1702" w:type="dxa"/>
            <w:tcBorders>
              <w:left w:val="single" w:sz="4" w:space="0" w:color="000000"/>
              <w:right w:val="single" w:sz="4" w:space="0" w:color="000000"/>
            </w:tcBorders>
          </w:tcPr>
          <w:p>
            <w:pPr>
              <w:pStyle w:val="TableParagraph"/>
              <w:spacing w:before="1"/>
              <w:ind w:left="107"/>
              <w:rPr>
                <w:sz w:val="18"/>
              </w:rPr>
            </w:pPr>
            <w:r>
              <w:rPr>
                <w:sz w:val="18"/>
              </w:rPr>
              <w:t>Definitely</w:t>
            </w:r>
            <w:r>
              <w:rPr>
                <w:spacing w:val="-7"/>
                <w:sz w:val="18"/>
              </w:rPr>
              <w:t> </w:t>
            </w:r>
            <w:r>
              <w:rPr>
                <w:spacing w:val="-5"/>
                <w:sz w:val="18"/>
              </w:rPr>
              <w:t>no</w:t>
            </w:r>
          </w:p>
          <w:p>
            <w:pPr>
              <w:pStyle w:val="TableParagraph"/>
              <w:spacing w:line="219" w:lineRule="exact" w:before="219"/>
              <w:ind w:left="107"/>
              <w:rPr>
                <w:sz w:val="18"/>
              </w:rPr>
            </w:pPr>
            <w:r>
              <w:rPr>
                <w:spacing w:val="-2"/>
                <w:sz w:val="18"/>
              </w:rPr>
              <w:t>Reason:</w:t>
            </w:r>
          </w:p>
          <w:p>
            <w:pPr>
              <w:pStyle w:val="TableParagraph"/>
              <w:ind w:left="107" w:right="45"/>
              <w:rPr>
                <w:sz w:val="18"/>
              </w:rPr>
            </w:pPr>
            <w:r>
              <w:rPr>
                <w:spacing w:val="-2"/>
                <w:sz w:val="18"/>
              </w:rPr>
              <w:t>Co-interventions</w:t>
            </w:r>
            <w:r>
              <w:rPr>
                <w:sz w:val="18"/>
              </w:rPr>
              <w:t> were</w:t>
            </w:r>
            <w:r>
              <w:rPr>
                <w:spacing w:val="-11"/>
                <w:sz w:val="18"/>
              </w:rPr>
              <w:t> </w:t>
            </w:r>
            <w:r>
              <w:rPr>
                <w:sz w:val="18"/>
              </w:rPr>
              <w:t>not</w:t>
            </w:r>
            <w:r>
              <w:rPr>
                <w:spacing w:val="-10"/>
                <w:sz w:val="18"/>
              </w:rPr>
              <w:t> </w:t>
            </w:r>
            <w:r>
              <w:rPr>
                <w:sz w:val="18"/>
              </w:rPr>
              <w:t>reported</w:t>
            </w:r>
          </w:p>
        </w:tc>
        <w:tc>
          <w:tcPr>
            <w:tcW w:w="1641" w:type="dxa"/>
            <w:tcBorders>
              <w:left w:val="single" w:sz="4" w:space="0" w:color="000000"/>
            </w:tcBorders>
          </w:tcPr>
          <w:p>
            <w:pPr>
              <w:pStyle w:val="TableParagraph"/>
              <w:spacing w:before="1"/>
              <w:ind w:left="108"/>
              <w:rPr>
                <w:b/>
                <w:sz w:val="18"/>
              </w:rPr>
            </w:pPr>
            <w:r>
              <w:rPr>
                <w:b/>
                <w:spacing w:val="-4"/>
                <w:sz w:val="18"/>
              </w:rPr>
              <w:t>High</w:t>
            </w:r>
          </w:p>
          <w:p>
            <w:pPr>
              <w:pStyle w:val="TableParagraph"/>
              <w:spacing w:before="219"/>
              <w:ind w:left="108" w:right="61"/>
              <w:rPr>
                <w:b/>
                <w:sz w:val="18"/>
              </w:rPr>
            </w:pPr>
            <w:r>
              <w:rPr>
                <w:b/>
                <w:sz w:val="18"/>
              </w:rPr>
              <w:t>Reason: no assessment</w:t>
            </w:r>
            <w:r>
              <w:rPr>
                <w:b/>
                <w:spacing w:val="-11"/>
                <w:sz w:val="18"/>
              </w:rPr>
              <w:t> </w:t>
            </w:r>
            <w:r>
              <w:rPr>
                <w:b/>
                <w:sz w:val="18"/>
              </w:rPr>
              <w:t>of</w:t>
            </w:r>
            <w:r>
              <w:rPr>
                <w:b/>
                <w:spacing w:val="-10"/>
                <w:sz w:val="18"/>
              </w:rPr>
              <w:t> </w:t>
            </w:r>
            <w:r>
              <w:rPr>
                <w:b/>
                <w:sz w:val="18"/>
              </w:rPr>
              <w:t>and adjustment for </w:t>
            </w:r>
            <w:r>
              <w:rPr>
                <w:b/>
                <w:spacing w:val="-2"/>
                <w:sz w:val="18"/>
              </w:rPr>
              <w:t>confounding</w:t>
            </w:r>
            <w:r>
              <w:rPr>
                <w:b/>
                <w:sz w:val="18"/>
              </w:rPr>
              <w:t> factors, and no reporting on missing data.</w:t>
            </w:r>
          </w:p>
        </w:tc>
      </w:tr>
    </w:tbl>
    <w:p>
      <w:pPr>
        <w:pStyle w:val="BodyText"/>
        <w:spacing w:before="201"/>
      </w:pPr>
    </w:p>
    <w:p>
      <w:pPr>
        <w:pStyle w:val="BodyText"/>
        <w:spacing w:line="278" w:lineRule="auto"/>
        <w:ind w:left="23" w:right="466"/>
      </w:pPr>
      <w:r>
        <w:rPr/>
        <w:t>Table</w:t>
      </w:r>
      <w:r>
        <w:rPr>
          <w:spacing w:val="-1"/>
        </w:rPr>
        <w:t> </w:t>
      </w:r>
      <w:r>
        <w:rPr/>
        <w:t>1.3.2.</w:t>
      </w:r>
      <w:r>
        <w:rPr>
          <w:spacing w:val="-4"/>
        </w:rPr>
        <w:t> </w:t>
      </w:r>
      <w:r>
        <w:rPr/>
        <w:t>Risk</w:t>
      </w:r>
      <w:r>
        <w:rPr>
          <w:spacing w:val="-3"/>
        </w:rPr>
        <w:t> </w:t>
      </w:r>
      <w:r>
        <w:rPr/>
        <w:t>of</w:t>
      </w:r>
      <w:r>
        <w:rPr>
          <w:spacing w:val="-1"/>
        </w:rPr>
        <w:t> </w:t>
      </w:r>
      <w:r>
        <w:rPr/>
        <w:t>bias</w:t>
      </w:r>
      <w:r>
        <w:rPr>
          <w:spacing w:val="-4"/>
        </w:rPr>
        <w:t> </w:t>
      </w:r>
      <w:r>
        <w:rPr/>
        <w:t>table</w:t>
      </w:r>
      <w:r>
        <w:rPr>
          <w:spacing w:val="-1"/>
        </w:rPr>
        <w:t> </w:t>
      </w:r>
      <w:r>
        <w:rPr/>
        <w:t>for</w:t>
      </w:r>
      <w:r>
        <w:rPr>
          <w:spacing w:val="-3"/>
        </w:rPr>
        <w:t> </w:t>
      </w:r>
      <w:r>
        <w:rPr/>
        <w:t>intervention</w:t>
      </w:r>
      <w:r>
        <w:rPr>
          <w:spacing w:val="-2"/>
        </w:rPr>
        <w:t> </w:t>
      </w:r>
      <w:r>
        <w:rPr/>
        <w:t>studies</w:t>
      </w:r>
      <w:r>
        <w:rPr>
          <w:spacing w:val="-1"/>
        </w:rPr>
        <w:t> </w:t>
      </w:r>
      <w:r>
        <w:rPr/>
        <w:t>(randomized</w:t>
      </w:r>
      <w:r>
        <w:rPr>
          <w:spacing w:val="-2"/>
        </w:rPr>
        <w:t> </w:t>
      </w:r>
      <w:r>
        <w:rPr/>
        <w:t>controlled</w:t>
      </w:r>
      <w:r>
        <w:rPr>
          <w:spacing w:val="-4"/>
        </w:rPr>
        <w:t> </w:t>
      </w:r>
      <w:r>
        <w:rPr/>
        <w:t>trials;</w:t>
      </w:r>
      <w:r>
        <w:rPr>
          <w:spacing w:val="-1"/>
        </w:rPr>
        <w:t> </w:t>
      </w:r>
      <w:r>
        <w:rPr/>
        <w:t>based</w:t>
      </w:r>
      <w:r>
        <w:rPr>
          <w:spacing w:val="-4"/>
        </w:rPr>
        <w:t> </w:t>
      </w:r>
      <w:r>
        <w:rPr/>
        <w:t>on</w:t>
      </w:r>
      <w:r>
        <w:rPr>
          <w:spacing w:val="-2"/>
        </w:rPr>
        <w:t> </w:t>
      </w:r>
      <w:r>
        <w:rPr/>
        <w:t>Cochrane</w:t>
      </w:r>
      <w:r>
        <w:rPr>
          <w:spacing w:val="-3"/>
        </w:rPr>
        <w:t> </w:t>
      </w:r>
      <w:r>
        <w:rPr/>
        <w:t>risk</w:t>
      </w:r>
      <w:r>
        <w:rPr>
          <w:spacing w:val="-3"/>
        </w:rPr>
        <w:t> </w:t>
      </w:r>
      <w:r>
        <w:rPr/>
        <w:t>of</w:t>
      </w:r>
      <w:r>
        <w:rPr>
          <w:spacing w:val="-1"/>
        </w:rPr>
        <w:t> </w:t>
      </w:r>
      <w:r>
        <w:rPr/>
        <w:t>bias</w:t>
      </w:r>
      <w:r>
        <w:rPr>
          <w:spacing w:val="-1"/>
        </w:rPr>
        <w:t> </w:t>
      </w:r>
      <w:r>
        <w:rPr/>
        <w:t>tool</w:t>
      </w:r>
      <w:r>
        <w:rPr>
          <w:spacing w:val="-3"/>
        </w:rPr>
        <w:t> </w:t>
      </w:r>
      <w:r>
        <w:rPr/>
        <w:t>and</w:t>
      </w:r>
      <w:r>
        <w:rPr>
          <w:spacing w:val="-2"/>
        </w:rPr>
        <w:t> </w:t>
      </w:r>
      <w:r>
        <w:rPr/>
        <w:t>suggestions</w:t>
      </w:r>
      <w:r>
        <w:rPr>
          <w:spacing w:val="-3"/>
        </w:rPr>
        <w:t> </w:t>
      </w:r>
      <w:r>
        <w:rPr/>
        <w:t>by</w:t>
      </w:r>
      <w:r>
        <w:rPr>
          <w:spacing w:val="-1"/>
        </w:rPr>
        <w:t> </w:t>
      </w:r>
      <w:r>
        <w:rPr/>
        <w:t>the</w:t>
      </w:r>
      <w:r>
        <w:rPr>
          <w:spacing w:val="-3"/>
        </w:rPr>
        <w:t> </w:t>
      </w:r>
      <w:r>
        <w:rPr/>
        <w:t>CLARITY Group at McMaster University)</w:t>
      </w:r>
    </w:p>
    <w:p>
      <w:pPr>
        <w:pStyle w:val="BodyText"/>
        <w:spacing w:before="4"/>
        <w:rPr>
          <w:sz w:val="13"/>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16"/>
        <w:gridCol w:w="1572"/>
        <w:gridCol w:w="1417"/>
        <w:gridCol w:w="3120"/>
        <w:gridCol w:w="1558"/>
        <w:gridCol w:w="1702"/>
        <w:gridCol w:w="1626"/>
        <w:gridCol w:w="1837"/>
      </w:tblGrid>
      <w:tr>
        <w:trPr>
          <w:trHeight w:val="3386" w:hRule="atLeast"/>
        </w:trPr>
        <w:tc>
          <w:tcPr>
            <w:tcW w:w="1116" w:type="dxa"/>
            <w:shd w:val="clear" w:color="auto" w:fill="D9D9D9"/>
          </w:tcPr>
          <w:p>
            <w:pPr>
              <w:pStyle w:val="TableParagraph"/>
              <w:spacing w:line="280" w:lineRule="auto"/>
              <w:ind w:left="105" w:right="274"/>
              <w:rPr>
                <w:b/>
                <w:sz w:val="18"/>
              </w:rPr>
            </w:pPr>
            <w:r>
              <w:rPr>
                <w:b/>
                <w:spacing w:val="-2"/>
                <w:sz w:val="18"/>
              </w:rPr>
              <w:t>Study</w:t>
            </w:r>
            <w:r>
              <w:rPr>
                <w:b/>
                <w:sz w:val="18"/>
              </w:rPr>
              <w:t> </w:t>
            </w:r>
            <w:r>
              <w:rPr>
                <w:b/>
                <w:spacing w:val="-2"/>
                <w:sz w:val="18"/>
              </w:rPr>
              <w:t>reference</w:t>
            </w:r>
          </w:p>
          <w:p>
            <w:pPr>
              <w:pStyle w:val="TableParagraph"/>
              <w:spacing w:before="191"/>
              <w:rPr>
                <w:sz w:val="18"/>
              </w:rPr>
            </w:pPr>
          </w:p>
          <w:p>
            <w:pPr>
              <w:pStyle w:val="TableParagraph"/>
              <w:spacing w:line="280" w:lineRule="auto"/>
              <w:ind w:left="105" w:right="134"/>
              <w:rPr>
                <w:b/>
                <w:sz w:val="18"/>
              </w:rPr>
            </w:pPr>
            <w:r>
              <w:rPr>
                <w:b/>
                <w:spacing w:val="-2"/>
                <w:sz w:val="18"/>
              </w:rPr>
              <w:t>(first</w:t>
            </w:r>
            <w:r>
              <w:rPr>
                <w:b/>
                <w:sz w:val="18"/>
              </w:rPr>
              <w:t> </w:t>
            </w:r>
            <w:r>
              <w:rPr>
                <w:b/>
                <w:spacing w:val="-2"/>
                <w:sz w:val="18"/>
              </w:rPr>
              <w:t>author,</w:t>
            </w:r>
            <w:r>
              <w:rPr>
                <w:b/>
                <w:sz w:val="18"/>
              </w:rPr>
              <w:t> </w:t>
            </w:r>
            <w:r>
              <w:rPr>
                <w:b/>
                <w:spacing w:val="-2"/>
                <w:sz w:val="18"/>
              </w:rPr>
              <w:t>publication</w:t>
            </w:r>
            <w:r>
              <w:rPr>
                <w:b/>
                <w:sz w:val="18"/>
              </w:rPr>
              <w:t> </w:t>
            </w:r>
            <w:r>
              <w:rPr>
                <w:b/>
                <w:spacing w:val="-2"/>
                <w:sz w:val="18"/>
              </w:rPr>
              <w:t>year)</w:t>
            </w:r>
          </w:p>
        </w:tc>
        <w:tc>
          <w:tcPr>
            <w:tcW w:w="1572" w:type="dxa"/>
            <w:shd w:val="clear" w:color="auto" w:fill="D9D9D9"/>
          </w:tcPr>
          <w:p>
            <w:pPr>
              <w:pStyle w:val="TableParagraph"/>
              <w:spacing w:line="278" w:lineRule="auto"/>
              <w:ind w:left="105" w:right="455"/>
              <w:rPr>
                <w:b/>
                <w:sz w:val="18"/>
              </w:rPr>
            </w:pPr>
            <w:r>
              <w:rPr>
                <w:b/>
                <w:sz w:val="18"/>
              </w:rPr>
              <w:t>Was the </w:t>
            </w:r>
            <w:r>
              <w:rPr>
                <w:b/>
                <w:spacing w:val="-2"/>
                <w:sz w:val="18"/>
              </w:rPr>
              <w:t>allocation</w:t>
            </w:r>
            <w:r>
              <w:rPr>
                <w:b/>
                <w:sz w:val="18"/>
              </w:rPr>
              <w:t> </w:t>
            </w:r>
            <w:r>
              <w:rPr>
                <w:b/>
                <w:spacing w:val="-2"/>
                <w:sz w:val="18"/>
              </w:rPr>
              <w:t>sequence</w:t>
            </w:r>
            <w:r>
              <w:rPr>
                <w:b/>
                <w:sz w:val="18"/>
              </w:rPr>
              <w:t> </w:t>
            </w:r>
            <w:r>
              <w:rPr>
                <w:b/>
                <w:spacing w:val="-2"/>
                <w:sz w:val="18"/>
              </w:rPr>
              <w:t>adequately</w:t>
            </w:r>
            <w:r>
              <w:rPr>
                <w:b/>
                <w:sz w:val="18"/>
              </w:rPr>
              <w:t> </w:t>
            </w:r>
            <w:r>
              <w:rPr>
                <w:b/>
                <w:spacing w:val="-2"/>
                <w:sz w:val="18"/>
              </w:rPr>
              <w:t>generated?</w:t>
            </w:r>
          </w:p>
          <w:p>
            <w:pPr>
              <w:pStyle w:val="TableParagraph"/>
              <w:rPr>
                <w:sz w:val="18"/>
              </w:rPr>
            </w:pPr>
          </w:p>
          <w:p>
            <w:pPr>
              <w:pStyle w:val="TableParagraph"/>
              <w:rPr>
                <w:sz w:val="18"/>
              </w:rPr>
            </w:pPr>
          </w:p>
          <w:p>
            <w:pPr>
              <w:pStyle w:val="TableParagraph"/>
              <w:rPr>
                <w:sz w:val="18"/>
              </w:rPr>
            </w:pPr>
          </w:p>
          <w:p>
            <w:pPr>
              <w:pStyle w:val="TableParagraph"/>
              <w:spacing w:before="145"/>
              <w:rPr>
                <w:sz w:val="18"/>
              </w:rPr>
            </w:pPr>
          </w:p>
          <w:p>
            <w:pPr>
              <w:pStyle w:val="TableParagraph"/>
              <w:spacing w:line="280" w:lineRule="auto"/>
              <w:ind w:left="105" w:right="455"/>
              <w:rPr>
                <w:sz w:val="18"/>
              </w:rPr>
            </w:pPr>
            <w:r>
              <w:rPr>
                <w:sz w:val="18"/>
              </w:rPr>
              <w:t>Definitely</w:t>
            </w:r>
            <w:r>
              <w:rPr>
                <w:spacing w:val="-11"/>
                <w:sz w:val="18"/>
              </w:rPr>
              <w:t> </w:t>
            </w:r>
            <w:r>
              <w:rPr>
                <w:sz w:val="18"/>
              </w:rPr>
              <w:t>yes Probably yes Probably no Definitely no</w:t>
            </w:r>
          </w:p>
        </w:tc>
        <w:tc>
          <w:tcPr>
            <w:tcW w:w="1417" w:type="dxa"/>
            <w:shd w:val="clear" w:color="auto" w:fill="D9D9D9"/>
          </w:tcPr>
          <w:p>
            <w:pPr>
              <w:pStyle w:val="TableParagraph"/>
              <w:spacing w:line="280" w:lineRule="auto"/>
              <w:ind w:left="103" w:right="302"/>
              <w:rPr>
                <w:b/>
                <w:sz w:val="18"/>
              </w:rPr>
            </w:pPr>
            <w:r>
              <w:rPr>
                <w:b/>
                <w:sz w:val="18"/>
              </w:rPr>
              <w:t>Was the </w:t>
            </w:r>
            <w:r>
              <w:rPr>
                <w:b/>
                <w:spacing w:val="-2"/>
                <w:sz w:val="18"/>
              </w:rPr>
              <w:t>allocation</w:t>
            </w:r>
            <w:r>
              <w:rPr>
                <w:b/>
                <w:sz w:val="18"/>
              </w:rPr>
              <w:t> </w:t>
            </w:r>
            <w:r>
              <w:rPr>
                <w:b/>
                <w:spacing w:val="-2"/>
                <w:sz w:val="18"/>
              </w:rPr>
              <w:t>adequately</w:t>
            </w:r>
            <w:r>
              <w:rPr>
                <w:b/>
                <w:sz w:val="18"/>
              </w:rPr>
              <w:t> </w:t>
            </w:r>
            <w:r>
              <w:rPr>
                <w:b/>
                <w:spacing w:val="-2"/>
                <w:sz w:val="18"/>
              </w:rPr>
              <w:t>concealed?</w:t>
            </w: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6"/>
              <w:rPr>
                <w:sz w:val="18"/>
              </w:rPr>
            </w:pPr>
          </w:p>
          <w:p>
            <w:pPr>
              <w:pStyle w:val="TableParagraph"/>
              <w:spacing w:line="278" w:lineRule="auto"/>
              <w:ind w:left="103" w:right="302"/>
              <w:rPr>
                <w:sz w:val="18"/>
              </w:rPr>
            </w:pPr>
            <w:r>
              <w:rPr>
                <w:sz w:val="18"/>
              </w:rPr>
              <w:t>Definitely</w:t>
            </w:r>
            <w:r>
              <w:rPr>
                <w:spacing w:val="-11"/>
                <w:sz w:val="18"/>
              </w:rPr>
              <w:t> </w:t>
            </w:r>
            <w:r>
              <w:rPr>
                <w:sz w:val="18"/>
              </w:rPr>
              <w:t>yes Probably yes Probably no</w:t>
            </w:r>
          </w:p>
          <w:p>
            <w:pPr>
              <w:pStyle w:val="TableParagraph"/>
              <w:spacing w:before="1"/>
              <w:ind w:left="103"/>
              <w:rPr>
                <w:sz w:val="18"/>
              </w:rPr>
            </w:pPr>
            <w:r>
              <w:rPr>
                <w:sz w:val="18"/>
              </w:rPr>
              <w:t>Definitely</w:t>
            </w:r>
            <w:r>
              <w:rPr>
                <w:spacing w:val="-7"/>
                <w:sz w:val="18"/>
              </w:rPr>
              <w:t> </w:t>
            </w:r>
            <w:r>
              <w:rPr>
                <w:spacing w:val="-5"/>
                <w:sz w:val="18"/>
              </w:rPr>
              <w:t>no</w:t>
            </w:r>
          </w:p>
        </w:tc>
        <w:tc>
          <w:tcPr>
            <w:tcW w:w="3120" w:type="dxa"/>
            <w:shd w:val="clear" w:color="auto" w:fill="D9D9D9"/>
          </w:tcPr>
          <w:p>
            <w:pPr>
              <w:pStyle w:val="TableParagraph"/>
              <w:spacing w:line="280" w:lineRule="auto"/>
              <w:ind w:left="105" w:right="99"/>
              <w:rPr>
                <w:b/>
                <w:sz w:val="18"/>
              </w:rPr>
            </w:pPr>
            <w:r>
              <w:rPr>
                <w:b/>
                <w:sz w:val="18"/>
              </w:rPr>
              <w:t>Blinding:</w:t>
            </w:r>
            <w:r>
              <w:rPr>
                <w:b/>
                <w:spacing w:val="-10"/>
                <w:sz w:val="18"/>
              </w:rPr>
              <w:t> </w:t>
            </w:r>
            <w:r>
              <w:rPr>
                <w:b/>
                <w:sz w:val="18"/>
              </w:rPr>
              <w:t>Was</w:t>
            </w:r>
            <w:r>
              <w:rPr>
                <w:b/>
                <w:spacing w:val="-10"/>
                <w:sz w:val="18"/>
              </w:rPr>
              <w:t> </w:t>
            </w:r>
            <w:r>
              <w:rPr>
                <w:b/>
                <w:sz w:val="18"/>
              </w:rPr>
              <w:t>knowledge</w:t>
            </w:r>
            <w:r>
              <w:rPr>
                <w:b/>
                <w:spacing w:val="-10"/>
                <w:sz w:val="18"/>
              </w:rPr>
              <w:t> </w:t>
            </w:r>
            <w:r>
              <w:rPr>
                <w:b/>
                <w:sz w:val="18"/>
              </w:rPr>
              <w:t>of</w:t>
            </w:r>
            <w:r>
              <w:rPr>
                <w:b/>
                <w:spacing w:val="-10"/>
                <w:sz w:val="18"/>
              </w:rPr>
              <w:t> </w:t>
            </w:r>
            <w:r>
              <w:rPr>
                <w:b/>
                <w:sz w:val="18"/>
              </w:rPr>
              <w:t>the </w:t>
            </w:r>
            <w:r>
              <w:rPr>
                <w:b/>
                <w:spacing w:val="-2"/>
                <w:sz w:val="18"/>
              </w:rPr>
              <w:t>allocated</w:t>
            </w:r>
          </w:p>
          <w:p>
            <w:pPr>
              <w:pStyle w:val="TableParagraph"/>
              <w:spacing w:line="280" w:lineRule="auto"/>
              <w:ind w:left="105" w:right="99"/>
              <w:rPr>
                <w:b/>
                <w:sz w:val="18"/>
              </w:rPr>
            </w:pPr>
            <w:r>
              <w:rPr>
                <w:b/>
                <w:sz w:val="18"/>
              </w:rPr>
              <w:t>interventions</w:t>
            </w:r>
            <w:r>
              <w:rPr>
                <w:b/>
                <w:spacing w:val="-11"/>
                <w:sz w:val="18"/>
              </w:rPr>
              <w:t> </w:t>
            </w:r>
            <w:r>
              <w:rPr>
                <w:b/>
                <w:sz w:val="18"/>
              </w:rPr>
              <w:t>adequately</w:t>
            </w:r>
            <w:r>
              <w:rPr>
                <w:b/>
                <w:spacing w:val="-10"/>
                <w:sz w:val="18"/>
              </w:rPr>
              <w:t> </w:t>
            </w:r>
            <w:r>
              <w:rPr>
                <w:b/>
                <w:sz w:val="18"/>
              </w:rPr>
              <w:t>prevented? Were patients blinded?</w:t>
            </w:r>
          </w:p>
          <w:p>
            <w:pPr>
              <w:pStyle w:val="TableParagraph"/>
              <w:spacing w:line="280" w:lineRule="auto"/>
              <w:ind w:left="105" w:right="99"/>
              <w:rPr>
                <w:b/>
                <w:sz w:val="18"/>
              </w:rPr>
            </w:pPr>
            <w:r>
              <w:rPr>
                <w:b/>
                <w:sz w:val="18"/>
              </w:rPr>
              <w:t>Were</w:t>
            </w:r>
            <w:r>
              <w:rPr>
                <w:b/>
                <w:spacing w:val="-11"/>
                <w:sz w:val="18"/>
              </w:rPr>
              <w:t> </w:t>
            </w:r>
            <w:r>
              <w:rPr>
                <w:b/>
                <w:sz w:val="18"/>
              </w:rPr>
              <w:t>healthcare</w:t>
            </w:r>
            <w:r>
              <w:rPr>
                <w:b/>
                <w:spacing w:val="-10"/>
                <w:sz w:val="18"/>
              </w:rPr>
              <w:t> </w:t>
            </w:r>
            <w:r>
              <w:rPr>
                <w:b/>
                <w:sz w:val="18"/>
              </w:rPr>
              <w:t>providers</w:t>
            </w:r>
            <w:r>
              <w:rPr>
                <w:b/>
                <w:spacing w:val="-10"/>
                <w:sz w:val="18"/>
              </w:rPr>
              <w:t> </w:t>
            </w:r>
            <w:r>
              <w:rPr>
                <w:b/>
                <w:sz w:val="18"/>
              </w:rPr>
              <w:t>blinded? Were data collectors blinded?</w:t>
            </w:r>
          </w:p>
          <w:p>
            <w:pPr>
              <w:pStyle w:val="TableParagraph"/>
              <w:spacing w:line="278" w:lineRule="auto"/>
              <w:ind w:left="105" w:right="99"/>
              <w:rPr>
                <w:b/>
                <w:sz w:val="18"/>
              </w:rPr>
            </w:pPr>
            <w:r>
              <w:rPr>
                <w:b/>
                <w:sz w:val="18"/>
              </w:rPr>
              <w:t>Were</w:t>
            </w:r>
            <w:r>
              <w:rPr>
                <w:b/>
                <w:spacing w:val="-11"/>
                <w:sz w:val="18"/>
              </w:rPr>
              <w:t> </w:t>
            </w:r>
            <w:r>
              <w:rPr>
                <w:b/>
                <w:sz w:val="18"/>
              </w:rPr>
              <w:t>outcome</w:t>
            </w:r>
            <w:r>
              <w:rPr>
                <w:b/>
                <w:spacing w:val="-10"/>
                <w:sz w:val="18"/>
              </w:rPr>
              <w:t> </w:t>
            </w:r>
            <w:r>
              <w:rPr>
                <w:b/>
                <w:sz w:val="18"/>
              </w:rPr>
              <w:t>assessors</w:t>
            </w:r>
            <w:r>
              <w:rPr>
                <w:b/>
                <w:spacing w:val="-10"/>
                <w:sz w:val="18"/>
              </w:rPr>
              <w:t> </w:t>
            </w:r>
            <w:r>
              <w:rPr>
                <w:b/>
                <w:sz w:val="18"/>
              </w:rPr>
              <w:t>blinded? Were data analysts blinded?</w:t>
            </w:r>
          </w:p>
          <w:p>
            <w:pPr>
              <w:pStyle w:val="TableParagraph"/>
              <w:spacing w:before="26"/>
              <w:rPr>
                <w:sz w:val="18"/>
              </w:rPr>
            </w:pPr>
          </w:p>
          <w:p>
            <w:pPr>
              <w:pStyle w:val="TableParagraph"/>
              <w:spacing w:line="280" w:lineRule="auto"/>
              <w:ind w:left="105" w:right="2003"/>
              <w:rPr>
                <w:sz w:val="18"/>
              </w:rPr>
            </w:pPr>
            <w:r>
              <w:rPr>
                <w:sz w:val="18"/>
              </w:rPr>
              <w:t>Definitely</w:t>
            </w:r>
            <w:r>
              <w:rPr>
                <w:spacing w:val="-11"/>
                <w:sz w:val="18"/>
              </w:rPr>
              <w:t> </w:t>
            </w:r>
            <w:r>
              <w:rPr>
                <w:sz w:val="18"/>
              </w:rPr>
              <w:t>yes Probably yes Probably no Definitely no</w:t>
            </w:r>
          </w:p>
        </w:tc>
        <w:tc>
          <w:tcPr>
            <w:tcW w:w="1558" w:type="dxa"/>
            <w:shd w:val="clear" w:color="auto" w:fill="D9D9D9"/>
          </w:tcPr>
          <w:p>
            <w:pPr>
              <w:pStyle w:val="TableParagraph"/>
              <w:spacing w:line="280" w:lineRule="auto"/>
              <w:ind w:left="102" w:right="119"/>
              <w:rPr>
                <w:b/>
                <w:sz w:val="18"/>
              </w:rPr>
            </w:pPr>
            <w:r>
              <w:rPr>
                <w:b/>
                <w:sz w:val="18"/>
              </w:rPr>
              <w:t>Was loss to </w:t>
            </w:r>
            <w:r>
              <w:rPr>
                <w:b/>
                <w:spacing w:val="-2"/>
                <w:sz w:val="18"/>
              </w:rPr>
              <w:t>follow-up</w:t>
            </w:r>
            <w:r>
              <w:rPr>
                <w:b/>
                <w:spacing w:val="40"/>
                <w:sz w:val="18"/>
              </w:rPr>
              <w:t> </w:t>
            </w:r>
            <w:r>
              <w:rPr>
                <w:b/>
                <w:sz w:val="18"/>
              </w:rPr>
              <w:t>(missing</w:t>
            </w:r>
            <w:r>
              <w:rPr>
                <w:b/>
                <w:spacing w:val="-11"/>
                <w:sz w:val="18"/>
              </w:rPr>
              <w:t> </w:t>
            </w:r>
            <w:r>
              <w:rPr>
                <w:b/>
                <w:sz w:val="18"/>
              </w:rPr>
              <w:t>outcome data)</w:t>
            </w:r>
            <w:r>
              <w:rPr>
                <w:b/>
                <w:spacing w:val="-3"/>
                <w:sz w:val="18"/>
              </w:rPr>
              <w:t> </w:t>
            </w:r>
            <w:r>
              <w:rPr>
                <w:b/>
                <w:spacing w:val="-2"/>
                <w:sz w:val="18"/>
              </w:rPr>
              <w:t>infrequent?</w:t>
            </w: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0"/>
              <w:rPr>
                <w:sz w:val="18"/>
              </w:rPr>
            </w:pPr>
          </w:p>
          <w:p>
            <w:pPr>
              <w:pStyle w:val="TableParagraph"/>
              <w:spacing w:line="280" w:lineRule="auto"/>
              <w:ind w:left="102" w:right="444"/>
              <w:rPr>
                <w:sz w:val="18"/>
              </w:rPr>
            </w:pPr>
            <w:r>
              <w:rPr>
                <w:sz w:val="18"/>
              </w:rPr>
              <w:t>Definitely</w:t>
            </w:r>
            <w:r>
              <w:rPr>
                <w:spacing w:val="-11"/>
                <w:sz w:val="18"/>
              </w:rPr>
              <w:t> </w:t>
            </w:r>
            <w:r>
              <w:rPr>
                <w:sz w:val="18"/>
              </w:rPr>
              <w:t>yes Probably yes Probably no Definitely no</w:t>
            </w:r>
          </w:p>
        </w:tc>
        <w:tc>
          <w:tcPr>
            <w:tcW w:w="1702" w:type="dxa"/>
            <w:shd w:val="clear" w:color="auto" w:fill="D9D9D9"/>
          </w:tcPr>
          <w:p>
            <w:pPr>
              <w:pStyle w:val="TableParagraph"/>
              <w:spacing w:line="280" w:lineRule="auto"/>
              <w:ind w:left="105" w:right="15"/>
              <w:rPr>
                <w:b/>
                <w:sz w:val="18"/>
              </w:rPr>
            </w:pPr>
            <w:r>
              <w:rPr>
                <w:b/>
                <w:sz w:val="18"/>
              </w:rPr>
              <w:t>Are</w:t>
            </w:r>
            <w:r>
              <w:rPr>
                <w:b/>
                <w:spacing w:val="-6"/>
                <w:sz w:val="18"/>
              </w:rPr>
              <w:t> </w:t>
            </w:r>
            <w:r>
              <w:rPr>
                <w:b/>
                <w:sz w:val="18"/>
              </w:rPr>
              <w:t>reports</w:t>
            </w:r>
            <w:r>
              <w:rPr>
                <w:b/>
                <w:spacing w:val="-6"/>
                <w:sz w:val="18"/>
              </w:rPr>
              <w:t> </w:t>
            </w:r>
            <w:r>
              <w:rPr>
                <w:b/>
                <w:sz w:val="18"/>
              </w:rPr>
              <w:t>of</w:t>
            </w:r>
            <w:r>
              <w:rPr>
                <w:b/>
                <w:spacing w:val="-6"/>
                <w:sz w:val="18"/>
              </w:rPr>
              <w:t> </w:t>
            </w:r>
            <w:r>
              <w:rPr>
                <w:b/>
                <w:sz w:val="18"/>
              </w:rPr>
              <w:t>the study free of </w:t>
            </w:r>
            <w:r>
              <w:rPr>
                <w:b/>
                <w:spacing w:val="-2"/>
                <w:sz w:val="18"/>
              </w:rPr>
              <w:t>selective</w:t>
            </w:r>
            <w:r>
              <w:rPr>
                <w:b/>
                <w:spacing w:val="-9"/>
                <w:sz w:val="18"/>
              </w:rPr>
              <w:t> </w:t>
            </w:r>
            <w:r>
              <w:rPr>
                <w:b/>
                <w:spacing w:val="-2"/>
                <w:sz w:val="18"/>
              </w:rPr>
              <w:t>outcome</w:t>
            </w:r>
            <w:r>
              <w:rPr>
                <w:b/>
                <w:sz w:val="18"/>
              </w:rPr>
              <w:t> </w:t>
            </w:r>
            <w:r>
              <w:rPr>
                <w:b/>
                <w:spacing w:val="-2"/>
                <w:sz w:val="18"/>
              </w:rPr>
              <w:t>reporting?</w:t>
            </w: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77"/>
              <w:rPr>
                <w:sz w:val="18"/>
              </w:rPr>
            </w:pPr>
          </w:p>
          <w:p>
            <w:pPr>
              <w:pStyle w:val="TableParagraph"/>
              <w:spacing w:line="278" w:lineRule="auto"/>
              <w:ind w:left="105" w:right="585"/>
              <w:rPr>
                <w:sz w:val="18"/>
              </w:rPr>
            </w:pPr>
            <w:r>
              <w:rPr>
                <w:sz w:val="18"/>
              </w:rPr>
              <w:t>Definitely</w:t>
            </w:r>
            <w:r>
              <w:rPr>
                <w:spacing w:val="-11"/>
                <w:sz w:val="18"/>
              </w:rPr>
              <w:t> </w:t>
            </w:r>
            <w:r>
              <w:rPr>
                <w:sz w:val="18"/>
              </w:rPr>
              <w:t>yes Probably yes Probably no Definitely no</w:t>
            </w:r>
          </w:p>
        </w:tc>
        <w:tc>
          <w:tcPr>
            <w:tcW w:w="1626" w:type="dxa"/>
            <w:shd w:val="clear" w:color="auto" w:fill="D9D9D9"/>
          </w:tcPr>
          <w:p>
            <w:pPr>
              <w:pStyle w:val="TableParagraph"/>
              <w:spacing w:line="278" w:lineRule="auto"/>
              <w:ind w:left="104" w:right="83"/>
              <w:rPr>
                <w:b/>
                <w:sz w:val="18"/>
              </w:rPr>
            </w:pPr>
            <w:r>
              <w:rPr>
                <w:b/>
                <w:sz w:val="18"/>
              </w:rPr>
              <w:t>Was the study apparently free of other problems that</w:t>
            </w:r>
            <w:r>
              <w:rPr>
                <w:b/>
                <w:spacing w:val="-11"/>
                <w:sz w:val="18"/>
              </w:rPr>
              <w:t> </w:t>
            </w:r>
            <w:r>
              <w:rPr>
                <w:b/>
                <w:sz w:val="18"/>
              </w:rPr>
              <w:t>could</w:t>
            </w:r>
            <w:r>
              <w:rPr>
                <w:b/>
                <w:spacing w:val="-10"/>
                <w:sz w:val="18"/>
              </w:rPr>
              <w:t> </w:t>
            </w:r>
            <w:r>
              <w:rPr>
                <w:b/>
                <w:sz w:val="18"/>
              </w:rPr>
              <w:t>put</w:t>
            </w:r>
            <w:r>
              <w:rPr>
                <w:b/>
                <w:spacing w:val="-9"/>
                <w:sz w:val="18"/>
              </w:rPr>
              <w:t> </w:t>
            </w:r>
            <w:r>
              <w:rPr>
                <w:b/>
                <w:sz w:val="18"/>
              </w:rPr>
              <w:t>it</w:t>
            </w:r>
            <w:r>
              <w:rPr>
                <w:b/>
                <w:spacing w:val="-11"/>
                <w:sz w:val="18"/>
              </w:rPr>
              <w:t> </w:t>
            </w:r>
            <w:r>
              <w:rPr>
                <w:b/>
                <w:sz w:val="18"/>
              </w:rPr>
              <w:t>at a risk of bias?</w:t>
            </w:r>
          </w:p>
          <w:p>
            <w:pPr>
              <w:pStyle w:val="TableParagraph"/>
              <w:rPr>
                <w:sz w:val="18"/>
              </w:rPr>
            </w:pPr>
          </w:p>
          <w:p>
            <w:pPr>
              <w:pStyle w:val="TableParagraph"/>
              <w:rPr>
                <w:sz w:val="18"/>
              </w:rPr>
            </w:pPr>
          </w:p>
          <w:p>
            <w:pPr>
              <w:pStyle w:val="TableParagraph"/>
              <w:rPr>
                <w:sz w:val="18"/>
              </w:rPr>
            </w:pPr>
          </w:p>
          <w:p>
            <w:pPr>
              <w:pStyle w:val="TableParagraph"/>
              <w:spacing w:before="51"/>
              <w:rPr>
                <w:sz w:val="18"/>
              </w:rPr>
            </w:pPr>
          </w:p>
          <w:p>
            <w:pPr>
              <w:pStyle w:val="TableParagraph"/>
              <w:spacing w:line="278" w:lineRule="auto"/>
              <w:ind w:left="104" w:right="510"/>
              <w:rPr>
                <w:sz w:val="18"/>
              </w:rPr>
            </w:pPr>
            <w:r>
              <w:rPr>
                <w:sz w:val="18"/>
              </w:rPr>
              <w:t>Definitely</w:t>
            </w:r>
            <w:r>
              <w:rPr>
                <w:spacing w:val="-11"/>
                <w:sz w:val="18"/>
              </w:rPr>
              <w:t> </w:t>
            </w:r>
            <w:r>
              <w:rPr>
                <w:sz w:val="18"/>
              </w:rPr>
              <w:t>yes Probably yes Probably no Definitely no</w:t>
            </w:r>
          </w:p>
        </w:tc>
        <w:tc>
          <w:tcPr>
            <w:tcW w:w="1837" w:type="dxa"/>
            <w:shd w:val="clear" w:color="auto" w:fill="D9D9D9"/>
          </w:tcPr>
          <w:p>
            <w:pPr>
              <w:pStyle w:val="TableParagraph"/>
              <w:spacing w:line="280" w:lineRule="auto"/>
              <w:ind w:left="104" w:right="293"/>
              <w:rPr>
                <w:b/>
                <w:sz w:val="18"/>
              </w:rPr>
            </w:pPr>
            <w:r>
              <w:rPr>
                <w:b/>
                <w:sz w:val="18"/>
              </w:rPr>
              <w:t>Overall</w:t>
            </w:r>
            <w:r>
              <w:rPr>
                <w:b/>
                <w:spacing w:val="-11"/>
                <w:sz w:val="18"/>
              </w:rPr>
              <w:t> </w:t>
            </w:r>
            <w:r>
              <w:rPr>
                <w:b/>
                <w:sz w:val="18"/>
              </w:rPr>
              <w:t>risk</w:t>
            </w:r>
            <w:r>
              <w:rPr>
                <w:b/>
                <w:spacing w:val="-10"/>
                <w:sz w:val="18"/>
              </w:rPr>
              <w:t> </w:t>
            </w:r>
            <w:r>
              <w:rPr>
                <w:b/>
                <w:sz w:val="18"/>
              </w:rPr>
              <w:t>of</w:t>
            </w:r>
            <w:r>
              <w:rPr>
                <w:b/>
                <w:spacing w:val="-10"/>
                <w:sz w:val="18"/>
              </w:rPr>
              <w:t> </w:t>
            </w:r>
            <w:r>
              <w:rPr>
                <w:b/>
                <w:sz w:val="18"/>
              </w:rPr>
              <w:t>bias </w:t>
            </w:r>
            <w:r>
              <w:rPr>
                <w:b/>
                <w:spacing w:val="-6"/>
                <w:sz w:val="18"/>
              </w:rPr>
              <w:t>If</w:t>
            </w:r>
          </w:p>
          <w:p>
            <w:pPr>
              <w:pStyle w:val="TableParagraph"/>
              <w:spacing w:line="278" w:lineRule="auto"/>
              <w:ind w:left="104" w:right="106"/>
              <w:rPr>
                <w:b/>
                <w:sz w:val="18"/>
              </w:rPr>
            </w:pPr>
            <w:r>
              <w:rPr>
                <w:b/>
                <w:spacing w:val="-2"/>
                <w:sz w:val="18"/>
              </w:rPr>
              <w:t>applicable/necessary,</w:t>
            </w:r>
            <w:r>
              <w:rPr>
                <w:b/>
                <w:sz w:val="18"/>
              </w:rPr>
              <w:t> per outcome</w:t>
            </w:r>
            <w:r>
              <w:rPr>
                <w:b/>
                <w:spacing w:val="40"/>
                <w:sz w:val="18"/>
              </w:rPr>
              <w:t> </w:t>
            </w:r>
            <w:r>
              <w:rPr>
                <w:b/>
                <w:spacing w:val="-2"/>
                <w:sz w:val="18"/>
              </w:rPr>
              <w:t>measure</w:t>
            </w:r>
          </w:p>
          <w:p>
            <w:pPr>
              <w:pStyle w:val="TableParagraph"/>
              <w:rPr>
                <w:sz w:val="18"/>
              </w:rPr>
            </w:pPr>
          </w:p>
          <w:p>
            <w:pPr>
              <w:pStyle w:val="TableParagraph"/>
              <w:rPr>
                <w:sz w:val="18"/>
              </w:rPr>
            </w:pPr>
          </w:p>
          <w:p>
            <w:pPr>
              <w:pStyle w:val="TableParagraph"/>
              <w:rPr>
                <w:sz w:val="18"/>
              </w:rPr>
            </w:pPr>
          </w:p>
          <w:p>
            <w:pPr>
              <w:pStyle w:val="TableParagraph"/>
              <w:spacing w:before="47"/>
              <w:rPr>
                <w:sz w:val="18"/>
              </w:rPr>
            </w:pPr>
          </w:p>
          <w:p>
            <w:pPr>
              <w:pStyle w:val="TableParagraph"/>
              <w:ind w:left="104"/>
              <w:rPr>
                <w:sz w:val="18"/>
              </w:rPr>
            </w:pPr>
            <w:r>
              <w:rPr>
                <w:spacing w:val="-5"/>
                <w:sz w:val="18"/>
              </w:rPr>
              <w:t>LOW</w:t>
            </w:r>
          </w:p>
          <w:p>
            <w:pPr>
              <w:pStyle w:val="TableParagraph"/>
              <w:spacing w:line="278" w:lineRule="auto" w:before="34"/>
              <w:ind w:left="104" w:right="598"/>
              <w:rPr>
                <w:sz w:val="18"/>
              </w:rPr>
            </w:pPr>
            <w:r>
              <w:rPr>
                <w:sz w:val="18"/>
              </w:rPr>
              <w:t>Some</w:t>
            </w:r>
            <w:r>
              <w:rPr>
                <w:spacing w:val="-11"/>
                <w:sz w:val="18"/>
              </w:rPr>
              <w:t> </w:t>
            </w:r>
            <w:r>
              <w:rPr>
                <w:sz w:val="18"/>
              </w:rPr>
              <w:t>concerns </w:t>
            </w:r>
            <w:r>
              <w:rPr>
                <w:spacing w:val="-4"/>
                <w:sz w:val="18"/>
              </w:rPr>
              <w:t>HIGH</w:t>
            </w:r>
          </w:p>
        </w:tc>
      </w:tr>
      <w:tr>
        <w:trPr>
          <w:trHeight w:val="1694" w:hRule="atLeast"/>
        </w:trPr>
        <w:tc>
          <w:tcPr>
            <w:tcW w:w="1116" w:type="dxa"/>
          </w:tcPr>
          <w:p>
            <w:pPr>
              <w:pStyle w:val="TableParagraph"/>
              <w:spacing w:line="280" w:lineRule="auto"/>
              <w:ind w:left="105" w:right="423"/>
              <w:rPr>
                <w:sz w:val="18"/>
              </w:rPr>
            </w:pPr>
            <w:r>
              <w:rPr>
                <w:spacing w:val="-2"/>
                <w:sz w:val="18"/>
              </w:rPr>
              <w:t>Wessel,</w:t>
            </w:r>
            <w:r>
              <w:rPr>
                <w:sz w:val="18"/>
              </w:rPr>
              <w:t> </w:t>
            </w:r>
            <w:r>
              <w:rPr>
                <w:spacing w:val="-4"/>
                <w:sz w:val="18"/>
              </w:rPr>
              <w:t>2013</w:t>
            </w:r>
          </w:p>
        </w:tc>
        <w:tc>
          <w:tcPr>
            <w:tcW w:w="1572" w:type="dxa"/>
          </w:tcPr>
          <w:p>
            <w:pPr>
              <w:pStyle w:val="TableParagraph"/>
              <w:spacing w:line="218" w:lineRule="exact"/>
              <w:ind w:left="105"/>
              <w:rPr>
                <w:sz w:val="18"/>
              </w:rPr>
            </w:pPr>
            <w:r>
              <w:rPr>
                <w:sz w:val="18"/>
              </w:rPr>
              <w:t>Probably</w:t>
            </w:r>
            <w:r>
              <w:rPr>
                <w:spacing w:val="-5"/>
                <w:sz w:val="18"/>
              </w:rPr>
              <w:t> yes</w:t>
            </w:r>
          </w:p>
          <w:p>
            <w:pPr>
              <w:pStyle w:val="TableParagraph"/>
              <w:rPr>
                <w:sz w:val="18"/>
              </w:rPr>
            </w:pPr>
          </w:p>
          <w:p>
            <w:pPr>
              <w:pStyle w:val="TableParagraph"/>
              <w:spacing w:before="13"/>
              <w:rPr>
                <w:sz w:val="18"/>
              </w:rPr>
            </w:pPr>
          </w:p>
          <w:p>
            <w:pPr>
              <w:pStyle w:val="TableParagraph"/>
              <w:spacing w:line="278" w:lineRule="auto"/>
              <w:ind w:left="105"/>
              <w:rPr>
                <w:sz w:val="18"/>
              </w:rPr>
            </w:pPr>
            <w:r>
              <w:rPr>
                <w:sz w:val="18"/>
              </w:rPr>
              <w:t>Reason: central interactive</w:t>
            </w:r>
            <w:r>
              <w:rPr>
                <w:spacing w:val="-4"/>
                <w:sz w:val="18"/>
              </w:rPr>
              <w:t> </w:t>
            </w:r>
            <w:r>
              <w:rPr>
                <w:sz w:val="18"/>
              </w:rPr>
              <w:t>voice response</w:t>
            </w:r>
            <w:r>
              <w:rPr>
                <w:spacing w:val="-7"/>
                <w:sz w:val="18"/>
              </w:rPr>
              <w:t> </w:t>
            </w:r>
            <w:r>
              <w:rPr>
                <w:spacing w:val="-2"/>
                <w:sz w:val="18"/>
              </w:rPr>
              <w:t>system,</w:t>
            </w:r>
          </w:p>
          <w:p>
            <w:pPr>
              <w:pStyle w:val="TableParagraph"/>
              <w:spacing w:before="1"/>
              <w:ind w:left="105"/>
              <w:rPr>
                <w:sz w:val="18"/>
              </w:rPr>
            </w:pPr>
            <w:r>
              <w:rPr>
                <w:sz w:val="18"/>
              </w:rPr>
              <w:t>with</w:t>
            </w:r>
            <w:r>
              <w:rPr>
                <w:spacing w:val="-4"/>
                <w:sz w:val="18"/>
              </w:rPr>
              <w:t> </w:t>
            </w:r>
            <w:r>
              <w:rPr>
                <w:spacing w:val="-2"/>
                <w:sz w:val="18"/>
              </w:rPr>
              <w:t>stratification</w:t>
            </w:r>
          </w:p>
        </w:tc>
        <w:tc>
          <w:tcPr>
            <w:tcW w:w="1417" w:type="dxa"/>
          </w:tcPr>
          <w:p>
            <w:pPr>
              <w:pStyle w:val="TableParagraph"/>
              <w:spacing w:line="218" w:lineRule="exact"/>
              <w:ind w:left="144"/>
              <w:rPr>
                <w:sz w:val="18"/>
              </w:rPr>
            </w:pPr>
            <w:r>
              <w:rPr>
                <w:sz w:val="18"/>
              </w:rPr>
              <w:t>Definitely</w:t>
            </w:r>
            <w:r>
              <w:rPr>
                <w:spacing w:val="-7"/>
                <w:sz w:val="18"/>
              </w:rPr>
              <w:t> </w:t>
            </w:r>
            <w:r>
              <w:rPr>
                <w:spacing w:val="-5"/>
                <w:sz w:val="18"/>
              </w:rPr>
              <w:t>no</w:t>
            </w:r>
          </w:p>
          <w:p>
            <w:pPr>
              <w:pStyle w:val="TableParagraph"/>
              <w:rPr>
                <w:sz w:val="18"/>
              </w:rPr>
            </w:pPr>
          </w:p>
          <w:p>
            <w:pPr>
              <w:pStyle w:val="TableParagraph"/>
              <w:spacing w:before="13"/>
              <w:rPr>
                <w:sz w:val="18"/>
              </w:rPr>
            </w:pPr>
          </w:p>
          <w:p>
            <w:pPr>
              <w:pStyle w:val="TableParagraph"/>
              <w:spacing w:line="278" w:lineRule="auto"/>
              <w:ind w:left="103" w:right="417"/>
              <w:rPr>
                <w:sz w:val="18"/>
              </w:rPr>
            </w:pPr>
            <w:r>
              <w:rPr>
                <w:sz w:val="18"/>
              </w:rPr>
              <w:t>Reason:</w:t>
            </w:r>
            <w:r>
              <w:rPr>
                <w:spacing w:val="-11"/>
                <w:sz w:val="18"/>
              </w:rPr>
              <w:t> </w:t>
            </w:r>
            <w:r>
              <w:rPr>
                <w:sz w:val="18"/>
              </w:rPr>
              <w:t>not </w:t>
            </w:r>
            <w:r>
              <w:rPr>
                <w:spacing w:val="-2"/>
                <w:sz w:val="18"/>
              </w:rPr>
              <w:t>reported</w:t>
            </w:r>
          </w:p>
        </w:tc>
        <w:tc>
          <w:tcPr>
            <w:tcW w:w="3120" w:type="dxa"/>
          </w:tcPr>
          <w:p>
            <w:pPr>
              <w:pStyle w:val="TableParagraph"/>
              <w:spacing w:line="218" w:lineRule="exact"/>
              <w:ind w:left="105"/>
              <w:rPr>
                <w:sz w:val="18"/>
              </w:rPr>
            </w:pPr>
            <w:r>
              <w:rPr>
                <w:sz w:val="18"/>
              </w:rPr>
              <w:t>Probably</w:t>
            </w:r>
            <w:r>
              <w:rPr>
                <w:spacing w:val="-5"/>
                <w:sz w:val="18"/>
              </w:rPr>
              <w:t> yes</w:t>
            </w:r>
          </w:p>
          <w:p>
            <w:pPr>
              <w:pStyle w:val="TableParagraph"/>
              <w:rPr>
                <w:sz w:val="18"/>
              </w:rPr>
            </w:pPr>
          </w:p>
          <w:p>
            <w:pPr>
              <w:pStyle w:val="TableParagraph"/>
              <w:spacing w:before="13"/>
              <w:rPr>
                <w:sz w:val="18"/>
              </w:rPr>
            </w:pPr>
          </w:p>
          <w:p>
            <w:pPr>
              <w:pStyle w:val="TableParagraph"/>
              <w:ind w:left="105"/>
              <w:rPr>
                <w:sz w:val="18"/>
              </w:rPr>
            </w:pPr>
            <w:r>
              <w:rPr>
                <w:sz w:val="18"/>
              </w:rPr>
              <w:t>Reason:</w:t>
            </w:r>
            <w:r>
              <w:rPr>
                <w:spacing w:val="-7"/>
                <w:sz w:val="18"/>
              </w:rPr>
              <w:t> </w:t>
            </w:r>
            <w:r>
              <w:rPr>
                <w:sz w:val="18"/>
              </w:rPr>
              <w:t>double-blind</w:t>
            </w:r>
            <w:r>
              <w:rPr>
                <w:spacing w:val="-5"/>
                <w:sz w:val="18"/>
              </w:rPr>
              <w:t> </w:t>
            </w:r>
            <w:r>
              <w:rPr>
                <w:spacing w:val="-4"/>
                <w:sz w:val="18"/>
              </w:rPr>
              <w:t>trial</w:t>
            </w:r>
          </w:p>
        </w:tc>
        <w:tc>
          <w:tcPr>
            <w:tcW w:w="1558" w:type="dxa"/>
          </w:tcPr>
          <w:p>
            <w:pPr>
              <w:pStyle w:val="TableParagraph"/>
              <w:spacing w:line="218" w:lineRule="exact"/>
              <w:ind w:left="102"/>
              <w:rPr>
                <w:sz w:val="18"/>
              </w:rPr>
            </w:pPr>
            <w:r>
              <w:rPr>
                <w:sz w:val="18"/>
              </w:rPr>
              <w:t>Probably</w:t>
            </w:r>
            <w:r>
              <w:rPr>
                <w:spacing w:val="-5"/>
                <w:sz w:val="18"/>
              </w:rPr>
              <w:t> yes</w:t>
            </w:r>
          </w:p>
          <w:p>
            <w:pPr>
              <w:pStyle w:val="TableParagraph"/>
              <w:rPr>
                <w:sz w:val="18"/>
              </w:rPr>
            </w:pPr>
          </w:p>
          <w:p>
            <w:pPr>
              <w:pStyle w:val="TableParagraph"/>
              <w:spacing w:before="13"/>
              <w:rPr>
                <w:sz w:val="18"/>
              </w:rPr>
            </w:pPr>
          </w:p>
          <w:p>
            <w:pPr>
              <w:pStyle w:val="TableParagraph"/>
              <w:spacing w:line="278" w:lineRule="auto"/>
              <w:ind w:left="102" w:right="94"/>
              <w:rPr>
                <w:sz w:val="18"/>
              </w:rPr>
            </w:pPr>
            <w:r>
              <w:rPr>
                <w:sz w:val="18"/>
              </w:rPr>
              <w:t>Reason:</w:t>
            </w:r>
            <w:r>
              <w:rPr>
                <w:spacing w:val="-11"/>
                <w:sz w:val="18"/>
              </w:rPr>
              <w:t> </w:t>
            </w:r>
            <w:r>
              <w:rPr>
                <w:sz w:val="18"/>
              </w:rPr>
              <w:t>there</w:t>
            </w:r>
            <w:r>
              <w:rPr>
                <w:spacing w:val="-10"/>
                <w:sz w:val="18"/>
              </w:rPr>
              <w:t> </w:t>
            </w:r>
            <w:r>
              <w:rPr>
                <w:sz w:val="18"/>
              </w:rPr>
              <w:t>was a significant loss</w:t>
            </w:r>
            <w:r>
              <w:rPr>
                <w:spacing w:val="40"/>
                <w:sz w:val="18"/>
              </w:rPr>
              <w:t> </w:t>
            </w:r>
            <w:r>
              <w:rPr>
                <w:sz w:val="18"/>
              </w:rPr>
              <w:t>to follow-up, but</w:t>
            </w:r>
          </w:p>
          <w:p>
            <w:pPr>
              <w:pStyle w:val="TableParagraph"/>
              <w:spacing w:before="1"/>
              <w:ind w:left="102"/>
              <w:rPr>
                <w:sz w:val="18"/>
              </w:rPr>
            </w:pPr>
            <w:r>
              <w:rPr>
                <w:sz w:val="18"/>
              </w:rPr>
              <w:t>all</w:t>
            </w:r>
            <w:r>
              <w:rPr>
                <w:spacing w:val="-5"/>
                <w:sz w:val="18"/>
              </w:rPr>
              <w:t> </w:t>
            </w:r>
            <w:r>
              <w:rPr>
                <w:sz w:val="18"/>
              </w:rPr>
              <w:t>patients</w:t>
            </w:r>
            <w:r>
              <w:rPr>
                <w:spacing w:val="-3"/>
                <w:sz w:val="18"/>
              </w:rPr>
              <w:t> </w:t>
            </w:r>
            <w:r>
              <w:rPr>
                <w:spacing w:val="-4"/>
                <w:sz w:val="18"/>
              </w:rPr>
              <w:t>were</w:t>
            </w:r>
          </w:p>
        </w:tc>
        <w:tc>
          <w:tcPr>
            <w:tcW w:w="1702" w:type="dxa"/>
          </w:tcPr>
          <w:p>
            <w:pPr>
              <w:pStyle w:val="TableParagraph"/>
              <w:spacing w:line="218" w:lineRule="exact"/>
              <w:ind w:left="105"/>
              <w:rPr>
                <w:sz w:val="18"/>
              </w:rPr>
            </w:pPr>
            <w:r>
              <w:rPr>
                <w:sz w:val="18"/>
              </w:rPr>
              <w:t>Definitely</w:t>
            </w:r>
            <w:r>
              <w:rPr>
                <w:spacing w:val="-7"/>
                <w:sz w:val="18"/>
              </w:rPr>
              <w:t> </w:t>
            </w:r>
            <w:r>
              <w:rPr>
                <w:spacing w:val="-4"/>
                <w:sz w:val="18"/>
              </w:rPr>
              <w:t>yes;</w:t>
            </w:r>
          </w:p>
          <w:p>
            <w:pPr>
              <w:pStyle w:val="TableParagraph"/>
              <w:rPr>
                <w:sz w:val="18"/>
              </w:rPr>
            </w:pPr>
          </w:p>
          <w:p>
            <w:pPr>
              <w:pStyle w:val="TableParagraph"/>
              <w:spacing w:before="13"/>
              <w:rPr>
                <w:sz w:val="18"/>
              </w:rPr>
            </w:pPr>
          </w:p>
          <w:p>
            <w:pPr>
              <w:pStyle w:val="TableParagraph"/>
              <w:spacing w:line="278" w:lineRule="auto"/>
              <w:ind w:left="105" w:right="437"/>
              <w:rPr>
                <w:sz w:val="18"/>
              </w:rPr>
            </w:pPr>
            <w:r>
              <w:rPr>
                <w:sz w:val="18"/>
              </w:rPr>
              <w:t>Reason: all outcomes</w:t>
            </w:r>
            <w:r>
              <w:rPr>
                <w:spacing w:val="-11"/>
                <w:sz w:val="18"/>
              </w:rPr>
              <w:t> </w:t>
            </w:r>
            <w:r>
              <w:rPr>
                <w:sz w:val="18"/>
              </w:rPr>
              <w:t>were </w:t>
            </w:r>
            <w:r>
              <w:rPr>
                <w:spacing w:val="-2"/>
                <w:sz w:val="18"/>
              </w:rPr>
              <w:t>reported</w:t>
            </w:r>
          </w:p>
        </w:tc>
        <w:tc>
          <w:tcPr>
            <w:tcW w:w="1626" w:type="dxa"/>
          </w:tcPr>
          <w:p>
            <w:pPr>
              <w:pStyle w:val="TableParagraph"/>
              <w:spacing w:line="218" w:lineRule="exact"/>
              <w:ind w:left="104"/>
              <w:rPr>
                <w:sz w:val="18"/>
              </w:rPr>
            </w:pPr>
            <w:r>
              <w:rPr>
                <w:sz w:val="18"/>
              </w:rPr>
              <w:t>Probably</w:t>
            </w:r>
            <w:r>
              <w:rPr>
                <w:spacing w:val="-5"/>
                <w:sz w:val="18"/>
              </w:rPr>
              <w:t> no</w:t>
            </w:r>
          </w:p>
          <w:p>
            <w:pPr>
              <w:pStyle w:val="TableParagraph"/>
              <w:rPr>
                <w:sz w:val="18"/>
              </w:rPr>
            </w:pPr>
          </w:p>
          <w:p>
            <w:pPr>
              <w:pStyle w:val="TableParagraph"/>
              <w:spacing w:before="13"/>
              <w:rPr>
                <w:sz w:val="18"/>
              </w:rPr>
            </w:pPr>
          </w:p>
          <w:p>
            <w:pPr>
              <w:pStyle w:val="TableParagraph"/>
              <w:spacing w:line="278" w:lineRule="auto"/>
              <w:ind w:left="104" w:right="243"/>
              <w:rPr>
                <w:sz w:val="18"/>
              </w:rPr>
            </w:pPr>
            <w:r>
              <w:rPr>
                <w:spacing w:val="-2"/>
                <w:sz w:val="18"/>
              </w:rPr>
              <w:t>Reason:</w:t>
            </w:r>
            <w:r>
              <w:rPr>
                <w:spacing w:val="40"/>
                <w:sz w:val="18"/>
              </w:rPr>
              <w:t> </w:t>
            </w:r>
            <w:r>
              <w:rPr>
                <w:sz w:val="18"/>
              </w:rPr>
              <w:t>Potential</w:t>
            </w:r>
            <w:r>
              <w:rPr>
                <w:spacing w:val="-11"/>
                <w:sz w:val="18"/>
              </w:rPr>
              <w:t> </w:t>
            </w:r>
            <w:r>
              <w:rPr>
                <w:sz w:val="18"/>
              </w:rPr>
              <w:t>funding </w:t>
            </w:r>
            <w:r>
              <w:rPr>
                <w:spacing w:val="-4"/>
                <w:sz w:val="18"/>
              </w:rPr>
              <w:t>bias</w:t>
            </w:r>
          </w:p>
        </w:tc>
        <w:tc>
          <w:tcPr>
            <w:tcW w:w="1837" w:type="dxa"/>
          </w:tcPr>
          <w:p>
            <w:pPr>
              <w:pStyle w:val="TableParagraph"/>
              <w:spacing w:line="218" w:lineRule="exact"/>
              <w:ind w:left="145"/>
              <w:rPr>
                <w:sz w:val="18"/>
              </w:rPr>
            </w:pPr>
            <w:r>
              <w:rPr>
                <w:sz w:val="18"/>
              </w:rPr>
              <w:t>Some</w:t>
            </w:r>
            <w:r>
              <w:rPr>
                <w:spacing w:val="-5"/>
                <w:sz w:val="18"/>
              </w:rPr>
              <w:t> </w:t>
            </w:r>
            <w:r>
              <w:rPr>
                <w:spacing w:val="-2"/>
                <w:sz w:val="18"/>
              </w:rPr>
              <w:t>concerns</w:t>
            </w:r>
          </w:p>
        </w:tc>
      </w:tr>
    </w:tbl>
    <w:p>
      <w:pPr>
        <w:pStyle w:val="TableParagraph"/>
        <w:spacing w:after="0" w:line="218" w:lineRule="exact"/>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16"/>
        <w:gridCol w:w="1572"/>
        <w:gridCol w:w="1417"/>
        <w:gridCol w:w="3120"/>
        <w:gridCol w:w="1558"/>
        <w:gridCol w:w="1702"/>
        <w:gridCol w:w="1626"/>
        <w:gridCol w:w="1837"/>
      </w:tblGrid>
      <w:tr>
        <w:trPr>
          <w:trHeight w:val="1021" w:hRule="atLeast"/>
        </w:trPr>
        <w:tc>
          <w:tcPr>
            <w:tcW w:w="1116" w:type="dxa"/>
          </w:tcPr>
          <w:p>
            <w:pPr>
              <w:pStyle w:val="TableParagraph"/>
              <w:rPr>
                <w:rFonts w:ascii="Times New Roman"/>
                <w:sz w:val="18"/>
              </w:rPr>
            </w:pPr>
          </w:p>
        </w:tc>
        <w:tc>
          <w:tcPr>
            <w:tcW w:w="1572" w:type="dxa"/>
          </w:tcPr>
          <w:p>
            <w:pPr>
              <w:pStyle w:val="TableParagraph"/>
              <w:spacing w:line="280" w:lineRule="auto"/>
              <w:ind w:left="105" w:right="535"/>
              <w:rPr>
                <w:sz w:val="18"/>
              </w:rPr>
            </w:pPr>
            <w:r>
              <w:rPr>
                <w:sz w:val="18"/>
              </w:rPr>
              <w:t>according</w:t>
            </w:r>
            <w:r>
              <w:rPr>
                <w:spacing w:val="-11"/>
                <w:sz w:val="18"/>
              </w:rPr>
              <w:t> </w:t>
            </w:r>
            <w:r>
              <w:rPr>
                <w:sz w:val="18"/>
              </w:rPr>
              <w:t>to </w:t>
            </w:r>
            <w:r>
              <w:rPr>
                <w:spacing w:val="-2"/>
                <w:sz w:val="18"/>
              </w:rPr>
              <w:t>center</w:t>
            </w:r>
          </w:p>
        </w:tc>
        <w:tc>
          <w:tcPr>
            <w:tcW w:w="1417" w:type="dxa"/>
          </w:tcPr>
          <w:p>
            <w:pPr>
              <w:pStyle w:val="TableParagraph"/>
              <w:rPr>
                <w:rFonts w:ascii="Times New Roman"/>
                <w:sz w:val="18"/>
              </w:rPr>
            </w:pPr>
          </w:p>
        </w:tc>
        <w:tc>
          <w:tcPr>
            <w:tcW w:w="3120" w:type="dxa"/>
          </w:tcPr>
          <w:p>
            <w:pPr>
              <w:pStyle w:val="TableParagraph"/>
              <w:rPr>
                <w:rFonts w:ascii="Times New Roman"/>
                <w:sz w:val="18"/>
              </w:rPr>
            </w:pPr>
          </w:p>
        </w:tc>
        <w:tc>
          <w:tcPr>
            <w:tcW w:w="1558" w:type="dxa"/>
          </w:tcPr>
          <w:p>
            <w:pPr>
              <w:pStyle w:val="TableParagraph"/>
              <w:spacing w:line="278" w:lineRule="auto"/>
              <w:ind w:left="102" w:right="190"/>
              <w:rPr>
                <w:sz w:val="18"/>
              </w:rPr>
            </w:pPr>
            <w:r>
              <w:rPr>
                <w:sz w:val="18"/>
              </w:rPr>
              <w:t>included in the analyses</w:t>
            </w:r>
            <w:r>
              <w:rPr>
                <w:spacing w:val="-2"/>
                <w:sz w:val="18"/>
              </w:rPr>
              <w:t> </w:t>
            </w:r>
            <w:r>
              <w:rPr>
                <w:sz w:val="18"/>
              </w:rPr>
              <w:t>(no missing</w:t>
            </w:r>
            <w:r>
              <w:rPr>
                <w:spacing w:val="-11"/>
                <w:sz w:val="18"/>
              </w:rPr>
              <w:t> </w:t>
            </w:r>
            <w:r>
              <w:rPr>
                <w:sz w:val="18"/>
              </w:rPr>
              <w:t>outcome</w:t>
            </w:r>
          </w:p>
          <w:p>
            <w:pPr>
              <w:pStyle w:val="TableParagraph"/>
              <w:spacing w:before="2"/>
              <w:ind w:left="102"/>
              <w:rPr>
                <w:sz w:val="18"/>
              </w:rPr>
            </w:pPr>
            <w:r>
              <w:rPr>
                <w:spacing w:val="-2"/>
                <w:sz w:val="18"/>
              </w:rPr>
              <w:t>data)</w:t>
            </w:r>
          </w:p>
        </w:tc>
        <w:tc>
          <w:tcPr>
            <w:tcW w:w="1702" w:type="dxa"/>
          </w:tcPr>
          <w:p>
            <w:pPr>
              <w:pStyle w:val="TableParagraph"/>
              <w:rPr>
                <w:rFonts w:ascii="Times New Roman"/>
                <w:sz w:val="18"/>
              </w:rPr>
            </w:pPr>
          </w:p>
        </w:tc>
        <w:tc>
          <w:tcPr>
            <w:tcW w:w="1626" w:type="dxa"/>
          </w:tcPr>
          <w:p>
            <w:pPr>
              <w:pStyle w:val="TableParagraph"/>
              <w:rPr>
                <w:rFonts w:ascii="Times New Roman"/>
                <w:sz w:val="18"/>
              </w:rPr>
            </w:pPr>
          </w:p>
        </w:tc>
        <w:tc>
          <w:tcPr>
            <w:tcW w:w="1837" w:type="dxa"/>
          </w:tcPr>
          <w:p>
            <w:pPr>
              <w:pStyle w:val="TableParagraph"/>
              <w:rPr>
                <w:rFonts w:ascii="Times New Roman"/>
                <w:sz w:val="18"/>
              </w:rPr>
            </w:pPr>
          </w:p>
        </w:tc>
      </w:tr>
    </w:tbl>
    <w:p>
      <w:pPr>
        <w:pStyle w:val="BodyText"/>
        <w:rPr>
          <w:sz w:val="18"/>
        </w:rPr>
      </w:pPr>
    </w:p>
    <w:p>
      <w:pPr>
        <w:pStyle w:val="BodyText"/>
        <w:rPr>
          <w:sz w:val="18"/>
        </w:rPr>
      </w:pPr>
    </w:p>
    <w:p>
      <w:pPr>
        <w:pStyle w:val="BodyText"/>
        <w:spacing w:before="170"/>
        <w:rPr>
          <w:sz w:val="18"/>
        </w:rPr>
      </w:pPr>
    </w:p>
    <w:p>
      <w:pPr>
        <w:spacing w:line="280" w:lineRule="auto" w:before="0"/>
        <w:ind w:left="23" w:right="0" w:firstLine="0"/>
        <w:jc w:val="left"/>
        <w:rPr>
          <w:sz w:val="18"/>
        </w:rPr>
      </w:pPr>
      <w:r>
        <w:rPr>
          <w:sz w:val="22"/>
        </w:rPr>
        <w:t>Table</w:t>
      </w:r>
      <w:r>
        <w:rPr>
          <w:spacing w:val="-1"/>
          <w:sz w:val="22"/>
        </w:rPr>
        <w:t> </w:t>
      </w:r>
      <w:r>
        <w:rPr>
          <w:sz w:val="22"/>
        </w:rPr>
        <w:t>1.4.1.</w:t>
      </w:r>
      <w:r>
        <w:rPr>
          <w:spacing w:val="-2"/>
          <w:sz w:val="22"/>
        </w:rPr>
        <w:t> </w:t>
      </w:r>
      <w:r>
        <w:rPr>
          <w:sz w:val="22"/>
        </w:rPr>
        <w:t>Summary</w:t>
      </w:r>
      <w:r>
        <w:rPr>
          <w:spacing w:val="-4"/>
          <w:sz w:val="22"/>
        </w:rPr>
        <w:t> </w:t>
      </w:r>
      <w:r>
        <w:rPr>
          <w:sz w:val="22"/>
        </w:rPr>
        <w:t>of</w:t>
      </w:r>
      <w:r>
        <w:rPr>
          <w:spacing w:val="-2"/>
          <w:sz w:val="22"/>
        </w:rPr>
        <w:t> </w:t>
      </w:r>
      <w:r>
        <w:rPr>
          <w:sz w:val="22"/>
        </w:rPr>
        <w:t>Findings</w:t>
      </w:r>
      <w:r>
        <w:rPr>
          <w:spacing w:val="-11"/>
          <w:sz w:val="22"/>
        </w:rPr>
        <w:t> </w:t>
      </w:r>
      <w:r>
        <w:rPr>
          <w:sz w:val="18"/>
        </w:rPr>
        <w:t>–</w:t>
      </w:r>
      <w:r>
        <w:rPr>
          <w:spacing w:val="-3"/>
          <w:sz w:val="18"/>
        </w:rPr>
        <w:t> </w:t>
      </w:r>
      <w:r>
        <w:rPr>
          <w:sz w:val="18"/>
        </w:rPr>
        <w:t>Thromboprophylaxis</w:t>
      </w:r>
      <w:r>
        <w:rPr>
          <w:spacing w:val="-3"/>
          <w:sz w:val="18"/>
        </w:rPr>
        <w:t> </w:t>
      </w:r>
      <w:r>
        <w:rPr>
          <w:sz w:val="18"/>
        </w:rPr>
        <w:t>versus</w:t>
      </w:r>
      <w:r>
        <w:rPr>
          <w:spacing w:val="-3"/>
          <w:sz w:val="18"/>
        </w:rPr>
        <w:t> </w:t>
      </w:r>
      <w:r>
        <w:rPr>
          <w:sz w:val="18"/>
        </w:rPr>
        <w:t>no</w:t>
      </w:r>
      <w:r>
        <w:rPr>
          <w:spacing w:val="-2"/>
          <w:sz w:val="18"/>
        </w:rPr>
        <w:t> </w:t>
      </w:r>
      <w:r>
        <w:rPr>
          <w:sz w:val="18"/>
        </w:rPr>
        <w:t>thromboprophylaxis</w:t>
      </w:r>
      <w:r>
        <w:rPr>
          <w:spacing w:val="-3"/>
          <w:sz w:val="18"/>
        </w:rPr>
        <w:t> </w:t>
      </w:r>
      <w:r>
        <w:rPr>
          <w:sz w:val="18"/>
        </w:rPr>
        <w:t>with</w:t>
      </w:r>
      <w:r>
        <w:rPr>
          <w:spacing w:val="-4"/>
          <w:sz w:val="18"/>
        </w:rPr>
        <w:t> </w:t>
      </w:r>
      <w:r>
        <w:rPr>
          <w:sz w:val="18"/>
        </w:rPr>
        <w:t>outcomes</w:t>
      </w:r>
      <w:r>
        <w:rPr>
          <w:spacing w:val="-3"/>
          <w:sz w:val="18"/>
        </w:rPr>
        <w:t> </w:t>
      </w:r>
      <w:r>
        <w:rPr>
          <w:sz w:val="18"/>
        </w:rPr>
        <w:t>thrombotic</w:t>
      </w:r>
      <w:r>
        <w:rPr>
          <w:spacing w:val="-2"/>
          <w:sz w:val="18"/>
        </w:rPr>
        <w:t> </w:t>
      </w:r>
      <w:r>
        <w:rPr>
          <w:sz w:val="18"/>
        </w:rPr>
        <w:t>complications</w:t>
      </w:r>
      <w:r>
        <w:rPr>
          <w:spacing w:val="-3"/>
          <w:sz w:val="18"/>
        </w:rPr>
        <w:t> </w:t>
      </w:r>
      <w:r>
        <w:rPr>
          <w:sz w:val="18"/>
        </w:rPr>
        <w:t>(including</w:t>
      </w:r>
      <w:r>
        <w:rPr>
          <w:spacing w:val="-3"/>
          <w:sz w:val="18"/>
        </w:rPr>
        <w:t> </w:t>
      </w:r>
      <w:r>
        <w:rPr>
          <w:sz w:val="18"/>
        </w:rPr>
        <w:t>right</w:t>
      </w:r>
      <w:r>
        <w:rPr>
          <w:spacing w:val="-2"/>
          <w:sz w:val="18"/>
        </w:rPr>
        <w:t> </w:t>
      </w:r>
      <w:r>
        <w:rPr>
          <w:sz w:val="18"/>
        </w:rPr>
        <w:t>ventricle</w:t>
      </w:r>
      <w:r>
        <w:rPr>
          <w:spacing w:val="-3"/>
          <w:sz w:val="18"/>
        </w:rPr>
        <w:t> </w:t>
      </w:r>
      <w:r>
        <w:rPr>
          <w:sz w:val="18"/>
        </w:rPr>
        <w:t>to pulmonary</w:t>
      </w:r>
      <w:r>
        <w:rPr>
          <w:spacing w:val="-2"/>
          <w:sz w:val="18"/>
        </w:rPr>
        <w:t> </w:t>
      </w:r>
      <w:r>
        <w:rPr>
          <w:sz w:val="18"/>
        </w:rPr>
        <w:t>artery</w:t>
      </w:r>
      <w:r>
        <w:rPr>
          <w:spacing w:val="-2"/>
          <w:sz w:val="18"/>
        </w:rPr>
        <w:t> </w:t>
      </w:r>
      <w:r>
        <w:rPr>
          <w:sz w:val="18"/>
        </w:rPr>
        <w:t>conduit thrombosis, pulmonary embolism), shunt occlusion, ischemic stroke, hemorrhage, mortality, quality of life (QOL), and adverse events (including pain post injection)</w:t>
      </w:r>
    </w:p>
    <w:p>
      <w:pPr>
        <w:spacing w:line="453" w:lineRule="auto" w:before="0"/>
        <w:ind w:left="23" w:right="964" w:firstLine="0"/>
        <w:jc w:val="left"/>
        <w:rPr>
          <w:sz w:val="18"/>
        </w:rPr>
      </w:pPr>
      <w:r>
        <w:rPr>
          <w:sz w:val="18"/>
        </w:rPr>
        <w:t>Population:</w:t>
      </w:r>
      <w:r>
        <w:rPr>
          <w:spacing w:val="-2"/>
          <w:sz w:val="18"/>
        </w:rPr>
        <w:t> </w:t>
      </w:r>
      <w:r>
        <w:rPr>
          <w:sz w:val="18"/>
        </w:rPr>
        <w:t>Children</w:t>
      </w:r>
      <w:r>
        <w:rPr>
          <w:spacing w:val="-3"/>
          <w:sz w:val="18"/>
        </w:rPr>
        <w:t> </w:t>
      </w:r>
      <w:r>
        <w:rPr>
          <w:sz w:val="18"/>
        </w:rPr>
        <w:t>with</w:t>
      </w:r>
      <w:r>
        <w:rPr>
          <w:spacing w:val="-4"/>
          <w:sz w:val="18"/>
        </w:rPr>
        <w:t> </w:t>
      </w:r>
      <w:r>
        <w:rPr>
          <w:sz w:val="18"/>
        </w:rPr>
        <w:t>an</w:t>
      </w:r>
      <w:r>
        <w:rPr>
          <w:spacing w:val="-3"/>
          <w:sz w:val="18"/>
        </w:rPr>
        <w:t> </w:t>
      </w:r>
      <w:r>
        <w:rPr>
          <w:sz w:val="18"/>
        </w:rPr>
        <w:t>indication</w:t>
      </w:r>
      <w:r>
        <w:rPr>
          <w:spacing w:val="-3"/>
          <w:sz w:val="18"/>
        </w:rPr>
        <w:t> </w:t>
      </w:r>
      <w:r>
        <w:rPr>
          <w:sz w:val="18"/>
        </w:rPr>
        <w:t>for</w:t>
      </w:r>
      <w:r>
        <w:rPr>
          <w:spacing w:val="-2"/>
          <w:sz w:val="18"/>
        </w:rPr>
        <w:t> </w:t>
      </w:r>
      <w:r>
        <w:rPr>
          <w:sz w:val="18"/>
        </w:rPr>
        <w:t>1)</w:t>
      </w:r>
      <w:r>
        <w:rPr>
          <w:spacing w:val="-3"/>
          <w:sz w:val="18"/>
        </w:rPr>
        <w:t> </w:t>
      </w:r>
      <w:r>
        <w:rPr>
          <w:sz w:val="18"/>
        </w:rPr>
        <w:t>aortopulmonary</w:t>
      </w:r>
      <w:r>
        <w:rPr>
          <w:spacing w:val="-2"/>
          <w:sz w:val="18"/>
        </w:rPr>
        <w:t> </w:t>
      </w:r>
      <w:r>
        <w:rPr>
          <w:sz w:val="18"/>
        </w:rPr>
        <w:t>(AP)</w:t>
      </w:r>
      <w:r>
        <w:rPr>
          <w:spacing w:val="-1"/>
          <w:sz w:val="18"/>
        </w:rPr>
        <w:t> </w:t>
      </w:r>
      <w:r>
        <w:rPr>
          <w:sz w:val="18"/>
        </w:rPr>
        <w:t>or</w:t>
      </w:r>
      <w:r>
        <w:rPr>
          <w:spacing w:val="-2"/>
          <w:sz w:val="18"/>
        </w:rPr>
        <w:t> </w:t>
      </w:r>
      <w:r>
        <w:rPr>
          <w:sz w:val="18"/>
        </w:rPr>
        <w:t>2)</w:t>
      </w:r>
      <w:r>
        <w:rPr>
          <w:spacing w:val="-3"/>
          <w:sz w:val="18"/>
        </w:rPr>
        <w:t> </w:t>
      </w:r>
      <w:r>
        <w:rPr>
          <w:sz w:val="18"/>
        </w:rPr>
        <w:t>right</w:t>
      </w:r>
      <w:r>
        <w:rPr>
          <w:spacing w:val="-2"/>
          <w:sz w:val="18"/>
        </w:rPr>
        <w:t> </w:t>
      </w:r>
      <w:r>
        <w:rPr>
          <w:sz w:val="18"/>
        </w:rPr>
        <w:t>ventricle-to-pulmonary</w:t>
      </w:r>
      <w:r>
        <w:rPr>
          <w:spacing w:val="-2"/>
          <w:sz w:val="18"/>
        </w:rPr>
        <w:t> </w:t>
      </w:r>
      <w:r>
        <w:rPr>
          <w:sz w:val="18"/>
        </w:rPr>
        <w:t>(RVP)</w:t>
      </w:r>
      <w:r>
        <w:rPr>
          <w:spacing w:val="-4"/>
          <w:sz w:val="18"/>
        </w:rPr>
        <w:t> </w:t>
      </w:r>
      <w:r>
        <w:rPr>
          <w:sz w:val="18"/>
        </w:rPr>
        <w:t>artery/Sano</w:t>
      </w:r>
      <w:r>
        <w:rPr>
          <w:spacing w:val="-2"/>
          <w:sz w:val="18"/>
        </w:rPr>
        <w:t> </w:t>
      </w:r>
      <w:r>
        <w:rPr>
          <w:sz w:val="18"/>
        </w:rPr>
        <w:t>shunt</w:t>
      </w:r>
      <w:r>
        <w:rPr>
          <w:spacing w:val="-2"/>
          <w:sz w:val="18"/>
        </w:rPr>
        <w:t> </w:t>
      </w:r>
      <w:r>
        <w:rPr>
          <w:sz w:val="18"/>
        </w:rPr>
        <w:t>surgery</w:t>
      </w:r>
      <w:r>
        <w:rPr>
          <w:spacing w:val="-2"/>
          <w:sz w:val="18"/>
        </w:rPr>
        <w:t> </w:t>
      </w:r>
      <w:r>
        <w:rPr>
          <w:sz w:val="18"/>
        </w:rPr>
        <w:t>(specified</w:t>
      </w:r>
      <w:r>
        <w:rPr>
          <w:spacing w:val="-3"/>
          <w:sz w:val="18"/>
        </w:rPr>
        <w:t> </w:t>
      </w:r>
      <w:r>
        <w:rPr>
          <w:sz w:val="18"/>
        </w:rPr>
        <w:t>in</w:t>
      </w:r>
      <w:r>
        <w:rPr>
          <w:spacing w:val="-4"/>
          <w:sz w:val="18"/>
        </w:rPr>
        <w:t> </w:t>
      </w:r>
      <w:r>
        <w:rPr>
          <w:sz w:val="18"/>
        </w:rPr>
        <w:t>summary</w:t>
      </w:r>
      <w:r>
        <w:rPr>
          <w:spacing w:val="-2"/>
          <w:sz w:val="18"/>
        </w:rPr>
        <w:t> </w:t>
      </w:r>
      <w:r>
        <w:rPr>
          <w:sz w:val="18"/>
        </w:rPr>
        <w:t>column</w:t>
      </w:r>
      <w:r>
        <w:rPr>
          <w:spacing w:val="-1"/>
          <w:sz w:val="18"/>
        </w:rPr>
        <w:t> </w:t>
      </w:r>
      <w:r>
        <w:rPr>
          <w:sz w:val="18"/>
        </w:rPr>
        <w:t>of</w:t>
      </w:r>
      <w:r>
        <w:rPr>
          <w:spacing w:val="-3"/>
          <w:sz w:val="18"/>
        </w:rPr>
        <w:t> </w:t>
      </w:r>
      <w:r>
        <w:rPr>
          <w:sz w:val="18"/>
        </w:rPr>
        <w:t>table) Intervention: Thromboprophylaxis (specified in summary column of table)</w:t>
      </w:r>
    </w:p>
    <w:p>
      <w:pPr>
        <w:spacing w:before="0"/>
        <w:ind w:left="23" w:right="0" w:firstLine="0"/>
        <w:jc w:val="left"/>
        <w:rPr>
          <w:sz w:val="18"/>
        </w:rPr>
      </w:pPr>
      <w:r>
        <w:rPr>
          <w:sz w:val="18"/>
        </w:rPr>
        <w:t>Comparator:</w:t>
      </w:r>
      <w:r>
        <w:rPr>
          <w:spacing w:val="-5"/>
          <w:sz w:val="18"/>
        </w:rPr>
        <w:t> </w:t>
      </w:r>
      <w:r>
        <w:rPr>
          <w:sz w:val="18"/>
        </w:rPr>
        <w:t>No</w:t>
      </w:r>
      <w:r>
        <w:rPr>
          <w:spacing w:val="-3"/>
          <w:sz w:val="18"/>
        </w:rPr>
        <w:t> </w:t>
      </w:r>
      <w:r>
        <w:rPr>
          <w:spacing w:val="-2"/>
          <w:sz w:val="18"/>
        </w:rPr>
        <w:t>thromboprophylaxis</w:t>
      </w:r>
    </w:p>
    <w:p>
      <w:pPr>
        <w:pStyle w:val="BodyText"/>
        <w:spacing w:before="11"/>
        <w:rPr>
          <w:sz w:val="15"/>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71"/>
        <w:gridCol w:w="2667"/>
        <w:gridCol w:w="1578"/>
        <w:gridCol w:w="2336"/>
        <w:gridCol w:w="2254"/>
        <w:gridCol w:w="3743"/>
      </w:tblGrid>
      <w:tr>
        <w:trPr>
          <w:trHeight w:val="419" w:hRule="atLeast"/>
        </w:trPr>
        <w:tc>
          <w:tcPr>
            <w:tcW w:w="1371" w:type="dxa"/>
            <w:vMerge w:val="restart"/>
            <w:tcBorders>
              <w:bottom w:val="single" w:sz="4" w:space="0" w:color="000000"/>
              <w:right w:val="single" w:sz="4" w:space="0" w:color="000000"/>
            </w:tcBorders>
          </w:tcPr>
          <w:p>
            <w:pPr>
              <w:pStyle w:val="TableParagraph"/>
              <w:spacing w:before="40"/>
              <w:rPr>
                <w:sz w:val="18"/>
              </w:rPr>
            </w:pPr>
          </w:p>
          <w:p>
            <w:pPr>
              <w:pStyle w:val="TableParagraph"/>
              <w:ind w:left="340"/>
              <w:rPr>
                <w:b/>
                <w:sz w:val="18"/>
              </w:rPr>
            </w:pPr>
            <w:r>
              <w:rPr>
                <w:b/>
                <w:spacing w:val="-2"/>
                <w:sz w:val="18"/>
              </w:rPr>
              <w:t>Outcome</w:t>
            </w:r>
          </w:p>
        </w:tc>
        <w:tc>
          <w:tcPr>
            <w:tcW w:w="2667" w:type="dxa"/>
            <w:vMerge w:val="restart"/>
            <w:tcBorders>
              <w:left w:val="single" w:sz="4" w:space="0" w:color="000000"/>
              <w:bottom w:val="single" w:sz="4" w:space="0" w:color="000000"/>
              <w:right w:val="single" w:sz="4" w:space="0" w:color="000000"/>
            </w:tcBorders>
          </w:tcPr>
          <w:p>
            <w:pPr>
              <w:pStyle w:val="TableParagraph"/>
              <w:spacing w:before="150"/>
              <w:rPr>
                <w:sz w:val="18"/>
              </w:rPr>
            </w:pPr>
          </w:p>
          <w:p>
            <w:pPr>
              <w:pStyle w:val="TableParagraph"/>
              <w:spacing w:before="1"/>
              <w:ind w:left="112"/>
              <w:rPr>
                <w:b/>
                <w:sz w:val="18"/>
              </w:rPr>
            </w:pPr>
            <w:r>
              <w:rPr>
                <w:b/>
                <w:sz w:val="18"/>
              </w:rPr>
              <w:t>Study</w:t>
            </w:r>
            <w:r>
              <w:rPr>
                <w:b/>
                <w:spacing w:val="-3"/>
                <w:sz w:val="18"/>
              </w:rPr>
              <w:t> </w:t>
            </w:r>
            <w:r>
              <w:rPr>
                <w:b/>
                <w:sz w:val="18"/>
              </w:rPr>
              <w:t>results</w:t>
            </w:r>
            <w:r>
              <w:rPr>
                <w:b/>
                <w:spacing w:val="-2"/>
                <w:sz w:val="18"/>
              </w:rPr>
              <w:t> </w:t>
            </w:r>
            <w:r>
              <w:rPr>
                <w:b/>
                <w:sz w:val="18"/>
              </w:rPr>
              <w:t>and</w:t>
            </w:r>
            <w:r>
              <w:rPr>
                <w:b/>
                <w:spacing w:val="-3"/>
                <w:sz w:val="18"/>
              </w:rPr>
              <w:t> </w:t>
            </w:r>
            <w:r>
              <w:rPr>
                <w:b/>
                <w:spacing w:val="-2"/>
                <w:sz w:val="18"/>
              </w:rPr>
              <w:t>measurements</w:t>
            </w:r>
          </w:p>
        </w:tc>
        <w:tc>
          <w:tcPr>
            <w:tcW w:w="3914" w:type="dxa"/>
            <w:gridSpan w:val="2"/>
            <w:tcBorders>
              <w:left w:val="single" w:sz="4" w:space="0" w:color="000000"/>
              <w:bottom w:val="single" w:sz="4" w:space="0" w:color="000000"/>
              <w:right w:val="single" w:sz="4" w:space="0" w:color="000000"/>
            </w:tcBorders>
          </w:tcPr>
          <w:p>
            <w:pPr>
              <w:pStyle w:val="TableParagraph"/>
              <w:spacing w:before="102"/>
              <w:ind w:left="1002"/>
              <w:rPr>
                <w:b/>
                <w:sz w:val="18"/>
              </w:rPr>
            </w:pPr>
            <w:r>
              <w:rPr>
                <w:b/>
                <w:sz w:val="18"/>
              </w:rPr>
              <w:t>Absolute</w:t>
            </w:r>
            <w:r>
              <w:rPr>
                <w:b/>
                <w:spacing w:val="-3"/>
                <w:sz w:val="18"/>
              </w:rPr>
              <w:t> </w:t>
            </w:r>
            <w:r>
              <w:rPr>
                <w:b/>
                <w:sz w:val="18"/>
              </w:rPr>
              <w:t>effect</w:t>
            </w:r>
            <w:r>
              <w:rPr>
                <w:b/>
                <w:spacing w:val="-3"/>
                <w:sz w:val="18"/>
              </w:rPr>
              <w:t> </w:t>
            </w:r>
            <w:r>
              <w:rPr>
                <w:b/>
                <w:spacing w:val="-2"/>
                <w:sz w:val="18"/>
              </w:rPr>
              <w:t>estimates</w:t>
            </w:r>
          </w:p>
        </w:tc>
        <w:tc>
          <w:tcPr>
            <w:tcW w:w="2254" w:type="dxa"/>
            <w:vMerge w:val="restart"/>
            <w:tcBorders>
              <w:left w:val="single" w:sz="4" w:space="0" w:color="000000"/>
              <w:bottom w:val="single" w:sz="4" w:space="0" w:color="000000"/>
              <w:right w:val="single" w:sz="4" w:space="0" w:color="000000"/>
            </w:tcBorders>
          </w:tcPr>
          <w:p>
            <w:pPr>
              <w:pStyle w:val="TableParagraph"/>
              <w:spacing w:before="40"/>
              <w:rPr>
                <w:sz w:val="18"/>
              </w:rPr>
            </w:pPr>
          </w:p>
          <w:p>
            <w:pPr>
              <w:pStyle w:val="TableParagraph"/>
              <w:ind w:left="68" w:right="62"/>
              <w:jc w:val="center"/>
              <w:rPr>
                <w:b/>
                <w:sz w:val="18"/>
              </w:rPr>
            </w:pPr>
            <w:r>
              <w:rPr>
                <w:b/>
                <w:sz w:val="18"/>
              </w:rPr>
              <w:t>Certainty</w:t>
            </w:r>
            <w:r>
              <w:rPr>
                <w:b/>
                <w:spacing w:val="-2"/>
                <w:sz w:val="18"/>
              </w:rPr>
              <w:t> </w:t>
            </w:r>
            <w:r>
              <w:rPr>
                <w:b/>
                <w:sz w:val="18"/>
              </w:rPr>
              <w:t>of</w:t>
            </w:r>
            <w:r>
              <w:rPr>
                <w:b/>
                <w:spacing w:val="-2"/>
                <w:sz w:val="18"/>
              </w:rPr>
              <w:t> </w:t>
            </w:r>
            <w:r>
              <w:rPr>
                <w:b/>
                <w:sz w:val="18"/>
              </w:rPr>
              <w:t>the</w:t>
            </w:r>
            <w:r>
              <w:rPr>
                <w:b/>
                <w:spacing w:val="-1"/>
                <w:sz w:val="18"/>
              </w:rPr>
              <w:t> </w:t>
            </w:r>
            <w:r>
              <w:rPr>
                <w:b/>
                <w:spacing w:val="-2"/>
                <w:sz w:val="18"/>
              </w:rPr>
              <w:t>Evidence</w:t>
            </w:r>
          </w:p>
          <w:p>
            <w:pPr>
              <w:pStyle w:val="TableParagraph"/>
              <w:spacing w:before="1"/>
              <w:ind w:left="68" w:right="62"/>
              <w:jc w:val="center"/>
              <w:rPr>
                <w:sz w:val="18"/>
              </w:rPr>
            </w:pPr>
            <w:r>
              <w:rPr>
                <w:sz w:val="18"/>
              </w:rPr>
              <w:t>(Quality</w:t>
            </w:r>
            <w:r>
              <w:rPr>
                <w:spacing w:val="-1"/>
                <w:sz w:val="18"/>
              </w:rPr>
              <w:t> </w:t>
            </w:r>
            <w:r>
              <w:rPr>
                <w:sz w:val="18"/>
              </w:rPr>
              <w:t>of</w:t>
            </w:r>
            <w:r>
              <w:rPr>
                <w:spacing w:val="-1"/>
                <w:sz w:val="18"/>
              </w:rPr>
              <w:t> </w:t>
            </w:r>
            <w:r>
              <w:rPr>
                <w:spacing w:val="-2"/>
                <w:sz w:val="18"/>
              </w:rPr>
              <w:t>evidence)</w:t>
            </w:r>
          </w:p>
        </w:tc>
        <w:tc>
          <w:tcPr>
            <w:tcW w:w="3743" w:type="dxa"/>
            <w:vMerge w:val="restart"/>
            <w:tcBorders>
              <w:left w:val="single" w:sz="4" w:space="0" w:color="000000"/>
              <w:bottom w:val="single" w:sz="4" w:space="0" w:color="000000"/>
            </w:tcBorders>
          </w:tcPr>
          <w:p>
            <w:pPr>
              <w:pStyle w:val="TableParagraph"/>
              <w:spacing w:before="150"/>
              <w:rPr>
                <w:sz w:val="18"/>
              </w:rPr>
            </w:pPr>
          </w:p>
          <w:p>
            <w:pPr>
              <w:pStyle w:val="TableParagraph"/>
              <w:spacing w:before="1"/>
              <w:ind w:left="6"/>
              <w:jc w:val="center"/>
              <w:rPr>
                <w:b/>
                <w:sz w:val="18"/>
              </w:rPr>
            </w:pPr>
            <w:r>
              <w:rPr>
                <w:b/>
                <w:spacing w:val="-2"/>
                <w:sz w:val="18"/>
              </w:rPr>
              <w:t>Summary</w:t>
            </w:r>
          </w:p>
        </w:tc>
      </w:tr>
      <w:tr>
        <w:trPr>
          <w:trHeight w:val="530" w:hRule="atLeast"/>
        </w:trPr>
        <w:tc>
          <w:tcPr>
            <w:tcW w:w="1371" w:type="dxa"/>
            <w:vMerge/>
            <w:tcBorders>
              <w:top w:val="nil"/>
              <w:bottom w:val="single" w:sz="4" w:space="0" w:color="000000"/>
              <w:right w:val="single" w:sz="4" w:space="0" w:color="000000"/>
            </w:tcBorders>
          </w:tcPr>
          <w:p>
            <w:pPr>
              <w:rPr>
                <w:sz w:val="2"/>
                <w:szCs w:val="2"/>
              </w:rPr>
            </w:pPr>
          </w:p>
        </w:tc>
        <w:tc>
          <w:tcPr>
            <w:tcW w:w="2667" w:type="dxa"/>
            <w:vMerge/>
            <w:tcBorders>
              <w:top w:val="nil"/>
              <w:left w:val="single" w:sz="4" w:space="0" w:color="000000"/>
              <w:bottom w:val="single" w:sz="4" w:space="0" w:color="000000"/>
              <w:right w:val="single" w:sz="4" w:space="0" w:color="000000"/>
            </w:tcBorders>
          </w:tcPr>
          <w:p>
            <w:pPr>
              <w:rPr>
                <w:sz w:val="2"/>
                <w:szCs w:val="2"/>
              </w:rPr>
            </w:pPr>
          </w:p>
        </w:tc>
        <w:tc>
          <w:tcPr>
            <w:tcW w:w="1578" w:type="dxa"/>
            <w:tcBorders>
              <w:top w:val="single" w:sz="4" w:space="0" w:color="000000"/>
              <w:left w:val="single" w:sz="4" w:space="0" w:color="000000"/>
              <w:bottom w:val="single" w:sz="4" w:space="0" w:color="000000"/>
              <w:right w:val="single" w:sz="4" w:space="0" w:color="000000"/>
            </w:tcBorders>
          </w:tcPr>
          <w:p>
            <w:pPr>
              <w:pStyle w:val="TableParagraph"/>
              <w:spacing w:before="47"/>
              <w:ind w:left="47" w:firstLine="636"/>
              <w:rPr>
                <w:sz w:val="18"/>
              </w:rPr>
            </w:pPr>
            <w:r>
              <w:rPr>
                <w:spacing w:val="-6"/>
                <w:sz w:val="18"/>
              </w:rPr>
              <w:t>No</w:t>
            </w:r>
            <w:r>
              <w:rPr>
                <w:sz w:val="18"/>
              </w:rPr>
              <w:t> </w:t>
            </w:r>
            <w:r>
              <w:rPr>
                <w:spacing w:val="-2"/>
                <w:sz w:val="18"/>
              </w:rPr>
              <w:t>thromboprophylaxis</w:t>
            </w:r>
          </w:p>
        </w:tc>
        <w:tc>
          <w:tcPr>
            <w:tcW w:w="2336" w:type="dxa"/>
            <w:tcBorders>
              <w:top w:val="single" w:sz="4" w:space="0" w:color="000000"/>
              <w:left w:val="single" w:sz="4" w:space="0" w:color="000000"/>
              <w:bottom w:val="single" w:sz="4" w:space="0" w:color="000000"/>
              <w:right w:val="single" w:sz="4" w:space="0" w:color="000000"/>
            </w:tcBorders>
          </w:tcPr>
          <w:p>
            <w:pPr>
              <w:pStyle w:val="TableParagraph"/>
              <w:spacing w:before="157"/>
              <w:ind w:left="408"/>
              <w:rPr>
                <w:sz w:val="18"/>
              </w:rPr>
            </w:pPr>
            <w:r>
              <w:rPr>
                <w:spacing w:val="-2"/>
                <w:sz w:val="18"/>
              </w:rPr>
              <w:t>Thromboprophylaxis</w:t>
            </w:r>
          </w:p>
        </w:tc>
        <w:tc>
          <w:tcPr>
            <w:tcW w:w="2254" w:type="dxa"/>
            <w:vMerge/>
            <w:tcBorders>
              <w:top w:val="nil"/>
              <w:left w:val="single" w:sz="4" w:space="0" w:color="000000"/>
              <w:bottom w:val="single" w:sz="4" w:space="0" w:color="000000"/>
              <w:right w:val="single" w:sz="4" w:space="0" w:color="000000"/>
            </w:tcBorders>
          </w:tcPr>
          <w:p>
            <w:pPr>
              <w:rPr>
                <w:sz w:val="2"/>
                <w:szCs w:val="2"/>
              </w:rPr>
            </w:pPr>
          </w:p>
        </w:tc>
        <w:tc>
          <w:tcPr>
            <w:tcW w:w="3743" w:type="dxa"/>
            <w:vMerge/>
            <w:tcBorders>
              <w:top w:val="nil"/>
              <w:left w:val="single" w:sz="4" w:space="0" w:color="000000"/>
              <w:bottom w:val="single" w:sz="4" w:space="0" w:color="000000"/>
            </w:tcBorders>
          </w:tcPr>
          <w:p>
            <w:pPr>
              <w:rPr>
                <w:sz w:val="2"/>
                <w:szCs w:val="2"/>
              </w:rPr>
            </w:pPr>
          </w:p>
        </w:tc>
      </w:tr>
      <w:tr>
        <w:trPr>
          <w:trHeight w:val="527" w:hRule="atLeast"/>
        </w:trPr>
        <w:tc>
          <w:tcPr>
            <w:tcW w:w="1371" w:type="dxa"/>
            <w:vMerge w:val="restart"/>
            <w:tcBorders>
              <w:top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5"/>
              <w:rPr>
                <w:sz w:val="18"/>
              </w:rPr>
            </w:pPr>
          </w:p>
          <w:p>
            <w:pPr>
              <w:pStyle w:val="TableParagraph"/>
              <w:spacing w:before="1"/>
              <w:ind w:left="386" w:right="88" w:hanging="277"/>
              <w:rPr>
                <w:sz w:val="18"/>
              </w:rPr>
            </w:pPr>
            <w:r>
              <w:rPr>
                <w:sz w:val="18"/>
              </w:rPr>
              <w:t>Shunt</w:t>
            </w:r>
            <w:r>
              <w:rPr>
                <w:spacing w:val="-11"/>
                <w:sz w:val="18"/>
              </w:rPr>
              <w:t> </w:t>
            </w:r>
            <w:r>
              <w:rPr>
                <w:sz w:val="18"/>
              </w:rPr>
              <w:t>occlusion </w:t>
            </w:r>
            <w:r>
              <w:rPr>
                <w:spacing w:val="-2"/>
                <w:sz w:val="18"/>
              </w:rPr>
              <w:t>(critical)</w:t>
            </w:r>
          </w:p>
        </w:tc>
        <w:tc>
          <w:tcPr>
            <w:tcW w:w="2667"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47"/>
              <w:ind w:left="822"/>
              <w:rPr>
                <w:sz w:val="18"/>
              </w:rPr>
            </w:pPr>
            <w:r>
              <w:rPr>
                <w:sz w:val="18"/>
              </w:rPr>
              <w:t>A.</w:t>
            </w:r>
            <w:r>
              <w:rPr>
                <w:spacing w:val="-3"/>
                <w:sz w:val="18"/>
              </w:rPr>
              <w:t> </w:t>
            </w:r>
            <w:r>
              <w:rPr>
                <w:spacing w:val="-2"/>
                <w:sz w:val="18"/>
              </w:rPr>
              <w:t>Clopidogrel</w:t>
            </w:r>
          </w:p>
          <w:p>
            <w:pPr>
              <w:pStyle w:val="TableParagraph"/>
              <w:spacing w:line="219" w:lineRule="exact" w:before="219"/>
              <w:ind w:left="68" w:right="55"/>
              <w:jc w:val="center"/>
              <w:rPr>
                <w:b/>
                <w:sz w:val="18"/>
              </w:rPr>
            </w:pPr>
            <w:r>
              <w:rPr>
                <w:sz w:val="18"/>
              </w:rPr>
              <w:t>Relative</w:t>
            </w:r>
            <w:r>
              <w:rPr>
                <w:spacing w:val="-3"/>
                <w:sz w:val="18"/>
              </w:rPr>
              <w:t> </w:t>
            </w:r>
            <w:r>
              <w:rPr>
                <w:sz w:val="18"/>
              </w:rPr>
              <w:t>risk:</w:t>
            </w:r>
            <w:r>
              <w:rPr>
                <w:spacing w:val="-2"/>
                <w:sz w:val="18"/>
              </w:rPr>
              <w:t> </w:t>
            </w:r>
            <w:r>
              <w:rPr>
                <w:b/>
                <w:spacing w:val="-4"/>
                <w:sz w:val="18"/>
              </w:rPr>
              <w:t>0.36</w:t>
            </w:r>
          </w:p>
          <w:p>
            <w:pPr>
              <w:pStyle w:val="TableParagraph"/>
              <w:spacing w:line="219" w:lineRule="exact"/>
              <w:ind w:left="68" w:right="51"/>
              <w:jc w:val="center"/>
              <w:rPr>
                <w:sz w:val="18"/>
              </w:rPr>
            </w:pPr>
            <w:r>
              <w:rPr>
                <w:sz w:val="18"/>
              </w:rPr>
              <w:t>(95%</w:t>
            </w:r>
            <w:r>
              <w:rPr>
                <w:spacing w:val="-1"/>
                <w:sz w:val="18"/>
              </w:rPr>
              <w:t> </w:t>
            </w:r>
            <w:r>
              <w:rPr>
                <w:sz w:val="18"/>
              </w:rPr>
              <w:t>CI 0.04 to </w:t>
            </w:r>
            <w:r>
              <w:rPr>
                <w:spacing w:val="-4"/>
                <w:sz w:val="18"/>
              </w:rPr>
              <w:t>3.34)</w:t>
            </w:r>
          </w:p>
          <w:p>
            <w:pPr>
              <w:pStyle w:val="TableParagraph"/>
              <w:rPr>
                <w:sz w:val="18"/>
              </w:rPr>
            </w:pPr>
          </w:p>
          <w:p>
            <w:pPr>
              <w:pStyle w:val="TableParagraph"/>
              <w:ind w:left="68" w:right="51"/>
              <w:jc w:val="center"/>
              <w:rPr>
                <w:sz w:val="18"/>
              </w:rPr>
            </w:pPr>
            <w:r>
              <w:rPr>
                <w:sz w:val="18"/>
              </w:rPr>
              <w:t>Based</w:t>
            </w:r>
            <w:r>
              <w:rPr>
                <w:spacing w:val="-10"/>
                <w:sz w:val="18"/>
              </w:rPr>
              <w:t> </w:t>
            </w:r>
            <w:r>
              <w:rPr>
                <w:sz w:val="18"/>
              </w:rPr>
              <w:t>on</w:t>
            </w:r>
            <w:r>
              <w:rPr>
                <w:spacing w:val="-10"/>
                <w:sz w:val="18"/>
              </w:rPr>
              <w:t> </w:t>
            </w:r>
            <w:r>
              <w:rPr>
                <w:sz w:val="18"/>
              </w:rPr>
              <w:t>data</w:t>
            </w:r>
            <w:r>
              <w:rPr>
                <w:spacing w:val="-10"/>
                <w:sz w:val="18"/>
              </w:rPr>
              <w:t> </w:t>
            </w:r>
            <w:r>
              <w:rPr>
                <w:sz w:val="18"/>
              </w:rPr>
              <w:t>from</w:t>
            </w:r>
            <w:r>
              <w:rPr>
                <w:spacing w:val="-10"/>
                <w:sz w:val="18"/>
              </w:rPr>
              <w:t> </w:t>
            </w:r>
            <w:r>
              <w:rPr>
                <w:sz w:val="18"/>
              </w:rPr>
              <w:t>110 participants in 1 study</w:t>
            </w:r>
          </w:p>
          <w:p>
            <w:pPr>
              <w:pStyle w:val="TableParagraph"/>
              <w:spacing w:before="2"/>
              <w:ind w:left="68" w:right="53"/>
              <w:jc w:val="center"/>
              <w:rPr>
                <w:sz w:val="18"/>
              </w:rPr>
            </w:pPr>
            <w:r>
              <w:rPr>
                <w:sz w:val="18"/>
              </w:rPr>
              <w:t>Follow-up:</w:t>
            </w:r>
            <w:r>
              <w:rPr>
                <w:spacing w:val="-10"/>
                <w:sz w:val="18"/>
              </w:rPr>
              <w:t> </w:t>
            </w:r>
            <w:r>
              <w:rPr>
                <w:sz w:val="18"/>
              </w:rPr>
              <w:t>median</w:t>
            </w:r>
            <w:r>
              <w:rPr>
                <w:spacing w:val="-10"/>
                <w:sz w:val="18"/>
              </w:rPr>
              <w:t> </w:t>
            </w:r>
            <w:r>
              <w:rPr>
                <w:sz w:val="18"/>
              </w:rPr>
              <w:t>6</w:t>
            </w:r>
            <w:r>
              <w:rPr>
                <w:spacing w:val="-10"/>
                <w:sz w:val="18"/>
              </w:rPr>
              <w:t> </w:t>
            </w:r>
            <w:r>
              <w:rPr>
                <w:sz w:val="18"/>
              </w:rPr>
              <w:t>months</w:t>
            </w:r>
            <w:r>
              <w:rPr>
                <w:spacing w:val="-10"/>
                <w:sz w:val="18"/>
              </w:rPr>
              <w:t> </w:t>
            </w:r>
            <w:r>
              <w:rPr>
                <w:sz w:val="18"/>
              </w:rPr>
              <w:t>for overall study population</w:t>
            </w:r>
          </w:p>
        </w:tc>
        <w:tc>
          <w:tcPr>
            <w:tcW w:w="1578" w:type="dxa"/>
            <w:tcBorders>
              <w:top w:val="single" w:sz="4" w:space="0" w:color="000000"/>
              <w:left w:val="single" w:sz="4" w:space="0" w:color="000000"/>
              <w:bottom w:val="single" w:sz="4" w:space="0" w:color="000000"/>
              <w:right w:val="single" w:sz="4" w:space="0" w:color="000000"/>
            </w:tcBorders>
          </w:tcPr>
          <w:p>
            <w:pPr>
              <w:pStyle w:val="TableParagraph"/>
              <w:spacing w:line="219" w:lineRule="exact" w:before="47"/>
              <w:ind w:left="10"/>
              <w:jc w:val="center"/>
              <w:rPr>
                <w:b/>
                <w:sz w:val="18"/>
              </w:rPr>
            </w:pPr>
            <w:r>
              <w:rPr>
                <w:b/>
                <w:spacing w:val="-10"/>
                <w:sz w:val="18"/>
              </w:rPr>
              <w:t>5</w:t>
            </w:r>
          </w:p>
          <w:p>
            <w:pPr>
              <w:pStyle w:val="TableParagraph"/>
              <w:spacing w:line="219" w:lineRule="exact"/>
              <w:ind w:left="10" w:right="2"/>
              <w:jc w:val="center"/>
              <w:rPr>
                <w:sz w:val="18"/>
              </w:rPr>
            </w:pPr>
            <w:r>
              <w:rPr>
                <w:sz w:val="18"/>
              </w:rPr>
              <w:t>per</w:t>
            </w:r>
            <w:r>
              <w:rPr>
                <w:spacing w:val="-2"/>
                <w:sz w:val="18"/>
              </w:rPr>
              <w:t> </w:t>
            </w:r>
            <w:r>
              <w:rPr>
                <w:spacing w:val="-5"/>
                <w:sz w:val="18"/>
              </w:rPr>
              <w:t>100</w:t>
            </w:r>
          </w:p>
        </w:tc>
        <w:tc>
          <w:tcPr>
            <w:tcW w:w="2336" w:type="dxa"/>
            <w:tcBorders>
              <w:top w:val="single" w:sz="4" w:space="0" w:color="000000"/>
              <w:left w:val="single" w:sz="4" w:space="0" w:color="000000"/>
              <w:bottom w:val="single" w:sz="4" w:space="0" w:color="000000"/>
              <w:right w:val="single" w:sz="4" w:space="0" w:color="000000"/>
            </w:tcBorders>
          </w:tcPr>
          <w:p>
            <w:pPr>
              <w:pStyle w:val="TableParagraph"/>
              <w:spacing w:line="219" w:lineRule="exact" w:before="47"/>
              <w:ind w:left="8"/>
              <w:jc w:val="center"/>
              <w:rPr>
                <w:b/>
                <w:sz w:val="18"/>
              </w:rPr>
            </w:pPr>
            <w:r>
              <w:rPr>
                <w:b/>
                <w:spacing w:val="-10"/>
                <w:sz w:val="18"/>
              </w:rPr>
              <w:t>2</w:t>
            </w:r>
          </w:p>
          <w:p>
            <w:pPr>
              <w:pStyle w:val="TableParagraph"/>
              <w:spacing w:line="219" w:lineRule="exact"/>
              <w:ind w:left="8" w:right="2"/>
              <w:jc w:val="center"/>
              <w:rPr>
                <w:sz w:val="18"/>
              </w:rPr>
            </w:pPr>
            <w:r>
              <w:rPr>
                <w:sz w:val="18"/>
              </w:rPr>
              <w:t>per</w:t>
            </w:r>
            <w:r>
              <w:rPr>
                <w:spacing w:val="-2"/>
                <w:sz w:val="18"/>
              </w:rPr>
              <w:t> </w:t>
            </w:r>
            <w:r>
              <w:rPr>
                <w:spacing w:val="-5"/>
                <w:sz w:val="18"/>
              </w:rPr>
              <w:t>100</w:t>
            </w:r>
          </w:p>
        </w:tc>
        <w:tc>
          <w:tcPr>
            <w:tcW w:w="225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spacing w:before="45"/>
              <w:rPr>
                <w:sz w:val="18"/>
              </w:rPr>
            </w:pPr>
          </w:p>
          <w:p>
            <w:pPr>
              <w:pStyle w:val="TableParagraph"/>
              <w:ind w:left="68" w:right="61"/>
              <w:jc w:val="center"/>
              <w:rPr>
                <w:b/>
                <w:sz w:val="18"/>
              </w:rPr>
            </w:pPr>
            <w:r>
              <w:rPr>
                <w:b/>
                <w:sz w:val="18"/>
              </w:rPr>
              <w:t>Very</w:t>
            </w:r>
            <w:r>
              <w:rPr>
                <w:b/>
                <w:spacing w:val="-1"/>
                <w:sz w:val="18"/>
              </w:rPr>
              <w:t> </w:t>
            </w:r>
            <w:r>
              <w:rPr>
                <w:b/>
                <w:spacing w:val="-5"/>
                <w:sz w:val="18"/>
              </w:rPr>
              <w:t>low</w:t>
            </w:r>
          </w:p>
          <w:p>
            <w:pPr>
              <w:pStyle w:val="TableParagraph"/>
              <w:spacing w:before="1"/>
              <w:ind w:left="68" w:right="59"/>
              <w:jc w:val="center"/>
              <w:rPr>
                <w:position w:val="5"/>
                <w:sz w:val="12"/>
              </w:rPr>
            </w:pPr>
            <w:r>
              <w:rPr>
                <w:sz w:val="18"/>
              </w:rPr>
              <w:t>Due</w:t>
            </w:r>
            <w:r>
              <w:rPr>
                <w:spacing w:val="-9"/>
                <w:sz w:val="18"/>
              </w:rPr>
              <w:t> </w:t>
            </w:r>
            <w:r>
              <w:rPr>
                <w:sz w:val="18"/>
              </w:rPr>
              <w:t>to</w:t>
            </w:r>
            <w:r>
              <w:rPr>
                <w:spacing w:val="-7"/>
                <w:sz w:val="18"/>
              </w:rPr>
              <w:t> </w:t>
            </w:r>
            <w:r>
              <w:rPr>
                <w:sz w:val="18"/>
              </w:rPr>
              <w:t>serious</w:t>
            </w:r>
            <w:r>
              <w:rPr>
                <w:spacing w:val="-9"/>
                <w:sz w:val="18"/>
              </w:rPr>
              <w:t> </w:t>
            </w:r>
            <w:r>
              <w:rPr>
                <w:sz w:val="18"/>
              </w:rPr>
              <w:t>risk</w:t>
            </w:r>
            <w:r>
              <w:rPr>
                <w:spacing w:val="-8"/>
                <w:sz w:val="18"/>
              </w:rPr>
              <w:t> </w:t>
            </w:r>
            <w:r>
              <w:rPr>
                <w:sz w:val="18"/>
              </w:rPr>
              <w:t>of</w:t>
            </w:r>
            <w:r>
              <w:rPr>
                <w:spacing w:val="-9"/>
                <w:sz w:val="18"/>
              </w:rPr>
              <w:t> </w:t>
            </w:r>
            <w:r>
              <w:rPr>
                <w:sz w:val="18"/>
              </w:rPr>
              <w:t>bias, due to very serious </w:t>
            </w:r>
            <w:r>
              <w:rPr>
                <w:spacing w:val="-2"/>
                <w:sz w:val="18"/>
              </w:rPr>
              <w:t>imprecision</w:t>
            </w:r>
            <w:r>
              <w:rPr>
                <w:spacing w:val="-2"/>
                <w:position w:val="5"/>
                <w:sz w:val="12"/>
              </w:rPr>
              <w:t>1</w:t>
            </w:r>
          </w:p>
        </w:tc>
        <w:tc>
          <w:tcPr>
            <w:tcW w:w="3743" w:type="dxa"/>
            <w:vMerge w:val="restart"/>
            <w:tcBorders>
              <w:top w:val="single" w:sz="4" w:space="0" w:color="000000"/>
              <w:left w:val="single" w:sz="4" w:space="0" w:color="000000"/>
              <w:bottom w:val="single" w:sz="4" w:space="0" w:color="000000"/>
            </w:tcBorders>
          </w:tcPr>
          <w:p>
            <w:pPr>
              <w:pStyle w:val="TableParagraph"/>
              <w:spacing w:before="45"/>
              <w:rPr>
                <w:sz w:val="18"/>
              </w:rPr>
            </w:pPr>
          </w:p>
          <w:p>
            <w:pPr>
              <w:pStyle w:val="TableParagraph"/>
              <w:ind w:left="52" w:right="50"/>
              <w:jc w:val="center"/>
              <w:rPr>
                <w:sz w:val="18"/>
              </w:rPr>
            </w:pPr>
            <w:r>
              <w:rPr>
                <w:sz w:val="18"/>
              </w:rPr>
              <w:t>The</w:t>
            </w:r>
            <w:r>
              <w:rPr>
                <w:spacing w:val="-6"/>
                <w:sz w:val="18"/>
              </w:rPr>
              <w:t> </w:t>
            </w:r>
            <w:r>
              <w:rPr>
                <w:sz w:val="18"/>
              </w:rPr>
              <w:t>evidence</w:t>
            </w:r>
            <w:r>
              <w:rPr>
                <w:spacing w:val="-6"/>
                <w:sz w:val="18"/>
              </w:rPr>
              <w:t> </w:t>
            </w:r>
            <w:r>
              <w:rPr>
                <w:sz w:val="18"/>
              </w:rPr>
              <w:t>is</w:t>
            </w:r>
            <w:r>
              <w:rPr>
                <w:spacing w:val="-7"/>
                <w:sz w:val="18"/>
              </w:rPr>
              <w:t> </w:t>
            </w:r>
            <w:r>
              <w:rPr>
                <w:sz w:val="18"/>
              </w:rPr>
              <w:t>very</w:t>
            </w:r>
            <w:r>
              <w:rPr>
                <w:spacing w:val="-5"/>
                <w:sz w:val="18"/>
              </w:rPr>
              <w:t> </w:t>
            </w:r>
            <w:r>
              <w:rPr>
                <w:sz w:val="18"/>
              </w:rPr>
              <w:t>uncertain</w:t>
            </w:r>
            <w:r>
              <w:rPr>
                <w:spacing w:val="-7"/>
                <w:sz w:val="18"/>
              </w:rPr>
              <w:t> </w:t>
            </w:r>
            <w:r>
              <w:rPr>
                <w:sz w:val="18"/>
              </w:rPr>
              <w:t>about</w:t>
            </w:r>
            <w:r>
              <w:rPr>
                <w:spacing w:val="-5"/>
                <w:sz w:val="18"/>
              </w:rPr>
              <w:t> </w:t>
            </w:r>
            <w:r>
              <w:rPr>
                <w:sz w:val="18"/>
              </w:rPr>
              <w:t>the</w:t>
            </w:r>
            <w:r>
              <w:rPr>
                <w:spacing w:val="-6"/>
                <w:sz w:val="18"/>
              </w:rPr>
              <w:t> </w:t>
            </w:r>
            <w:r>
              <w:rPr>
                <w:sz w:val="18"/>
              </w:rPr>
              <w:t>effect</w:t>
            </w:r>
            <w:r>
              <w:rPr>
                <w:spacing w:val="-5"/>
                <w:sz w:val="18"/>
              </w:rPr>
              <w:t> </w:t>
            </w:r>
            <w:r>
              <w:rPr>
                <w:sz w:val="18"/>
              </w:rPr>
              <w:t>of clopidogrel on shunt occlusion when compared</w:t>
            </w:r>
            <w:r>
              <w:rPr>
                <w:spacing w:val="40"/>
                <w:sz w:val="18"/>
              </w:rPr>
              <w:t> </w:t>
            </w:r>
            <w:r>
              <w:rPr>
                <w:sz w:val="18"/>
              </w:rPr>
              <w:t>to no thromboprophylaxis in infants with an indication for systemic-to-pulmonary-artery</w:t>
            </w:r>
            <w:r>
              <w:rPr>
                <w:spacing w:val="40"/>
                <w:sz w:val="18"/>
              </w:rPr>
              <w:t> </w:t>
            </w:r>
            <w:r>
              <w:rPr>
                <w:sz w:val="18"/>
              </w:rPr>
              <w:t>shunt surgery</w:t>
            </w:r>
          </w:p>
          <w:p>
            <w:pPr>
              <w:pStyle w:val="TableParagraph"/>
              <w:spacing w:before="2"/>
              <w:rPr>
                <w:sz w:val="18"/>
              </w:rPr>
            </w:pPr>
          </w:p>
          <w:p>
            <w:pPr>
              <w:pStyle w:val="TableParagraph"/>
              <w:ind w:left="15" w:right="13"/>
              <w:jc w:val="center"/>
              <w:rPr>
                <w:sz w:val="18"/>
              </w:rPr>
            </w:pPr>
            <w:r>
              <w:rPr>
                <w:sz w:val="18"/>
              </w:rPr>
              <w:t>(Wessel,</w:t>
            </w:r>
            <w:r>
              <w:rPr>
                <w:spacing w:val="-5"/>
                <w:sz w:val="18"/>
              </w:rPr>
              <w:t> </w:t>
            </w:r>
            <w:r>
              <w:rPr>
                <w:spacing w:val="-2"/>
                <w:sz w:val="18"/>
              </w:rPr>
              <w:t>2013)</w:t>
            </w:r>
          </w:p>
        </w:tc>
      </w:tr>
      <w:tr>
        <w:trPr>
          <w:trHeight w:val="1741" w:hRule="atLeast"/>
        </w:trPr>
        <w:tc>
          <w:tcPr>
            <w:tcW w:w="1371" w:type="dxa"/>
            <w:vMerge/>
            <w:tcBorders>
              <w:top w:val="nil"/>
              <w:right w:val="single" w:sz="4" w:space="0" w:color="000000"/>
            </w:tcBorders>
          </w:tcPr>
          <w:p>
            <w:pPr>
              <w:rPr>
                <w:sz w:val="2"/>
                <w:szCs w:val="2"/>
              </w:rPr>
            </w:pPr>
          </w:p>
        </w:tc>
        <w:tc>
          <w:tcPr>
            <w:tcW w:w="2667" w:type="dxa"/>
            <w:vMerge/>
            <w:tcBorders>
              <w:top w:val="nil"/>
              <w:left w:val="single" w:sz="4" w:space="0" w:color="000000"/>
              <w:bottom w:val="single" w:sz="4" w:space="0" w:color="000000"/>
              <w:right w:val="single" w:sz="4" w:space="0" w:color="000000"/>
            </w:tcBorders>
          </w:tcPr>
          <w:p>
            <w:pPr>
              <w:rPr>
                <w:sz w:val="2"/>
                <w:szCs w:val="2"/>
              </w:rPr>
            </w:pPr>
          </w:p>
        </w:tc>
        <w:tc>
          <w:tcPr>
            <w:tcW w:w="3914" w:type="dxa"/>
            <w:gridSpan w:val="2"/>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spacing w:before="212"/>
              <w:rPr>
                <w:sz w:val="18"/>
              </w:rPr>
            </w:pPr>
          </w:p>
          <w:p>
            <w:pPr>
              <w:pStyle w:val="TableParagraph"/>
              <w:ind w:left="945"/>
              <w:rPr>
                <w:b/>
                <w:sz w:val="18"/>
              </w:rPr>
            </w:pPr>
            <w:r>
              <w:rPr>
                <w:sz w:val="18"/>
              </w:rPr>
              <w:t>Difference:</w:t>
            </w:r>
            <w:r>
              <w:rPr>
                <w:spacing w:val="-3"/>
                <w:sz w:val="18"/>
              </w:rPr>
              <w:t> </w:t>
            </w:r>
            <w:r>
              <w:rPr>
                <w:b/>
                <w:sz w:val="18"/>
              </w:rPr>
              <w:t>3</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
              <w:ind w:left="933"/>
              <w:rPr>
                <w:sz w:val="18"/>
              </w:rPr>
            </w:pPr>
            <w:r>
              <w:rPr>
                <w:sz w:val="18"/>
              </w:rPr>
              <w:t>(95%</w:t>
            </w:r>
            <w:r>
              <w:rPr>
                <w:spacing w:val="-3"/>
                <w:sz w:val="18"/>
              </w:rPr>
              <w:t> </w:t>
            </w:r>
            <w:r>
              <w:rPr>
                <w:sz w:val="18"/>
              </w:rPr>
              <w:t>CI 10</w:t>
            </w:r>
            <w:r>
              <w:rPr>
                <w:spacing w:val="-1"/>
                <w:sz w:val="18"/>
              </w:rPr>
              <w:t> </w:t>
            </w:r>
            <w:r>
              <w:rPr>
                <w:sz w:val="18"/>
              </w:rPr>
              <w:t>fewer to</w:t>
            </w:r>
            <w:r>
              <w:rPr>
                <w:spacing w:val="-1"/>
                <w:sz w:val="18"/>
              </w:rPr>
              <w:t> </w:t>
            </w:r>
            <w:r>
              <w:rPr>
                <w:sz w:val="18"/>
              </w:rPr>
              <w:t>3 </w:t>
            </w:r>
            <w:r>
              <w:rPr>
                <w:spacing w:val="-4"/>
                <w:sz w:val="18"/>
              </w:rPr>
              <w:t>more)</w:t>
            </w:r>
          </w:p>
        </w:tc>
        <w:tc>
          <w:tcPr>
            <w:tcW w:w="2254" w:type="dxa"/>
            <w:vMerge/>
            <w:tcBorders>
              <w:top w:val="nil"/>
              <w:left w:val="single" w:sz="4" w:space="0" w:color="000000"/>
              <w:bottom w:val="single" w:sz="4" w:space="0" w:color="000000"/>
              <w:right w:val="single" w:sz="4" w:space="0" w:color="000000"/>
            </w:tcBorders>
          </w:tcPr>
          <w:p>
            <w:pPr>
              <w:rPr>
                <w:sz w:val="2"/>
                <w:szCs w:val="2"/>
              </w:rPr>
            </w:pPr>
          </w:p>
        </w:tc>
        <w:tc>
          <w:tcPr>
            <w:tcW w:w="3743" w:type="dxa"/>
            <w:vMerge/>
            <w:tcBorders>
              <w:top w:val="nil"/>
              <w:left w:val="single" w:sz="4" w:space="0" w:color="000000"/>
              <w:bottom w:val="single" w:sz="4" w:space="0" w:color="000000"/>
            </w:tcBorders>
          </w:tcPr>
          <w:p>
            <w:pPr>
              <w:rPr>
                <w:sz w:val="2"/>
                <w:szCs w:val="2"/>
              </w:rPr>
            </w:pPr>
          </w:p>
        </w:tc>
      </w:tr>
      <w:tr>
        <w:trPr>
          <w:trHeight w:val="525" w:hRule="atLeast"/>
        </w:trPr>
        <w:tc>
          <w:tcPr>
            <w:tcW w:w="1371" w:type="dxa"/>
            <w:vMerge/>
            <w:tcBorders>
              <w:top w:val="nil"/>
              <w:right w:val="single" w:sz="4" w:space="0" w:color="000000"/>
            </w:tcBorders>
          </w:tcPr>
          <w:p>
            <w:pPr>
              <w:rPr>
                <w:sz w:val="2"/>
                <w:szCs w:val="2"/>
              </w:rPr>
            </w:pPr>
          </w:p>
        </w:tc>
        <w:tc>
          <w:tcPr>
            <w:tcW w:w="2667" w:type="dxa"/>
            <w:vMerge w:val="restart"/>
            <w:tcBorders>
              <w:top w:val="single" w:sz="4" w:space="0" w:color="000000"/>
              <w:left w:val="single" w:sz="4" w:space="0" w:color="000000"/>
              <w:right w:val="single" w:sz="4" w:space="0" w:color="000000"/>
            </w:tcBorders>
          </w:tcPr>
          <w:p>
            <w:pPr>
              <w:pStyle w:val="TableParagraph"/>
              <w:spacing w:before="44"/>
              <w:ind w:left="990"/>
              <w:rPr>
                <w:sz w:val="18"/>
              </w:rPr>
            </w:pPr>
            <w:r>
              <w:rPr>
                <w:sz w:val="18"/>
              </w:rPr>
              <w:t>B.</w:t>
            </w:r>
            <w:r>
              <w:rPr>
                <w:spacing w:val="-1"/>
                <w:sz w:val="18"/>
              </w:rPr>
              <w:t> </w:t>
            </w:r>
            <w:r>
              <w:rPr>
                <w:spacing w:val="-2"/>
                <w:sz w:val="18"/>
              </w:rPr>
              <w:t>Aspirin</w:t>
            </w:r>
          </w:p>
          <w:p>
            <w:pPr>
              <w:pStyle w:val="TableParagraph"/>
              <w:rPr>
                <w:sz w:val="18"/>
              </w:rPr>
            </w:pPr>
          </w:p>
          <w:p>
            <w:pPr>
              <w:pStyle w:val="TableParagraph"/>
              <w:ind w:left="68" w:right="55"/>
              <w:jc w:val="center"/>
              <w:rPr>
                <w:b/>
                <w:sz w:val="18"/>
              </w:rPr>
            </w:pPr>
            <w:r>
              <w:rPr>
                <w:sz w:val="18"/>
              </w:rPr>
              <w:t>Relative</w:t>
            </w:r>
            <w:r>
              <w:rPr>
                <w:spacing w:val="-3"/>
                <w:sz w:val="18"/>
              </w:rPr>
              <w:t> </w:t>
            </w:r>
            <w:r>
              <w:rPr>
                <w:sz w:val="18"/>
              </w:rPr>
              <w:t>risk:</w:t>
            </w:r>
            <w:r>
              <w:rPr>
                <w:spacing w:val="-2"/>
                <w:sz w:val="18"/>
              </w:rPr>
              <w:t> </w:t>
            </w:r>
            <w:r>
              <w:rPr>
                <w:b/>
                <w:spacing w:val="-4"/>
                <w:sz w:val="18"/>
              </w:rPr>
              <w:t>0.90</w:t>
            </w:r>
          </w:p>
          <w:p>
            <w:pPr>
              <w:pStyle w:val="TableParagraph"/>
              <w:spacing w:before="1"/>
              <w:ind w:left="68" w:right="51"/>
              <w:jc w:val="center"/>
              <w:rPr>
                <w:sz w:val="18"/>
              </w:rPr>
            </w:pPr>
            <w:r>
              <w:rPr>
                <w:sz w:val="18"/>
              </w:rPr>
              <w:t>(95%</w:t>
            </w:r>
            <w:r>
              <w:rPr>
                <w:spacing w:val="-1"/>
                <w:sz w:val="18"/>
              </w:rPr>
              <w:t> </w:t>
            </w:r>
            <w:r>
              <w:rPr>
                <w:sz w:val="18"/>
              </w:rPr>
              <w:t>CI 0.27 to </w:t>
            </w:r>
            <w:r>
              <w:rPr>
                <w:spacing w:val="-4"/>
                <w:sz w:val="18"/>
              </w:rPr>
              <w:t>2.94)</w:t>
            </w:r>
          </w:p>
          <w:p>
            <w:pPr>
              <w:pStyle w:val="TableParagraph"/>
              <w:rPr>
                <w:sz w:val="18"/>
              </w:rPr>
            </w:pPr>
          </w:p>
          <w:p>
            <w:pPr>
              <w:pStyle w:val="TableParagraph"/>
              <w:ind w:left="68" w:right="51"/>
              <w:jc w:val="center"/>
              <w:rPr>
                <w:sz w:val="18"/>
              </w:rPr>
            </w:pPr>
            <w:r>
              <w:rPr>
                <w:sz w:val="18"/>
              </w:rPr>
              <w:t>Based</w:t>
            </w:r>
            <w:r>
              <w:rPr>
                <w:spacing w:val="-10"/>
                <w:sz w:val="18"/>
              </w:rPr>
              <w:t> </w:t>
            </w:r>
            <w:r>
              <w:rPr>
                <w:sz w:val="18"/>
              </w:rPr>
              <w:t>on</w:t>
            </w:r>
            <w:r>
              <w:rPr>
                <w:spacing w:val="-10"/>
                <w:sz w:val="18"/>
              </w:rPr>
              <w:t> </w:t>
            </w:r>
            <w:r>
              <w:rPr>
                <w:sz w:val="18"/>
              </w:rPr>
              <w:t>data</w:t>
            </w:r>
            <w:r>
              <w:rPr>
                <w:spacing w:val="-10"/>
                <w:sz w:val="18"/>
              </w:rPr>
              <w:t> </w:t>
            </w:r>
            <w:r>
              <w:rPr>
                <w:sz w:val="18"/>
              </w:rPr>
              <w:t>from</w:t>
            </w:r>
            <w:r>
              <w:rPr>
                <w:spacing w:val="-10"/>
                <w:sz w:val="18"/>
              </w:rPr>
              <w:t> </w:t>
            </w:r>
            <w:r>
              <w:rPr>
                <w:sz w:val="18"/>
              </w:rPr>
              <w:t>439 participants in 1 study</w:t>
            </w:r>
          </w:p>
        </w:tc>
        <w:tc>
          <w:tcPr>
            <w:tcW w:w="1578" w:type="dxa"/>
            <w:tcBorders>
              <w:top w:val="single" w:sz="4" w:space="0" w:color="000000"/>
              <w:left w:val="single" w:sz="4" w:space="0" w:color="000000"/>
              <w:bottom w:val="single" w:sz="4" w:space="0" w:color="000000"/>
              <w:right w:val="single" w:sz="4" w:space="0" w:color="000000"/>
            </w:tcBorders>
          </w:tcPr>
          <w:p>
            <w:pPr>
              <w:pStyle w:val="TableParagraph"/>
              <w:spacing w:line="219" w:lineRule="exact" w:before="44"/>
              <w:ind w:left="10"/>
              <w:jc w:val="center"/>
              <w:rPr>
                <w:b/>
                <w:sz w:val="18"/>
              </w:rPr>
            </w:pPr>
            <w:r>
              <w:rPr>
                <w:b/>
                <w:spacing w:val="-10"/>
                <w:sz w:val="18"/>
              </w:rPr>
              <w:t>5</w:t>
            </w:r>
          </w:p>
          <w:p>
            <w:pPr>
              <w:pStyle w:val="TableParagraph"/>
              <w:spacing w:line="219" w:lineRule="exact"/>
              <w:ind w:left="10" w:right="2"/>
              <w:jc w:val="center"/>
              <w:rPr>
                <w:sz w:val="18"/>
              </w:rPr>
            </w:pPr>
            <w:r>
              <w:rPr>
                <w:sz w:val="18"/>
              </w:rPr>
              <w:t>per</w:t>
            </w:r>
            <w:r>
              <w:rPr>
                <w:spacing w:val="-2"/>
                <w:sz w:val="18"/>
              </w:rPr>
              <w:t> </w:t>
            </w:r>
            <w:r>
              <w:rPr>
                <w:spacing w:val="-5"/>
                <w:sz w:val="18"/>
              </w:rPr>
              <w:t>100</w:t>
            </w:r>
          </w:p>
        </w:tc>
        <w:tc>
          <w:tcPr>
            <w:tcW w:w="2336" w:type="dxa"/>
            <w:tcBorders>
              <w:top w:val="single" w:sz="4" w:space="0" w:color="000000"/>
              <w:left w:val="single" w:sz="4" w:space="0" w:color="000000"/>
              <w:bottom w:val="single" w:sz="4" w:space="0" w:color="000000"/>
              <w:right w:val="single" w:sz="4" w:space="0" w:color="000000"/>
            </w:tcBorders>
          </w:tcPr>
          <w:p>
            <w:pPr>
              <w:pStyle w:val="TableParagraph"/>
              <w:spacing w:line="219" w:lineRule="exact" w:before="44"/>
              <w:ind w:left="8"/>
              <w:jc w:val="center"/>
              <w:rPr>
                <w:b/>
                <w:sz w:val="18"/>
              </w:rPr>
            </w:pPr>
            <w:r>
              <w:rPr>
                <w:b/>
                <w:spacing w:val="-10"/>
                <w:sz w:val="18"/>
              </w:rPr>
              <w:t>5</w:t>
            </w:r>
          </w:p>
          <w:p>
            <w:pPr>
              <w:pStyle w:val="TableParagraph"/>
              <w:spacing w:line="219" w:lineRule="exact"/>
              <w:ind w:left="8" w:right="2"/>
              <w:jc w:val="center"/>
              <w:rPr>
                <w:sz w:val="18"/>
              </w:rPr>
            </w:pPr>
            <w:r>
              <w:rPr>
                <w:sz w:val="18"/>
              </w:rPr>
              <w:t>per</w:t>
            </w:r>
            <w:r>
              <w:rPr>
                <w:spacing w:val="-2"/>
                <w:sz w:val="18"/>
              </w:rPr>
              <w:t> </w:t>
            </w:r>
            <w:r>
              <w:rPr>
                <w:spacing w:val="-5"/>
                <w:sz w:val="18"/>
              </w:rPr>
              <w:t>100</w:t>
            </w:r>
          </w:p>
        </w:tc>
        <w:tc>
          <w:tcPr>
            <w:tcW w:w="2254" w:type="dxa"/>
            <w:vMerge w:val="restart"/>
            <w:tcBorders>
              <w:top w:val="single" w:sz="4" w:space="0" w:color="000000"/>
              <w:left w:val="single" w:sz="4" w:space="0" w:color="000000"/>
              <w:right w:val="single" w:sz="4" w:space="0" w:color="000000"/>
            </w:tcBorders>
          </w:tcPr>
          <w:p>
            <w:pPr>
              <w:pStyle w:val="TableParagraph"/>
              <w:spacing w:before="153"/>
              <w:rPr>
                <w:sz w:val="18"/>
              </w:rPr>
            </w:pPr>
          </w:p>
          <w:p>
            <w:pPr>
              <w:pStyle w:val="TableParagraph"/>
              <w:ind w:left="68" w:right="61"/>
              <w:jc w:val="center"/>
              <w:rPr>
                <w:b/>
                <w:sz w:val="18"/>
              </w:rPr>
            </w:pPr>
            <w:r>
              <w:rPr>
                <w:b/>
                <w:sz w:val="18"/>
              </w:rPr>
              <w:t>Very</w:t>
            </w:r>
            <w:r>
              <w:rPr>
                <w:b/>
                <w:spacing w:val="-1"/>
                <w:sz w:val="18"/>
              </w:rPr>
              <w:t> </w:t>
            </w:r>
            <w:r>
              <w:rPr>
                <w:b/>
                <w:spacing w:val="-5"/>
                <w:sz w:val="18"/>
              </w:rPr>
              <w:t>low</w:t>
            </w:r>
          </w:p>
          <w:p>
            <w:pPr>
              <w:pStyle w:val="TableParagraph"/>
              <w:spacing w:before="1"/>
              <w:ind w:left="68" w:right="59"/>
              <w:jc w:val="center"/>
              <w:rPr>
                <w:position w:val="5"/>
                <w:sz w:val="12"/>
              </w:rPr>
            </w:pPr>
            <w:r>
              <w:rPr>
                <w:sz w:val="18"/>
              </w:rPr>
              <w:t>Due</w:t>
            </w:r>
            <w:r>
              <w:rPr>
                <w:spacing w:val="-9"/>
                <w:sz w:val="18"/>
              </w:rPr>
              <w:t> </w:t>
            </w:r>
            <w:r>
              <w:rPr>
                <w:sz w:val="18"/>
              </w:rPr>
              <w:t>to</w:t>
            </w:r>
            <w:r>
              <w:rPr>
                <w:spacing w:val="-8"/>
                <w:sz w:val="18"/>
              </w:rPr>
              <w:t> </w:t>
            </w:r>
            <w:r>
              <w:rPr>
                <w:sz w:val="18"/>
              </w:rPr>
              <w:t>serious</w:t>
            </w:r>
            <w:r>
              <w:rPr>
                <w:spacing w:val="-9"/>
                <w:sz w:val="18"/>
              </w:rPr>
              <w:t> </w:t>
            </w:r>
            <w:r>
              <w:rPr>
                <w:sz w:val="18"/>
              </w:rPr>
              <w:t>risk</w:t>
            </w:r>
            <w:r>
              <w:rPr>
                <w:spacing w:val="-8"/>
                <w:sz w:val="18"/>
              </w:rPr>
              <w:t> </w:t>
            </w:r>
            <w:r>
              <w:rPr>
                <w:sz w:val="18"/>
              </w:rPr>
              <w:t>of</w:t>
            </w:r>
            <w:r>
              <w:rPr>
                <w:spacing w:val="-9"/>
                <w:sz w:val="18"/>
              </w:rPr>
              <w:t> </w:t>
            </w:r>
            <w:r>
              <w:rPr>
                <w:sz w:val="18"/>
              </w:rPr>
              <w:t>bias, due to very serious </w:t>
            </w:r>
            <w:r>
              <w:rPr>
                <w:spacing w:val="-2"/>
                <w:sz w:val="18"/>
              </w:rPr>
              <w:t>imprecision</w:t>
            </w:r>
            <w:r>
              <w:rPr>
                <w:spacing w:val="-2"/>
                <w:position w:val="5"/>
                <w:sz w:val="12"/>
              </w:rPr>
              <w:t>2</w:t>
            </w:r>
          </w:p>
        </w:tc>
        <w:tc>
          <w:tcPr>
            <w:tcW w:w="3743" w:type="dxa"/>
            <w:vMerge w:val="restart"/>
            <w:tcBorders>
              <w:top w:val="single" w:sz="4" w:space="0" w:color="000000"/>
              <w:left w:val="single" w:sz="4" w:space="0" w:color="000000"/>
            </w:tcBorders>
          </w:tcPr>
          <w:p>
            <w:pPr>
              <w:pStyle w:val="TableParagraph"/>
              <w:spacing w:before="154"/>
              <w:ind w:left="88" w:right="50" w:hanging="36"/>
              <w:jc w:val="both"/>
              <w:rPr>
                <w:sz w:val="18"/>
              </w:rPr>
            </w:pPr>
            <w:r>
              <w:rPr>
                <w:sz w:val="18"/>
              </w:rPr>
              <w:t>The</w:t>
            </w:r>
            <w:r>
              <w:rPr>
                <w:spacing w:val="-6"/>
                <w:sz w:val="18"/>
              </w:rPr>
              <w:t> </w:t>
            </w:r>
            <w:r>
              <w:rPr>
                <w:sz w:val="18"/>
              </w:rPr>
              <w:t>evidence</w:t>
            </w:r>
            <w:r>
              <w:rPr>
                <w:spacing w:val="-6"/>
                <w:sz w:val="18"/>
              </w:rPr>
              <w:t> </w:t>
            </w:r>
            <w:r>
              <w:rPr>
                <w:sz w:val="18"/>
              </w:rPr>
              <w:t>is</w:t>
            </w:r>
            <w:r>
              <w:rPr>
                <w:spacing w:val="-7"/>
                <w:sz w:val="18"/>
              </w:rPr>
              <w:t> </w:t>
            </w:r>
            <w:r>
              <w:rPr>
                <w:sz w:val="18"/>
              </w:rPr>
              <w:t>very</w:t>
            </w:r>
            <w:r>
              <w:rPr>
                <w:spacing w:val="-5"/>
                <w:sz w:val="18"/>
              </w:rPr>
              <w:t> </w:t>
            </w:r>
            <w:r>
              <w:rPr>
                <w:sz w:val="18"/>
              </w:rPr>
              <w:t>uncertain</w:t>
            </w:r>
            <w:r>
              <w:rPr>
                <w:spacing w:val="-7"/>
                <w:sz w:val="18"/>
              </w:rPr>
              <w:t> </w:t>
            </w:r>
            <w:r>
              <w:rPr>
                <w:sz w:val="18"/>
              </w:rPr>
              <w:t>about</w:t>
            </w:r>
            <w:r>
              <w:rPr>
                <w:spacing w:val="-5"/>
                <w:sz w:val="18"/>
              </w:rPr>
              <w:t> </w:t>
            </w:r>
            <w:r>
              <w:rPr>
                <w:sz w:val="18"/>
              </w:rPr>
              <w:t>the</w:t>
            </w:r>
            <w:r>
              <w:rPr>
                <w:spacing w:val="-6"/>
                <w:sz w:val="18"/>
              </w:rPr>
              <w:t> </w:t>
            </w:r>
            <w:r>
              <w:rPr>
                <w:sz w:val="18"/>
              </w:rPr>
              <w:t>effect</w:t>
            </w:r>
            <w:r>
              <w:rPr>
                <w:spacing w:val="-5"/>
                <w:sz w:val="18"/>
              </w:rPr>
              <w:t> </w:t>
            </w:r>
            <w:r>
              <w:rPr>
                <w:sz w:val="18"/>
              </w:rPr>
              <w:t>of aspirin</w:t>
            </w:r>
            <w:r>
              <w:rPr>
                <w:spacing w:val="-2"/>
                <w:sz w:val="18"/>
              </w:rPr>
              <w:t> </w:t>
            </w:r>
            <w:r>
              <w:rPr>
                <w:sz w:val="18"/>
              </w:rPr>
              <w:t>on</w:t>
            </w:r>
            <w:r>
              <w:rPr>
                <w:spacing w:val="-2"/>
                <w:sz w:val="18"/>
              </w:rPr>
              <w:t> </w:t>
            </w:r>
            <w:r>
              <w:rPr>
                <w:sz w:val="18"/>
              </w:rPr>
              <w:t>shunt</w:t>
            </w:r>
            <w:r>
              <w:rPr>
                <w:spacing w:val="-1"/>
                <w:sz w:val="18"/>
              </w:rPr>
              <w:t> </w:t>
            </w:r>
            <w:r>
              <w:rPr>
                <w:sz w:val="18"/>
              </w:rPr>
              <w:t>occlusion</w:t>
            </w:r>
            <w:r>
              <w:rPr>
                <w:spacing w:val="-2"/>
                <w:sz w:val="18"/>
              </w:rPr>
              <w:t> </w:t>
            </w:r>
            <w:r>
              <w:rPr>
                <w:sz w:val="18"/>
              </w:rPr>
              <w:t>when compared</w:t>
            </w:r>
            <w:r>
              <w:rPr>
                <w:spacing w:val="-2"/>
                <w:sz w:val="18"/>
              </w:rPr>
              <w:t> </w:t>
            </w:r>
            <w:r>
              <w:rPr>
                <w:sz w:val="18"/>
              </w:rPr>
              <w:t>to</w:t>
            </w:r>
            <w:r>
              <w:rPr>
                <w:spacing w:val="-1"/>
                <w:sz w:val="18"/>
              </w:rPr>
              <w:t> </w:t>
            </w:r>
            <w:r>
              <w:rPr>
                <w:sz w:val="18"/>
              </w:rPr>
              <w:t>no thromboprophylaxis</w:t>
            </w:r>
            <w:r>
              <w:rPr>
                <w:spacing w:val="-2"/>
                <w:sz w:val="18"/>
              </w:rPr>
              <w:t> </w:t>
            </w:r>
            <w:r>
              <w:rPr>
                <w:sz w:val="18"/>
              </w:rPr>
              <w:t>in</w:t>
            </w:r>
            <w:r>
              <w:rPr>
                <w:spacing w:val="-2"/>
                <w:sz w:val="18"/>
              </w:rPr>
              <w:t> </w:t>
            </w:r>
            <w:r>
              <w:rPr>
                <w:sz w:val="18"/>
              </w:rPr>
              <w:t>infants</w:t>
            </w:r>
            <w:r>
              <w:rPr>
                <w:spacing w:val="-3"/>
                <w:sz w:val="18"/>
              </w:rPr>
              <w:t> </w:t>
            </w:r>
            <w:r>
              <w:rPr>
                <w:sz w:val="18"/>
              </w:rPr>
              <w:t>with</w:t>
            </w:r>
            <w:r>
              <w:rPr>
                <w:spacing w:val="-3"/>
                <w:sz w:val="18"/>
              </w:rPr>
              <w:t> </w:t>
            </w:r>
            <w:r>
              <w:rPr>
                <w:sz w:val="18"/>
              </w:rPr>
              <w:t>an</w:t>
            </w:r>
            <w:r>
              <w:rPr>
                <w:spacing w:val="-2"/>
                <w:sz w:val="18"/>
              </w:rPr>
              <w:t> </w:t>
            </w:r>
            <w:r>
              <w:rPr>
                <w:sz w:val="18"/>
              </w:rPr>
              <w:t>indication for systemic-to-pulmonary-artery shunt surgery</w:t>
            </w:r>
          </w:p>
          <w:p>
            <w:pPr>
              <w:pStyle w:val="TableParagraph"/>
              <w:spacing w:before="219"/>
              <w:ind w:left="15" w:right="13"/>
              <w:jc w:val="center"/>
              <w:rPr>
                <w:sz w:val="18"/>
              </w:rPr>
            </w:pPr>
            <w:r>
              <w:rPr>
                <w:sz w:val="18"/>
              </w:rPr>
              <w:t>(Wessel,</w:t>
            </w:r>
            <w:r>
              <w:rPr>
                <w:spacing w:val="-5"/>
                <w:sz w:val="18"/>
              </w:rPr>
              <w:t> </w:t>
            </w:r>
            <w:r>
              <w:rPr>
                <w:spacing w:val="-2"/>
                <w:sz w:val="18"/>
              </w:rPr>
              <w:t>2013)</w:t>
            </w:r>
          </w:p>
        </w:tc>
      </w:tr>
      <w:tr>
        <w:trPr>
          <w:trHeight w:val="1087" w:hRule="atLeast"/>
        </w:trPr>
        <w:tc>
          <w:tcPr>
            <w:tcW w:w="1371" w:type="dxa"/>
            <w:vMerge/>
            <w:tcBorders>
              <w:top w:val="nil"/>
              <w:right w:val="single" w:sz="4" w:space="0" w:color="000000"/>
            </w:tcBorders>
          </w:tcPr>
          <w:p>
            <w:pPr>
              <w:rPr>
                <w:sz w:val="2"/>
                <w:szCs w:val="2"/>
              </w:rPr>
            </w:pPr>
          </w:p>
        </w:tc>
        <w:tc>
          <w:tcPr>
            <w:tcW w:w="2667" w:type="dxa"/>
            <w:vMerge/>
            <w:tcBorders>
              <w:top w:val="nil"/>
              <w:left w:val="single" w:sz="4" w:space="0" w:color="000000"/>
              <w:right w:val="single" w:sz="4" w:space="0" w:color="000000"/>
            </w:tcBorders>
          </w:tcPr>
          <w:p>
            <w:pPr>
              <w:rPr>
                <w:sz w:val="2"/>
                <w:szCs w:val="2"/>
              </w:rPr>
            </w:pPr>
          </w:p>
        </w:tc>
        <w:tc>
          <w:tcPr>
            <w:tcW w:w="3914" w:type="dxa"/>
            <w:gridSpan w:val="2"/>
            <w:tcBorders>
              <w:top w:val="single" w:sz="4" w:space="0" w:color="000000"/>
              <w:left w:val="single" w:sz="4" w:space="0" w:color="000000"/>
              <w:right w:val="single" w:sz="4" w:space="0" w:color="000000"/>
            </w:tcBorders>
          </w:tcPr>
          <w:p>
            <w:pPr>
              <w:pStyle w:val="TableParagraph"/>
              <w:spacing w:before="103"/>
              <w:rPr>
                <w:sz w:val="18"/>
              </w:rPr>
            </w:pPr>
          </w:p>
          <w:p>
            <w:pPr>
              <w:pStyle w:val="TableParagraph"/>
              <w:ind w:left="945"/>
              <w:rPr>
                <w:b/>
                <w:sz w:val="18"/>
              </w:rPr>
            </w:pPr>
            <w:r>
              <w:rPr>
                <w:sz w:val="18"/>
              </w:rPr>
              <w:t>Difference:</w:t>
            </w:r>
            <w:r>
              <w:rPr>
                <w:spacing w:val="-3"/>
                <w:sz w:val="18"/>
              </w:rPr>
              <w:t> </w:t>
            </w:r>
            <w:r>
              <w:rPr>
                <w:b/>
                <w:sz w:val="18"/>
              </w:rPr>
              <w:t>1</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
              <w:ind w:left="978"/>
              <w:rPr>
                <w:sz w:val="18"/>
              </w:rPr>
            </w:pPr>
            <w:r>
              <w:rPr>
                <w:sz w:val="18"/>
              </w:rPr>
              <w:t>(95%</w:t>
            </w:r>
            <w:r>
              <w:rPr>
                <w:spacing w:val="-3"/>
                <w:sz w:val="18"/>
              </w:rPr>
              <w:t> </w:t>
            </w:r>
            <w:r>
              <w:rPr>
                <w:sz w:val="18"/>
              </w:rPr>
              <w:t>CI 7 fewer</w:t>
            </w:r>
            <w:r>
              <w:rPr>
                <w:spacing w:val="-1"/>
                <w:sz w:val="18"/>
              </w:rPr>
              <w:t> </w:t>
            </w:r>
            <w:r>
              <w:rPr>
                <w:sz w:val="18"/>
              </w:rPr>
              <w:t>to 6 </w:t>
            </w:r>
            <w:r>
              <w:rPr>
                <w:spacing w:val="-4"/>
                <w:sz w:val="18"/>
              </w:rPr>
              <w:t>more)</w:t>
            </w:r>
          </w:p>
        </w:tc>
        <w:tc>
          <w:tcPr>
            <w:tcW w:w="2254" w:type="dxa"/>
            <w:vMerge/>
            <w:tcBorders>
              <w:top w:val="nil"/>
              <w:left w:val="single" w:sz="4" w:space="0" w:color="000000"/>
              <w:right w:val="single" w:sz="4" w:space="0" w:color="000000"/>
            </w:tcBorders>
          </w:tcPr>
          <w:p>
            <w:pPr>
              <w:rPr>
                <w:sz w:val="2"/>
                <w:szCs w:val="2"/>
              </w:rPr>
            </w:pPr>
          </w:p>
        </w:tc>
        <w:tc>
          <w:tcPr>
            <w:tcW w:w="3743" w:type="dxa"/>
            <w:vMerge/>
            <w:tcBorders>
              <w:top w:val="nil"/>
              <w:left w:val="single" w:sz="4" w:space="0" w:color="000000"/>
            </w:tcBorders>
          </w:tcPr>
          <w:p>
            <w:pPr>
              <w:rPr>
                <w:sz w:val="2"/>
                <w:szCs w:val="2"/>
              </w:rPr>
            </w:pPr>
          </w:p>
        </w:tc>
      </w:tr>
    </w:tbl>
    <w:p>
      <w:pPr>
        <w:spacing w:after="0"/>
        <w:rPr>
          <w:sz w:val="2"/>
          <w:szCs w:val="2"/>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71"/>
        <w:gridCol w:w="2667"/>
        <w:gridCol w:w="1578"/>
        <w:gridCol w:w="2336"/>
        <w:gridCol w:w="2254"/>
        <w:gridCol w:w="3743"/>
      </w:tblGrid>
      <w:tr>
        <w:trPr>
          <w:trHeight w:val="529" w:hRule="atLeast"/>
        </w:trPr>
        <w:tc>
          <w:tcPr>
            <w:tcW w:w="1371" w:type="dxa"/>
            <w:vMerge w:val="restart"/>
            <w:tcBorders>
              <w:bottom w:val="single" w:sz="4" w:space="0" w:color="000000"/>
              <w:right w:val="single" w:sz="4" w:space="0" w:color="000000"/>
            </w:tcBorders>
          </w:tcPr>
          <w:p>
            <w:pPr>
              <w:pStyle w:val="TableParagraph"/>
              <w:rPr>
                <w:rFonts w:ascii="Times New Roman"/>
                <w:sz w:val="16"/>
              </w:rPr>
            </w:pPr>
          </w:p>
        </w:tc>
        <w:tc>
          <w:tcPr>
            <w:tcW w:w="2667" w:type="dxa"/>
            <w:tcBorders>
              <w:left w:val="single" w:sz="4" w:space="0" w:color="000000"/>
              <w:bottom w:val="single" w:sz="4" w:space="0" w:color="000000"/>
              <w:right w:val="single" w:sz="4" w:space="0" w:color="000000"/>
            </w:tcBorders>
          </w:tcPr>
          <w:p>
            <w:pPr>
              <w:pStyle w:val="TableParagraph"/>
              <w:spacing w:before="46"/>
              <w:ind w:left="445" w:hanging="286"/>
              <w:rPr>
                <w:sz w:val="18"/>
              </w:rPr>
            </w:pPr>
            <w:r>
              <w:rPr>
                <w:sz w:val="18"/>
              </w:rPr>
              <w:t>Follow-up:</w:t>
            </w:r>
            <w:r>
              <w:rPr>
                <w:spacing w:val="-10"/>
                <w:sz w:val="18"/>
              </w:rPr>
              <w:t> </w:t>
            </w:r>
            <w:r>
              <w:rPr>
                <w:sz w:val="18"/>
              </w:rPr>
              <w:t>median</w:t>
            </w:r>
            <w:r>
              <w:rPr>
                <w:spacing w:val="-10"/>
                <w:sz w:val="18"/>
              </w:rPr>
              <w:t> </w:t>
            </w:r>
            <w:r>
              <w:rPr>
                <w:sz w:val="18"/>
              </w:rPr>
              <w:t>6</w:t>
            </w:r>
            <w:r>
              <w:rPr>
                <w:spacing w:val="-10"/>
                <w:sz w:val="18"/>
              </w:rPr>
              <w:t> </w:t>
            </w:r>
            <w:r>
              <w:rPr>
                <w:sz w:val="18"/>
              </w:rPr>
              <w:t>months</w:t>
            </w:r>
            <w:r>
              <w:rPr>
                <w:spacing w:val="-10"/>
                <w:sz w:val="18"/>
              </w:rPr>
              <w:t> </w:t>
            </w:r>
            <w:r>
              <w:rPr>
                <w:sz w:val="18"/>
              </w:rPr>
              <w:t>for overall study population</w:t>
            </w:r>
          </w:p>
        </w:tc>
        <w:tc>
          <w:tcPr>
            <w:tcW w:w="3914" w:type="dxa"/>
            <w:gridSpan w:val="2"/>
            <w:tcBorders>
              <w:left w:val="single" w:sz="4" w:space="0" w:color="000000"/>
              <w:bottom w:val="single" w:sz="4" w:space="0" w:color="000000"/>
              <w:right w:val="single" w:sz="4" w:space="0" w:color="000000"/>
            </w:tcBorders>
          </w:tcPr>
          <w:p>
            <w:pPr>
              <w:pStyle w:val="TableParagraph"/>
              <w:rPr>
                <w:rFonts w:ascii="Times New Roman"/>
                <w:sz w:val="16"/>
              </w:rPr>
            </w:pPr>
          </w:p>
        </w:tc>
        <w:tc>
          <w:tcPr>
            <w:tcW w:w="2254" w:type="dxa"/>
            <w:tcBorders>
              <w:left w:val="single" w:sz="4" w:space="0" w:color="000000"/>
              <w:bottom w:val="single" w:sz="4" w:space="0" w:color="000000"/>
              <w:right w:val="single" w:sz="4" w:space="0" w:color="000000"/>
            </w:tcBorders>
          </w:tcPr>
          <w:p>
            <w:pPr>
              <w:pStyle w:val="TableParagraph"/>
              <w:rPr>
                <w:rFonts w:ascii="Times New Roman"/>
                <w:sz w:val="16"/>
              </w:rPr>
            </w:pPr>
          </w:p>
        </w:tc>
        <w:tc>
          <w:tcPr>
            <w:tcW w:w="3743" w:type="dxa"/>
            <w:tcBorders>
              <w:left w:val="single" w:sz="4" w:space="0" w:color="000000"/>
              <w:bottom w:val="single" w:sz="4" w:space="0" w:color="000000"/>
            </w:tcBorders>
          </w:tcPr>
          <w:p>
            <w:pPr>
              <w:pStyle w:val="TableParagraph"/>
              <w:rPr>
                <w:rFonts w:ascii="Times New Roman"/>
                <w:sz w:val="16"/>
              </w:rPr>
            </w:pPr>
          </w:p>
        </w:tc>
      </w:tr>
      <w:tr>
        <w:trPr>
          <w:trHeight w:val="530" w:hRule="atLeast"/>
        </w:trPr>
        <w:tc>
          <w:tcPr>
            <w:tcW w:w="1371" w:type="dxa"/>
            <w:vMerge/>
            <w:tcBorders>
              <w:top w:val="nil"/>
              <w:bottom w:val="single" w:sz="4" w:space="0" w:color="000000"/>
              <w:right w:val="single" w:sz="4" w:space="0" w:color="000000"/>
            </w:tcBorders>
          </w:tcPr>
          <w:p>
            <w:pPr>
              <w:rPr>
                <w:sz w:val="2"/>
                <w:szCs w:val="2"/>
              </w:rPr>
            </w:pPr>
          </w:p>
        </w:tc>
        <w:tc>
          <w:tcPr>
            <w:tcW w:w="2667" w:type="dxa"/>
            <w:vMerge w:val="restart"/>
            <w:tcBorders>
              <w:top w:val="single" w:sz="4" w:space="0" w:color="000000"/>
              <w:left w:val="single" w:sz="4" w:space="0" w:color="000000"/>
              <w:bottom w:val="single" w:sz="4" w:space="0" w:color="000000"/>
              <w:right w:val="single" w:sz="4" w:space="0" w:color="000000"/>
            </w:tcBorders>
          </w:tcPr>
          <w:p>
            <w:pPr>
              <w:pStyle w:val="TableParagraph"/>
              <w:spacing w:before="44"/>
              <w:ind w:left="496"/>
              <w:rPr>
                <w:sz w:val="18"/>
              </w:rPr>
            </w:pPr>
            <w:r>
              <w:rPr>
                <w:sz w:val="18"/>
              </w:rPr>
              <w:t>C.</w:t>
            </w:r>
            <w:r>
              <w:rPr>
                <w:spacing w:val="-4"/>
                <w:sz w:val="18"/>
              </w:rPr>
              <w:t> </w:t>
            </w:r>
            <w:r>
              <w:rPr>
                <w:sz w:val="18"/>
              </w:rPr>
              <w:t>Clopidogrel</w:t>
            </w:r>
            <w:r>
              <w:rPr>
                <w:spacing w:val="-3"/>
                <w:sz w:val="18"/>
              </w:rPr>
              <w:t> </w:t>
            </w:r>
            <w:r>
              <w:rPr>
                <w:sz w:val="18"/>
              </w:rPr>
              <w:t>+</w:t>
            </w:r>
            <w:r>
              <w:rPr>
                <w:spacing w:val="-3"/>
                <w:sz w:val="18"/>
              </w:rPr>
              <w:t> </w:t>
            </w:r>
            <w:r>
              <w:rPr>
                <w:spacing w:val="-2"/>
                <w:sz w:val="18"/>
              </w:rPr>
              <w:t>aspirin</w:t>
            </w:r>
          </w:p>
          <w:p>
            <w:pPr>
              <w:pStyle w:val="TableParagraph"/>
              <w:rPr>
                <w:sz w:val="18"/>
              </w:rPr>
            </w:pPr>
          </w:p>
          <w:p>
            <w:pPr>
              <w:pStyle w:val="TableParagraph"/>
              <w:ind w:left="68" w:right="55"/>
              <w:jc w:val="center"/>
              <w:rPr>
                <w:b/>
                <w:sz w:val="18"/>
              </w:rPr>
            </w:pPr>
            <w:r>
              <w:rPr>
                <w:sz w:val="18"/>
              </w:rPr>
              <w:t>Relative</w:t>
            </w:r>
            <w:r>
              <w:rPr>
                <w:spacing w:val="-3"/>
                <w:sz w:val="18"/>
              </w:rPr>
              <w:t> </w:t>
            </w:r>
            <w:r>
              <w:rPr>
                <w:sz w:val="18"/>
              </w:rPr>
              <w:t>risk:</w:t>
            </w:r>
            <w:r>
              <w:rPr>
                <w:spacing w:val="-2"/>
                <w:sz w:val="18"/>
              </w:rPr>
              <w:t> </w:t>
            </w:r>
            <w:r>
              <w:rPr>
                <w:b/>
                <w:spacing w:val="-4"/>
                <w:sz w:val="18"/>
              </w:rPr>
              <w:t>1.15</w:t>
            </w:r>
          </w:p>
          <w:p>
            <w:pPr>
              <w:pStyle w:val="TableParagraph"/>
              <w:spacing w:before="1"/>
              <w:ind w:left="68" w:right="51"/>
              <w:jc w:val="center"/>
              <w:rPr>
                <w:sz w:val="18"/>
              </w:rPr>
            </w:pPr>
            <w:r>
              <w:rPr>
                <w:sz w:val="18"/>
              </w:rPr>
              <w:t>(95%</w:t>
            </w:r>
            <w:r>
              <w:rPr>
                <w:spacing w:val="-1"/>
                <w:sz w:val="18"/>
              </w:rPr>
              <w:t> </w:t>
            </w:r>
            <w:r>
              <w:rPr>
                <w:sz w:val="18"/>
              </w:rPr>
              <w:t>CI 0.36 to </w:t>
            </w:r>
            <w:r>
              <w:rPr>
                <w:spacing w:val="-4"/>
                <w:sz w:val="18"/>
              </w:rPr>
              <w:t>3.68)</w:t>
            </w:r>
          </w:p>
          <w:p>
            <w:pPr>
              <w:pStyle w:val="TableParagraph"/>
              <w:spacing w:before="219"/>
              <w:ind w:left="68" w:right="51"/>
              <w:jc w:val="center"/>
              <w:rPr>
                <w:sz w:val="18"/>
              </w:rPr>
            </w:pPr>
            <w:r>
              <w:rPr>
                <w:sz w:val="18"/>
              </w:rPr>
              <w:t>Based</w:t>
            </w:r>
            <w:r>
              <w:rPr>
                <w:spacing w:val="-10"/>
                <w:sz w:val="18"/>
              </w:rPr>
              <w:t> </w:t>
            </w:r>
            <w:r>
              <w:rPr>
                <w:sz w:val="18"/>
              </w:rPr>
              <w:t>on</w:t>
            </w:r>
            <w:r>
              <w:rPr>
                <w:spacing w:val="-10"/>
                <w:sz w:val="18"/>
              </w:rPr>
              <w:t> </w:t>
            </w:r>
            <w:r>
              <w:rPr>
                <w:sz w:val="18"/>
              </w:rPr>
              <w:t>data</w:t>
            </w:r>
            <w:r>
              <w:rPr>
                <w:spacing w:val="-10"/>
                <w:sz w:val="18"/>
              </w:rPr>
              <w:t> </w:t>
            </w:r>
            <w:r>
              <w:rPr>
                <w:sz w:val="18"/>
              </w:rPr>
              <w:t>from</w:t>
            </w:r>
            <w:r>
              <w:rPr>
                <w:spacing w:val="-10"/>
                <w:sz w:val="18"/>
              </w:rPr>
              <w:t> </w:t>
            </w:r>
            <w:r>
              <w:rPr>
                <w:sz w:val="18"/>
              </w:rPr>
              <w:t>471 participants in 1 study</w:t>
            </w:r>
          </w:p>
          <w:p>
            <w:pPr>
              <w:pStyle w:val="TableParagraph"/>
              <w:ind w:left="68" w:right="53"/>
              <w:jc w:val="center"/>
              <w:rPr>
                <w:sz w:val="18"/>
              </w:rPr>
            </w:pPr>
            <w:r>
              <w:rPr>
                <w:sz w:val="18"/>
              </w:rPr>
              <w:t>Follow-up:</w:t>
            </w:r>
            <w:r>
              <w:rPr>
                <w:spacing w:val="-10"/>
                <w:sz w:val="18"/>
              </w:rPr>
              <w:t> </w:t>
            </w:r>
            <w:r>
              <w:rPr>
                <w:sz w:val="18"/>
              </w:rPr>
              <w:t>median</w:t>
            </w:r>
            <w:r>
              <w:rPr>
                <w:spacing w:val="-10"/>
                <w:sz w:val="18"/>
              </w:rPr>
              <w:t> </w:t>
            </w:r>
            <w:r>
              <w:rPr>
                <w:sz w:val="18"/>
              </w:rPr>
              <w:t>6</w:t>
            </w:r>
            <w:r>
              <w:rPr>
                <w:spacing w:val="-10"/>
                <w:sz w:val="18"/>
              </w:rPr>
              <w:t> </w:t>
            </w:r>
            <w:r>
              <w:rPr>
                <w:sz w:val="18"/>
              </w:rPr>
              <w:t>months</w:t>
            </w:r>
            <w:r>
              <w:rPr>
                <w:spacing w:val="-10"/>
                <w:sz w:val="18"/>
              </w:rPr>
              <w:t> </w:t>
            </w:r>
            <w:r>
              <w:rPr>
                <w:sz w:val="18"/>
              </w:rPr>
              <w:t>for overall study population</w:t>
            </w:r>
          </w:p>
        </w:tc>
        <w:tc>
          <w:tcPr>
            <w:tcW w:w="1578" w:type="dxa"/>
            <w:tcBorders>
              <w:top w:val="single" w:sz="4" w:space="0" w:color="000000"/>
              <w:left w:val="single" w:sz="4" w:space="0" w:color="000000"/>
              <w:bottom w:val="single" w:sz="4" w:space="0" w:color="000000"/>
              <w:right w:val="single" w:sz="4" w:space="0" w:color="000000"/>
            </w:tcBorders>
          </w:tcPr>
          <w:p>
            <w:pPr>
              <w:pStyle w:val="TableParagraph"/>
              <w:spacing w:before="44"/>
              <w:ind w:left="10"/>
              <w:jc w:val="center"/>
              <w:rPr>
                <w:b/>
                <w:sz w:val="18"/>
              </w:rPr>
            </w:pPr>
            <w:r>
              <w:rPr>
                <w:b/>
                <w:spacing w:val="-10"/>
                <w:sz w:val="18"/>
              </w:rPr>
              <w:t>5</w:t>
            </w:r>
          </w:p>
          <w:p>
            <w:pPr>
              <w:pStyle w:val="TableParagraph"/>
              <w:spacing w:before="1"/>
              <w:ind w:left="10" w:right="2"/>
              <w:jc w:val="center"/>
              <w:rPr>
                <w:sz w:val="18"/>
              </w:rPr>
            </w:pPr>
            <w:r>
              <w:rPr>
                <w:sz w:val="18"/>
              </w:rPr>
              <w:t>per</w:t>
            </w:r>
            <w:r>
              <w:rPr>
                <w:spacing w:val="-2"/>
                <w:sz w:val="18"/>
              </w:rPr>
              <w:t> </w:t>
            </w:r>
            <w:r>
              <w:rPr>
                <w:spacing w:val="-5"/>
                <w:sz w:val="18"/>
              </w:rPr>
              <w:t>100</w:t>
            </w:r>
          </w:p>
        </w:tc>
        <w:tc>
          <w:tcPr>
            <w:tcW w:w="2336" w:type="dxa"/>
            <w:tcBorders>
              <w:top w:val="single" w:sz="4" w:space="0" w:color="000000"/>
              <w:left w:val="single" w:sz="4" w:space="0" w:color="000000"/>
              <w:bottom w:val="single" w:sz="4" w:space="0" w:color="000000"/>
              <w:right w:val="single" w:sz="4" w:space="0" w:color="000000"/>
            </w:tcBorders>
          </w:tcPr>
          <w:p>
            <w:pPr>
              <w:pStyle w:val="TableParagraph"/>
              <w:spacing w:before="44"/>
              <w:ind w:left="8"/>
              <w:jc w:val="center"/>
              <w:rPr>
                <w:b/>
                <w:sz w:val="18"/>
              </w:rPr>
            </w:pPr>
            <w:r>
              <w:rPr>
                <w:b/>
                <w:spacing w:val="-10"/>
                <w:sz w:val="18"/>
              </w:rPr>
              <w:t>6</w:t>
            </w:r>
          </w:p>
          <w:p>
            <w:pPr>
              <w:pStyle w:val="TableParagraph"/>
              <w:spacing w:before="1"/>
              <w:ind w:left="8" w:right="2"/>
              <w:jc w:val="center"/>
              <w:rPr>
                <w:sz w:val="18"/>
              </w:rPr>
            </w:pPr>
            <w:r>
              <w:rPr>
                <w:sz w:val="18"/>
              </w:rPr>
              <w:t>per</w:t>
            </w:r>
            <w:r>
              <w:rPr>
                <w:spacing w:val="-2"/>
                <w:sz w:val="18"/>
              </w:rPr>
              <w:t> </w:t>
            </w:r>
            <w:r>
              <w:rPr>
                <w:spacing w:val="-5"/>
                <w:sz w:val="18"/>
              </w:rPr>
              <w:t>100</w:t>
            </w:r>
          </w:p>
        </w:tc>
        <w:tc>
          <w:tcPr>
            <w:tcW w:w="2254"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spacing w:before="154"/>
              <w:rPr>
                <w:sz w:val="18"/>
              </w:rPr>
            </w:pPr>
          </w:p>
          <w:p>
            <w:pPr>
              <w:pStyle w:val="TableParagraph"/>
              <w:ind w:left="68" w:right="61"/>
              <w:jc w:val="center"/>
              <w:rPr>
                <w:b/>
                <w:sz w:val="18"/>
              </w:rPr>
            </w:pPr>
            <w:r>
              <w:rPr>
                <w:b/>
                <w:sz w:val="18"/>
              </w:rPr>
              <w:t>Very</w:t>
            </w:r>
            <w:r>
              <w:rPr>
                <w:b/>
                <w:spacing w:val="-1"/>
                <w:sz w:val="18"/>
              </w:rPr>
              <w:t> </w:t>
            </w:r>
            <w:r>
              <w:rPr>
                <w:b/>
                <w:spacing w:val="-5"/>
                <w:sz w:val="18"/>
              </w:rPr>
              <w:t>low</w:t>
            </w:r>
          </w:p>
          <w:p>
            <w:pPr>
              <w:pStyle w:val="TableParagraph"/>
              <w:spacing w:before="1"/>
              <w:ind w:left="68" w:right="59"/>
              <w:jc w:val="center"/>
              <w:rPr>
                <w:position w:val="5"/>
                <w:sz w:val="12"/>
              </w:rPr>
            </w:pPr>
            <w:r>
              <w:rPr>
                <w:sz w:val="18"/>
              </w:rPr>
              <w:t>Due</w:t>
            </w:r>
            <w:r>
              <w:rPr>
                <w:spacing w:val="-9"/>
                <w:sz w:val="18"/>
              </w:rPr>
              <w:t> </w:t>
            </w:r>
            <w:r>
              <w:rPr>
                <w:sz w:val="18"/>
              </w:rPr>
              <w:t>to</w:t>
            </w:r>
            <w:r>
              <w:rPr>
                <w:spacing w:val="-8"/>
                <w:sz w:val="18"/>
              </w:rPr>
              <w:t> </w:t>
            </w:r>
            <w:r>
              <w:rPr>
                <w:sz w:val="18"/>
              </w:rPr>
              <w:t>serious</w:t>
            </w:r>
            <w:r>
              <w:rPr>
                <w:spacing w:val="-9"/>
                <w:sz w:val="18"/>
              </w:rPr>
              <w:t> </w:t>
            </w:r>
            <w:r>
              <w:rPr>
                <w:sz w:val="18"/>
              </w:rPr>
              <w:t>risk</w:t>
            </w:r>
            <w:r>
              <w:rPr>
                <w:spacing w:val="-8"/>
                <w:sz w:val="18"/>
              </w:rPr>
              <w:t> </w:t>
            </w:r>
            <w:r>
              <w:rPr>
                <w:sz w:val="18"/>
              </w:rPr>
              <w:t>of</w:t>
            </w:r>
            <w:r>
              <w:rPr>
                <w:spacing w:val="-9"/>
                <w:sz w:val="18"/>
              </w:rPr>
              <w:t> </w:t>
            </w:r>
            <w:r>
              <w:rPr>
                <w:sz w:val="18"/>
              </w:rPr>
              <w:t>bias, due to very serious </w:t>
            </w:r>
            <w:r>
              <w:rPr>
                <w:spacing w:val="-2"/>
                <w:sz w:val="18"/>
              </w:rPr>
              <w:t>imprecision</w:t>
            </w:r>
            <w:r>
              <w:rPr>
                <w:spacing w:val="-2"/>
                <w:position w:val="5"/>
                <w:sz w:val="12"/>
              </w:rPr>
              <w:t>3</w:t>
            </w:r>
          </w:p>
        </w:tc>
        <w:tc>
          <w:tcPr>
            <w:tcW w:w="3743" w:type="dxa"/>
            <w:vMerge w:val="restart"/>
            <w:tcBorders>
              <w:top w:val="single" w:sz="4" w:space="0" w:color="000000"/>
              <w:left w:val="single" w:sz="4" w:space="0" w:color="000000"/>
              <w:bottom w:val="single" w:sz="4" w:space="0" w:color="000000"/>
            </w:tcBorders>
          </w:tcPr>
          <w:p>
            <w:pPr>
              <w:pStyle w:val="TableParagraph"/>
              <w:spacing w:before="155"/>
              <w:rPr>
                <w:sz w:val="18"/>
              </w:rPr>
            </w:pPr>
          </w:p>
          <w:p>
            <w:pPr>
              <w:pStyle w:val="TableParagraph"/>
              <w:spacing w:before="1"/>
              <w:ind w:left="15" w:right="13"/>
              <w:jc w:val="center"/>
              <w:rPr>
                <w:sz w:val="18"/>
              </w:rPr>
            </w:pPr>
            <w:r>
              <w:rPr>
                <w:sz w:val="18"/>
              </w:rPr>
              <w:t>The</w:t>
            </w:r>
            <w:r>
              <w:rPr>
                <w:spacing w:val="-6"/>
                <w:sz w:val="18"/>
              </w:rPr>
              <w:t> </w:t>
            </w:r>
            <w:r>
              <w:rPr>
                <w:sz w:val="18"/>
              </w:rPr>
              <w:t>evidence</w:t>
            </w:r>
            <w:r>
              <w:rPr>
                <w:spacing w:val="-6"/>
                <w:sz w:val="18"/>
              </w:rPr>
              <w:t> </w:t>
            </w:r>
            <w:r>
              <w:rPr>
                <w:sz w:val="18"/>
              </w:rPr>
              <w:t>is</w:t>
            </w:r>
            <w:r>
              <w:rPr>
                <w:spacing w:val="-7"/>
                <w:sz w:val="18"/>
              </w:rPr>
              <w:t> </w:t>
            </w:r>
            <w:r>
              <w:rPr>
                <w:sz w:val="18"/>
              </w:rPr>
              <w:t>very</w:t>
            </w:r>
            <w:r>
              <w:rPr>
                <w:spacing w:val="-5"/>
                <w:sz w:val="18"/>
              </w:rPr>
              <w:t> </w:t>
            </w:r>
            <w:r>
              <w:rPr>
                <w:sz w:val="18"/>
              </w:rPr>
              <w:t>uncertain</w:t>
            </w:r>
            <w:r>
              <w:rPr>
                <w:spacing w:val="-7"/>
                <w:sz w:val="18"/>
              </w:rPr>
              <w:t> </w:t>
            </w:r>
            <w:r>
              <w:rPr>
                <w:sz w:val="18"/>
              </w:rPr>
              <w:t>about</w:t>
            </w:r>
            <w:r>
              <w:rPr>
                <w:spacing w:val="-5"/>
                <w:sz w:val="18"/>
              </w:rPr>
              <w:t> </w:t>
            </w:r>
            <w:r>
              <w:rPr>
                <w:sz w:val="18"/>
              </w:rPr>
              <w:t>the</w:t>
            </w:r>
            <w:r>
              <w:rPr>
                <w:spacing w:val="-6"/>
                <w:sz w:val="18"/>
              </w:rPr>
              <w:t> </w:t>
            </w:r>
            <w:r>
              <w:rPr>
                <w:sz w:val="18"/>
              </w:rPr>
              <w:t>effect</w:t>
            </w:r>
            <w:r>
              <w:rPr>
                <w:spacing w:val="-5"/>
                <w:sz w:val="18"/>
              </w:rPr>
              <w:t> </w:t>
            </w:r>
            <w:r>
              <w:rPr>
                <w:sz w:val="18"/>
              </w:rPr>
              <w:t>of clopidogrel + aspirin on shunt occlusion when compared to no thromboprophylaxis in infants with an indication for systemic-to-pulmonary-artery shunt surgery</w:t>
            </w:r>
          </w:p>
          <w:p>
            <w:pPr>
              <w:pStyle w:val="TableParagraph"/>
              <w:spacing w:before="219"/>
              <w:ind w:left="15" w:right="13"/>
              <w:jc w:val="center"/>
              <w:rPr>
                <w:sz w:val="18"/>
              </w:rPr>
            </w:pPr>
            <w:r>
              <w:rPr>
                <w:sz w:val="18"/>
              </w:rPr>
              <w:t>(Wessel,</w:t>
            </w:r>
            <w:r>
              <w:rPr>
                <w:spacing w:val="-5"/>
                <w:sz w:val="18"/>
              </w:rPr>
              <w:t> </w:t>
            </w:r>
            <w:r>
              <w:rPr>
                <w:spacing w:val="-2"/>
                <w:sz w:val="18"/>
              </w:rPr>
              <w:t>2013)</w:t>
            </w:r>
          </w:p>
        </w:tc>
      </w:tr>
      <w:tr>
        <w:trPr>
          <w:trHeight w:val="1526" w:hRule="atLeast"/>
        </w:trPr>
        <w:tc>
          <w:tcPr>
            <w:tcW w:w="1371" w:type="dxa"/>
            <w:vMerge/>
            <w:tcBorders>
              <w:top w:val="nil"/>
              <w:bottom w:val="single" w:sz="4" w:space="0" w:color="000000"/>
              <w:right w:val="single" w:sz="4" w:space="0" w:color="000000"/>
            </w:tcBorders>
          </w:tcPr>
          <w:p>
            <w:pPr>
              <w:rPr>
                <w:sz w:val="2"/>
                <w:szCs w:val="2"/>
              </w:rPr>
            </w:pPr>
          </w:p>
        </w:tc>
        <w:tc>
          <w:tcPr>
            <w:tcW w:w="2667" w:type="dxa"/>
            <w:vMerge/>
            <w:tcBorders>
              <w:top w:val="nil"/>
              <w:left w:val="single" w:sz="4" w:space="0" w:color="000000"/>
              <w:bottom w:val="single" w:sz="4" w:space="0" w:color="000000"/>
              <w:right w:val="single" w:sz="4" w:space="0" w:color="000000"/>
            </w:tcBorders>
          </w:tcPr>
          <w:p>
            <w:pPr>
              <w:rPr>
                <w:sz w:val="2"/>
                <w:szCs w:val="2"/>
              </w:rPr>
            </w:pPr>
          </w:p>
        </w:tc>
        <w:tc>
          <w:tcPr>
            <w:tcW w:w="3914" w:type="dxa"/>
            <w:gridSpan w:val="2"/>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spacing w:before="104"/>
              <w:rPr>
                <w:sz w:val="18"/>
              </w:rPr>
            </w:pPr>
          </w:p>
          <w:p>
            <w:pPr>
              <w:pStyle w:val="TableParagraph"/>
              <w:ind w:left="964"/>
              <w:rPr>
                <w:b/>
                <w:sz w:val="18"/>
              </w:rPr>
            </w:pPr>
            <w:r>
              <w:rPr>
                <w:sz w:val="18"/>
              </w:rPr>
              <w:t>Difference:</w:t>
            </w:r>
            <w:r>
              <w:rPr>
                <w:spacing w:val="-2"/>
                <w:sz w:val="18"/>
              </w:rPr>
              <w:t> </w:t>
            </w:r>
            <w:r>
              <w:rPr>
                <w:b/>
                <w:sz w:val="18"/>
              </w:rPr>
              <w:t>1</w:t>
            </w:r>
            <w:r>
              <w:rPr>
                <w:b/>
                <w:spacing w:val="-2"/>
                <w:sz w:val="18"/>
              </w:rPr>
              <w:t> </w:t>
            </w:r>
            <w:r>
              <w:rPr>
                <w:b/>
                <w:sz w:val="18"/>
              </w:rPr>
              <w:t>more</w:t>
            </w:r>
            <w:r>
              <w:rPr>
                <w:b/>
                <w:spacing w:val="-2"/>
                <w:sz w:val="18"/>
              </w:rPr>
              <w:t> </w:t>
            </w:r>
            <w:r>
              <w:rPr>
                <w:b/>
                <w:sz w:val="18"/>
              </w:rPr>
              <w:t>per</w:t>
            </w:r>
            <w:r>
              <w:rPr>
                <w:b/>
                <w:spacing w:val="-1"/>
                <w:sz w:val="18"/>
              </w:rPr>
              <w:t> </w:t>
            </w:r>
            <w:r>
              <w:rPr>
                <w:b/>
                <w:spacing w:val="-5"/>
                <w:sz w:val="18"/>
              </w:rPr>
              <w:t>100</w:t>
            </w:r>
          </w:p>
          <w:p>
            <w:pPr>
              <w:pStyle w:val="TableParagraph"/>
              <w:spacing w:before="1"/>
              <w:ind w:left="978"/>
              <w:rPr>
                <w:sz w:val="18"/>
              </w:rPr>
            </w:pPr>
            <w:r>
              <w:rPr>
                <w:sz w:val="18"/>
              </w:rPr>
              <w:t>(95%</w:t>
            </w:r>
            <w:r>
              <w:rPr>
                <w:spacing w:val="-3"/>
                <w:sz w:val="18"/>
              </w:rPr>
              <w:t> </w:t>
            </w:r>
            <w:r>
              <w:rPr>
                <w:sz w:val="18"/>
              </w:rPr>
              <w:t>CI 5 fewer</w:t>
            </w:r>
            <w:r>
              <w:rPr>
                <w:spacing w:val="-1"/>
                <w:sz w:val="18"/>
              </w:rPr>
              <w:t> </w:t>
            </w:r>
            <w:r>
              <w:rPr>
                <w:sz w:val="18"/>
              </w:rPr>
              <w:t>to 7 </w:t>
            </w:r>
            <w:r>
              <w:rPr>
                <w:spacing w:val="-4"/>
                <w:sz w:val="18"/>
              </w:rPr>
              <w:t>more)</w:t>
            </w:r>
          </w:p>
        </w:tc>
        <w:tc>
          <w:tcPr>
            <w:tcW w:w="2254" w:type="dxa"/>
            <w:vMerge/>
            <w:tcBorders>
              <w:top w:val="nil"/>
              <w:left w:val="single" w:sz="4" w:space="0" w:color="000000"/>
              <w:bottom w:val="single" w:sz="4" w:space="0" w:color="000000"/>
              <w:right w:val="single" w:sz="4" w:space="0" w:color="000000"/>
            </w:tcBorders>
          </w:tcPr>
          <w:p>
            <w:pPr>
              <w:rPr>
                <w:sz w:val="2"/>
                <w:szCs w:val="2"/>
              </w:rPr>
            </w:pPr>
          </w:p>
        </w:tc>
        <w:tc>
          <w:tcPr>
            <w:tcW w:w="3743" w:type="dxa"/>
            <w:vMerge/>
            <w:tcBorders>
              <w:top w:val="nil"/>
              <w:left w:val="single" w:sz="4" w:space="0" w:color="000000"/>
              <w:bottom w:val="single" w:sz="4" w:space="0" w:color="000000"/>
            </w:tcBorders>
          </w:tcPr>
          <w:p>
            <w:pPr>
              <w:rPr>
                <w:sz w:val="2"/>
                <w:szCs w:val="2"/>
              </w:rPr>
            </w:pPr>
          </w:p>
        </w:tc>
      </w:tr>
      <w:tr>
        <w:trPr>
          <w:trHeight w:val="2582" w:hRule="atLeast"/>
        </w:trPr>
        <w:tc>
          <w:tcPr>
            <w:tcW w:w="1371" w:type="dxa"/>
            <w:vMerge w:val="restart"/>
            <w:tcBorders>
              <w:top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3"/>
              <w:rPr>
                <w:sz w:val="18"/>
              </w:rPr>
            </w:pPr>
          </w:p>
          <w:p>
            <w:pPr>
              <w:pStyle w:val="TableParagraph"/>
              <w:spacing w:before="1"/>
              <w:ind w:left="261" w:firstLine="82"/>
              <w:rPr>
                <w:sz w:val="18"/>
              </w:rPr>
            </w:pPr>
            <w:r>
              <w:rPr>
                <w:spacing w:val="-2"/>
                <w:sz w:val="18"/>
              </w:rPr>
              <w:t>Mortality</w:t>
            </w:r>
            <w:r>
              <w:rPr>
                <w:sz w:val="18"/>
              </w:rPr>
              <w:t> </w:t>
            </w:r>
            <w:r>
              <w:rPr>
                <w:spacing w:val="-2"/>
                <w:sz w:val="18"/>
              </w:rPr>
              <w:t>(important)</w:t>
            </w:r>
          </w:p>
        </w:tc>
        <w:tc>
          <w:tcPr>
            <w:tcW w:w="2667" w:type="dxa"/>
            <w:tcBorders>
              <w:top w:val="single" w:sz="4" w:space="0" w:color="000000"/>
              <w:left w:val="single" w:sz="4" w:space="0" w:color="000000"/>
              <w:bottom w:val="single" w:sz="4" w:space="0" w:color="000000"/>
              <w:right w:val="single" w:sz="4" w:space="0" w:color="000000"/>
            </w:tcBorders>
          </w:tcPr>
          <w:p>
            <w:pPr>
              <w:pStyle w:val="TableParagraph"/>
              <w:spacing w:before="119"/>
              <w:rPr>
                <w:sz w:val="18"/>
              </w:rPr>
            </w:pPr>
          </w:p>
          <w:p>
            <w:pPr>
              <w:pStyle w:val="TableParagraph"/>
              <w:spacing w:before="1"/>
              <w:ind w:left="225" w:right="210"/>
              <w:jc w:val="center"/>
              <w:rPr>
                <w:sz w:val="18"/>
              </w:rPr>
            </w:pPr>
            <w:r>
              <w:rPr>
                <w:sz w:val="18"/>
              </w:rPr>
              <w:t>Children</w:t>
            </w:r>
            <w:r>
              <w:rPr>
                <w:spacing w:val="-10"/>
                <w:sz w:val="18"/>
              </w:rPr>
              <w:t> </w:t>
            </w:r>
            <w:r>
              <w:rPr>
                <w:sz w:val="18"/>
              </w:rPr>
              <w:t>with</w:t>
            </w:r>
            <w:r>
              <w:rPr>
                <w:spacing w:val="-11"/>
                <w:sz w:val="18"/>
              </w:rPr>
              <w:t> </w:t>
            </w:r>
            <w:r>
              <w:rPr>
                <w:sz w:val="18"/>
              </w:rPr>
              <w:t>an</w:t>
            </w:r>
            <w:r>
              <w:rPr>
                <w:spacing w:val="-9"/>
                <w:sz w:val="18"/>
              </w:rPr>
              <w:t> </w:t>
            </w:r>
            <w:r>
              <w:rPr>
                <w:sz w:val="18"/>
              </w:rPr>
              <w:t>indication</w:t>
            </w:r>
            <w:r>
              <w:rPr>
                <w:spacing w:val="-10"/>
                <w:sz w:val="18"/>
              </w:rPr>
              <w:t> </w:t>
            </w:r>
            <w:r>
              <w:rPr>
                <w:sz w:val="18"/>
              </w:rPr>
              <w:t>for mBTT-shunt surgery:</w:t>
            </w:r>
          </w:p>
          <w:p>
            <w:pPr>
              <w:pStyle w:val="TableParagraph"/>
              <w:rPr>
                <w:sz w:val="18"/>
              </w:rPr>
            </w:pPr>
          </w:p>
          <w:p>
            <w:pPr>
              <w:pStyle w:val="TableParagraph"/>
              <w:spacing w:line="219" w:lineRule="exact"/>
              <w:ind w:left="225" w:right="210"/>
              <w:jc w:val="center"/>
              <w:rPr>
                <w:b/>
                <w:sz w:val="18"/>
              </w:rPr>
            </w:pPr>
            <w:r>
              <w:rPr>
                <w:sz w:val="18"/>
              </w:rPr>
              <w:t>Hazard</w:t>
            </w:r>
            <w:r>
              <w:rPr>
                <w:spacing w:val="-4"/>
                <w:sz w:val="18"/>
              </w:rPr>
              <w:t> </w:t>
            </w:r>
            <w:r>
              <w:rPr>
                <w:sz w:val="18"/>
              </w:rPr>
              <w:t>ratio:</w:t>
            </w:r>
            <w:r>
              <w:rPr>
                <w:spacing w:val="-1"/>
                <w:sz w:val="18"/>
              </w:rPr>
              <w:t> </w:t>
            </w:r>
            <w:r>
              <w:rPr>
                <w:b/>
                <w:spacing w:val="-5"/>
                <w:sz w:val="18"/>
              </w:rPr>
              <w:t>0.1</w:t>
            </w:r>
          </w:p>
          <w:p>
            <w:pPr>
              <w:pStyle w:val="TableParagraph"/>
              <w:spacing w:line="219" w:lineRule="exact"/>
              <w:ind w:left="17"/>
              <w:jc w:val="center"/>
              <w:rPr>
                <w:sz w:val="18"/>
              </w:rPr>
            </w:pPr>
            <w:r>
              <w:rPr>
                <w:sz w:val="18"/>
              </w:rPr>
              <w:t>(95%</w:t>
            </w:r>
            <w:r>
              <w:rPr>
                <w:spacing w:val="-1"/>
                <w:sz w:val="18"/>
              </w:rPr>
              <w:t> </w:t>
            </w:r>
            <w:r>
              <w:rPr>
                <w:sz w:val="18"/>
              </w:rPr>
              <w:t>CI 0.06 to </w:t>
            </w:r>
            <w:r>
              <w:rPr>
                <w:spacing w:val="-4"/>
                <w:sz w:val="18"/>
              </w:rPr>
              <w:t>0.17)</w:t>
            </w:r>
          </w:p>
          <w:p>
            <w:pPr>
              <w:pStyle w:val="TableParagraph"/>
              <w:rPr>
                <w:sz w:val="18"/>
              </w:rPr>
            </w:pPr>
          </w:p>
          <w:p>
            <w:pPr>
              <w:pStyle w:val="TableParagraph"/>
              <w:ind w:left="462" w:right="445"/>
              <w:jc w:val="center"/>
              <w:rPr>
                <w:sz w:val="18"/>
              </w:rPr>
            </w:pPr>
            <w:r>
              <w:rPr>
                <w:sz w:val="18"/>
              </w:rPr>
              <w:t>Based</w:t>
            </w:r>
            <w:r>
              <w:rPr>
                <w:spacing w:val="-10"/>
                <w:sz w:val="18"/>
              </w:rPr>
              <w:t> </w:t>
            </w:r>
            <w:r>
              <w:rPr>
                <w:sz w:val="18"/>
              </w:rPr>
              <w:t>on</w:t>
            </w:r>
            <w:r>
              <w:rPr>
                <w:spacing w:val="-10"/>
                <w:sz w:val="18"/>
              </w:rPr>
              <w:t> </w:t>
            </w:r>
            <w:r>
              <w:rPr>
                <w:sz w:val="18"/>
              </w:rPr>
              <w:t>data</w:t>
            </w:r>
            <w:r>
              <w:rPr>
                <w:spacing w:val="-10"/>
                <w:sz w:val="18"/>
              </w:rPr>
              <w:t> </w:t>
            </w:r>
            <w:r>
              <w:rPr>
                <w:sz w:val="18"/>
              </w:rPr>
              <w:t>from</w:t>
            </w:r>
            <w:r>
              <w:rPr>
                <w:spacing w:val="-10"/>
                <w:sz w:val="18"/>
              </w:rPr>
              <w:t> </w:t>
            </w:r>
            <w:r>
              <w:rPr>
                <w:sz w:val="18"/>
              </w:rPr>
              <w:t>323 participants in 1 study Follow-up: 1 year</w:t>
            </w:r>
          </w:p>
        </w:tc>
        <w:tc>
          <w:tcPr>
            <w:tcW w:w="3914" w:type="dxa"/>
            <w:gridSpan w:val="2"/>
            <w:vMerge w:val="restart"/>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4"/>
              <w:rPr>
                <w:sz w:val="18"/>
              </w:rPr>
            </w:pPr>
          </w:p>
          <w:p>
            <w:pPr>
              <w:pStyle w:val="TableParagraph"/>
              <w:ind w:left="14"/>
              <w:jc w:val="center"/>
              <w:rPr>
                <w:sz w:val="18"/>
              </w:rPr>
            </w:pPr>
            <w:r>
              <w:rPr>
                <w:spacing w:val="-10"/>
                <w:sz w:val="18"/>
              </w:rPr>
              <w:t>-</w:t>
            </w:r>
          </w:p>
        </w:tc>
        <w:tc>
          <w:tcPr>
            <w:tcW w:w="2254" w:type="dxa"/>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82"/>
              <w:rPr>
                <w:sz w:val="18"/>
              </w:rPr>
            </w:pPr>
          </w:p>
          <w:p>
            <w:pPr>
              <w:pStyle w:val="TableParagraph"/>
              <w:ind w:left="50" w:right="43"/>
              <w:jc w:val="center"/>
              <w:rPr>
                <w:b/>
                <w:sz w:val="18"/>
              </w:rPr>
            </w:pPr>
            <w:r>
              <w:rPr>
                <w:b/>
                <w:spacing w:val="-5"/>
                <w:sz w:val="18"/>
              </w:rPr>
              <w:t>Low</w:t>
            </w:r>
          </w:p>
          <w:p>
            <w:pPr>
              <w:pStyle w:val="TableParagraph"/>
              <w:spacing w:before="1"/>
              <w:ind w:left="50" w:right="39"/>
              <w:jc w:val="center"/>
              <w:rPr>
                <w:position w:val="5"/>
                <w:sz w:val="12"/>
              </w:rPr>
            </w:pPr>
            <w:r>
              <w:rPr>
                <w:sz w:val="18"/>
              </w:rPr>
              <w:t>Due</w:t>
            </w:r>
            <w:r>
              <w:rPr>
                <w:spacing w:val="-9"/>
                <w:sz w:val="18"/>
              </w:rPr>
              <w:t> </w:t>
            </w:r>
            <w:r>
              <w:rPr>
                <w:sz w:val="18"/>
              </w:rPr>
              <w:t>to</w:t>
            </w:r>
            <w:r>
              <w:rPr>
                <w:spacing w:val="-8"/>
                <w:sz w:val="18"/>
              </w:rPr>
              <w:t> </w:t>
            </w:r>
            <w:r>
              <w:rPr>
                <w:sz w:val="18"/>
              </w:rPr>
              <w:t>very</w:t>
            </w:r>
            <w:r>
              <w:rPr>
                <w:spacing w:val="-8"/>
                <w:sz w:val="18"/>
              </w:rPr>
              <w:t> </w:t>
            </w:r>
            <w:r>
              <w:rPr>
                <w:sz w:val="18"/>
              </w:rPr>
              <w:t>serious</w:t>
            </w:r>
            <w:r>
              <w:rPr>
                <w:spacing w:val="-9"/>
                <w:sz w:val="18"/>
              </w:rPr>
              <w:t> </w:t>
            </w:r>
            <w:r>
              <w:rPr>
                <w:sz w:val="18"/>
              </w:rPr>
              <w:t>risk</w:t>
            </w:r>
            <w:r>
              <w:rPr>
                <w:spacing w:val="-8"/>
                <w:sz w:val="18"/>
              </w:rPr>
              <w:t> </w:t>
            </w:r>
            <w:r>
              <w:rPr>
                <w:sz w:val="18"/>
              </w:rPr>
              <w:t>of </w:t>
            </w:r>
            <w:r>
              <w:rPr>
                <w:spacing w:val="-2"/>
                <w:sz w:val="18"/>
              </w:rPr>
              <w:t>bias</w:t>
            </w:r>
            <w:r>
              <w:rPr>
                <w:spacing w:val="-2"/>
                <w:position w:val="5"/>
                <w:sz w:val="12"/>
              </w:rPr>
              <w:t>4</w:t>
            </w:r>
          </w:p>
        </w:tc>
        <w:tc>
          <w:tcPr>
            <w:tcW w:w="3743" w:type="dxa"/>
            <w:tcBorders>
              <w:top w:val="single" w:sz="4" w:space="0" w:color="000000"/>
              <w:left w:val="single" w:sz="4" w:space="0" w:color="000000"/>
              <w:bottom w:val="single" w:sz="4" w:space="0" w:color="000000"/>
            </w:tcBorders>
          </w:tcPr>
          <w:p>
            <w:pPr>
              <w:pStyle w:val="TableParagraph"/>
              <w:rPr>
                <w:sz w:val="18"/>
              </w:rPr>
            </w:pPr>
          </w:p>
          <w:p>
            <w:pPr>
              <w:pStyle w:val="TableParagraph"/>
              <w:spacing w:before="168"/>
              <w:rPr>
                <w:sz w:val="18"/>
              </w:rPr>
            </w:pPr>
          </w:p>
          <w:p>
            <w:pPr>
              <w:pStyle w:val="TableParagraph"/>
              <w:spacing w:before="1"/>
              <w:ind w:left="6" w:right="1"/>
              <w:jc w:val="center"/>
              <w:rPr>
                <w:sz w:val="18"/>
              </w:rPr>
            </w:pPr>
            <w:r>
              <w:rPr>
                <w:sz w:val="18"/>
              </w:rPr>
              <w:t>Thromboprophylaxis (aspirin) may reduce the hazard of mortality when compared with no thromboprophylaxis</w:t>
            </w:r>
            <w:r>
              <w:rPr>
                <w:spacing w:val="-9"/>
                <w:sz w:val="18"/>
              </w:rPr>
              <w:t> </w:t>
            </w:r>
            <w:r>
              <w:rPr>
                <w:sz w:val="18"/>
              </w:rPr>
              <w:t>in</w:t>
            </w:r>
            <w:r>
              <w:rPr>
                <w:spacing w:val="-9"/>
                <w:sz w:val="18"/>
              </w:rPr>
              <w:t> </w:t>
            </w:r>
            <w:r>
              <w:rPr>
                <w:sz w:val="18"/>
              </w:rPr>
              <w:t>children</w:t>
            </w:r>
            <w:r>
              <w:rPr>
                <w:spacing w:val="-9"/>
                <w:sz w:val="18"/>
              </w:rPr>
              <w:t> </w:t>
            </w:r>
            <w:r>
              <w:rPr>
                <w:sz w:val="18"/>
              </w:rPr>
              <w:t>with</w:t>
            </w:r>
            <w:r>
              <w:rPr>
                <w:spacing w:val="-9"/>
                <w:sz w:val="18"/>
              </w:rPr>
              <w:t> </w:t>
            </w:r>
            <w:r>
              <w:rPr>
                <w:sz w:val="18"/>
              </w:rPr>
              <w:t>an</w:t>
            </w:r>
            <w:r>
              <w:rPr>
                <w:spacing w:val="-9"/>
                <w:sz w:val="18"/>
              </w:rPr>
              <w:t> </w:t>
            </w:r>
            <w:r>
              <w:rPr>
                <w:sz w:val="18"/>
              </w:rPr>
              <w:t>indication for modified BT shunt surgery</w:t>
            </w:r>
          </w:p>
          <w:p>
            <w:pPr>
              <w:pStyle w:val="TableParagraph"/>
              <w:spacing w:before="48"/>
              <w:rPr>
                <w:sz w:val="18"/>
              </w:rPr>
            </w:pPr>
          </w:p>
          <w:p>
            <w:pPr>
              <w:pStyle w:val="TableParagraph"/>
              <w:ind w:left="49"/>
              <w:jc w:val="center"/>
              <w:rPr>
                <w:sz w:val="18"/>
              </w:rPr>
            </w:pPr>
            <w:r>
              <w:rPr>
                <w:sz w:val="18"/>
              </w:rPr>
              <w:t>(Li, </w:t>
            </w:r>
            <w:r>
              <w:rPr>
                <w:spacing w:val="-2"/>
                <w:sz w:val="18"/>
              </w:rPr>
              <w:t>2007)</w:t>
            </w:r>
          </w:p>
        </w:tc>
      </w:tr>
      <w:tr>
        <w:trPr>
          <w:trHeight w:val="2286" w:hRule="atLeast"/>
        </w:trPr>
        <w:tc>
          <w:tcPr>
            <w:tcW w:w="1371" w:type="dxa"/>
            <w:vMerge/>
            <w:tcBorders>
              <w:top w:val="nil"/>
              <w:bottom w:val="single" w:sz="4" w:space="0" w:color="000000"/>
              <w:right w:val="single" w:sz="4" w:space="0" w:color="000000"/>
            </w:tcBorders>
          </w:tcPr>
          <w:p>
            <w:pPr>
              <w:rPr>
                <w:sz w:val="2"/>
                <w:szCs w:val="2"/>
              </w:rPr>
            </w:pPr>
          </w:p>
        </w:tc>
        <w:tc>
          <w:tcPr>
            <w:tcW w:w="2667" w:type="dxa"/>
            <w:tcBorders>
              <w:top w:val="single" w:sz="4" w:space="0" w:color="000000"/>
              <w:left w:val="single" w:sz="4" w:space="0" w:color="000000"/>
              <w:bottom w:val="single" w:sz="4" w:space="0" w:color="000000"/>
              <w:right w:val="single" w:sz="4" w:space="0" w:color="000000"/>
            </w:tcBorders>
          </w:tcPr>
          <w:p>
            <w:pPr>
              <w:pStyle w:val="TableParagraph"/>
              <w:spacing w:before="44"/>
              <w:ind w:left="225" w:right="210"/>
              <w:jc w:val="center"/>
              <w:rPr>
                <w:sz w:val="18"/>
              </w:rPr>
            </w:pPr>
            <w:r>
              <w:rPr>
                <w:sz w:val="18"/>
              </w:rPr>
              <w:t>Children</w:t>
            </w:r>
            <w:r>
              <w:rPr>
                <w:spacing w:val="-10"/>
                <w:sz w:val="18"/>
              </w:rPr>
              <w:t> </w:t>
            </w:r>
            <w:r>
              <w:rPr>
                <w:sz w:val="18"/>
              </w:rPr>
              <w:t>with</w:t>
            </w:r>
            <w:r>
              <w:rPr>
                <w:spacing w:val="-11"/>
                <w:sz w:val="18"/>
              </w:rPr>
              <w:t> </w:t>
            </w:r>
            <w:r>
              <w:rPr>
                <w:sz w:val="18"/>
              </w:rPr>
              <w:t>an</w:t>
            </w:r>
            <w:r>
              <w:rPr>
                <w:spacing w:val="-9"/>
                <w:sz w:val="18"/>
              </w:rPr>
              <w:t> </w:t>
            </w:r>
            <w:r>
              <w:rPr>
                <w:sz w:val="18"/>
              </w:rPr>
              <w:t>indication</w:t>
            </w:r>
            <w:r>
              <w:rPr>
                <w:spacing w:val="-10"/>
                <w:sz w:val="18"/>
              </w:rPr>
              <w:t> </w:t>
            </w:r>
            <w:r>
              <w:rPr>
                <w:sz w:val="18"/>
              </w:rPr>
              <w:t>for Sano shunt surgery:</w:t>
            </w:r>
          </w:p>
          <w:p>
            <w:pPr>
              <w:pStyle w:val="TableParagraph"/>
              <w:spacing w:before="1"/>
              <w:rPr>
                <w:sz w:val="18"/>
              </w:rPr>
            </w:pPr>
          </w:p>
          <w:p>
            <w:pPr>
              <w:pStyle w:val="TableParagraph"/>
              <w:spacing w:line="219" w:lineRule="exact"/>
              <w:ind w:left="225" w:right="210"/>
              <w:jc w:val="center"/>
              <w:rPr>
                <w:b/>
                <w:sz w:val="18"/>
              </w:rPr>
            </w:pPr>
            <w:r>
              <w:rPr>
                <w:sz w:val="18"/>
              </w:rPr>
              <w:t>Hazard</w:t>
            </w:r>
            <w:r>
              <w:rPr>
                <w:spacing w:val="-4"/>
                <w:sz w:val="18"/>
              </w:rPr>
              <w:t> </w:t>
            </w:r>
            <w:r>
              <w:rPr>
                <w:sz w:val="18"/>
              </w:rPr>
              <w:t>ratio:</w:t>
            </w:r>
            <w:r>
              <w:rPr>
                <w:spacing w:val="-1"/>
                <w:sz w:val="18"/>
              </w:rPr>
              <w:t> </w:t>
            </w:r>
            <w:r>
              <w:rPr>
                <w:b/>
                <w:spacing w:val="-4"/>
                <w:sz w:val="18"/>
              </w:rPr>
              <w:t>0.68</w:t>
            </w:r>
          </w:p>
          <w:p>
            <w:pPr>
              <w:pStyle w:val="TableParagraph"/>
              <w:spacing w:line="219" w:lineRule="exact"/>
              <w:ind w:left="17"/>
              <w:jc w:val="center"/>
              <w:rPr>
                <w:sz w:val="18"/>
              </w:rPr>
            </w:pPr>
            <w:r>
              <w:rPr>
                <w:sz w:val="18"/>
              </w:rPr>
              <w:t>95%</w:t>
            </w:r>
            <w:r>
              <w:rPr>
                <w:spacing w:val="-1"/>
                <w:sz w:val="18"/>
              </w:rPr>
              <w:t> </w:t>
            </w:r>
            <w:r>
              <w:rPr>
                <w:sz w:val="18"/>
              </w:rPr>
              <w:t>CI (0.09 to </w:t>
            </w:r>
            <w:r>
              <w:rPr>
                <w:spacing w:val="-4"/>
                <w:sz w:val="18"/>
              </w:rPr>
              <w:t>5.33)</w:t>
            </w:r>
          </w:p>
          <w:p>
            <w:pPr>
              <w:pStyle w:val="TableParagraph"/>
              <w:spacing w:before="2"/>
              <w:rPr>
                <w:sz w:val="18"/>
              </w:rPr>
            </w:pPr>
          </w:p>
          <w:p>
            <w:pPr>
              <w:pStyle w:val="TableParagraph"/>
              <w:ind w:left="25" w:right="9"/>
              <w:jc w:val="center"/>
              <w:rPr>
                <w:sz w:val="18"/>
              </w:rPr>
            </w:pPr>
            <w:r>
              <w:rPr>
                <w:sz w:val="18"/>
              </w:rPr>
              <w:t>Based</w:t>
            </w:r>
            <w:r>
              <w:rPr>
                <w:spacing w:val="-8"/>
                <w:sz w:val="18"/>
              </w:rPr>
              <w:t> </w:t>
            </w:r>
            <w:r>
              <w:rPr>
                <w:sz w:val="18"/>
              </w:rPr>
              <w:t>on</w:t>
            </w:r>
            <w:r>
              <w:rPr>
                <w:spacing w:val="-8"/>
                <w:sz w:val="18"/>
              </w:rPr>
              <w:t> </w:t>
            </w:r>
            <w:r>
              <w:rPr>
                <w:sz w:val="18"/>
              </w:rPr>
              <w:t>data</w:t>
            </w:r>
            <w:r>
              <w:rPr>
                <w:spacing w:val="-8"/>
                <w:sz w:val="18"/>
              </w:rPr>
              <w:t> </w:t>
            </w:r>
            <w:r>
              <w:rPr>
                <w:sz w:val="18"/>
              </w:rPr>
              <w:t>from</w:t>
            </w:r>
            <w:r>
              <w:rPr>
                <w:spacing w:val="-8"/>
                <w:sz w:val="18"/>
              </w:rPr>
              <w:t> </w:t>
            </w:r>
            <w:r>
              <w:rPr>
                <w:sz w:val="18"/>
              </w:rPr>
              <w:t>50</w:t>
            </w:r>
            <w:r>
              <w:rPr>
                <w:spacing w:val="-8"/>
                <w:sz w:val="18"/>
              </w:rPr>
              <w:t> </w:t>
            </w:r>
            <w:r>
              <w:rPr>
                <w:sz w:val="18"/>
              </w:rPr>
              <w:t>participants in 1 study</w:t>
            </w:r>
          </w:p>
          <w:p>
            <w:pPr>
              <w:pStyle w:val="TableParagraph"/>
              <w:spacing w:line="219" w:lineRule="exact"/>
              <w:ind w:left="11"/>
              <w:jc w:val="center"/>
              <w:rPr>
                <w:sz w:val="18"/>
              </w:rPr>
            </w:pPr>
            <w:r>
              <w:rPr>
                <w:sz w:val="18"/>
              </w:rPr>
              <w:t>Follow-up:</w:t>
            </w:r>
            <w:r>
              <w:rPr>
                <w:spacing w:val="-5"/>
                <w:sz w:val="18"/>
              </w:rPr>
              <w:t> </w:t>
            </w:r>
            <w:r>
              <w:rPr>
                <w:sz w:val="18"/>
              </w:rPr>
              <w:t>1</w:t>
            </w:r>
            <w:r>
              <w:rPr>
                <w:spacing w:val="-2"/>
                <w:sz w:val="18"/>
              </w:rPr>
              <w:t> </w:t>
            </w:r>
            <w:r>
              <w:rPr>
                <w:spacing w:val="-4"/>
                <w:sz w:val="18"/>
              </w:rPr>
              <w:t>year</w:t>
            </w:r>
          </w:p>
        </w:tc>
        <w:tc>
          <w:tcPr>
            <w:tcW w:w="3914" w:type="dxa"/>
            <w:gridSpan w:val="2"/>
            <w:vMerge/>
            <w:tcBorders>
              <w:top w:val="nil"/>
              <w:left w:val="single" w:sz="4" w:space="0" w:color="000000"/>
              <w:bottom w:val="single" w:sz="4" w:space="0" w:color="000000"/>
              <w:right w:val="single" w:sz="4" w:space="0" w:color="000000"/>
            </w:tcBorders>
          </w:tcPr>
          <w:p>
            <w:pPr>
              <w:rPr>
                <w:sz w:val="2"/>
                <w:szCs w:val="2"/>
              </w:rPr>
            </w:pPr>
          </w:p>
        </w:tc>
        <w:tc>
          <w:tcPr>
            <w:tcW w:w="2254" w:type="dxa"/>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spacing w:before="45"/>
              <w:rPr>
                <w:sz w:val="18"/>
              </w:rPr>
            </w:pPr>
          </w:p>
          <w:p>
            <w:pPr>
              <w:pStyle w:val="TableParagraph"/>
              <w:spacing w:line="219" w:lineRule="exact"/>
              <w:ind w:left="50" w:right="43"/>
              <w:jc w:val="center"/>
              <w:rPr>
                <w:b/>
                <w:sz w:val="18"/>
              </w:rPr>
            </w:pPr>
            <w:r>
              <w:rPr>
                <w:b/>
                <w:sz w:val="18"/>
              </w:rPr>
              <w:t>Very</w:t>
            </w:r>
            <w:r>
              <w:rPr>
                <w:b/>
                <w:spacing w:val="-1"/>
                <w:sz w:val="18"/>
              </w:rPr>
              <w:t> </w:t>
            </w:r>
            <w:r>
              <w:rPr>
                <w:b/>
                <w:spacing w:val="-5"/>
                <w:sz w:val="18"/>
              </w:rPr>
              <w:t>low</w:t>
            </w:r>
          </w:p>
          <w:p>
            <w:pPr>
              <w:pStyle w:val="TableParagraph"/>
              <w:ind w:left="50" w:right="39"/>
              <w:jc w:val="center"/>
              <w:rPr>
                <w:position w:val="5"/>
                <w:sz w:val="12"/>
              </w:rPr>
            </w:pPr>
            <w:r>
              <w:rPr>
                <w:sz w:val="18"/>
              </w:rPr>
              <w:t>Due</w:t>
            </w:r>
            <w:r>
              <w:rPr>
                <w:spacing w:val="-9"/>
                <w:sz w:val="18"/>
              </w:rPr>
              <w:t> </w:t>
            </w:r>
            <w:r>
              <w:rPr>
                <w:sz w:val="18"/>
              </w:rPr>
              <w:t>to</w:t>
            </w:r>
            <w:r>
              <w:rPr>
                <w:spacing w:val="-8"/>
                <w:sz w:val="18"/>
              </w:rPr>
              <w:t> </w:t>
            </w:r>
            <w:r>
              <w:rPr>
                <w:sz w:val="18"/>
              </w:rPr>
              <w:t>very</w:t>
            </w:r>
            <w:r>
              <w:rPr>
                <w:spacing w:val="-8"/>
                <w:sz w:val="18"/>
              </w:rPr>
              <w:t> </w:t>
            </w:r>
            <w:r>
              <w:rPr>
                <w:sz w:val="18"/>
              </w:rPr>
              <w:t>serious</w:t>
            </w:r>
            <w:r>
              <w:rPr>
                <w:spacing w:val="-9"/>
                <w:sz w:val="18"/>
              </w:rPr>
              <w:t> </w:t>
            </w:r>
            <w:r>
              <w:rPr>
                <w:sz w:val="18"/>
              </w:rPr>
              <w:t>risk</w:t>
            </w:r>
            <w:r>
              <w:rPr>
                <w:spacing w:val="-8"/>
                <w:sz w:val="18"/>
              </w:rPr>
              <w:t> </w:t>
            </w:r>
            <w:r>
              <w:rPr>
                <w:sz w:val="18"/>
              </w:rPr>
              <w:t>of bias, due to very serious </w:t>
            </w:r>
            <w:r>
              <w:rPr>
                <w:spacing w:val="-2"/>
                <w:sz w:val="18"/>
              </w:rPr>
              <w:t>imprecision</w:t>
            </w:r>
            <w:r>
              <w:rPr>
                <w:spacing w:val="-2"/>
                <w:position w:val="5"/>
                <w:sz w:val="12"/>
              </w:rPr>
              <w:t>5</w:t>
            </w:r>
          </w:p>
        </w:tc>
        <w:tc>
          <w:tcPr>
            <w:tcW w:w="3743" w:type="dxa"/>
            <w:tcBorders>
              <w:top w:val="single" w:sz="4" w:space="0" w:color="000000"/>
              <w:left w:val="single" w:sz="4" w:space="0" w:color="000000"/>
              <w:bottom w:val="single" w:sz="4" w:space="0" w:color="000000"/>
            </w:tcBorders>
          </w:tcPr>
          <w:p>
            <w:pPr>
              <w:pStyle w:val="TableParagraph"/>
              <w:rPr>
                <w:sz w:val="18"/>
              </w:rPr>
            </w:pPr>
          </w:p>
          <w:p>
            <w:pPr>
              <w:pStyle w:val="TableParagraph"/>
              <w:spacing w:before="8"/>
              <w:rPr>
                <w:sz w:val="18"/>
              </w:rPr>
            </w:pPr>
          </w:p>
          <w:p>
            <w:pPr>
              <w:pStyle w:val="TableParagraph"/>
              <w:ind w:left="48" w:right="43" w:hanging="2"/>
              <w:jc w:val="center"/>
              <w:rPr>
                <w:sz w:val="18"/>
              </w:rPr>
            </w:pPr>
            <w:r>
              <w:rPr>
                <w:sz w:val="18"/>
              </w:rPr>
              <w:t>The</w:t>
            </w:r>
            <w:r>
              <w:rPr>
                <w:spacing w:val="-4"/>
                <w:sz w:val="18"/>
              </w:rPr>
              <w:t> </w:t>
            </w:r>
            <w:r>
              <w:rPr>
                <w:sz w:val="18"/>
              </w:rPr>
              <w:t>evidence</w:t>
            </w:r>
            <w:r>
              <w:rPr>
                <w:spacing w:val="-4"/>
                <w:sz w:val="18"/>
              </w:rPr>
              <w:t> </w:t>
            </w:r>
            <w:r>
              <w:rPr>
                <w:sz w:val="18"/>
              </w:rPr>
              <w:t>is</w:t>
            </w:r>
            <w:r>
              <w:rPr>
                <w:spacing w:val="-5"/>
                <w:sz w:val="18"/>
              </w:rPr>
              <w:t> </w:t>
            </w:r>
            <w:r>
              <w:rPr>
                <w:sz w:val="18"/>
              </w:rPr>
              <w:t>very</w:t>
            </w:r>
            <w:r>
              <w:rPr>
                <w:spacing w:val="-3"/>
                <w:sz w:val="18"/>
              </w:rPr>
              <w:t> </w:t>
            </w:r>
            <w:r>
              <w:rPr>
                <w:sz w:val="18"/>
              </w:rPr>
              <w:t>uncertain</w:t>
            </w:r>
            <w:r>
              <w:rPr>
                <w:spacing w:val="-5"/>
                <w:sz w:val="18"/>
              </w:rPr>
              <w:t> </w:t>
            </w:r>
            <w:r>
              <w:rPr>
                <w:sz w:val="18"/>
              </w:rPr>
              <w:t>about</w:t>
            </w:r>
            <w:r>
              <w:rPr>
                <w:spacing w:val="-3"/>
                <w:sz w:val="18"/>
              </w:rPr>
              <w:t> </w:t>
            </w:r>
            <w:r>
              <w:rPr>
                <w:sz w:val="18"/>
              </w:rPr>
              <w:t>the</w:t>
            </w:r>
            <w:r>
              <w:rPr>
                <w:spacing w:val="-4"/>
                <w:sz w:val="18"/>
              </w:rPr>
              <w:t> </w:t>
            </w:r>
            <w:r>
              <w:rPr>
                <w:sz w:val="18"/>
              </w:rPr>
              <w:t>effect</w:t>
            </w:r>
            <w:r>
              <w:rPr>
                <w:spacing w:val="-3"/>
                <w:sz w:val="18"/>
              </w:rPr>
              <w:t> </w:t>
            </w:r>
            <w:r>
              <w:rPr>
                <w:sz w:val="18"/>
              </w:rPr>
              <w:t>of thromboprophylaxis (aspirin) on mortality when compared with no thromboprophylaxis in</w:t>
            </w:r>
            <w:r>
              <w:rPr>
                <w:spacing w:val="40"/>
                <w:sz w:val="18"/>
              </w:rPr>
              <w:t> </w:t>
            </w:r>
            <w:r>
              <w:rPr>
                <w:sz w:val="18"/>
              </w:rPr>
              <w:t>children</w:t>
            </w:r>
            <w:r>
              <w:rPr>
                <w:spacing w:val="-7"/>
                <w:sz w:val="18"/>
              </w:rPr>
              <w:t> </w:t>
            </w:r>
            <w:r>
              <w:rPr>
                <w:sz w:val="18"/>
              </w:rPr>
              <w:t>with</w:t>
            </w:r>
            <w:r>
              <w:rPr>
                <w:spacing w:val="-8"/>
                <w:sz w:val="18"/>
              </w:rPr>
              <w:t> </w:t>
            </w:r>
            <w:r>
              <w:rPr>
                <w:sz w:val="18"/>
              </w:rPr>
              <w:t>an</w:t>
            </w:r>
            <w:r>
              <w:rPr>
                <w:spacing w:val="-5"/>
                <w:sz w:val="18"/>
              </w:rPr>
              <w:t> </w:t>
            </w:r>
            <w:r>
              <w:rPr>
                <w:sz w:val="18"/>
              </w:rPr>
              <w:t>indication</w:t>
            </w:r>
            <w:r>
              <w:rPr>
                <w:spacing w:val="-7"/>
                <w:sz w:val="18"/>
              </w:rPr>
              <w:t> </w:t>
            </w:r>
            <w:r>
              <w:rPr>
                <w:sz w:val="18"/>
              </w:rPr>
              <w:t>for</w:t>
            </w:r>
            <w:r>
              <w:rPr>
                <w:spacing w:val="-6"/>
                <w:sz w:val="18"/>
              </w:rPr>
              <w:t> </w:t>
            </w:r>
            <w:r>
              <w:rPr>
                <w:sz w:val="18"/>
              </w:rPr>
              <w:t>Sano</w:t>
            </w:r>
            <w:r>
              <w:rPr>
                <w:spacing w:val="-6"/>
                <w:sz w:val="18"/>
              </w:rPr>
              <w:t> </w:t>
            </w:r>
            <w:r>
              <w:rPr>
                <w:sz w:val="18"/>
              </w:rPr>
              <w:t>shunt</w:t>
            </w:r>
            <w:r>
              <w:rPr>
                <w:spacing w:val="-6"/>
                <w:sz w:val="18"/>
              </w:rPr>
              <w:t> </w:t>
            </w:r>
            <w:r>
              <w:rPr>
                <w:sz w:val="18"/>
              </w:rPr>
              <w:t>surgery</w:t>
            </w:r>
          </w:p>
          <w:p>
            <w:pPr>
              <w:pStyle w:val="TableParagraph"/>
              <w:spacing w:before="72"/>
              <w:rPr>
                <w:sz w:val="18"/>
              </w:rPr>
            </w:pPr>
          </w:p>
          <w:p>
            <w:pPr>
              <w:pStyle w:val="TableParagraph"/>
              <w:ind w:left="6"/>
              <w:jc w:val="center"/>
              <w:rPr>
                <w:sz w:val="18"/>
              </w:rPr>
            </w:pPr>
            <w:r>
              <w:rPr>
                <w:sz w:val="18"/>
              </w:rPr>
              <w:t>(Li, </w:t>
            </w:r>
            <w:r>
              <w:rPr>
                <w:spacing w:val="-2"/>
                <w:sz w:val="18"/>
              </w:rPr>
              <w:t>2007)</w:t>
            </w:r>
          </w:p>
        </w:tc>
      </w:tr>
      <w:tr>
        <w:trPr>
          <w:trHeight w:val="1483" w:hRule="atLeast"/>
        </w:trPr>
        <w:tc>
          <w:tcPr>
            <w:tcW w:w="1371" w:type="dxa"/>
            <w:tcBorders>
              <w:top w:val="single" w:sz="4" w:space="0" w:color="000000"/>
              <w:right w:val="single" w:sz="4" w:space="0" w:color="000000"/>
            </w:tcBorders>
          </w:tcPr>
          <w:p>
            <w:pPr>
              <w:pStyle w:val="TableParagraph"/>
              <w:spacing w:before="44"/>
              <w:ind w:left="45"/>
              <w:rPr>
                <w:sz w:val="18"/>
              </w:rPr>
            </w:pPr>
            <w:r>
              <w:rPr>
                <w:spacing w:val="-2"/>
                <w:sz w:val="18"/>
              </w:rPr>
              <w:t>Thrombotic</w:t>
            </w:r>
            <w:r>
              <w:rPr>
                <w:sz w:val="18"/>
              </w:rPr>
              <w:t> </w:t>
            </w:r>
            <w:r>
              <w:rPr>
                <w:spacing w:val="-2"/>
                <w:sz w:val="18"/>
              </w:rPr>
              <w:t>complications</w:t>
            </w:r>
            <w:r>
              <w:rPr>
                <w:sz w:val="18"/>
              </w:rPr>
              <w:t> </w:t>
            </w:r>
            <w:r>
              <w:rPr>
                <w:spacing w:val="-2"/>
                <w:sz w:val="18"/>
              </w:rPr>
              <w:t>(critical)</w:t>
            </w:r>
          </w:p>
          <w:p>
            <w:pPr>
              <w:pStyle w:val="TableParagraph"/>
              <w:spacing w:before="74"/>
              <w:rPr>
                <w:sz w:val="18"/>
              </w:rPr>
            </w:pPr>
          </w:p>
          <w:p>
            <w:pPr>
              <w:pStyle w:val="TableParagraph"/>
              <w:spacing w:before="1"/>
              <w:ind w:left="45" w:right="166"/>
              <w:rPr>
                <w:sz w:val="18"/>
              </w:rPr>
            </w:pPr>
            <w:r>
              <w:rPr>
                <w:sz w:val="18"/>
              </w:rPr>
              <w:t>Ischemic</w:t>
            </w:r>
            <w:r>
              <w:rPr>
                <w:spacing w:val="-11"/>
                <w:sz w:val="18"/>
              </w:rPr>
              <w:t> </w:t>
            </w:r>
            <w:r>
              <w:rPr>
                <w:sz w:val="18"/>
              </w:rPr>
              <w:t>stroke </w:t>
            </w:r>
            <w:r>
              <w:rPr>
                <w:spacing w:val="-2"/>
                <w:sz w:val="18"/>
              </w:rPr>
              <w:t>(important)</w:t>
            </w:r>
          </w:p>
        </w:tc>
        <w:tc>
          <w:tcPr>
            <w:tcW w:w="2667" w:type="dxa"/>
            <w:tcBorders>
              <w:top w:val="single" w:sz="4" w:space="0" w:color="000000"/>
              <w:left w:val="single" w:sz="4" w:space="0" w:color="000000"/>
              <w:right w:val="single" w:sz="4" w:space="0" w:color="000000"/>
            </w:tcBorders>
          </w:tcPr>
          <w:p>
            <w:pPr>
              <w:pStyle w:val="TableParagraph"/>
              <w:rPr>
                <w:sz w:val="18"/>
              </w:rPr>
            </w:pPr>
          </w:p>
          <w:p>
            <w:pPr>
              <w:pStyle w:val="TableParagraph"/>
              <w:spacing w:before="193"/>
              <w:rPr>
                <w:sz w:val="18"/>
              </w:rPr>
            </w:pPr>
          </w:p>
          <w:p>
            <w:pPr>
              <w:pStyle w:val="TableParagraph"/>
              <w:ind w:left="13"/>
              <w:jc w:val="center"/>
              <w:rPr>
                <w:sz w:val="18"/>
              </w:rPr>
            </w:pPr>
            <w:r>
              <w:rPr>
                <w:spacing w:val="-10"/>
                <w:sz w:val="18"/>
              </w:rPr>
              <w:t>-</w:t>
            </w:r>
          </w:p>
        </w:tc>
        <w:tc>
          <w:tcPr>
            <w:tcW w:w="3914" w:type="dxa"/>
            <w:gridSpan w:val="2"/>
            <w:tcBorders>
              <w:top w:val="single" w:sz="4" w:space="0" w:color="000000"/>
              <w:left w:val="single" w:sz="4" w:space="0" w:color="000000"/>
              <w:right w:val="single" w:sz="4" w:space="0" w:color="000000"/>
            </w:tcBorders>
          </w:tcPr>
          <w:p>
            <w:pPr>
              <w:pStyle w:val="TableParagraph"/>
              <w:rPr>
                <w:sz w:val="18"/>
              </w:rPr>
            </w:pPr>
          </w:p>
          <w:p>
            <w:pPr>
              <w:pStyle w:val="TableParagraph"/>
              <w:spacing w:before="193"/>
              <w:rPr>
                <w:sz w:val="18"/>
              </w:rPr>
            </w:pPr>
          </w:p>
          <w:p>
            <w:pPr>
              <w:pStyle w:val="TableParagraph"/>
              <w:ind w:left="14"/>
              <w:jc w:val="center"/>
              <w:rPr>
                <w:sz w:val="18"/>
              </w:rPr>
            </w:pPr>
            <w:r>
              <w:rPr>
                <w:spacing w:val="-10"/>
                <w:sz w:val="18"/>
              </w:rPr>
              <w:t>-</w:t>
            </w:r>
          </w:p>
        </w:tc>
        <w:tc>
          <w:tcPr>
            <w:tcW w:w="2254" w:type="dxa"/>
            <w:tcBorders>
              <w:top w:val="single" w:sz="4" w:space="0" w:color="000000"/>
              <w:left w:val="single" w:sz="4" w:space="0" w:color="000000"/>
              <w:right w:val="single" w:sz="4" w:space="0" w:color="000000"/>
            </w:tcBorders>
          </w:tcPr>
          <w:p>
            <w:pPr>
              <w:pStyle w:val="TableParagraph"/>
              <w:rPr>
                <w:sz w:val="18"/>
              </w:rPr>
            </w:pPr>
          </w:p>
          <w:p>
            <w:pPr>
              <w:pStyle w:val="TableParagraph"/>
              <w:spacing w:before="83"/>
              <w:rPr>
                <w:sz w:val="18"/>
              </w:rPr>
            </w:pPr>
          </w:p>
          <w:p>
            <w:pPr>
              <w:pStyle w:val="TableParagraph"/>
              <w:spacing w:line="219" w:lineRule="exact"/>
              <w:ind w:left="50" w:right="46"/>
              <w:jc w:val="center"/>
              <w:rPr>
                <w:b/>
                <w:sz w:val="18"/>
              </w:rPr>
            </w:pPr>
            <w:r>
              <w:rPr>
                <w:b/>
                <w:sz w:val="18"/>
              </w:rPr>
              <w:t>No</w:t>
            </w:r>
            <w:r>
              <w:rPr>
                <w:b/>
                <w:spacing w:val="-5"/>
                <w:sz w:val="18"/>
              </w:rPr>
              <w:t> </w:t>
            </w:r>
            <w:r>
              <w:rPr>
                <w:b/>
                <w:spacing w:val="-2"/>
                <w:sz w:val="18"/>
              </w:rPr>
              <w:t>GRADE</w:t>
            </w:r>
          </w:p>
          <w:p>
            <w:pPr>
              <w:pStyle w:val="TableParagraph"/>
              <w:spacing w:line="219" w:lineRule="exact"/>
              <w:ind w:left="50" w:right="42"/>
              <w:jc w:val="center"/>
              <w:rPr>
                <w:sz w:val="18"/>
              </w:rPr>
            </w:pPr>
            <w:r>
              <w:rPr>
                <w:sz w:val="18"/>
              </w:rPr>
              <w:t>(No</w:t>
            </w:r>
            <w:r>
              <w:rPr>
                <w:spacing w:val="-4"/>
                <w:sz w:val="18"/>
              </w:rPr>
              <w:t> </w:t>
            </w:r>
            <w:r>
              <w:rPr>
                <w:sz w:val="18"/>
              </w:rPr>
              <w:t>evidence</w:t>
            </w:r>
            <w:r>
              <w:rPr>
                <w:spacing w:val="-4"/>
                <w:sz w:val="18"/>
              </w:rPr>
              <w:t> </w:t>
            </w:r>
            <w:r>
              <w:rPr>
                <w:sz w:val="18"/>
              </w:rPr>
              <w:t>was</w:t>
            </w:r>
            <w:r>
              <w:rPr>
                <w:spacing w:val="-3"/>
                <w:sz w:val="18"/>
              </w:rPr>
              <w:t> </w:t>
            </w:r>
            <w:r>
              <w:rPr>
                <w:spacing w:val="-2"/>
                <w:sz w:val="18"/>
              </w:rPr>
              <w:t>found)</w:t>
            </w:r>
          </w:p>
        </w:tc>
        <w:tc>
          <w:tcPr>
            <w:tcW w:w="3743" w:type="dxa"/>
            <w:tcBorders>
              <w:top w:val="single" w:sz="4" w:space="0" w:color="000000"/>
              <w:left w:val="single" w:sz="4" w:space="0" w:color="000000"/>
            </w:tcBorders>
          </w:tcPr>
          <w:p>
            <w:pPr>
              <w:pStyle w:val="TableParagraph"/>
              <w:spacing w:before="191"/>
              <w:ind w:left="84" w:right="77" w:hanging="1"/>
              <w:jc w:val="center"/>
              <w:rPr>
                <w:sz w:val="18"/>
              </w:rPr>
            </w:pPr>
            <w:r>
              <w:rPr>
                <w:sz w:val="18"/>
              </w:rPr>
              <w:t>No evidence was found regarding the effect of thromboprophylaxis on thrombotic complications,</w:t>
            </w:r>
            <w:r>
              <w:rPr>
                <w:spacing w:val="-11"/>
                <w:sz w:val="18"/>
              </w:rPr>
              <w:t> </w:t>
            </w:r>
            <w:r>
              <w:rPr>
                <w:sz w:val="18"/>
              </w:rPr>
              <w:t>ischemic</w:t>
            </w:r>
            <w:r>
              <w:rPr>
                <w:spacing w:val="-10"/>
                <w:sz w:val="18"/>
              </w:rPr>
              <w:t> </w:t>
            </w:r>
            <w:r>
              <w:rPr>
                <w:sz w:val="18"/>
              </w:rPr>
              <w:t>stroke,</w:t>
            </w:r>
            <w:r>
              <w:rPr>
                <w:spacing w:val="-10"/>
                <w:sz w:val="18"/>
              </w:rPr>
              <w:t> </w:t>
            </w:r>
            <w:r>
              <w:rPr>
                <w:sz w:val="18"/>
              </w:rPr>
              <w:t>(gastrointestinal) hemorrhage, quality of life (QOL), and adverse events, when compared with no</w:t>
            </w:r>
          </w:p>
        </w:tc>
      </w:tr>
    </w:tbl>
    <w:p>
      <w:pPr>
        <w:pStyle w:val="TableParagraph"/>
        <w:spacing w:after="0"/>
        <w:jc w:val="center"/>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71"/>
        <w:gridCol w:w="2667"/>
        <w:gridCol w:w="3914"/>
        <w:gridCol w:w="2255"/>
        <w:gridCol w:w="3744"/>
      </w:tblGrid>
      <w:tr>
        <w:trPr>
          <w:trHeight w:val="2947" w:hRule="atLeast"/>
        </w:trPr>
        <w:tc>
          <w:tcPr>
            <w:tcW w:w="1371" w:type="dxa"/>
            <w:tcBorders>
              <w:right w:val="single" w:sz="4" w:space="0" w:color="000000"/>
            </w:tcBorders>
          </w:tcPr>
          <w:p>
            <w:pPr>
              <w:pStyle w:val="TableParagraph"/>
              <w:spacing w:before="119"/>
              <w:rPr>
                <w:sz w:val="18"/>
              </w:rPr>
            </w:pPr>
          </w:p>
          <w:p>
            <w:pPr>
              <w:pStyle w:val="TableParagraph"/>
              <w:ind w:left="45"/>
              <w:rPr>
                <w:sz w:val="18"/>
              </w:rPr>
            </w:pPr>
            <w:r>
              <w:rPr>
                <w:spacing w:val="-2"/>
                <w:sz w:val="18"/>
              </w:rPr>
              <w:t>(Gastrointestinal)</w:t>
            </w:r>
            <w:r>
              <w:rPr>
                <w:sz w:val="18"/>
              </w:rPr>
              <w:t> </w:t>
            </w:r>
            <w:r>
              <w:rPr>
                <w:spacing w:val="-2"/>
                <w:sz w:val="18"/>
              </w:rPr>
              <w:t>hemorrhage</w:t>
            </w:r>
            <w:r>
              <w:rPr>
                <w:sz w:val="18"/>
              </w:rPr>
              <w:t> </w:t>
            </w:r>
            <w:r>
              <w:rPr>
                <w:spacing w:val="-2"/>
                <w:sz w:val="18"/>
              </w:rPr>
              <w:t>(important)</w:t>
            </w:r>
          </w:p>
          <w:p>
            <w:pPr>
              <w:pStyle w:val="TableParagraph"/>
              <w:spacing w:before="72"/>
              <w:rPr>
                <w:sz w:val="18"/>
              </w:rPr>
            </w:pPr>
          </w:p>
          <w:p>
            <w:pPr>
              <w:pStyle w:val="TableParagraph"/>
              <w:ind w:left="45"/>
              <w:rPr>
                <w:sz w:val="18"/>
              </w:rPr>
            </w:pPr>
            <w:r>
              <w:rPr>
                <w:sz w:val="18"/>
              </w:rPr>
              <w:t>Quality</w:t>
            </w:r>
            <w:r>
              <w:rPr>
                <w:spacing w:val="-11"/>
                <w:sz w:val="18"/>
              </w:rPr>
              <w:t> </w:t>
            </w:r>
            <w:r>
              <w:rPr>
                <w:sz w:val="18"/>
              </w:rPr>
              <w:t>of</w:t>
            </w:r>
            <w:r>
              <w:rPr>
                <w:spacing w:val="-10"/>
                <w:sz w:val="18"/>
              </w:rPr>
              <w:t> </w:t>
            </w:r>
            <w:r>
              <w:rPr>
                <w:sz w:val="18"/>
              </w:rPr>
              <w:t>life </w:t>
            </w:r>
            <w:r>
              <w:rPr>
                <w:spacing w:val="-2"/>
                <w:sz w:val="18"/>
              </w:rPr>
              <w:t>(QOL)</w:t>
            </w:r>
          </w:p>
          <w:p>
            <w:pPr>
              <w:pStyle w:val="TableParagraph"/>
              <w:spacing w:line="219" w:lineRule="exact"/>
              <w:ind w:left="45"/>
              <w:rPr>
                <w:sz w:val="18"/>
              </w:rPr>
            </w:pPr>
            <w:r>
              <w:rPr>
                <w:spacing w:val="-2"/>
                <w:sz w:val="18"/>
              </w:rPr>
              <w:t>(important)</w:t>
            </w:r>
          </w:p>
          <w:p>
            <w:pPr>
              <w:pStyle w:val="TableParagraph"/>
              <w:spacing w:before="74"/>
              <w:rPr>
                <w:sz w:val="18"/>
              </w:rPr>
            </w:pPr>
          </w:p>
          <w:p>
            <w:pPr>
              <w:pStyle w:val="TableParagraph"/>
              <w:ind w:left="45" w:right="185"/>
              <w:rPr>
                <w:sz w:val="18"/>
              </w:rPr>
            </w:pPr>
            <w:r>
              <w:rPr>
                <w:sz w:val="18"/>
              </w:rPr>
              <w:t>Adverse</w:t>
            </w:r>
            <w:r>
              <w:rPr>
                <w:spacing w:val="-11"/>
                <w:sz w:val="18"/>
              </w:rPr>
              <w:t> </w:t>
            </w:r>
            <w:r>
              <w:rPr>
                <w:sz w:val="18"/>
              </w:rPr>
              <w:t>events </w:t>
            </w:r>
            <w:r>
              <w:rPr>
                <w:spacing w:val="-2"/>
                <w:sz w:val="18"/>
              </w:rPr>
              <w:t>(important)</w:t>
            </w:r>
          </w:p>
        </w:tc>
        <w:tc>
          <w:tcPr>
            <w:tcW w:w="2667" w:type="dxa"/>
            <w:tcBorders>
              <w:left w:val="single" w:sz="4" w:space="0" w:color="000000"/>
              <w:right w:val="single" w:sz="4" w:space="0" w:color="000000"/>
            </w:tcBorders>
          </w:tcPr>
          <w:p>
            <w:pPr>
              <w:pStyle w:val="TableParagraph"/>
              <w:rPr>
                <w:rFonts w:ascii="Times New Roman"/>
                <w:sz w:val="18"/>
              </w:rPr>
            </w:pPr>
          </w:p>
        </w:tc>
        <w:tc>
          <w:tcPr>
            <w:tcW w:w="3914" w:type="dxa"/>
            <w:tcBorders>
              <w:left w:val="single" w:sz="4" w:space="0" w:color="000000"/>
              <w:right w:val="single" w:sz="4" w:space="0" w:color="000000"/>
            </w:tcBorders>
          </w:tcPr>
          <w:p>
            <w:pPr>
              <w:pStyle w:val="TableParagraph"/>
              <w:rPr>
                <w:rFonts w:ascii="Times New Roman"/>
                <w:sz w:val="18"/>
              </w:rPr>
            </w:pPr>
          </w:p>
        </w:tc>
        <w:tc>
          <w:tcPr>
            <w:tcW w:w="2255" w:type="dxa"/>
            <w:tcBorders>
              <w:left w:val="single" w:sz="4" w:space="0" w:color="000000"/>
              <w:right w:val="single" w:sz="4" w:space="0" w:color="000000"/>
            </w:tcBorders>
          </w:tcPr>
          <w:p>
            <w:pPr>
              <w:pStyle w:val="TableParagraph"/>
              <w:rPr>
                <w:rFonts w:ascii="Times New Roman"/>
                <w:sz w:val="18"/>
              </w:rPr>
            </w:pPr>
          </w:p>
        </w:tc>
        <w:tc>
          <w:tcPr>
            <w:tcW w:w="3744" w:type="dxa"/>
            <w:tcBorders>
              <w:left w:val="single" w:sz="4" w:space="0" w:color="000000"/>
            </w:tcBorders>
          </w:tcPr>
          <w:p>
            <w:pPr>
              <w:pStyle w:val="TableParagraph"/>
              <w:spacing w:before="46"/>
              <w:ind w:left="639" w:right="40" w:hanging="598"/>
              <w:rPr>
                <w:sz w:val="18"/>
              </w:rPr>
            </w:pPr>
            <w:r>
              <w:rPr>
                <w:sz w:val="18"/>
              </w:rPr>
              <w:t>thromboprophylaxis</w:t>
            </w:r>
            <w:r>
              <w:rPr>
                <w:spacing w:val="-8"/>
                <w:sz w:val="18"/>
              </w:rPr>
              <w:t> </w:t>
            </w:r>
            <w:r>
              <w:rPr>
                <w:sz w:val="18"/>
              </w:rPr>
              <w:t>in</w:t>
            </w:r>
            <w:r>
              <w:rPr>
                <w:spacing w:val="-8"/>
                <w:sz w:val="18"/>
              </w:rPr>
              <w:t> </w:t>
            </w:r>
            <w:r>
              <w:rPr>
                <w:sz w:val="18"/>
              </w:rPr>
              <w:t>children</w:t>
            </w:r>
            <w:r>
              <w:rPr>
                <w:spacing w:val="-8"/>
                <w:sz w:val="18"/>
              </w:rPr>
              <w:t> </w:t>
            </w:r>
            <w:r>
              <w:rPr>
                <w:sz w:val="18"/>
              </w:rPr>
              <w:t>with</w:t>
            </w:r>
            <w:r>
              <w:rPr>
                <w:spacing w:val="-9"/>
                <w:sz w:val="18"/>
              </w:rPr>
              <w:t> </w:t>
            </w:r>
            <w:r>
              <w:rPr>
                <w:sz w:val="18"/>
              </w:rPr>
              <w:t>an</w:t>
            </w:r>
            <w:r>
              <w:rPr>
                <w:spacing w:val="-8"/>
                <w:sz w:val="18"/>
              </w:rPr>
              <w:t> </w:t>
            </w:r>
            <w:r>
              <w:rPr>
                <w:sz w:val="18"/>
              </w:rPr>
              <w:t>indication for AP or RVP/Sano shunt surgery</w:t>
            </w:r>
          </w:p>
        </w:tc>
      </w:tr>
    </w:tbl>
    <w:p>
      <w:pPr>
        <w:pStyle w:val="ListParagraph"/>
        <w:numPr>
          <w:ilvl w:val="0"/>
          <w:numId w:val="3"/>
        </w:numPr>
        <w:tabs>
          <w:tab w:pos="383" w:val="left" w:leader="none"/>
        </w:tabs>
        <w:spacing w:line="280" w:lineRule="auto" w:before="0" w:after="0"/>
        <w:ind w:left="383" w:right="884" w:hanging="361"/>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serious</w:t>
      </w:r>
      <w:r>
        <w:rPr>
          <w:b/>
          <w:spacing w:val="-2"/>
          <w:sz w:val="18"/>
        </w:rPr>
        <w:t> </w:t>
      </w:r>
      <w:r>
        <w:rPr>
          <w:b/>
          <w:sz w:val="18"/>
        </w:rPr>
        <w:t>(-1 level).</w:t>
      </w:r>
      <w:r>
        <w:rPr>
          <w:b/>
          <w:spacing w:val="-2"/>
          <w:sz w:val="18"/>
        </w:rPr>
        <w:t> </w:t>
      </w:r>
      <w:r>
        <w:rPr>
          <w:sz w:val="18"/>
        </w:rPr>
        <w:t>No</w:t>
      </w:r>
      <w:r>
        <w:rPr>
          <w:spacing w:val="-2"/>
          <w:sz w:val="18"/>
        </w:rPr>
        <w:t> </w:t>
      </w:r>
      <w:r>
        <w:rPr>
          <w:sz w:val="18"/>
        </w:rPr>
        <w:t>reporting</w:t>
      </w:r>
      <w:r>
        <w:rPr>
          <w:spacing w:val="-3"/>
          <w:sz w:val="18"/>
        </w:rPr>
        <w:t> </w:t>
      </w:r>
      <w:r>
        <w:rPr>
          <w:sz w:val="18"/>
        </w:rPr>
        <w:t>on</w:t>
      </w:r>
      <w:r>
        <w:rPr>
          <w:spacing w:val="-3"/>
          <w:sz w:val="18"/>
        </w:rPr>
        <w:t> </w:t>
      </w:r>
      <w:r>
        <w:rPr>
          <w:sz w:val="18"/>
        </w:rPr>
        <w:t>allocation</w:t>
      </w:r>
      <w:r>
        <w:rPr>
          <w:spacing w:val="-3"/>
          <w:sz w:val="18"/>
        </w:rPr>
        <w:t> </w:t>
      </w:r>
      <w:r>
        <w:rPr>
          <w:sz w:val="18"/>
        </w:rPr>
        <w:t>concealment,</w:t>
      </w:r>
      <w:r>
        <w:rPr>
          <w:spacing w:val="-2"/>
          <w:sz w:val="18"/>
        </w:rPr>
        <w:t> </w:t>
      </w:r>
      <w:r>
        <w:rPr>
          <w:sz w:val="18"/>
        </w:rPr>
        <w:t>and</w:t>
      </w:r>
      <w:r>
        <w:rPr>
          <w:spacing w:val="-1"/>
          <w:sz w:val="18"/>
        </w:rPr>
        <w:t> </w:t>
      </w:r>
      <w:r>
        <w:rPr>
          <w:sz w:val="18"/>
        </w:rPr>
        <w:t>potential</w:t>
      </w:r>
      <w:r>
        <w:rPr>
          <w:spacing w:val="-2"/>
          <w:sz w:val="18"/>
        </w:rPr>
        <w:t> </w:t>
      </w:r>
      <w:r>
        <w:rPr>
          <w:sz w:val="18"/>
        </w:rPr>
        <w:t>funding</w:t>
      </w:r>
      <w:r>
        <w:rPr>
          <w:spacing w:val="-1"/>
          <w:sz w:val="18"/>
        </w:rPr>
        <w:t> </w:t>
      </w:r>
      <w:r>
        <w:rPr>
          <w:sz w:val="18"/>
        </w:rPr>
        <w:t>bias. </w:t>
      </w:r>
      <w:r>
        <w:rPr>
          <w:b/>
          <w:sz w:val="18"/>
        </w:rPr>
        <w:t>Imprecision:</w:t>
      </w:r>
      <w:r>
        <w:rPr>
          <w:b/>
          <w:spacing w:val="-2"/>
          <w:sz w:val="18"/>
        </w:rPr>
        <w:t> </w:t>
      </w:r>
      <w:r>
        <w:rPr>
          <w:b/>
          <w:sz w:val="18"/>
        </w:rPr>
        <w:t>very</w:t>
      </w:r>
      <w:r>
        <w:rPr>
          <w:b/>
          <w:spacing w:val="-2"/>
          <w:sz w:val="18"/>
        </w:rPr>
        <w:t> </w:t>
      </w:r>
      <w:r>
        <w:rPr>
          <w:b/>
          <w:sz w:val="18"/>
        </w:rPr>
        <w:t>serious</w:t>
      </w:r>
      <w:r>
        <w:rPr>
          <w:b/>
          <w:spacing w:val="-2"/>
          <w:sz w:val="18"/>
        </w:rPr>
        <w:t> </w:t>
      </w:r>
      <w:r>
        <w:rPr>
          <w:b/>
          <w:sz w:val="18"/>
        </w:rPr>
        <w:t>(-2</w:t>
      </w:r>
      <w:r>
        <w:rPr>
          <w:b/>
          <w:spacing w:val="-2"/>
          <w:sz w:val="18"/>
        </w:rPr>
        <w:t> </w:t>
      </w:r>
      <w:r>
        <w:rPr>
          <w:b/>
          <w:sz w:val="18"/>
        </w:rPr>
        <w:t>levels).</w:t>
      </w:r>
      <w:r>
        <w:rPr>
          <w:b/>
          <w:spacing w:val="-2"/>
          <w:sz w:val="18"/>
        </w:rPr>
        <w:t> </w:t>
      </w:r>
      <w:r>
        <w:rPr>
          <w:sz w:val="18"/>
        </w:rPr>
        <w:t>Confidence</w:t>
      </w:r>
      <w:r>
        <w:rPr>
          <w:spacing w:val="-3"/>
          <w:sz w:val="18"/>
        </w:rPr>
        <w:t> </w:t>
      </w:r>
      <w:r>
        <w:rPr>
          <w:sz w:val="18"/>
        </w:rPr>
        <w:t>interval</w:t>
      </w:r>
      <w:r>
        <w:rPr>
          <w:spacing w:val="-3"/>
          <w:sz w:val="18"/>
        </w:rPr>
        <w:t> </w:t>
      </w:r>
      <w:r>
        <w:rPr>
          <w:sz w:val="18"/>
        </w:rPr>
        <w:t>crosses</w:t>
      </w:r>
      <w:r>
        <w:rPr>
          <w:spacing w:val="-1"/>
          <w:sz w:val="18"/>
        </w:rPr>
        <w:t> </w:t>
      </w:r>
      <w:r>
        <w:rPr>
          <w:sz w:val="18"/>
        </w:rPr>
        <w:t>both</w:t>
      </w:r>
      <w:r>
        <w:rPr>
          <w:spacing w:val="-4"/>
          <w:sz w:val="18"/>
        </w:rPr>
        <w:t> </w:t>
      </w:r>
      <w:r>
        <w:rPr>
          <w:sz w:val="18"/>
        </w:rPr>
        <w:t>borders</w:t>
      </w:r>
      <w:r>
        <w:rPr>
          <w:spacing w:val="-3"/>
          <w:sz w:val="18"/>
        </w:rPr>
        <w:t> </w:t>
      </w:r>
      <w:r>
        <w:rPr>
          <w:sz w:val="18"/>
        </w:rPr>
        <w:t>of clinical relevance.</w:t>
      </w:r>
    </w:p>
    <w:p>
      <w:pPr>
        <w:pStyle w:val="ListParagraph"/>
        <w:numPr>
          <w:ilvl w:val="0"/>
          <w:numId w:val="3"/>
        </w:numPr>
        <w:tabs>
          <w:tab w:pos="383" w:val="left" w:leader="none"/>
        </w:tabs>
        <w:spacing w:line="278" w:lineRule="auto" w:before="156" w:after="0"/>
        <w:ind w:left="383" w:right="884" w:hanging="361"/>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serious</w:t>
      </w:r>
      <w:r>
        <w:rPr>
          <w:b/>
          <w:spacing w:val="-2"/>
          <w:sz w:val="18"/>
        </w:rPr>
        <w:t> </w:t>
      </w:r>
      <w:r>
        <w:rPr>
          <w:b/>
          <w:sz w:val="18"/>
        </w:rPr>
        <w:t>(-1 level).</w:t>
      </w:r>
      <w:r>
        <w:rPr>
          <w:b/>
          <w:spacing w:val="-2"/>
          <w:sz w:val="18"/>
        </w:rPr>
        <w:t> </w:t>
      </w:r>
      <w:r>
        <w:rPr>
          <w:sz w:val="18"/>
        </w:rPr>
        <w:t>No</w:t>
      </w:r>
      <w:r>
        <w:rPr>
          <w:spacing w:val="-2"/>
          <w:sz w:val="18"/>
        </w:rPr>
        <w:t> </w:t>
      </w:r>
      <w:r>
        <w:rPr>
          <w:sz w:val="18"/>
        </w:rPr>
        <w:t>reporting</w:t>
      </w:r>
      <w:r>
        <w:rPr>
          <w:spacing w:val="-3"/>
          <w:sz w:val="18"/>
        </w:rPr>
        <w:t> </w:t>
      </w:r>
      <w:r>
        <w:rPr>
          <w:sz w:val="18"/>
        </w:rPr>
        <w:t>on</w:t>
      </w:r>
      <w:r>
        <w:rPr>
          <w:spacing w:val="-3"/>
          <w:sz w:val="18"/>
        </w:rPr>
        <w:t> </w:t>
      </w:r>
      <w:r>
        <w:rPr>
          <w:sz w:val="18"/>
        </w:rPr>
        <w:t>allocation</w:t>
      </w:r>
      <w:r>
        <w:rPr>
          <w:spacing w:val="-3"/>
          <w:sz w:val="18"/>
        </w:rPr>
        <w:t> </w:t>
      </w:r>
      <w:r>
        <w:rPr>
          <w:sz w:val="18"/>
        </w:rPr>
        <w:t>concealment,</w:t>
      </w:r>
      <w:r>
        <w:rPr>
          <w:spacing w:val="-2"/>
          <w:sz w:val="18"/>
        </w:rPr>
        <w:t> </w:t>
      </w:r>
      <w:r>
        <w:rPr>
          <w:sz w:val="18"/>
        </w:rPr>
        <w:t>and</w:t>
      </w:r>
      <w:r>
        <w:rPr>
          <w:spacing w:val="-1"/>
          <w:sz w:val="18"/>
        </w:rPr>
        <w:t> </w:t>
      </w:r>
      <w:r>
        <w:rPr>
          <w:sz w:val="18"/>
        </w:rPr>
        <w:t>potential</w:t>
      </w:r>
      <w:r>
        <w:rPr>
          <w:spacing w:val="-2"/>
          <w:sz w:val="18"/>
        </w:rPr>
        <w:t> </w:t>
      </w:r>
      <w:r>
        <w:rPr>
          <w:sz w:val="18"/>
        </w:rPr>
        <w:t>funding</w:t>
      </w:r>
      <w:r>
        <w:rPr>
          <w:spacing w:val="-1"/>
          <w:sz w:val="18"/>
        </w:rPr>
        <w:t> </w:t>
      </w:r>
      <w:r>
        <w:rPr>
          <w:sz w:val="18"/>
        </w:rPr>
        <w:t>bias. </w:t>
      </w:r>
      <w:r>
        <w:rPr>
          <w:b/>
          <w:sz w:val="18"/>
        </w:rPr>
        <w:t>Imprecision:</w:t>
      </w:r>
      <w:r>
        <w:rPr>
          <w:b/>
          <w:spacing w:val="-2"/>
          <w:sz w:val="18"/>
        </w:rPr>
        <w:t> </w:t>
      </w:r>
      <w:r>
        <w:rPr>
          <w:b/>
          <w:sz w:val="18"/>
        </w:rPr>
        <w:t>very</w:t>
      </w:r>
      <w:r>
        <w:rPr>
          <w:b/>
          <w:spacing w:val="-2"/>
          <w:sz w:val="18"/>
        </w:rPr>
        <w:t> </w:t>
      </w:r>
      <w:r>
        <w:rPr>
          <w:b/>
          <w:sz w:val="18"/>
        </w:rPr>
        <w:t>serious</w:t>
      </w:r>
      <w:r>
        <w:rPr>
          <w:b/>
          <w:spacing w:val="-2"/>
          <w:sz w:val="18"/>
        </w:rPr>
        <w:t> </w:t>
      </w:r>
      <w:r>
        <w:rPr>
          <w:b/>
          <w:sz w:val="18"/>
        </w:rPr>
        <w:t>(-2</w:t>
      </w:r>
      <w:r>
        <w:rPr>
          <w:b/>
          <w:spacing w:val="-2"/>
          <w:sz w:val="18"/>
        </w:rPr>
        <w:t> </w:t>
      </w:r>
      <w:r>
        <w:rPr>
          <w:b/>
          <w:sz w:val="18"/>
        </w:rPr>
        <w:t>levels).</w:t>
      </w:r>
      <w:r>
        <w:rPr>
          <w:b/>
          <w:spacing w:val="-2"/>
          <w:sz w:val="18"/>
        </w:rPr>
        <w:t> </w:t>
      </w:r>
      <w:r>
        <w:rPr>
          <w:sz w:val="18"/>
        </w:rPr>
        <w:t>Confidence</w:t>
      </w:r>
      <w:r>
        <w:rPr>
          <w:spacing w:val="-3"/>
          <w:sz w:val="18"/>
        </w:rPr>
        <w:t> </w:t>
      </w:r>
      <w:r>
        <w:rPr>
          <w:sz w:val="18"/>
        </w:rPr>
        <w:t>interval</w:t>
      </w:r>
      <w:r>
        <w:rPr>
          <w:spacing w:val="-3"/>
          <w:sz w:val="18"/>
        </w:rPr>
        <w:t> </w:t>
      </w:r>
      <w:r>
        <w:rPr>
          <w:sz w:val="18"/>
        </w:rPr>
        <w:t>crosses</w:t>
      </w:r>
      <w:r>
        <w:rPr>
          <w:spacing w:val="-1"/>
          <w:sz w:val="18"/>
        </w:rPr>
        <w:t> </w:t>
      </w:r>
      <w:r>
        <w:rPr>
          <w:sz w:val="18"/>
        </w:rPr>
        <w:t>both</w:t>
      </w:r>
      <w:r>
        <w:rPr>
          <w:spacing w:val="-4"/>
          <w:sz w:val="18"/>
        </w:rPr>
        <w:t> </w:t>
      </w:r>
      <w:r>
        <w:rPr>
          <w:sz w:val="18"/>
        </w:rPr>
        <w:t>borders</w:t>
      </w:r>
      <w:r>
        <w:rPr>
          <w:spacing w:val="-3"/>
          <w:sz w:val="18"/>
        </w:rPr>
        <w:t> </w:t>
      </w:r>
      <w:r>
        <w:rPr>
          <w:sz w:val="18"/>
        </w:rPr>
        <w:t>of clinical relevance.</w:t>
      </w:r>
    </w:p>
    <w:p>
      <w:pPr>
        <w:pStyle w:val="ListParagraph"/>
        <w:numPr>
          <w:ilvl w:val="0"/>
          <w:numId w:val="3"/>
        </w:numPr>
        <w:tabs>
          <w:tab w:pos="383" w:val="left" w:leader="none"/>
        </w:tabs>
        <w:spacing w:line="280" w:lineRule="auto" w:before="160" w:after="0"/>
        <w:ind w:left="383" w:right="884" w:hanging="361"/>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serious</w:t>
      </w:r>
      <w:r>
        <w:rPr>
          <w:b/>
          <w:spacing w:val="-2"/>
          <w:sz w:val="18"/>
        </w:rPr>
        <w:t> </w:t>
      </w:r>
      <w:r>
        <w:rPr>
          <w:b/>
          <w:sz w:val="18"/>
        </w:rPr>
        <w:t>(-1 level).</w:t>
      </w:r>
      <w:r>
        <w:rPr>
          <w:b/>
          <w:spacing w:val="-2"/>
          <w:sz w:val="18"/>
        </w:rPr>
        <w:t> </w:t>
      </w:r>
      <w:r>
        <w:rPr>
          <w:sz w:val="18"/>
        </w:rPr>
        <w:t>No</w:t>
      </w:r>
      <w:r>
        <w:rPr>
          <w:spacing w:val="-2"/>
          <w:sz w:val="18"/>
        </w:rPr>
        <w:t> </w:t>
      </w:r>
      <w:r>
        <w:rPr>
          <w:sz w:val="18"/>
        </w:rPr>
        <w:t>reporting</w:t>
      </w:r>
      <w:r>
        <w:rPr>
          <w:spacing w:val="-3"/>
          <w:sz w:val="18"/>
        </w:rPr>
        <w:t> </w:t>
      </w:r>
      <w:r>
        <w:rPr>
          <w:sz w:val="18"/>
        </w:rPr>
        <w:t>on</w:t>
      </w:r>
      <w:r>
        <w:rPr>
          <w:spacing w:val="-3"/>
          <w:sz w:val="18"/>
        </w:rPr>
        <w:t> </w:t>
      </w:r>
      <w:r>
        <w:rPr>
          <w:sz w:val="18"/>
        </w:rPr>
        <w:t>allocation</w:t>
      </w:r>
      <w:r>
        <w:rPr>
          <w:spacing w:val="-3"/>
          <w:sz w:val="18"/>
        </w:rPr>
        <w:t> </w:t>
      </w:r>
      <w:r>
        <w:rPr>
          <w:sz w:val="18"/>
        </w:rPr>
        <w:t>concealment,</w:t>
      </w:r>
      <w:r>
        <w:rPr>
          <w:spacing w:val="-2"/>
          <w:sz w:val="18"/>
        </w:rPr>
        <w:t> </w:t>
      </w:r>
      <w:r>
        <w:rPr>
          <w:sz w:val="18"/>
        </w:rPr>
        <w:t>and</w:t>
      </w:r>
      <w:r>
        <w:rPr>
          <w:spacing w:val="-1"/>
          <w:sz w:val="18"/>
        </w:rPr>
        <w:t> </w:t>
      </w:r>
      <w:r>
        <w:rPr>
          <w:sz w:val="18"/>
        </w:rPr>
        <w:t>potential</w:t>
      </w:r>
      <w:r>
        <w:rPr>
          <w:spacing w:val="-2"/>
          <w:sz w:val="18"/>
        </w:rPr>
        <w:t> </w:t>
      </w:r>
      <w:r>
        <w:rPr>
          <w:sz w:val="18"/>
        </w:rPr>
        <w:t>funding</w:t>
      </w:r>
      <w:r>
        <w:rPr>
          <w:spacing w:val="-1"/>
          <w:sz w:val="18"/>
        </w:rPr>
        <w:t> </w:t>
      </w:r>
      <w:r>
        <w:rPr>
          <w:sz w:val="18"/>
        </w:rPr>
        <w:t>bias. </w:t>
      </w:r>
      <w:r>
        <w:rPr>
          <w:b/>
          <w:sz w:val="18"/>
        </w:rPr>
        <w:t>Imprecision:</w:t>
      </w:r>
      <w:r>
        <w:rPr>
          <w:b/>
          <w:spacing w:val="-2"/>
          <w:sz w:val="18"/>
        </w:rPr>
        <w:t> </w:t>
      </w:r>
      <w:r>
        <w:rPr>
          <w:b/>
          <w:sz w:val="18"/>
        </w:rPr>
        <w:t>very</w:t>
      </w:r>
      <w:r>
        <w:rPr>
          <w:b/>
          <w:spacing w:val="-2"/>
          <w:sz w:val="18"/>
        </w:rPr>
        <w:t> </w:t>
      </w:r>
      <w:r>
        <w:rPr>
          <w:b/>
          <w:sz w:val="18"/>
        </w:rPr>
        <w:t>serious</w:t>
      </w:r>
      <w:r>
        <w:rPr>
          <w:b/>
          <w:spacing w:val="-2"/>
          <w:sz w:val="18"/>
        </w:rPr>
        <w:t> </w:t>
      </w:r>
      <w:r>
        <w:rPr>
          <w:b/>
          <w:sz w:val="18"/>
        </w:rPr>
        <w:t>(-2</w:t>
      </w:r>
      <w:r>
        <w:rPr>
          <w:b/>
          <w:spacing w:val="-2"/>
          <w:sz w:val="18"/>
        </w:rPr>
        <w:t> </w:t>
      </w:r>
      <w:r>
        <w:rPr>
          <w:b/>
          <w:sz w:val="18"/>
        </w:rPr>
        <w:t>levels).</w:t>
      </w:r>
      <w:r>
        <w:rPr>
          <w:b/>
          <w:spacing w:val="-2"/>
          <w:sz w:val="18"/>
        </w:rPr>
        <w:t> </w:t>
      </w:r>
      <w:r>
        <w:rPr>
          <w:sz w:val="18"/>
        </w:rPr>
        <w:t>Confidence</w:t>
      </w:r>
      <w:r>
        <w:rPr>
          <w:spacing w:val="-3"/>
          <w:sz w:val="18"/>
        </w:rPr>
        <w:t> </w:t>
      </w:r>
      <w:r>
        <w:rPr>
          <w:sz w:val="18"/>
        </w:rPr>
        <w:t>interval</w:t>
      </w:r>
      <w:r>
        <w:rPr>
          <w:spacing w:val="-3"/>
          <w:sz w:val="18"/>
        </w:rPr>
        <w:t> </w:t>
      </w:r>
      <w:r>
        <w:rPr>
          <w:sz w:val="18"/>
        </w:rPr>
        <w:t>crosses</w:t>
      </w:r>
      <w:r>
        <w:rPr>
          <w:spacing w:val="-1"/>
          <w:sz w:val="18"/>
        </w:rPr>
        <w:t> </w:t>
      </w:r>
      <w:r>
        <w:rPr>
          <w:sz w:val="18"/>
        </w:rPr>
        <w:t>both</w:t>
      </w:r>
      <w:r>
        <w:rPr>
          <w:spacing w:val="-4"/>
          <w:sz w:val="18"/>
        </w:rPr>
        <w:t> </w:t>
      </w:r>
      <w:r>
        <w:rPr>
          <w:sz w:val="18"/>
        </w:rPr>
        <w:t>borders</w:t>
      </w:r>
      <w:r>
        <w:rPr>
          <w:spacing w:val="-3"/>
          <w:sz w:val="18"/>
        </w:rPr>
        <w:t> </w:t>
      </w:r>
      <w:r>
        <w:rPr>
          <w:sz w:val="18"/>
        </w:rPr>
        <w:t>of clinical relevance.</w:t>
      </w:r>
    </w:p>
    <w:p>
      <w:pPr>
        <w:pStyle w:val="ListParagraph"/>
        <w:numPr>
          <w:ilvl w:val="0"/>
          <w:numId w:val="3"/>
        </w:numPr>
        <w:tabs>
          <w:tab w:pos="383" w:val="left" w:leader="none"/>
        </w:tabs>
        <w:spacing w:line="240" w:lineRule="auto" w:before="158" w:after="0"/>
        <w:ind w:left="383" w:right="0" w:hanging="360"/>
        <w:jc w:val="left"/>
        <w:rPr>
          <w:sz w:val="18"/>
        </w:rPr>
      </w:pPr>
      <w:r>
        <w:rPr>
          <w:b/>
          <w:sz w:val="18"/>
        </w:rPr>
        <w:t>Risk</w:t>
      </w:r>
      <w:r>
        <w:rPr>
          <w:b/>
          <w:spacing w:val="-4"/>
          <w:sz w:val="18"/>
        </w:rPr>
        <w:t> </w:t>
      </w:r>
      <w:r>
        <w:rPr>
          <w:b/>
          <w:sz w:val="18"/>
        </w:rPr>
        <w:t>of</w:t>
      </w:r>
      <w:r>
        <w:rPr>
          <w:b/>
          <w:spacing w:val="-3"/>
          <w:sz w:val="18"/>
        </w:rPr>
        <w:t> </w:t>
      </w:r>
      <w:r>
        <w:rPr>
          <w:b/>
          <w:sz w:val="18"/>
        </w:rPr>
        <w:t>Bias:</w:t>
      </w:r>
      <w:r>
        <w:rPr>
          <w:b/>
          <w:spacing w:val="-2"/>
          <w:sz w:val="18"/>
        </w:rPr>
        <w:t> </w:t>
      </w:r>
      <w:r>
        <w:rPr>
          <w:b/>
          <w:sz w:val="18"/>
        </w:rPr>
        <w:t>very</w:t>
      </w:r>
      <w:r>
        <w:rPr>
          <w:b/>
          <w:spacing w:val="-2"/>
          <w:sz w:val="18"/>
        </w:rPr>
        <w:t> </w:t>
      </w:r>
      <w:r>
        <w:rPr>
          <w:b/>
          <w:sz w:val="18"/>
        </w:rPr>
        <w:t>serious</w:t>
      </w:r>
      <w:r>
        <w:rPr>
          <w:b/>
          <w:spacing w:val="-2"/>
          <w:sz w:val="18"/>
        </w:rPr>
        <w:t> </w:t>
      </w:r>
      <w:r>
        <w:rPr>
          <w:b/>
          <w:sz w:val="18"/>
        </w:rPr>
        <w:t>(-2</w:t>
      </w:r>
      <w:r>
        <w:rPr>
          <w:b/>
          <w:spacing w:val="-1"/>
          <w:sz w:val="18"/>
        </w:rPr>
        <w:t> </w:t>
      </w:r>
      <w:r>
        <w:rPr>
          <w:b/>
          <w:sz w:val="18"/>
        </w:rPr>
        <w:t>levels).</w:t>
      </w:r>
      <w:r>
        <w:rPr>
          <w:b/>
          <w:spacing w:val="-2"/>
          <w:sz w:val="18"/>
        </w:rPr>
        <w:t> </w:t>
      </w:r>
      <w:r>
        <w:rPr>
          <w:sz w:val="18"/>
        </w:rPr>
        <w:t>No</w:t>
      </w:r>
      <w:r>
        <w:rPr>
          <w:spacing w:val="-2"/>
          <w:sz w:val="18"/>
        </w:rPr>
        <w:t> </w:t>
      </w:r>
      <w:r>
        <w:rPr>
          <w:sz w:val="18"/>
        </w:rPr>
        <w:t>assessment</w:t>
      </w:r>
      <w:r>
        <w:rPr>
          <w:spacing w:val="-2"/>
          <w:sz w:val="18"/>
        </w:rPr>
        <w:t> </w:t>
      </w:r>
      <w:r>
        <w:rPr>
          <w:sz w:val="18"/>
        </w:rPr>
        <w:t>of</w:t>
      </w:r>
      <w:r>
        <w:rPr>
          <w:spacing w:val="-3"/>
          <w:sz w:val="18"/>
        </w:rPr>
        <w:t> </w:t>
      </w:r>
      <w:r>
        <w:rPr>
          <w:sz w:val="18"/>
        </w:rPr>
        <w:t>and</w:t>
      </w:r>
      <w:r>
        <w:rPr>
          <w:spacing w:val="-2"/>
          <w:sz w:val="18"/>
        </w:rPr>
        <w:t> </w:t>
      </w:r>
      <w:r>
        <w:rPr>
          <w:sz w:val="18"/>
        </w:rPr>
        <w:t>adjustment</w:t>
      </w:r>
      <w:r>
        <w:rPr>
          <w:spacing w:val="-2"/>
          <w:sz w:val="18"/>
        </w:rPr>
        <w:t> </w:t>
      </w:r>
      <w:r>
        <w:rPr>
          <w:sz w:val="18"/>
        </w:rPr>
        <w:t>for</w:t>
      </w:r>
      <w:r>
        <w:rPr>
          <w:spacing w:val="-2"/>
          <w:sz w:val="18"/>
        </w:rPr>
        <w:t> </w:t>
      </w:r>
      <w:r>
        <w:rPr>
          <w:sz w:val="18"/>
        </w:rPr>
        <w:t>confounding</w:t>
      </w:r>
      <w:r>
        <w:rPr>
          <w:spacing w:val="-3"/>
          <w:sz w:val="18"/>
        </w:rPr>
        <w:t> </w:t>
      </w:r>
      <w:r>
        <w:rPr>
          <w:sz w:val="18"/>
        </w:rPr>
        <w:t>factors,</w:t>
      </w:r>
      <w:r>
        <w:rPr>
          <w:spacing w:val="-2"/>
          <w:sz w:val="18"/>
        </w:rPr>
        <w:t> </w:t>
      </w:r>
      <w:r>
        <w:rPr>
          <w:sz w:val="18"/>
        </w:rPr>
        <w:t>and</w:t>
      </w:r>
      <w:r>
        <w:rPr>
          <w:spacing w:val="-2"/>
          <w:sz w:val="18"/>
        </w:rPr>
        <w:t> </w:t>
      </w:r>
      <w:r>
        <w:rPr>
          <w:sz w:val="18"/>
        </w:rPr>
        <w:t>no</w:t>
      </w:r>
      <w:r>
        <w:rPr>
          <w:spacing w:val="-2"/>
          <w:sz w:val="18"/>
        </w:rPr>
        <w:t> </w:t>
      </w:r>
      <w:r>
        <w:rPr>
          <w:sz w:val="18"/>
        </w:rPr>
        <w:t>reporting</w:t>
      </w:r>
      <w:r>
        <w:rPr>
          <w:spacing w:val="-3"/>
          <w:sz w:val="18"/>
        </w:rPr>
        <w:t> </w:t>
      </w:r>
      <w:r>
        <w:rPr>
          <w:sz w:val="18"/>
        </w:rPr>
        <w:t>on</w:t>
      </w:r>
      <w:r>
        <w:rPr>
          <w:spacing w:val="-3"/>
          <w:sz w:val="18"/>
        </w:rPr>
        <w:t> </w:t>
      </w:r>
      <w:r>
        <w:rPr>
          <w:sz w:val="18"/>
        </w:rPr>
        <w:t>missing</w:t>
      </w:r>
      <w:r>
        <w:rPr>
          <w:spacing w:val="-2"/>
          <w:sz w:val="18"/>
        </w:rPr>
        <w:t> data.</w:t>
      </w:r>
    </w:p>
    <w:p>
      <w:pPr>
        <w:pStyle w:val="ListParagraph"/>
        <w:numPr>
          <w:ilvl w:val="0"/>
          <w:numId w:val="3"/>
        </w:numPr>
        <w:tabs>
          <w:tab w:pos="383" w:val="left" w:leader="none"/>
        </w:tabs>
        <w:spacing w:line="280" w:lineRule="auto" w:before="35" w:after="0"/>
        <w:ind w:left="383" w:right="974" w:hanging="361"/>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very</w:t>
      </w:r>
      <w:r>
        <w:rPr>
          <w:b/>
          <w:spacing w:val="-2"/>
          <w:sz w:val="18"/>
        </w:rPr>
        <w:t> </w:t>
      </w:r>
      <w:r>
        <w:rPr>
          <w:b/>
          <w:sz w:val="18"/>
        </w:rPr>
        <w:t>serious</w:t>
      </w:r>
      <w:r>
        <w:rPr>
          <w:b/>
          <w:spacing w:val="-2"/>
          <w:sz w:val="18"/>
        </w:rPr>
        <w:t> </w:t>
      </w:r>
      <w:r>
        <w:rPr>
          <w:b/>
          <w:sz w:val="18"/>
        </w:rPr>
        <w:t>(-2</w:t>
      </w:r>
      <w:r>
        <w:rPr>
          <w:b/>
          <w:spacing w:val="-2"/>
          <w:sz w:val="18"/>
        </w:rPr>
        <w:t> </w:t>
      </w:r>
      <w:r>
        <w:rPr>
          <w:b/>
          <w:sz w:val="18"/>
        </w:rPr>
        <w:t>levels).</w:t>
      </w:r>
      <w:r>
        <w:rPr>
          <w:b/>
          <w:spacing w:val="-2"/>
          <w:sz w:val="18"/>
        </w:rPr>
        <w:t> </w:t>
      </w:r>
      <w:r>
        <w:rPr>
          <w:sz w:val="18"/>
        </w:rPr>
        <w:t>No</w:t>
      </w:r>
      <w:r>
        <w:rPr>
          <w:spacing w:val="-2"/>
          <w:sz w:val="18"/>
        </w:rPr>
        <w:t> </w:t>
      </w:r>
      <w:r>
        <w:rPr>
          <w:sz w:val="18"/>
        </w:rPr>
        <w:t>assessment</w:t>
      </w:r>
      <w:r>
        <w:rPr>
          <w:spacing w:val="-2"/>
          <w:sz w:val="18"/>
        </w:rPr>
        <w:t> </w:t>
      </w:r>
      <w:r>
        <w:rPr>
          <w:sz w:val="18"/>
        </w:rPr>
        <w:t>of</w:t>
      </w:r>
      <w:r>
        <w:rPr>
          <w:spacing w:val="-3"/>
          <w:sz w:val="18"/>
        </w:rPr>
        <w:t> </w:t>
      </w:r>
      <w:r>
        <w:rPr>
          <w:sz w:val="18"/>
        </w:rPr>
        <w:t>and</w:t>
      </w:r>
      <w:r>
        <w:rPr>
          <w:spacing w:val="-3"/>
          <w:sz w:val="18"/>
        </w:rPr>
        <w:t> </w:t>
      </w:r>
      <w:r>
        <w:rPr>
          <w:sz w:val="18"/>
        </w:rPr>
        <w:t>adjustment</w:t>
      </w:r>
      <w:r>
        <w:rPr>
          <w:spacing w:val="-2"/>
          <w:sz w:val="18"/>
        </w:rPr>
        <w:t> </w:t>
      </w:r>
      <w:r>
        <w:rPr>
          <w:sz w:val="18"/>
        </w:rPr>
        <w:t>for</w:t>
      </w:r>
      <w:r>
        <w:rPr>
          <w:spacing w:val="-2"/>
          <w:sz w:val="18"/>
        </w:rPr>
        <w:t> </w:t>
      </w:r>
      <w:r>
        <w:rPr>
          <w:sz w:val="18"/>
        </w:rPr>
        <w:t>confounding</w:t>
      </w:r>
      <w:r>
        <w:rPr>
          <w:spacing w:val="-3"/>
          <w:sz w:val="18"/>
        </w:rPr>
        <w:t> </w:t>
      </w:r>
      <w:r>
        <w:rPr>
          <w:sz w:val="18"/>
        </w:rPr>
        <w:t>factors,</w:t>
      </w:r>
      <w:r>
        <w:rPr>
          <w:spacing w:val="-2"/>
          <w:sz w:val="18"/>
        </w:rPr>
        <w:t> </w:t>
      </w:r>
      <w:r>
        <w:rPr>
          <w:sz w:val="18"/>
        </w:rPr>
        <w:t>and</w:t>
      </w:r>
      <w:r>
        <w:rPr>
          <w:spacing w:val="-3"/>
          <w:sz w:val="18"/>
        </w:rPr>
        <w:t> </w:t>
      </w:r>
      <w:r>
        <w:rPr>
          <w:sz w:val="18"/>
        </w:rPr>
        <w:t>no</w:t>
      </w:r>
      <w:r>
        <w:rPr>
          <w:spacing w:val="-2"/>
          <w:sz w:val="18"/>
        </w:rPr>
        <w:t> </w:t>
      </w:r>
      <w:r>
        <w:rPr>
          <w:sz w:val="18"/>
        </w:rPr>
        <w:t>reporting</w:t>
      </w:r>
      <w:r>
        <w:rPr>
          <w:spacing w:val="-3"/>
          <w:sz w:val="18"/>
        </w:rPr>
        <w:t> </w:t>
      </w:r>
      <w:r>
        <w:rPr>
          <w:sz w:val="18"/>
        </w:rPr>
        <w:t>on</w:t>
      </w:r>
      <w:r>
        <w:rPr>
          <w:spacing w:val="-3"/>
          <w:sz w:val="18"/>
        </w:rPr>
        <w:t> </w:t>
      </w:r>
      <w:r>
        <w:rPr>
          <w:sz w:val="18"/>
        </w:rPr>
        <w:t>missing</w:t>
      </w:r>
      <w:r>
        <w:rPr>
          <w:spacing w:val="-3"/>
          <w:sz w:val="18"/>
        </w:rPr>
        <w:t> </w:t>
      </w:r>
      <w:r>
        <w:rPr>
          <w:sz w:val="18"/>
        </w:rPr>
        <w:t>data. </w:t>
      </w:r>
      <w:r>
        <w:rPr>
          <w:b/>
          <w:sz w:val="18"/>
        </w:rPr>
        <w:t>Imprecision:</w:t>
      </w:r>
      <w:r>
        <w:rPr>
          <w:b/>
          <w:spacing w:val="-2"/>
          <w:sz w:val="18"/>
        </w:rPr>
        <w:t> </w:t>
      </w:r>
      <w:r>
        <w:rPr>
          <w:b/>
          <w:sz w:val="18"/>
        </w:rPr>
        <w:t>very</w:t>
      </w:r>
      <w:r>
        <w:rPr>
          <w:b/>
          <w:spacing w:val="-2"/>
          <w:sz w:val="18"/>
        </w:rPr>
        <w:t> </w:t>
      </w:r>
      <w:r>
        <w:rPr>
          <w:b/>
          <w:sz w:val="18"/>
        </w:rPr>
        <w:t>serious</w:t>
      </w:r>
      <w:r>
        <w:rPr>
          <w:b/>
          <w:spacing w:val="-2"/>
          <w:sz w:val="18"/>
        </w:rPr>
        <w:t> </w:t>
      </w:r>
      <w:r>
        <w:rPr>
          <w:b/>
          <w:sz w:val="18"/>
        </w:rPr>
        <w:t>(-2</w:t>
      </w:r>
      <w:r>
        <w:rPr>
          <w:b/>
          <w:spacing w:val="-2"/>
          <w:sz w:val="18"/>
        </w:rPr>
        <w:t> </w:t>
      </w:r>
      <w:r>
        <w:rPr>
          <w:b/>
          <w:sz w:val="18"/>
        </w:rPr>
        <w:t>levels).</w:t>
      </w:r>
      <w:r>
        <w:rPr>
          <w:b/>
          <w:spacing w:val="-2"/>
          <w:sz w:val="18"/>
        </w:rPr>
        <w:t> </w:t>
      </w:r>
      <w:r>
        <w:rPr>
          <w:sz w:val="18"/>
        </w:rPr>
        <w:t>Confidence interval crosses both borders of clinical relevance</w:t>
      </w:r>
    </w:p>
    <w:p>
      <w:pPr>
        <w:spacing w:before="158"/>
        <w:ind w:left="23" w:right="0" w:firstLine="0"/>
        <w:jc w:val="left"/>
        <w:rPr>
          <w:sz w:val="18"/>
        </w:rPr>
      </w:pPr>
      <w:r>
        <w:rPr>
          <w:sz w:val="18"/>
        </w:rPr>
        <w:t>*</w:t>
      </w:r>
      <w:r>
        <w:rPr>
          <w:spacing w:val="-3"/>
          <w:sz w:val="18"/>
        </w:rPr>
        <w:t> </w:t>
      </w:r>
      <w:r>
        <w:rPr>
          <w:sz w:val="18"/>
        </w:rPr>
        <w:t>Not</w:t>
      </w:r>
      <w:r>
        <w:rPr>
          <w:spacing w:val="-1"/>
          <w:sz w:val="18"/>
        </w:rPr>
        <w:t> </w:t>
      </w:r>
      <w:r>
        <w:rPr>
          <w:sz w:val="18"/>
        </w:rPr>
        <w:t>reported</w:t>
      </w:r>
      <w:r>
        <w:rPr>
          <w:spacing w:val="-2"/>
          <w:sz w:val="18"/>
        </w:rPr>
        <w:t> </w:t>
      </w:r>
      <w:r>
        <w:rPr>
          <w:sz w:val="18"/>
        </w:rPr>
        <w:t>in</w:t>
      </w:r>
      <w:r>
        <w:rPr>
          <w:spacing w:val="-3"/>
          <w:sz w:val="18"/>
        </w:rPr>
        <w:t> </w:t>
      </w:r>
      <w:r>
        <w:rPr>
          <w:spacing w:val="-2"/>
          <w:sz w:val="18"/>
        </w:rPr>
        <w:t>article</w:t>
      </w:r>
    </w:p>
    <w:p>
      <w:pPr>
        <w:pStyle w:val="BodyText"/>
        <w:rPr>
          <w:sz w:val="18"/>
        </w:rPr>
      </w:pPr>
    </w:p>
    <w:p>
      <w:pPr>
        <w:pStyle w:val="BodyText"/>
        <w:spacing w:before="171"/>
        <w:rPr>
          <w:sz w:val="18"/>
        </w:rPr>
      </w:pPr>
    </w:p>
    <w:p>
      <w:pPr>
        <w:spacing w:line="278" w:lineRule="auto" w:before="0"/>
        <w:ind w:left="23" w:right="0" w:firstLine="0"/>
        <w:jc w:val="left"/>
        <w:rPr>
          <w:sz w:val="18"/>
        </w:rPr>
      </w:pPr>
      <w:r>
        <w:rPr>
          <w:sz w:val="22"/>
        </w:rPr>
        <w:t>Table</w:t>
      </w:r>
      <w:r>
        <w:rPr>
          <w:spacing w:val="-2"/>
          <w:sz w:val="22"/>
        </w:rPr>
        <w:t> </w:t>
      </w:r>
      <w:r>
        <w:rPr>
          <w:sz w:val="22"/>
        </w:rPr>
        <w:t>1.4.2.</w:t>
      </w:r>
      <w:r>
        <w:rPr>
          <w:spacing w:val="-2"/>
          <w:sz w:val="22"/>
        </w:rPr>
        <w:t> </w:t>
      </w:r>
      <w:r>
        <w:rPr>
          <w:sz w:val="22"/>
        </w:rPr>
        <w:t>Summary</w:t>
      </w:r>
      <w:r>
        <w:rPr>
          <w:spacing w:val="-4"/>
          <w:sz w:val="22"/>
        </w:rPr>
        <w:t> </w:t>
      </w:r>
      <w:r>
        <w:rPr>
          <w:sz w:val="22"/>
        </w:rPr>
        <w:t>of</w:t>
      </w:r>
      <w:r>
        <w:rPr>
          <w:spacing w:val="-2"/>
          <w:sz w:val="22"/>
        </w:rPr>
        <w:t> </w:t>
      </w:r>
      <w:r>
        <w:rPr>
          <w:sz w:val="22"/>
        </w:rPr>
        <w:t>Findings</w:t>
      </w:r>
      <w:r>
        <w:rPr>
          <w:spacing w:val="-11"/>
          <w:sz w:val="22"/>
        </w:rPr>
        <w:t> </w:t>
      </w:r>
      <w:r>
        <w:rPr>
          <w:sz w:val="18"/>
        </w:rPr>
        <w:t>–</w:t>
      </w:r>
      <w:r>
        <w:rPr>
          <w:spacing w:val="-3"/>
          <w:sz w:val="18"/>
        </w:rPr>
        <w:t> </w:t>
      </w:r>
      <w:r>
        <w:rPr>
          <w:sz w:val="18"/>
        </w:rPr>
        <w:t>Thromboprophylaxis</w:t>
      </w:r>
      <w:r>
        <w:rPr>
          <w:spacing w:val="-3"/>
          <w:sz w:val="18"/>
        </w:rPr>
        <w:t> </w:t>
      </w:r>
      <w:r>
        <w:rPr>
          <w:sz w:val="18"/>
        </w:rPr>
        <w:t>versus</w:t>
      </w:r>
      <w:r>
        <w:rPr>
          <w:spacing w:val="-3"/>
          <w:sz w:val="18"/>
        </w:rPr>
        <w:t> </w:t>
      </w:r>
      <w:r>
        <w:rPr>
          <w:sz w:val="18"/>
        </w:rPr>
        <w:t>no</w:t>
      </w:r>
      <w:r>
        <w:rPr>
          <w:spacing w:val="-2"/>
          <w:sz w:val="18"/>
        </w:rPr>
        <w:t> </w:t>
      </w:r>
      <w:r>
        <w:rPr>
          <w:sz w:val="18"/>
        </w:rPr>
        <w:t>thromboprophylaxis</w:t>
      </w:r>
      <w:r>
        <w:rPr>
          <w:spacing w:val="-3"/>
          <w:sz w:val="18"/>
        </w:rPr>
        <w:t> </w:t>
      </w:r>
      <w:r>
        <w:rPr>
          <w:sz w:val="18"/>
        </w:rPr>
        <w:t>with</w:t>
      </w:r>
      <w:r>
        <w:rPr>
          <w:spacing w:val="-4"/>
          <w:sz w:val="18"/>
        </w:rPr>
        <w:t> </w:t>
      </w:r>
      <w:r>
        <w:rPr>
          <w:sz w:val="18"/>
        </w:rPr>
        <w:t>outcomes</w:t>
      </w:r>
      <w:r>
        <w:rPr>
          <w:spacing w:val="-3"/>
          <w:sz w:val="18"/>
        </w:rPr>
        <w:t> </w:t>
      </w:r>
      <w:r>
        <w:rPr>
          <w:sz w:val="18"/>
        </w:rPr>
        <w:t>thrombotic</w:t>
      </w:r>
      <w:r>
        <w:rPr>
          <w:spacing w:val="-2"/>
          <w:sz w:val="18"/>
        </w:rPr>
        <w:t> </w:t>
      </w:r>
      <w:r>
        <w:rPr>
          <w:sz w:val="18"/>
        </w:rPr>
        <w:t>complications</w:t>
      </w:r>
      <w:r>
        <w:rPr>
          <w:spacing w:val="-3"/>
          <w:sz w:val="18"/>
        </w:rPr>
        <w:t> </w:t>
      </w:r>
      <w:r>
        <w:rPr>
          <w:sz w:val="18"/>
        </w:rPr>
        <w:t>(including</w:t>
      </w:r>
      <w:r>
        <w:rPr>
          <w:spacing w:val="-3"/>
          <w:sz w:val="18"/>
        </w:rPr>
        <w:t> </w:t>
      </w:r>
      <w:r>
        <w:rPr>
          <w:sz w:val="18"/>
        </w:rPr>
        <w:t>right</w:t>
      </w:r>
      <w:r>
        <w:rPr>
          <w:spacing w:val="-2"/>
          <w:sz w:val="18"/>
        </w:rPr>
        <w:t> </w:t>
      </w:r>
      <w:r>
        <w:rPr>
          <w:sz w:val="18"/>
        </w:rPr>
        <w:t>ventricle</w:t>
      </w:r>
      <w:r>
        <w:rPr>
          <w:spacing w:val="-3"/>
          <w:sz w:val="18"/>
        </w:rPr>
        <w:t> </w:t>
      </w:r>
      <w:r>
        <w:rPr>
          <w:sz w:val="18"/>
        </w:rPr>
        <w:t>to pulmonary</w:t>
      </w:r>
      <w:r>
        <w:rPr>
          <w:spacing w:val="-2"/>
          <w:sz w:val="18"/>
        </w:rPr>
        <w:t> </w:t>
      </w:r>
      <w:r>
        <w:rPr>
          <w:sz w:val="18"/>
        </w:rPr>
        <w:t>artery</w:t>
      </w:r>
      <w:r>
        <w:rPr>
          <w:spacing w:val="-2"/>
          <w:sz w:val="18"/>
        </w:rPr>
        <w:t> </w:t>
      </w:r>
      <w:r>
        <w:rPr>
          <w:sz w:val="18"/>
        </w:rPr>
        <w:t>conduit thrombosis, pulmonary embolism), shunt occlusion, ischemic stroke, hemorrhage, mortality, quality of life (QOL), and adverse events (including pain post injection)</w:t>
      </w:r>
    </w:p>
    <w:p>
      <w:pPr>
        <w:spacing w:line="453" w:lineRule="auto" w:before="161"/>
        <w:ind w:left="23" w:right="964" w:firstLine="0"/>
        <w:jc w:val="left"/>
        <w:rPr>
          <w:sz w:val="18"/>
        </w:rPr>
      </w:pPr>
      <w:r>
        <w:rPr>
          <w:sz w:val="18"/>
        </w:rPr>
        <w:t>Population:</w:t>
      </w:r>
      <w:r>
        <w:rPr>
          <w:spacing w:val="-2"/>
          <w:sz w:val="18"/>
        </w:rPr>
        <w:t> </w:t>
      </w:r>
      <w:r>
        <w:rPr>
          <w:sz w:val="18"/>
        </w:rPr>
        <w:t>Infants</w:t>
      </w:r>
      <w:r>
        <w:rPr>
          <w:spacing w:val="-3"/>
          <w:sz w:val="18"/>
        </w:rPr>
        <w:t> </w:t>
      </w:r>
      <w:r>
        <w:rPr>
          <w:sz w:val="18"/>
        </w:rPr>
        <w:t>with</w:t>
      </w:r>
      <w:r>
        <w:rPr>
          <w:spacing w:val="-4"/>
          <w:sz w:val="18"/>
        </w:rPr>
        <w:t> </w:t>
      </w:r>
      <w:r>
        <w:rPr>
          <w:sz w:val="18"/>
        </w:rPr>
        <w:t>an</w:t>
      </w:r>
      <w:r>
        <w:rPr>
          <w:spacing w:val="-3"/>
          <w:sz w:val="18"/>
        </w:rPr>
        <w:t> </w:t>
      </w:r>
      <w:r>
        <w:rPr>
          <w:sz w:val="18"/>
        </w:rPr>
        <w:t>indication</w:t>
      </w:r>
      <w:r>
        <w:rPr>
          <w:spacing w:val="-3"/>
          <w:sz w:val="18"/>
        </w:rPr>
        <w:t> </w:t>
      </w:r>
      <w:r>
        <w:rPr>
          <w:sz w:val="18"/>
        </w:rPr>
        <w:t>for</w:t>
      </w:r>
      <w:r>
        <w:rPr>
          <w:spacing w:val="-2"/>
          <w:sz w:val="18"/>
        </w:rPr>
        <w:t> </w:t>
      </w:r>
      <w:r>
        <w:rPr>
          <w:sz w:val="18"/>
        </w:rPr>
        <w:t>1)</w:t>
      </w:r>
      <w:r>
        <w:rPr>
          <w:spacing w:val="-3"/>
          <w:sz w:val="18"/>
        </w:rPr>
        <w:t> </w:t>
      </w:r>
      <w:r>
        <w:rPr>
          <w:sz w:val="18"/>
        </w:rPr>
        <w:t>aortopulmonary</w:t>
      </w:r>
      <w:r>
        <w:rPr>
          <w:spacing w:val="-2"/>
          <w:sz w:val="18"/>
        </w:rPr>
        <w:t> </w:t>
      </w:r>
      <w:r>
        <w:rPr>
          <w:sz w:val="18"/>
        </w:rPr>
        <w:t>(AP)</w:t>
      </w:r>
      <w:r>
        <w:rPr>
          <w:spacing w:val="-1"/>
          <w:sz w:val="18"/>
        </w:rPr>
        <w:t> </w:t>
      </w:r>
      <w:r>
        <w:rPr>
          <w:sz w:val="18"/>
        </w:rPr>
        <w:t>or</w:t>
      </w:r>
      <w:r>
        <w:rPr>
          <w:spacing w:val="-2"/>
          <w:sz w:val="18"/>
        </w:rPr>
        <w:t> </w:t>
      </w:r>
      <w:r>
        <w:rPr>
          <w:sz w:val="18"/>
        </w:rPr>
        <w:t>2)</w:t>
      </w:r>
      <w:r>
        <w:rPr>
          <w:spacing w:val="-3"/>
          <w:sz w:val="18"/>
        </w:rPr>
        <w:t> </w:t>
      </w:r>
      <w:r>
        <w:rPr>
          <w:sz w:val="18"/>
        </w:rPr>
        <w:t>right</w:t>
      </w:r>
      <w:r>
        <w:rPr>
          <w:spacing w:val="-2"/>
          <w:sz w:val="18"/>
        </w:rPr>
        <w:t> </w:t>
      </w:r>
      <w:r>
        <w:rPr>
          <w:sz w:val="18"/>
        </w:rPr>
        <w:t>ventricle-to-pulmonary (RVP)</w:t>
      </w:r>
      <w:r>
        <w:rPr>
          <w:spacing w:val="-4"/>
          <w:sz w:val="18"/>
        </w:rPr>
        <w:t> </w:t>
      </w:r>
      <w:r>
        <w:rPr>
          <w:sz w:val="18"/>
        </w:rPr>
        <w:t>artery/Sano</w:t>
      </w:r>
      <w:r>
        <w:rPr>
          <w:spacing w:val="-2"/>
          <w:sz w:val="18"/>
        </w:rPr>
        <w:t> </w:t>
      </w:r>
      <w:r>
        <w:rPr>
          <w:sz w:val="18"/>
        </w:rPr>
        <w:t>shunt</w:t>
      </w:r>
      <w:r>
        <w:rPr>
          <w:spacing w:val="-2"/>
          <w:sz w:val="18"/>
        </w:rPr>
        <w:t> </w:t>
      </w:r>
      <w:r>
        <w:rPr>
          <w:sz w:val="18"/>
        </w:rPr>
        <w:t>surgery</w:t>
      </w:r>
      <w:r>
        <w:rPr>
          <w:spacing w:val="-2"/>
          <w:sz w:val="18"/>
        </w:rPr>
        <w:t> </w:t>
      </w:r>
      <w:r>
        <w:rPr>
          <w:sz w:val="18"/>
        </w:rPr>
        <w:t>(specified</w:t>
      </w:r>
      <w:r>
        <w:rPr>
          <w:spacing w:val="-3"/>
          <w:sz w:val="18"/>
        </w:rPr>
        <w:t> </w:t>
      </w:r>
      <w:r>
        <w:rPr>
          <w:sz w:val="18"/>
        </w:rPr>
        <w:t>in</w:t>
      </w:r>
      <w:r>
        <w:rPr>
          <w:spacing w:val="-2"/>
          <w:sz w:val="18"/>
        </w:rPr>
        <w:t> </w:t>
      </w:r>
      <w:r>
        <w:rPr>
          <w:sz w:val="18"/>
        </w:rPr>
        <w:t>summary</w:t>
      </w:r>
      <w:r>
        <w:rPr>
          <w:spacing w:val="-2"/>
          <w:sz w:val="18"/>
        </w:rPr>
        <w:t> </w:t>
      </w:r>
      <w:r>
        <w:rPr>
          <w:sz w:val="18"/>
        </w:rPr>
        <w:t>column</w:t>
      </w:r>
      <w:r>
        <w:rPr>
          <w:spacing w:val="-3"/>
          <w:sz w:val="18"/>
        </w:rPr>
        <w:t> </w:t>
      </w:r>
      <w:r>
        <w:rPr>
          <w:sz w:val="18"/>
        </w:rPr>
        <w:t>of</w:t>
      </w:r>
      <w:r>
        <w:rPr>
          <w:spacing w:val="-3"/>
          <w:sz w:val="18"/>
        </w:rPr>
        <w:t> </w:t>
      </w:r>
      <w:r>
        <w:rPr>
          <w:sz w:val="18"/>
        </w:rPr>
        <w:t>table) Intervention: Tromboprophylaxis A (specified in summary column of table)</w:t>
      </w:r>
    </w:p>
    <w:p>
      <w:pPr>
        <w:spacing w:before="0"/>
        <w:ind w:left="23" w:right="0" w:firstLine="0"/>
        <w:jc w:val="left"/>
        <w:rPr>
          <w:sz w:val="18"/>
        </w:rPr>
      </w:pPr>
      <w:r>
        <w:rPr>
          <w:sz w:val="18"/>
        </w:rPr>
        <w:t>Comparator:</w:t>
      </w:r>
      <w:r>
        <w:rPr>
          <w:spacing w:val="-6"/>
          <w:sz w:val="18"/>
        </w:rPr>
        <w:t> </w:t>
      </w:r>
      <w:r>
        <w:rPr>
          <w:sz w:val="18"/>
        </w:rPr>
        <w:t>No</w:t>
      </w:r>
      <w:r>
        <w:rPr>
          <w:spacing w:val="-4"/>
          <w:sz w:val="18"/>
        </w:rPr>
        <w:t> </w:t>
      </w:r>
      <w:r>
        <w:rPr>
          <w:sz w:val="18"/>
        </w:rPr>
        <w:t>thromboprophylaxis/thromboprophylaxis</w:t>
      </w:r>
      <w:r>
        <w:rPr>
          <w:spacing w:val="-5"/>
          <w:sz w:val="18"/>
        </w:rPr>
        <w:t> </w:t>
      </w:r>
      <w:r>
        <w:rPr>
          <w:sz w:val="18"/>
        </w:rPr>
        <w:t>B</w:t>
      </w:r>
      <w:r>
        <w:rPr>
          <w:spacing w:val="-4"/>
          <w:sz w:val="18"/>
        </w:rPr>
        <w:t> </w:t>
      </w:r>
      <w:r>
        <w:rPr>
          <w:sz w:val="18"/>
        </w:rPr>
        <w:t>(specified</w:t>
      </w:r>
      <w:r>
        <w:rPr>
          <w:spacing w:val="-5"/>
          <w:sz w:val="18"/>
        </w:rPr>
        <w:t> </w:t>
      </w:r>
      <w:r>
        <w:rPr>
          <w:sz w:val="18"/>
        </w:rPr>
        <w:t>in</w:t>
      </w:r>
      <w:r>
        <w:rPr>
          <w:spacing w:val="-4"/>
          <w:sz w:val="18"/>
        </w:rPr>
        <w:t> </w:t>
      </w:r>
      <w:r>
        <w:rPr>
          <w:sz w:val="18"/>
        </w:rPr>
        <w:t>summary</w:t>
      </w:r>
      <w:r>
        <w:rPr>
          <w:spacing w:val="-4"/>
          <w:sz w:val="18"/>
        </w:rPr>
        <w:t> </w:t>
      </w:r>
      <w:r>
        <w:rPr>
          <w:sz w:val="18"/>
        </w:rPr>
        <w:t>column</w:t>
      </w:r>
      <w:r>
        <w:rPr>
          <w:spacing w:val="-5"/>
          <w:sz w:val="18"/>
        </w:rPr>
        <w:t> </w:t>
      </w:r>
      <w:r>
        <w:rPr>
          <w:sz w:val="18"/>
        </w:rPr>
        <w:t>of</w:t>
      </w:r>
      <w:r>
        <w:rPr>
          <w:spacing w:val="-5"/>
          <w:sz w:val="18"/>
        </w:rPr>
        <w:t> </w:t>
      </w:r>
      <w:r>
        <w:rPr>
          <w:spacing w:val="-2"/>
          <w:sz w:val="18"/>
        </w:rPr>
        <w:t>table)</w:t>
      </w:r>
    </w:p>
    <w:p>
      <w:pPr>
        <w:pStyle w:val="BodyText"/>
        <w:spacing w:before="1"/>
        <w:rPr>
          <w:sz w:val="16"/>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488"/>
        <w:gridCol w:w="1557"/>
        <w:gridCol w:w="4976"/>
        <w:gridCol w:w="1963"/>
        <w:gridCol w:w="4044"/>
      </w:tblGrid>
      <w:tr>
        <w:trPr>
          <w:trHeight w:val="227" w:hRule="atLeast"/>
        </w:trPr>
        <w:tc>
          <w:tcPr>
            <w:tcW w:w="1488" w:type="dxa"/>
            <w:tcBorders>
              <w:right w:val="single" w:sz="4" w:space="0" w:color="000000"/>
            </w:tcBorders>
          </w:tcPr>
          <w:p>
            <w:pPr>
              <w:pStyle w:val="TableParagraph"/>
              <w:spacing w:line="206" w:lineRule="exact" w:before="1"/>
              <w:ind w:left="398"/>
              <w:rPr>
                <w:b/>
                <w:sz w:val="18"/>
              </w:rPr>
            </w:pPr>
            <w:r>
              <w:rPr>
                <w:b/>
                <w:spacing w:val="-2"/>
                <w:sz w:val="18"/>
              </w:rPr>
              <w:t>Outcome</w:t>
            </w:r>
          </w:p>
        </w:tc>
        <w:tc>
          <w:tcPr>
            <w:tcW w:w="1557" w:type="dxa"/>
            <w:tcBorders>
              <w:left w:val="single" w:sz="4" w:space="0" w:color="000000"/>
              <w:right w:val="single" w:sz="4" w:space="0" w:color="000000"/>
            </w:tcBorders>
          </w:tcPr>
          <w:p>
            <w:pPr>
              <w:pStyle w:val="TableParagraph"/>
              <w:rPr>
                <w:rFonts w:ascii="Times New Roman"/>
                <w:sz w:val="16"/>
              </w:rPr>
            </w:pPr>
          </w:p>
        </w:tc>
        <w:tc>
          <w:tcPr>
            <w:tcW w:w="4976" w:type="dxa"/>
            <w:tcBorders>
              <w:left w:val="single" w:sz="4" w:space="0" w:color="000000"/>
              <w:right w:val="single" w:sz="4" w:space="0" w:color="000000"/>
            </w:tcBorders>
          </w:tcPr>
          <w:p>
            <w:pPr>
              <w:pStyle w:val="TableParagraph"/>
              <w:spacing w:line="206" w:lineRule="exact" w:before="1"/>
              <w:ind w:left="1535"/>
              <w:rPr>
                <w:b/>
                <w:sz w:val="18"/>
              </w:rPr>
            </w:pPr>
            <w:r>
              <w:rPr>
                <w:b/>
                <w:sz w:val="18"/>
              </w:rPr>
              <w:t>Absolute</w:t>
            </w:r>
            <w:r>
              <w:rPr>
                <w:b/>
                <w:spacing w:val="-3"/>
                <w:sz w:val="18"/>
              </w:rPr>
              <w:t> </w:t>
            </w:r>
            <w:r>
              <w:rPr>
                <w:b/>
                <w:sz w:val="18"/>
              </w:rPr>
              <w:t>effect</w:t>
            </w:r>
            <w:r>
              <w:rPr>
                <w:b/>
                <w:spacing w:val="-3"/>
                <w:sz w:val="18"/>
              </w:rPr>
              <w:t> </w:t>
            </w:r>
            <w:r>
              <w:rPr>
                <w:b/>
                <w:spacing w:val="-2"/>
                <w:sz w:val="18"/>
              </w:rPr>
              <w:t>estimates</w:t>
            </w:r>
          </w:p>
        </w:tc>
        <w:tc>
          <w:tcPr>
            <w:tcW w:w="1963" w:type="dxa"/>
            <w:tcBorders>
              <w:left w:val="single" w:sz="4" w:space="0" w:color="000000"/>
              <w:right w:val="single" w:sz="4" w:space="0" w:color="000000"/>
            </w:tcBorders>
          </w:tcPr>
          <w:p>
            <w:pPr>
              <w:pStyle w:val="TableParagraph"/>
              <w:rPr>
                <w:rFonts w:ascii="Times New Roman"/>
                <w:sz w:val="16"/>
              </w:rPr>
            </w:pPr>
          </w:p>
        </w:tc>
        <w:tc>
          <w:tcPr>
            <w:tcW w:w="4044" w:type="dxa"/>
            <w:tcBorders>
              <w:left w:val="single" w:sz="4" w:space="0" w:color="000000"/>
            </w:tcBorders>
          </w:tcPr>
          <w:p>
            <w:pPr>
              <w:pStyle w:val="TableParagraph"/>
              <w:rPr>
                <w:rFonts w:ascii="Times New Roman"/>
                <w:sz w:val="16"/>
              </w:rPr>
            </w:pPr>
          </w:p>
        </w:tc>
      </w:tr>
    </w:tbl>
    <w:p>
      <w:pPr>
        <w:pStyle w:val="TableParagraph"/>
        <w:spacing w:after="0"/>
        <w:rPr>
          <w:rFonts w:ascii="Times New Roman"/>
          <w:sz w:val="16"/>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488"/>
        <w:gridCol w:w="1557"/>
        <w:gridCol w:w="3252"/>
        <w:gridCol w:w="1723"/>
        <w:gridCol w:w="1963"/>
        <w:gridCol w:w="4044"/>
      </w:tblGrid>
      <w:tr>
        <w:trPr>
          <w:trHeight w:val="659" w:hRule="atLeast"/>
        </w:trPr>
        <w:tc>
          <w:tcPr>
            <w:tcW w:w="1488" w:type="dxa"/>
            <w:tcBorders>
              <w:bottom w:val="single" w:sz="4" w:space="0" w:color="000000"/>
              <w:right w:val="single" w:sz="4" w:space="0" w:color="000000"/>
            </w:tcBorders>
          </w:tcPr>
          <w:p>
            <w:pPr>
              <w:pStyle w:val="TableParagraph"/>
              <w:rPr>
                <w:rFonts w:ascii="Times New Roman"/>
                <w:sz w:val="18"/>
              </w:rPr>
            </w:pPr>
          </w:p>
        </w:tc>
        <w:tc>
          <w:tcPr>
            <w:tcW w:w="1557" w:type="dxa"/>
            <w:tcBorders>
              <w:left w:val="single" w:sz="4" w:space="0" w:color="000000"/>
              <w:bottom w:val="single" w:sz="4" w:space="0" w:color="000000"/>
              <w:right w:val="single" w:sz="4" w:space="0" w:color="000000"/>
            </w:tcBorders>
          </w:tcPr>
          <w:p>
            <w:pPr>
              <w:pStyle w:val="TableParagraph"/>
              <w:spacing w:before="111"/>
              <w:ind w:left="223" w:hanging="87"/>
              <w:rPr>
                <w:b/>
                <w:sz w:val="18"/>
              </w:rPr>
            </w:pPr>
            <w:r>
              <w:rPr>
                <w:b/>
                <w:sz w:val="18"/>
              </w:rPr>
              <w:t>Study</w:t>
            </w:r>
            <w:r>
              <w:rPr>
                <w:b/>
                <w:spacing w:val="-11"/>
                <w:sz w:val="18"/>
              </w:rPr>
              <w:t> </w:t>
            </w:r>
            <w:r>
              <w:rPr>
                <w:b/>
                <w:sz w:val="18"/>
              </w:rPr>
              <w:t>results</w:t>
            </w:r>
            <w:r>
              <w:rPr>
                <w:b/>
                <w:spacing w:val="-10"/>
                <w:sz w:val="18"/>
              </w:rPr>
              <w:t> </w:t>
            </w:r>
            <w:r>
              <w:rPr>
                <w:b/>
                <w:sz w:val="18"/>
              </w:rPr>
              <w:t>and </w:t>
            </w:r>
            <w:r>
              <w:rPr>
                <w:b/>
                <w:spacing w:val="-2"/>
                <w:sz w:val="18"/>
              </w:rPr>
              <w:t>measurements</w:t>
            </w:r>
          </w:p>
        </w:tc>
        <w:tc>
          <w:tcPr>
            <w:tcW w:w="3252" w:type="dxa"/>
            <w:tcBorders>
              <w:left w:val="single" w:sz="4" w:space="0" w:color="000000"/>
              <w:bottom w:val="single" w:sz="4" w:space="0" w:color="000000"/>
              <w:right w:val="single" w:sz="4" w:space="0" w:color="000000"/>
            </w:tcBorders>
          </w:tcPr>
          <w:p>
            <w:pPr>
              <w:pStyle w:val="TableParagraph"/>
              <w:spacing w:before="1"/>
              <w:ind w:left="108" w:right="94" w:firstLine="1"/>
              <w:jc w:val="center"/>
              <w:rPr>
                <w:sz w:val="18"/>
              </w:rPr>
            </w:pPr>
            <w:r>
              <w:rPr>
                <w:spacing w:val="-6"/>
                <w:sz w:val="18"/>
              </w:rPr>
              <w:t>No</w:t>
            </w:r>
            <w:r>
              <w:rPr>
                <w:sz w:val="18"/>
              </w:rPr>
              <w:t> </w:t>
            </w:r>
            <w:r>
              <w:rPr>
                <w:spacing w:val="-2"/>
                <w:sz w:val="18"/>
              </w:rPr>
              <w:t>thromboprophylaxis/thromboprophylaxis</w:t>
            </w:r>
          </w:p>
          <w:p>
            <w:pPr>
              <w:pStyle w:val="TableParagraph"/>
              <w:spacing w:line="199" w:lineRule="exact"/>
              <w:ind w:left="15" w:right="3"/>
              <w:jc w:val="center"/>
              <w:rPr>
                <w:sz w:val="18"/>
              </w:rPr>
            </w:pPr>
            <w:r>
              <w:rPr>
                <w:spacing w:val="-10"/>
                <w:sz w:val="18"/>
              </w:rPr>
              <w:t>B</w:t>
            </w:r>
          </w:p>
        </w:tc>
        <w:tc>
          <w:tcPr>
            <w:tcW w:w="1723" w:type="dxa"/>
            <w:tcBorders>
              <w:left w:val="single" w:sz="4" w:space="0" w:color="000000"/>
              <w:bottom w:val="single" w:sz="4" w:space="0" w:color="000000"/>
              <w:right w:val="single" w:sz="4" w:space="0" w:color="000000"/>
            </w:tcBorders>
          </w:tcPr>
          <w:p>
            <w:pPr>
              <w:pStyle w:val="TableParagraph"/>
              <w:spacing w:line="220" w:lineRule="atLeast" w:before="199"/>
              <w:ind w:left="812" w:right="92" w:hanging="706"/>
              <w:rPr>
                <w:sz w:val="18"/>
              </w:rPr>
            </w:pPr>
            <w:r>
              <w:rPr>
                <w:spacing w:val="-2"/>
                <w:sz w:val="18"/>
              </w:rPr>
              <w:t>Thromboprophylaxis</w:t>
            </w:r>
            <w:r>
              <w:rPr>
                <w:sz w:val="18"/>
              </w:rPr>
              <w:t> </w:t>
            </w:r>
            <w:r>
              <w:rPr>
                <w:spacing w:val="-10"/>
                <w:sz w:val="18"/>
              </w:rPr>
              <w:t>A</w:t>
            </w:r>
          </w:p>
        </w:tc>
        <w:tc>
          <w:tcPr>
            <w:tcW w:w="1963" w:type="dxa"/>
            <w:tcBorders>
              <w:left w:val="single" w:sz="4" w:space="0" w:color="000000"/>
              <w:bottom w:val="single" w:sz="4" w:space="0" w:color="000000"/>
              <w:right w:val="single" w:sz="4" w:space="0" w:color="000000"/>
            </w:tcBorders>
          </w:tcPr>
          <w:p>
            <w:pPr>
              <w:pStyle w:val="TableParagraph"/>
              <w:spacing w:before="1"/>
              <w:ind w:left="134" w:right="114"/>
              <w:jc w:val="center"/>
              <w:rPr>
                <w:b/>
                <w:sz w:val="18"/>
              </w:rPr>
            </w:pPr>
            <w:r>
              <w:rPr>
                <w:b/>
                <w:sz w:val="18"/>
              </w:rPr>
              <w:t>Certainty</w:t>
            </w:r>
            <w:r>
              <w:rPr>
                <w:b/>
                <w:spacing w:val="-11"/>
                <w:sz w:val="18"/>
              </w:rPr>
              <w:t> </w:t>
            </w:r>
            <w:r>
              <w:rPr>
                <w:b/>
                <w:sz w:val="18"/>
              </w:rPr>
              <w:t>of</w:t>
            </w:r>
            <w:r>
              <w:rPr>
                <w:b/>
                <w:spacing w:val="-10"/>
                <w:sz w:val="18"/>
              </w:rPr>
              <w:t> </w:t>
            </w:r>
            <w:r>
              <w:rPr>
                <w:b/>
                <w:sz w:val="18"/>
              </w:rPr>
              <w:t>the </w:t>
            </w:r>
            <w:r>
              <w:rPr>
                <w:b/>
                <w:spacing w:val="-2"/>
                <w:sz w:val="18"/>
              </w:rPr>
              <w:t>Evidence</w:t>
            </w:r>
          </w:p>
          <w:p>
            <w:pPr>
              <w:pStyle w:val="TableParagraph"/>
              <w:spacing w:line="199" w:lineRule="exact"/>
              <w:ind w:left="134" w:right="117"/>
              <w:jc w:val="center"/>
              <w:rPr>
                <w:sz w:val="18"/>
              </w:rPr>
            </w:pPr>
            <w:r>
              <w:rPr>
                <w:sz w:val="18"/>
              </w:rPr>
              <w:t>(Quality</w:t>
            </w:r>
            <w:r>
              <w:rPr>
                <w:spacing w:val="-1"/>
                <w:sz w:val="18"/>
              </w:rPr>
              <w:t> </w:t>
            </w:r>
            <w:r>
              <w:rPr>
                <w:sz w:val="18"/>
              </w:rPr>
              <w:t>of</w:t>
            </w:r>
            <w:r>
              <w:rPr>
                <w:spacing w:val="-1"/>
                <w:sz w:val="18"/>
              </w:rPr>
              <w:t> </w:t>
            </w:r>
            <w:r>
              <w:rPr>
                <w:spacing w:val="-2"/>
                <w:sz w:val="18"/>
              </w:rPr>
              <w:t>evidence)</w:t>
            </w:r>
          </w:p>
        </w:tc>
        <w:tc>
          <w:tcPr>
            <w:tcW w:w="4044" w:type="dxa"/>
            <w:tcBorders>
              <w:left w:val="single" w:sz="4" w:space="0" w:color="000000"/>
              <w:bottom w:val="single" w:sz="4" w:space="0" w:color="000000"/>
            </w:tcBorders>
          </w:tcPr>
          <w:p>
            <w:pPr>
              <w:pStyle w:val="TableParagraph"/>
              <w:rPr>
                <w:rFonts w:ascii="Times New Roman"/>
                <w:sz w:val="18"/>
              </w:rPr>
            </w:pPr>
          </w:p>
        </w:tc>
      </w:tr>
      <w:tr>
        <w:trPr>
          <w:trHeight w:val="438" w:hRule="atLeast"/>
        </w:trPr>
        <w:tc>
          <w:tcPr>
            <w:tcW w:w="1488" w:type="dxa"/>
            <w:vMerge w:val="restart"/>
            <w:tcBorders>
              <w:top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219"/>
              <w:rPr>
                <w:sz w:val="18"/>
              </w:rPr>
            </w:pPr>
          </w:p>
          <w:p>
            <w:pPr>
              <w:pStyle w:val="TableParagraph"/>
              <w:ind w:left="446" w:right="147" w:hanging="279"/>
              <w:rPr>
                <w:sz w:val="18"/>
              </w:rPr>
            </w:pPr>
            <w:r>
              <w:rPr>
                <w:sz w:val="18"/>
              </w:rPr>
              <w:t>Shunt</w:t>
            </w:r>
            <w:r>
              <w:rPr>
                <w:spacing w:val="-11"/>
                <w:sz w:val="18"/>
              </w:rPr>
              <w:t> </w:t>
            </w:r>
            <w:r>
              <w:rPr>
                <w:sz w:val="18"/>
              </w:rPr>
              <w:t>occlusion </w:t>
            </w:r>
            <w:r>
              <w:rPr>
                <w:spacing w:val="-2"/>
                <w:sz w:val="18"/>
              </w:rPr>
              <w:t>(critical)</w:t>
            </w:r>
          </w:p>
        </w:tc>
        <w:tc>
          <w:tcPr>
            <w:tcW w:w="1557"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spacing w:line="219" w:lineRule="exact" w:before="1"/>
              <w:ind w:left="116" w:right="105"/>
              <w:jc w:val="center"/>
              <w:rPr>
                <w:b/>
                <w:sz w:val="18"/>
              </w:rPr>
            </w:pPr>
            <w:r>
              <w:rPr>
                <w:sz w:val="18"/>
              </w:rPr>
              <w:t>Relative</w:t>
            </w:r>
            <w:r>
              <w:rPr>
                <w:spacing w:val="-3"/>
                <w:sz w:val="18"/>
              </w:rPr>
              <w:t> </w:t>
            </w:r>
            <w:r>
              <w:rPr>
                <w:sz w:val="18"/>
              </w:rPr>
              <w:t>risk:</w:t>
            </w:r>
            <w:r>
              <w:rPr>
                <w:spacing w:val="-2"/>
                <w:sz w:val="18"/>
              </w:rPr>
              <w:t> </w:t>
            </w:r>
            <w:r>
              <w:rPr>
                <w:b/>
                <w:spacing w:val="-4"/>
                <w:sz w:val="18"/>
              </w:rPr>
              <w:t>1.21</w:t>
            </w:r>
          </w:p>
          <w:p>
            <w:pPr>
              <w:pStyle w:val="TableParagraph"/>
              <w:spacing w:line="219" w:lineRule="exact"/>
              <w:ind w:left="116" w:right="102"/>
              <w:jc w:val="center"/>
              <w:rPr>
                <w:sz w:val="18"/>
              </w:rPr>
            </w:pPr>
            <w:r>
              <w:rPr>
                <w:sz w:val="18"/>
              </w:rPr>
              <w:t>(95% CI 0.69 </w:t>
            </w:r>
            <w:r>
              <w:rPr>
                <w:spacing w:val="-5"/>
                <w:sz w:val="18"/>
              </w:rPr>
              <w:t>to</w:t>
            </w:r>
          </w:p>
          <w:p>
            <w:pPr>
              <w:pStyle w:val="TableParagraph"/>
              <w:spacing w:before="1"/>
              <w:ind w:left="116" w:right="104"/>
              <w:jc w:val="center"/>
              <w:rPr>
                <w:sz w:val="18"/>
              </w:rPr>
            </w:pPr>
            <w:r>
              <w:rPr>
                <w:spacing w:val="-2"/>
                <w:sz w:val="18"/>
              </w:rPr>
              <w:t>2.11)</w:t>
            </w:r>
          </w:p>
          <w:p>
            <w:pPr>
              <w:pStyle w:val="TableParagraph"/>
              <w:spacing w:before="219"/>
              <w:ind w:left="116" w:right="98"/>
              <w:jc w:val="center"/>
              <w:rPr>
                <w:sz w:val="18"/>
              </w:rPr>
            </w:pPr>
            <w:r>
              <w:rPr>
                <w:sz w:val="18"/>
              </w:rPr>
              <w:t>Based</w:t>
            </w:r>
            <w:r>
              <w:rPr>
                <w:spacing w:val="-11"/>
                <w:sz w:val="18"/>
              </w:rPr>
              <w:t> </w:t>
            </w:r>
            <w:r>
              <w:rPr>
                <w:sz w:val="18"/>
              </w:rPr>
              <w:t>on</w:t>
            </w:r>
            <w:r>
              <w:rPr>
                <w:spacing w:val="-10"/>
                <w:sz w:val="18"/>
              </w:rPr>
              <w:t> </w:t>
            </w:r>
            <w:r>
              <w:rPr>
                <w:sz w:val="18"/>
              </w:rPr>
              <w:t>data from 906</w:t>
            </w:r>
          </w:p>
          <w:p>
            <w:pPr>
              <w:pStyle w:val="TableParagraph"/>
              <w:spacing w:before="1"/>
              <w:ind w:left="116" w:right="101"/>
              <w:jc w:val="center"/>
              <w:rPr>
                <w:sz w:val="18"/>
              </w:rPr>
            </w:pPr>
            <w:r>
              <w:rPr>
                <w:sz w:val="18"/>
              </w:rPr>
              <w:t>participants</w:t>
            </w:r>
            <w:r>
              <w:rPr>
                <w:spacing w:val="-11"/>
                <w:sz w:val="18"/>
              </w:rPr>
              <w:t> </w:t>
            </w:r>
            <w:r>
              <w:rPr>
                <w:sz w:val="18"/>
              </w:rPr>
              <w:t>in</w:t>
            </w:r>
            <w:r>
              <w:rPr>
                <w:spacing w:val="-10"/>
                <w:sz w:val="18"/>
              </w:rPr>
              <w:t> </w:t>
            </w:r>
            <w:r>
              <w:rPr>
                <w:sz w:val="18"/>
              </w:rPr>
              <w:t>1 </w:t>
            </w:r>
            <w:r>
              <w:rPr>
                <w:spacing w:val="-2"/>
                <w:sz w:val="18"/>
              </w:rPr>
              <w:t>study</w:t>
            </w:r>
          </w:p>
          <w:p>
            <w:pPr>
              <w:pStyle w:val="TableParagraph"/>
              <w:ind w:left="141" w:right="123" w:hanging="1"/>
              <w:jc w:val="center"/>
              <w:rPr>
                <w:sz w:val="18"/>
              </w:rPr>
            </w:pPr>
            <w:r>
              <w:rPr>
                <w:spacing w:val="-2"/>
                <w:sz w:val="18"/>
              </w:rPr>
              <w:t>Follow-up:</w:t>
            </w:r>
            <w:r>
              <w:rPr>
                <w:sz w:val="18"/>
              </w:rPr>
              <w:t> median</w:t>
            </w:r>
            <w:r>
              <w:rPr>
                <w:spacing w:val="-11"/>
                <w:sz w:val="18"/>
              </w:rPr>
              <w:t> </w:t>
            </w:r>
            <w:r>
              <w:rPr>
                <w:sz w:val="18"/>
              </w:rPr>
              <w:t>6</w:t>
            </w:r>
            <w:r>
              <w:rPr>
                <w:spacing w:val="-10"/>
                <w:sz w:val="18"/>
              </w:rPr>
              <w:t> </w:t>
            </w:r>
            <w:r>
              <w:rPr>
                <w:sz w:val="18"/>
              </w:rPr>
              <w:t>months for overall study </w:t>
            </w:r>
            <w:r>
              <w:rPr>
                <w:spacing w:val="-2"/>
                <w:sz w:val="18"/>
              </w:rPr>
              <w:t>population</w:t>
            </w:r>
          </w:p>
        </w:tc>
        <w:tc>
          <w:tcPr>
            <w:tcW w:w="3252" w:type="dxa"/>
            <w:tcBorders>
              <w:top w:val="single" w:sz="4" w:space="0" w:color="000000"/>
              <w:left w:val="single" w:sz="4" w:space="0" w:color="000000"/>
              <w:bottom w:val="single" w:sz="4" w:space="0" w:color="000000"/>
              <w:right w:val="single" w:sz="4" w:space="0" w:color="000000"/>
            </w:tcBorders>
          </w:tcPr>
          <w:p>
            <w:pPr>
              <w:pStyle w:val="TableParagraph"/>
              <w:spacing w:line="219" w:lineRule="exact" w:before="1"/>
              <w:ind w:left="15"/>
              <w:jc w:val="center"/>
              <w:rPr>
                <w:b/>
                <w:sz w:val="18"/>
              </w:rPr>
            </w:pPr>
            <w:r>
              <w:rPr>
                <w:b/>
                <w:spacing w:val="-10"/>
                <w:sz w:val="18"/>
              </w:rPr>
              <w:t>5</w:t>
            </w:r>
          </w:p>
          <w:p>
            <w:pPr>
              <w:pStyle w:val="TableParagraph"/>
              <w:spacing w:line="199" w:lineRule="exact"/>
              <w:ind w:left="15" w:right="2"/>
              <w:jc w:val="center"/>
              <w:rPr>
                <w:sz w:val="18"/>
              </w:rPr>
            </w:pPr>
            <w:r>
              <w:rPr>
                <w:sz w:val="18"/>
              </w:rPr>
              <w:t>per</w:t>
            </w:r>
            <w:r>
              <w:rPr>
                <w:spacing w:val="-2"/>
                <w:sz w:val="18"/>
              </w:rPr>
              <w:t> </w:t>
            </w:r>
            <w:r>
              <w:rPr>
                <w:spacing w:val="-5"/>
                <w:sz w:val="18"/>
              </w:rPr>
              <w:t>100</w:t>
            </w:r>
          </w:p>
        </w:tc>
        <w:tc>
          <w:tcPr>
            <w:tcW w:w="1723" w:type="dxa"/>
            <w:tcBorders>
              <w:top w:val="single" w:sz="4" w:space="0" w:color="000000"/>
              <w:left w:val="single" w:sz="4" w:space="0" w:color="000000"/>
              <w:bottom w:val="single" w:sz="4" w:space="0" w:color="000000"/>
              <w:right w:val="single" w:sz="4" w:space="0" w:color="000000"/>
            </w:tcBorders>
          </w:tcPr>
          <w:p>
            <w:pPr>
              <w:pStyle w:val="TableParagraph"/>
              <w:spacing w:line="219" w:lineRule="exact" w:before="1"/>
              <w:ind w:left="13"/>
              <w:jc w:val="center"/>
              <w:rPr>
                <w:b/>
                <w:sz w:val="18"/>
              </w:rPr>
            </w:pPr>
            <w:r>
              <w:rPr>
                <w:b/>
                <w:spacing w:val="-10"/>
                <w:sz w:val="18"/>
              </w:rPr>
              <w:t>6</w:t>
            </w:r>
          </w:p>
          <w:p>
            <w:pPr>
              <w:pStyle w:val="TableParagraph"/>
              <w:spacing w:line="199" w:lineRule="exact"/>
              <w:ind w:left="13" w:right="2"/>
              <w:jc w:val="center"/>
              <w:rPr>
                <w:sz w:val="18"/>
              </w:rPr>
            </w:pPr>
            <w:r>
              <w:rPr>
                <w:sz w:val="18"/>
              </w:rPr>
              <w:t>per</w:t>
            </w:r>
            <w:r>
              <w:rPr>
                <w:spacing w:val="-2"/>
                <w:sz w:val="18"/>
              </w:rPr>
              <w:t> </w:t>
            </w:r>
            <w:r>
              <w:rPr>
                <w:spacing w:val="-5"/>
                <w:sz w:val="18"/>
              </w:rPr>
              <w:t>100</w:t>
            </w:r>
          </w:p>
        </w:tc>
        <w:tc>
          <w:tcPr>
            <w:tcW w:w="1963"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spacing w:before="219"/>
              <w:rPr>
                <w:sz w:val="18"/>
              </w:rPr>
            </w:pPr>
          </w:p>
          <w:p>
            <w:pPr>
              <w:pStyle w:val="TableParagraph"/>
              <w:ind w:left="141" w:right="123"/>
              <w:jc w:val="center"/>
              <w:rPr>
                <w:b/>
                <w:sz w:val="18"/>
              </w:rPr>
            </w:pPr>
            <w:r>
              <w:rPr>
                <w:b/>
                <w:sz w:val="18"/>
              </w:rPr>
              <w:t>Very</w:t>
            </w:r>
            <w:r>
              <w:rPr>
                <w:b/>
                <w:spacing w:val="-1"/>
                <w:sz w:val="18"/>
              </w:rPr>
              <w:t> </w:t>
            </w:r>
            <w:r>
              <w:rPr>
                <w:b/>
                <w:spacing w:val="-5"/>
                <w:sz w:val="18"/>
              </w:rPr>
              <w:t>low</w:t>
            </w:r>
          </w:p>
          <w:p>
            <w:pPr>
              <w:pStyle w:val="TableParagraph"/>
              <w:spacing w:before="1"/>
              <w:ind w:left="141" w:right="119"/>
              <w:jc w:val="center"/>
              <w:rPr>
                <w:position w:val="5"/>
                <w:sz w:val="12"/>
              </w:rPr>
            </w:pPr>
            <w:r>
              <w:rPr>
                <w:sz w:val="18"/>
              </w:rPr>
              <w:t>Due</w:t>
            </w:r>
            <w:r>
              <w:rPr>
                <w:spacing w:val="-10"/>
                <w:sz w:val="18"/>
              </w:rPr>
              <w:t> </w:t>
            </w:r>
            <w:r>
              <w:rPr>
                <w:sz w:val="18"/>
              </w:rPr>
              <w:t>to</w:t>
            </w:r>
            <w:r>
              <w:rPr>
                <w:spacing w:val="-10"/>
                <w:sz w:val="18"/>
              </w:rPr>
              <w:t> </w:t>
            </w:r>
            <w:r>
              <w:rPr>
                <w:sz w:val="18"/>
              </w:rPr>
              <w:t>serious</w:t>
            </w:r>
            <w:r>
              <w:rPr>
                <w:spacing w:val="-10"/>
                <w:sz w:val="18"/>
              </w:rPr>
              <w:t> </w:t>
            </w:r>
            <w:r>
              <w:rPr>
                <w:sz w:val="18"/>
              </w:rPr>
              <w:t>risk</w:t>
            </w:r>
            <w:r>
              <w:rPr>
                <w:spacing w:val="-10"/>
                <w:sz w:val="18"/>
              </w:rPr>
              <w:t> </w:t>
            </w:r>
            <w:r>
              <w:rPr>
                <w:sz w:val="18"/>
              </w:rPr>
              <w:t>of bias, due to very serious</w:t>
            </w:r>
            <w:r>
              <w:rPr>
                <w:spacing w:val="-2"/>
                <w:sz w:val="18"/>
              </w:rPr>
              <w:t> </w:t>
            </w:r>
            <w:r>
              <w:rPr>
                <w:sz w:val="18"/>
              </w:rPr>
              <w:t>imprecision</w:t>
            </w:r>
            <w:r>
              <w:rPr>
                <w:position w:val="5"/>
                <w:sz w:val="12"/>
              </w:rPr>
              <w:t>1</w:t>
            </w:r>
          </w:p>
        </w:tc>
        <w:tc>
          <w:tcPr>
            <w:tcW w:w="4044" w:type="dxa"/>
            <w:vMerge w:val="restart"/>
            <w:tcBorders>
              <w:top w:val="single" w:sz="4" w:space="0" w:color="000000"/>
              <w:left w:val="single" w:sz="4" w:space="0" w:color="000000"/>
              <w:bottom w:val="single" w:sz="4" w:space="0" w:color="000000"/>
            </w:tcBorders>
          </w:tcPr>
          <w:p>
            <w:pPr>
              <w:pStyle w:val="TableParagraph"/>
              <w:spacing w:before="1"/>
              <w:ind w:left="158" w:right="135" w:hanging="5"/>
              <w:jc w:val="center"/>
              <w:rPr>
                <w:sz w:val="18"/>
              </w:rPr>
            </w:pPr>
            <w:r>
              <w:rPr>
                <w:sz w:val="18"/>
              </w:rPr>
              <w:t>The evidence is very uncertain about the effect of clopidogrel (+ possible concomitant aspirin) on shunt occlusion when compared to placebo (+ possible concomitant aspirin) in infants with an indication</w:t>
            </w:r>
            <w:r>
              <w:rPr>
                <w:spacing w:val="-11"/>
                <w:sz w:val="18"/>
              </w:rPr>
              <w:t> </w:t>
            </w:r>
            <w:r>
              <w:rPr>
                <w:sz w:val="18"/>
              </w:rPr>
              <w:t>for</w:t>
            </w:r>
            <w:r>
              <w:rPr>
                <w:spacing w:val="-10"/>
                <w:sz w:val="18"/>
              </w:rPr>
              <w:t> </w:t>
            </w:r>
            <w:r>
              <w:rPr>
                <w:sz w:val="18"/>
              </w:rPr>
              <w:t>systemic-to-pulmonary-artery</w:t>
            </w:r>
            <w:r>
              <w:rPr>
                <w:spacing w:val="-10"/>
                <w:sz w:val="18"/>
              </w:rPr>
              <w:t> </w:t>
            </w:r>
            <w:r>
              <w:rPr>
                <w:sz w:val="18"/>
              </w:rPr>
              <w:t>shunts</w:t>
            </w:r>
          </w:p>
          <w:p>
            <w:pPr>
              <w:pStyle w:val="TableParagraph"/>
              <w:spacing w:before="219"/>
              <w:ind w:left="89" w:right="72"/>
              <w:jc w:val="center"/>
              <w:rPr>
                <w:sz w:val="18"/>
              </w:rPr>
            </w:pPr>
            <w:r>
              <w:rPr>
                <w:sz w:val="18"/>
              </w:rPr>
              <w:t>(Wessel,</w:t>
            </w:r>
            <w:r>
              <w:rPr>
                <w:spacing w:val="-5"/>
                <w:sz w:val="18"/>
              </w:rPr>
              <w:t> </w:t>
            </w:r>
            <w:r>
              <w:rPr>
                <w:spacing w:val="-2"/>
                <w:sz w:val="18"/>
              </w:rPr>
              <w:t>2013)</w:t>
            </w:r>
          </w:p>
        </w:tc>
      </w:tr>
      <w:tr>
        <w:trPr>
          <w:trHeight w:val="3067" w:hRule="atLeast"/>
        </w:trPr>
        <w:tc>
          <w:tcPr>
            <w:tcW w:w="1488"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4975" w:type="dxa"/>
            <w:gridSpan w:val="2"/>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spacing w:before="2"/>
              <w:rPr>
                <w:sz w:val="18"/>
              </w:rPr>
            </w:pPr>
          </w:p>
          <w:p>
            <w:pPr>
              <w:pStyle w:val="TableParagraph"/>
              <w:spacing w:line="219" w:lineRule="exact"/>
              <w:ind w:left="1494"/>
              <w:rPr>
                <w:b/>
                <w:sz w:val="18"/>
              </w:rPr>
            </w:pPr>
            <w:r>
              <w:rPr>
                <w:sz w:val="18"/>
              </w:rPr>
              <w:t>Difference:</w:t>
            </w:r>
            <w:r>
              <w:rPr>
                <w:spacing w:val="-2"/>
                <w:sz w:val="18"/>
              </w:rPr>
              <w:t> </w:t>
            </w:r>
            <w:r>
              <w:rPr>
                <w:b/>
                <w:sz w:val="18"/>
              </w:rPr>
              <w:t>1</w:t>
            </w:r>
            <w:r>
              <w:rPr>
                <w:b/>
                <w:spacing w:val="-2"/>
                <w:sz w:val="18"/>
              </w:rPr>
              <w:t> </w:t>
            </w:r>
            <w:r>
              <w:rPr>
                <w:b/>
                <w:sz w:val="18"/>
              </w:rPr>
              <w:t>more</w:t>
            </w:r>
            <w:r>
              <w:rPr>
                <w:b/>
                <w:spacing w:val="-2"/>
                <w:sz w:val="18"/>
              </w:rPr>
              <w:t> </w:t>
            </w:r>
            <w:r>
              <w:rPr>
                <w:b/>
                <w:sz w:val="18"/>
              </w:rPr>
              <w:t>per</w:t>
            </w:r>
            <w:r>
              <w:rPr>
                <w:b/>
                <w:spacing w:val="-1"/>
                <w:sz w:val="18"/>
              </w:rPr>
              <w:t> </w:t>
            </w:r>
            <w:r>
              <w:rPr>
                <w:b/>
                <w:spacing w:val="-5"/>
                <w:sz w:val="18"/>
              </w:rPr>
              <w:t>100</w:t>
            </w:r>
          </w:p>
          <w:p>
            <w:pPr>
              <w:pStyle w:val="TableParagraph"/>
              <w:spacing w:line="219" w:lineRule="exact"/>
              <w:ind w:left="1508"/>
              <w:rPr>
                <w:sz w:val="18"/>
              </w:rPr>
            </w:pPr>
            <w:r>
              <w:rPr>
                <w:sz w:val="18"/>
              </w:rPr>
              <w:t>(95%</w:t>
            </w:r>
            <w:r>
              <w:rPr>
                <w:spacing w:val="-3"/>
                <w:sz w:val="18"/>
              </w:rPr>
              <w:t> </w:t>
            </w:r>
            <w:r>
              <w:rPr>
                <w:sz w:val="18"/>
              </w:rPr>
              <w:t>CI 2 fewer</w:t>
            </w:r>
            <w:r>
              <w:rPr>
                <w:spacing w:val="-1"/>
                <w:sz w:val="18"/>
              </w:rPr>
              <w:t> </w:t>
            </w:r>
            <w:r>
              <w:rPr>
                <w:sz w:val="18"/>
              </w:rPr>
              <w:t>to 4 </w:t>
            </w:r>
            <w:r>
              <w:rPr>
                <w:spacing w:val="-4"/>
                <w:sz w:val="18"/>
              </w:rPr>
              <w:t>more)</w:t>
            </w:r>
          </w:p>
        </w:tc>
        <w:tc>
          <w:tcPr>
            <w:tcW w:w="1963" w:type="dxa"/>
            <w:vMerge/>
            <w:tcBorders>
              <w:top w:val="nil"/>
              <w:left w:val="single" w:sz="4" w:space="0" w:color="000000"/>
              <w:bottom w:val="single" w:sz="4" w:space="0" w:color="000000"/>
              <w:right w:val="single" w:sz="4" w:space="0" w:color="000000"/>
            </w:tcBorders>
          </w:tcPr>
          <w:p>
            <w:pPr>
              <w:rPr>
                <w:sz w:val="2"/>
                <w:szCs w:val="2"/>
              </w:rPr>
            </w:pPr>
          </w:p>
        </w:tc>
        <w:tc>
          <w:tcPr>
            <w:tcW w:w="4044" w:type="dxa"/>
            <w:vMerge/>
            <w:tcBorders>
              <w:top w:val="nil"/>
              <w:left w:val="single" w:sz="4" w:space="0" w:color="000000"/>
              <w:bottom w:val="single" w:sz="4" w:space="0" w:color="000000"/>
            </w:tcBorders>
          </w:tcPr>
          <w:p>
            <w:pPr>
              <w:rPr>
                <w:sz w:val="2"/>
                <w:szCs w:val="2"/>
              </w:rPr>
            </w:pPr>
          </w:p>
        </w:tc>
      </w:tr>
      <w:tr>
        <w:trPr>
          <w:trHeight w:val="438" w:hRule="atLeast"/>
        </w:trPr>
        <w:tc>
          <w:tcPr>
            <w:tcW w:w="1488" w:type="dxa"/>
            <w:vMerge w:val="restart"/>
            <w:tcBorders>
              <w:top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219"/>
              <w:rPr>
                <w:sz w:val="18"/>
              </w:rPr>
            </w:pPr>
          </w:p>
          <w:p>
            <w:pPr>
              <w:pStyle w:val="TableParagraph"/>
              <w:ind w:left="318" w:hanging="36"/>
              <w:rPr>
                <w:sz w:val="18"/>
              </w:rPr>
            </w:pPr>
            <w:r>
              <w:rPr>
                <w:spacing w:val="-2"/>
                <w:sz w:val="18"/>
              </w:rPr>
              <w:t>Hemorrhage</w:t>
            </w:r>
            <w:r>
              <w:rPr>
                <w:sz w:val="18"/>
              </w:rPr>
              <w:t> </w:t>
            </w:r>
            <w:r>
              <w:rPr>
                <w:spacing w:val="-2"/>
                <w:sz w:val="18"/>
              </w:rPr>
              <w:t>(important)</w:t>
            </w:r>
          </w:p>
        </w:tc>
        <w:tc>
          <w:tcPr>
            <w:tcW w:w="1557"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spacing w:line="219" w:lineRule="exact" w:before="1"/>
              <w:ind w:left="116" w:right="105"/>
              <w:jc w:val="center"/>
              <w:rPr>
                <w:b/>
                <w:sz w:val="18"/>
              </w:rPr>
            </w:pPr>
            <w:r>
              <w:rPr>
                <w:sz w:val="18"/>
              </w:rPr>
              <w:t>Relative</w:t>
            </w:r>
            <w:r>
              <w:rPr>
                <w:spacing w:val="-3"/>
                <w:sz w:val="18"/>
              </w:rPr>
              <w:t> </w:t>
            </w:r>
            <w:r>
              <w:rPr>
                <w:sz w:val="18"/>
              </w:rPr>
              <w:t>risk:</w:t>
            </w:r>
            <w:r>
              <w:rPr>
                <w:spacing w:val="-2"/>
                <w:sz w:val="18"/>
              </w:rPr>
              <w:t> </w:t>
            </w:r>
            <w:r>
              <w:rPr>
                <w:b/>
                <w:spacing w:val="-4"/>
                <w:sz w:val="18"/>
              </w:rPr>
              <w:t>1.88</w:t>
            </w:r>
          </w:p>
          <w:p>
            <w:pPr>
              <w:pStyle w:val="TableParagraph"/>
              <w:spacing w:line="219" w:lineRule="exact"/>
              <w:ind w:left="116" w:right="102"/>
              <w:jc w:val="center"/>
              <w:rPr>
                <w:sz w:val="18"/>
              </w:rPr>
            </w:pPr>
            <w:r>
              <w:rPr>
                <w:sz w:val="18"/>
              </w:rPr>
              <w:t>(95% CI 0.65 </w:t>
            </w:r>
            <w:r>
              <w:rPr>
                <w:spacing w:val="-5"/>
                <w:sz w:val="18"/>
              </w:rPr>
              <w:t>to</w:t>
            </w:r>
          </w:p>
          <w:p>
            <w:pPr>
              <w:pStyle w:val="TableParagraph"/>
              <w:spacing w:before="1"/>
              <w:ind w:left="116" w:right="104"/>
              <w:jc w:val="center"/>
              <w:rPr>
                <w:sz w:val="18"/>
              </w:rPr>
            </w:pPr>
            <w:r>
              <w:rPr>
                <w:spacing w:val="-2"/>
                <w:sz w:val="18"/>
              </w:rPr>
              <w:t>5.45)</w:t>
            </w:r>
          </w:p>
          <w:p>
            <w:pPr>
              <w:pStyle w:val="TableParagraph"/>
              <w:rPr>
                <w:sz w:val="18"/>
              </w:rPr>
            </w:pPr>
          </w:p>
          <w:p>
            <w:pPr>
              <w:pStyle w:val="TableParagraph"/>
              <w:ind w:left="116" w:right="98"/>
              <w:jc w:val="center"/>
              <w:rPr>
                <w:sz w:val="18"/>
              </w:rPr>
            </w:pPr>
            <w:r>
              <w:rPr>
                <w:sz w:val="18"/>
              </w:rPr>
              <w:t>Based</w:t>
            </w:r>
            <w:r>
              <w:rPr>
                <w:spacing w:val="-11"/>
                <w:sz w:val="18"/>
              </w:rPr>
              <w:t> </w:t>
            </w:r>
            <w:r>
              <w:rPr>
                <w:sz w:val="18"/>
              </w:rPr>
              <w:t>on</w:t>
            </w:r>
            <w:r>
              <w:rPr>
                <w:spacing w:val="-10"/>
                <w:sz w:val="18"/>
              </w:rPr>
              <w:t> </w:t>
            </w:r>
            <w:r>
              <w:rPr>
                <w:sz w:val="18"/>
              </w:rPr>
              <w:t>data from 906</w:t>
            </w:r>
          </w:p>
          <w:p>
            <w:pPr>
              <w:pStyle w:val="TableParagraph"/>
              <w:ind w:left="116" w:right="101"/>
              <w:jc w:val="center"/>
              <w:rPr>
                <w:sz w:val="18"/>
              </w:rPr>
            </w:pPr>
            <w:r>
              <w:rPr>
                <w:sz w:val="18"/>
              </w:rPr>
              <w:t>participants</w:t>
            </w:r>
            <w:r>
              <w:rPr>
                <w:spacing w:val="-11"/>
                <w:sz w:val="18"/>
              </w:rPr>
              <w:t> </w:t>
            </w:r>
            <w:r>
              <w:rPr>
                <w:sz w:val="18"/>
              </w:rPr>
              <w:t>in</w:t>
            </w:r>
            <w:r>
              <w:rPr>
                <w:spacing w:val="-10"/>
                <w:sz w:val="18"/>
              </w:rPr>
              <w:t> </w:t>
            </w:r>
            <w:r>
              <w:rPr>
                <w:sz w:val="18"/>
              </w:rPr>
              <w:t>1 </w:t>
            </w:r>
            <w:r>
              <w:rPr>
                <w:spacing w:val="-2"/>
                <w:sz w:val="18"/>
              </w:rPr>
              <w:t>study</w:t>
            </w:r>
          </w:p>
          <w:p>
            <w:pPr>
              <w:pStyle w:val="TableParagraph"/>
              <w:ind w:left="141" w:right="123" w:hanging="1"/>
              <w:jc w:val="center"/>
              <w:rPr>
                <w:sz w:val="18"/>
              </w:rPr>
            </w:pPr>
            <w:r>
              <w:rPr>
                <w:spacing w:val="-2"/>
                <w:sz w:val="18"/>
              </w:rPr>
              <w:t>Follow-up:</w:t>
            </w:r>
            <w:r>
              <w:rPr>
                <w:sz w:val="18"/>
              </w:rPr>
              <w:t> median</w:t>
            </w:r>
            <w:r>
              <w:rPr>
                <w:spacing w:val="-11"/>
                <w:sz w:val="18"/>
              </w:rPr>
              <w:t> </w:t>
            </w:r>
            <w:r>
              <w:rPr>
                <w:sz w:val="18"/>
              </w:rPr>
              <w:t>6</w:t>
            </w:r>
            <w:r>
              <w:rPr>
                <w:spacing w:val="-10"/>
                <w:sz w:val="18"/>
              </w:rPr>
              <w:t> </w:t>
            </w:r>
            <w:r>
              <w:rPr>
                <w:sz w:val="18"/>
              </w:rPr>
              <w:t>months for overall study </w:t>
            </w:r>
            <w:r>
              <w:rPr>
                <w:spacing w:val="-2"/>
                <w:sz w:val="18"/>
              </w:rPr>
              <w:t>population</w:t>
            </w:r>
          </w:p>
        </w:tc>
        <w:tc>
          <w:tcPr>
            <w:tcW w:w="3252" w:type="dxa"/>
            <w:tcBorders>
              <w:top w:val="single" w:sz="4" w:space="0" w:color="000000"/>
              <w:left w:val="single" w:sz="4" w:space="0" w:color="000000"/>
              <w:bottom w:val="single" w:sz="4" w:space="0" w:color="000000"/>
              <w:right w:val="single" w:sz="4" w:space="0" w:color="000000"/>
            </w:tcBorders>
          </w:tcPr>
          <w:p>
            <w:pPr>
              <w:pStyle w:val="TableParagraph"/>
              <w:spacing w:line="219" w:lineRule="exact" w:before="1"/>
              <w:ind w:left="15"/>
              <w:jc w:val="center"/>
              <w:rPr>
                <w:b/>
                <w:sz w:val="18"/>
              </w:rPr>
            </w:pPr>
            <w:r>
              <w:rPr>
                <w:b/>
                <w:spacing w:val="-10"/>
                <w:sz w:val="18"/>
              </w:rPr>
              <w:t>1</w:t>
            </w:r>
          </w:p>
          <w:p>
            <w:pPr>
              <w:pStyle w:val="TableParagraph"/>
              <w:spacing w:line="199" w:lineRule="exact"/>
              <w:ind w:left="15" w:right="3"/>
              <w:jc w:val="center"/>
              <w:rPr>
                <w:sz w:val="18"/>
              </w:rPr>
            </w:pPr>
            <w:r>
              <w:rPr>
                <w:sz w:val="18"/>
              </w:rPr>
              <w:t>per</w:t>
            </w:r>
            <w:r>
              <w:rPr>
                <w:spacing w:val="-3"/>
                <w:sz w:val="18"/>
              </w:rPr>
              <w:t> </w:t>
            </w:r>
            <w:r>
              <w:rPr>
                <w:spacing w:val="-5"/>
                <w:sz w:val="18"/>
              </w:rPr>
              <w:t>100</w:t>
            </w:r>
          </w:p>
        </w:tc>
        <w:tc>
          <w:tcPr>
            <w:tcW w:w="1723" w:type="dxa"/>
            <w:tcBorders>
              <w:top w:val="single" w:sz="4" w:space="0" w:color="000000"/>
              <w:left w:val="single" w:sz="4" w:space="0" w:color="000000"/>
              <w:bottom w:val="single" w:sz="4" w:space="0" w:color="000000"/>
              <w:right w:val="single" w:sz="4" w:space="0" w:color="000000"/>
            </w:tcBorders>
          </w:tcPr>
          <w:p>
            <w:pPr>
              <w:pStyle w:val="TableParagraph"/>
              <w:spacing w:line="219" w:lineRule="exact" w:before="1"/>
              <w:ind w:left="13"/>
              <w:jc w:val="center"/>
              <w:rPr>
                <w:b/>
                <w:sz w:val="18"/>
              </w:rPr>
            </w:pPr>
            <w:r>
              <w:rPr>
                <w:b/>
                <w:spacing w:val="-10"/>
                <w:sz w:val="18"/>
              </w:rPr>
              <w:t>2</w:t>
            </w:r>
          </w:p>
          <w:p>
            <w:pPr>
              <w:pStyle w:val="TableParagraph"/>
              <w:spacing w:line="199" w:lineRule="exact"/>
              <w:ind w:left="13" w:right="2"/>
              <w:jc w:val="center"/>
              <w:rPr>
                <w:sz w:val="18"/>
              </w:rPr>
            </w:pPr>
            <w:r>
              <w:rPr>
                <w:sz w:val="18"/>
              </w:rPr>
              <w:t>per</w:t>
            </w:r>
            <w:r>
              <w:rPr>
                <w:spacing w:val="-2"/>
                <w:sz w:val="18"/>
              </w:rPr>
              <w:t> </w:t>
            </w:r>
            <w:r>
              <w:rPr>
                <w:spacing w:val="-5"/>
                <w:sz w:val="18"/>
              </w:rPr>
              <w:t>100</w:t>
            </w:r>
          </w:p>
        </w:tc>
        <w:tc>
          <w:tcPr>
            <w:tcW w:w="1963"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1"/>
              <w:rPr>
                <w:sz w:val="18"/>
              </w:rPr>
            </w:pPr>
          </w:p>
          <w:p>
            <w:pPr>
              <w:pStyle w:val="TableParagraph"/>
              <w:spacing w:line="219" w:lineRule="exact"/>
              <w:ind w:left="141" w:right="123"/>
              <w:jc w:val="center"/>
              <w:rPr>
                <w:b/>
                <w:sz w:val="18"/>
              </w:rPr>
            </w:pPr>
            <w:r>
              <w:rPr>
                <w:b/>
                <w:sz w:val="18"/>
              </w:rPr>
              <w:t>Very</w:t>
            </w:r>
            <w:r>
              <w:rPr>
                <w:b/>
                <w:spacing w:val="-1"/>
                <w:sz w:val="18"/>
              </w:rPr>
              <w:t> </w:t>
            </w:r>
            <w:r>
              <w:rPr>
                <w:b/>
                <w:spacing w:val="-5"/>
                <w:sz w:val="18"/>
              </w:rPr>
              <w:t>low</w:t>
            </w:r>
          </w:p>
          <w:p>
            <w:pPr>
              <w:pStyle w:val="TableParagraph"/>
              <w:ind w:left="98" w:right="76"/>
              <w:jc w:val="center"/>
              <w:rPr>
                <w:position w:val="5"/>
                <w:sz w:val="12"/>
              </w:rPr>
            </w:pPr>
            <w:r>
              <w:rPr>
                <w:sz w:val="18"/>
              </w:rPr>
              <w:t>Due</w:t>
            </w:r>
            <w:r>
              <w:rPr>
                <w:spacing w:val="-11"/>
                <w:sz w:val="18"/>
              </w:rPr>
              <w:t> </w:t>
            </w:r>
            <w:r>
              <w:rPr>
                <w:sz w:val="18"/>
              </w:rPr>
              <w:t>to</w:t>
            </w:r>
            <w:r>
              <w:rPr>
                <w:spacing w:val="-9"/>
                <w:sz w:val="18"/>
              </w:rPr>
              <w:t> </w:t>
            </w:r>
            <w:r>
              <w:rPr>
                <w:sz w:val="18"/>
              </w:rPr>
              <w:t>very</w:t>
            </w:r>
            <w:r>
              <w:rPr>
                <w:spacing w:val="-10"/>
                <w:sz w:val="18"/>
              </w:rPr>
              <w:t> </w:t>
            </w:r>
            <w:r>
              <w:rPr>
                <w:sz w:val="18"/>
              </w:rPr>
              <w:t>serious</w:t>
            </w:r>
            <w:r>
              <w:rPr>
                <w:spacing w:val="-10"/>
                <w:sz w:val="18"/>
              </w:rPr>
              <w:t> </w:t>
            </w:r>
            <w:r>
              <w:rPr>
                <w:sz w:val="18"/>
              </w:rPr>
              <w:t>risk of bias, due to very serious</w:t>
            </w:r>
            <w:r>
              <w:rPr>
                <w:spacing w:val="-2"/>
                <w:sz w:val="18"/>
              </w:rPr>
              <w:t> </w:t>
            </w:r>
            <w:r>
              <w:rPr>
                <w:sz w:val="18"/>
              </w:rPr>
              <w:t>imprecision</w:t>
            </w:r>
            <w:r>
              <w:rPr>
                <w:position w:val="5"/>
                <w:sz w:val="12"/>
              </w:rPr>
              <w:t>2</w:t>
            </w:r>
          </w:p>
        </w:tc>
        <w:tc>
          <w:tcPr>
            <w:tcW w:w="4044" w:type="dxa"/>
            <w:vMerge w:val="restart"/>
            <w:tcBorders>
              <w:top w:val="single" w:sz="4" w:space="0" w:color="000000"/>
              <w:left w:val="single" w:sz="4" w:space="0" w:color="000000"/>
              <w:bottom w:val="single" w:sz="4" w:space="0" w:color="000000"/>
            </w:tcBorders>
          </w:tcPr>
          <w:p>
            <w:pPr>
              <w:pStyle w:val="TableParagraph"/>
              <w:spacing w:before="1"/>
              <w:ind w:left="127" w:right="104" w:hanging="4"/>
              <w:jc w:val="center"/>
              <w:rPr>
                <w:sz w:val="18"/>
              </w:rPr>
            </w:pPr>
            <w:r>
              <w:rPr>
                <w:sz w:val="18"/>
              </w:rPr>
              <w:t>The evidence is very uncertain about the effect of clopidogrel (+ possible concomitant aspirin) on (gastrointestinal) hemorrhage when compared to placebo (+ possible concomitant aspirin) in infants with</w:t>
            </w:r>
            <w:r>
              <w:rPr>
                <w:spacing w:val="-11"/>
                <w:sz w:val="18"/>
              </w:rPr>
              <w:t> </w:t>
            </w:r>
            <w:r>
              <w:rPr>
                <w:sz w:val="18"/>
              </w:rPr>
              <w:t>an</w:t>
            </w:r>
            <w:r>
              <w:rPr>
                <w:spacing w:val="-10"/>
                <w:sz w:val="18"/>
              </w:rPr>
              <w:t> </w:t>
            </w:r>
            <w:r>
              <w:rPr>
                <w:sz w:val="18"/>
              </w:rPr>
              <w:t>indication</w:t>
            </w:r>
            <w:r>
              <w:rPr>
                <w:spacing w:val="-10"/>
                <w:sz w:val="18"/>
              </w:rPr>
              <w:t> </w:t>
            </w:r>
            <w:r>
              <w:rPr>
                <w:sz w:val="18"/>
              </w:rPr>
              <w:t>for</w:t>
            </w:r>
            <w:r>
              <w:rPr>
                <w:spacing w:val="-9"/>
                <w:sz w:val="18"/>
              </w:rPr>
              <w:t> </w:t>
            </w:r>
            <w:r>
              <w:rPr>
                <w:sz w:val="18"/>
              </w:rPr>
              <w:t>systemic-to-pulmonary-artery shunt surgery</w:t>
            </w:r>
          </w:p>
          <w:p>
            <w:pPr>
              <w:pStyle w:val="TableParagraph"/>
              <w:rPr>
                <w:sz w:val="18"/>
              </w:rPr>
            </w:pPr>
          </w:p>
          <w:p>
            <w:pPr>
              <w:pStyle w:val="TableParagraph"/>
              <w:spacing w:before="1"/>
              <w:ind w:left="89" w:right="72"/>
              <w:jc w:val="center"/>
              <w:rPr>
                <w:sz w:val="18"/>
              </w:rPr>
            </w:pPr>
            <w:r>
              <w:rPr>
                <w:sz w:val="18"/>
              </w:rPr>
              <w:t>(Wessel,</w:t>
            </w:r>
            <w:r>
              <w:rPr>
                <w:spacing w:val="-5"/>
                <w:sz w:val="18"/>
              </w:rPr>
              <w:t> </w:t>
            </w:r>
            <w:r>
              <w:rPr>
                <w:spacing w:val="-2"/>
                <w:sz w:val="18"/>
              </w:rPr>
              <w:t>2013)</w:t>
            </w:r>
          </w:p>
        </w:tc>
      </w:tr>
      <w:tr>
        <w:trPr>
          <w:trHeight w:val="3286" w:hRule="atLeast"/>
        </w:trPr>
        <w:tc>
          <w:tcPr>
            <w:tcW w:w="1488"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4975" w:type="dxa"/>
            <w:gridSpan w:val="2"/>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1"/>
              <w:rPr>
                <w:sz w:val="18"/>
              </w:rPr>
            </w:pPr>
          </w:p>
          <w:p>
            <w:pPr>
              <w:pStyle w:val="TableParagraph"/>
              <w:ind w:left="1494"/>
              <w:rPr>
                <w:b/>
                <w:sz w:val="18"/>
              </w:rPr>
            </w:pPr>
            <w:r>
              <w:rPr>
                <w:sz w:val="18"/>
              </w:rPr>
              <w:t>Difference:</w:t>
            </w:r>
            <w:r>
              <w:rPr>
                <w:spacing w:val="-2"/>
                <w:sz w:val="18"/>
              </w:rPr>
              <w:t> </w:t>
            </w:r>
            <w:r>
              <w:rPr>
                <w:b/>
                <w:sz w:val="18"/>
              </w:rPr>
              <w:t>1</w:t>
            </w:r>
            <w:r>
              <w:rPr>
                <w:b/>
                <w:spacing w:val="-2"/>
                <w:sz w:val="18"/>
              </w:rPr>
              <w:t> </w:t>
            </w:r>
            <w:r>
              <w:rPr>
                <w:b/>
                <w:sz w:val="18"/>
              </w:rPr>
              <w:t>more</w:t>
            </w:r>
            <w:r>
              <w:rPr>
                <w:b/>
                <w:spacing w:val="-2"/>
                <w:sz w:val="18"/>
              </w:rPr>
              <w:t> </w:t>
            </w:r>
            <w:r>
              <w:rPr>
                <w:b/>
                <w:sz w:val="18"/>
              </w:rPr>
              <w:t>per</w:t>
            </w:r>
            <w:r>
              <w:rPr>
                <w:b/>
                <w:spacing w:val="-1"/>
                <w:sz w:val="18"/>
              </w:rPr>
              <w:t> </w:t>
            </w:r>
            <w:r>
              <w:rPr>
                <w:b/>
                <w:spacing w:val="-5"/>
                <w:sz w:val="18"/>
              </w:rPr>
              <w:t>100</w:t>
            </w:r>
          </w:p>
          <w:p>
            <w:pPr>
              <w:pStyle w:val="TableParagraph"/>
              <w:spacing w:before="1"/>
              <w:ind w:left="1508"/>
              <w:rPr>
                <w:sz w:val="18"/>
              </w:rPr>
            </w:pPr>
            <w:r>
              <w:rPr>
                <w:sz w:val="18"/>
              </w:rPr>
              <w:t>(95%</w:t>
            </w:r>
            <w:r>
              <w:rPr>
                <w:spacing w:val="-3"/>
                <w:sz w:val="18"/>
              </w:rPr>
              <w:t> </w:t>
            </w:r>
            <w:r>
              <w:rPr>
                <w:sz w:val="18"/>
              </w:rPr>
              <w:t>CI 1 fewer</w:t>
            </w:r>
            <w:r>
              <w:rPr>
                <w:spacing w:val="-1"/>
                <w:sz w:val="18"/>
              </w:rPr>
              <w:t> </w:t>
            </w:r>
            <w:r>
              <w:rPr>
                <w:sz w:val="18"/>
              </w:rPr>
              <w:t>to 3 </w:t>
            </w:r>
            <w:r>
              <w:rPr>
                <w:spacing w:val="-4"/>
                <w:sz w:val="18"/>
              </w:rPr>
              <w:t>more)</w:t>
            </w:r>
          </w:p>
        </w:tc>
        <w:tc>
          <w:tcPr>
            <w:tcW w:w="1963" w:type="dxa"/>
            <w:vMerge/>
            <w:tcBorders>
              <w:top w:val="nil"/>
              <w:left w:val="single" w:sz="4" w:space="0" w:color="000000"/>
              <w:bottom w:val="single" w:sz="4" w:space="0" w:color="000000"/>
              <w:right w:val="single" w:sz="4" w:space="0" w:color="000000"/>
            </w:tcBorders>
          </w:tcPr>
          <w:p>
            <w:pPr>
              <w:rPr>
                <w:sz w:val="2"/>
                <w:szCs w:val="2"/>
              </w:rPr>
            </w:pPr>
          </w:p>
        </w:tc>
        <w:tc>
          <w:tcPr>
            <w:tcW w:w="4044" w:type="dxa"/>
            <w:vMerge/>
            <w:tcBorders>
              <w:top w:val="nil"/>
              <w:left w:val="single" w:sz="4" w:space="0" w:color="000000"/>
              <w:bottom w:val="single" w:sz="4" w:space="0" w:color="000000"/>
            </w:tcBorders>
          </w:tcPr>
          <w:p>
            <w:pPr>
              <w:rPr>
                <w:sz w:val="2"/>
                <w:szCs w:val="2"/>
              </w:rPr>
            </w:pPr>
          </w:p>
        </w:tc>
      </w:tr>
      <w:tr>
        <w:trPr>
          <w:trHeight w:val="438" w:hRule="atLeast"/>
        </w:trPr>
        <w:tc>
          <w:tcPr>
            <w:tcW w:w="1488" w:type="dxa"/>
            <w:vMerge w:val="restart"/>
            <w:tcBorders>
              <w:top w:val="single" w:sz="4" w:space="0" w:color="000000"/>
              <w:right w:val="single" w:sz="4" w:space="0" w:color="000000"/>
            </w:tcBorders>
          </w:tcPr>
          <w:p>
            <w:pPr>
              <w:pStyle w:val="TableParagraph"/>
              <w:rPr>
                <w:rFonts w:ascii="Times New Roman"/>
                <w:sz w:val="18"/>
              </w:rPr>
            </w:pPr>
          </w:p>
        </w:tc>
        <w:tc>
          <w:tcPr>
            <w:tcW w:w="1557" w:type="dxa"/>
            <w:vMerge w:val="restart"/>
            <w:tcBorders>
              <w:top w:val="single" w:sz="4" w:space="0" w:color="000000"/>
              <w:left w:val="single" w:sz="4" w:space="0" w:color="000000"/>
              <w:right w:val="single" w:sz="4" w:space="0" w:color="000000"/>
            </w:tcBorders>
          </w:tcPr>
          <w:p>
            <w:pPr>
              <w:pStyle w:val="TableParagraph"/>
              <w:rPr>
                <w:sz w:val="18"/>
              </w:rPr>
            </w:pPr>
          </w:p>
          <w:p>
            <w:pPr>
              <w:pStyle w:val="TableParagraph"/>
              <w:rPr>
                <w:sz w:val="18"/>
              </w:rPr>
            </w:pPr>
          </w:p>
          <w:p>
            <w:pPr>
              <w:pStyle w:val="TableParagraph"/>
              <w:spacing w:before="1"/>
              <w:ind w:left="132"/>
              <w:rPr>
                <w:b/>
                <w:sz w:val="18"/>
              </w:rPr>
            </w:pPr>
            <w:r>
              <w:rPr>
                <w:sz w:val="18"/>
              </w:rPr>
              <w:t>Relative</w:t>
            </w:r>
            <w:r>
              <w:rPr>
                <w:spacing w:val="-3"/>
                <w:sz w:val="18"/>
              </w:rPr>
              <w:t> </w:t>
            </w:r>
            <w:r>
              <w:rPr>
                <w:sz w:val="18"/>
              </w:rPr>
              <w:t>risk:</w:t>
            </w:r>
            <w:r>
              <w:rPr>
                <w:spacing w:val="-2"/>
                <w:sz w:val="18"/>
              </w:rPr>
              <w:t> </w:t>
            </w:r>
            <w:r>
              <w:rPr>
                <w:b/>
                <w:spacing w:val="-4"/>
                <w:sz w:val="18"/>
              </w:rPr>
              <w:t>0.86</w:t>
            </w:r>
          </w:p>
        </w:tc>
        <w:tc>
          <w:tcPr>
            <w:tcW w:w="3252" w:type="dxa"/>
            <w:tcBorders>
              <w:top w:val="single" w:sz="4" w:space="0" w:color="000000"/>
              <w:left w:val="single" w:sz="4" w:space="0" w:color="000000"/>
              <w:bottom w:val="single" w:sz="4" w:space="0" w:color="000000"/>
              <w:right w:val="single" w:sz="4" w:space="0" w:color="000000"/>
            </w:tcBorders>
          </w:tcPr>
          <w:p>
            <w:pPr>
              <w:pStyle w:val="TableParagraph"/>
              <w:spacing w:before="1"/>
              <w:ind w:left="15"/>
              <w:jc w:val="center"/>
              <w:rPr>
                <w:b/>
                <w:sz w:val="18"/>
              </w:rPr>
            </w:pPr>
            <w:r>
              <w:rPr>
                <w:b/>
                <w:spacing w:val="-5"/>
                <w:sz w:val="18"/>
              </w:rPr>
              <w:t>14</w:t>
            </w:r>
          </w:p>
          <w:p>
            <w:pPr>
              <w:pStyle w:val="TableParagraph"/>
              <w:spacing w:line="197" w:lineRule="exact" w:before="1"/>
              <w:ind w:left="15" w:right="2"/>
              <w:jc w:val="center"/>
              <w:rPr>
                <w:sz w:val="18"/>
              </w:rPr>
            </w:pPr>
            <w:r>
              <w:rPr>
                <w:sz w:val="18"/>
              </w:rPr>
              <w:t>per</w:t>
            </w:r>
            <w:r>
              <w:rPr>
                <w:spacing w:val="-2"/>
                <w:sz w:val="18"/>
              </w:rPr>
              <w:t> </w:t>
            </w:r>
            <w:r>
              <w:rPr>
                <w:spacing w:val="-5"/>
                <w:sz w:val="18"/>
              </w:rPr>
              <w:t>100</w:t>
            </w:r>
          </w:p>
        </w:tc>
        <w:tc>
          <w:tcPr>
            <w:tcW w:w="1723" w:type="dxa"/>
            <w:tcBorders>
              <w:top w:val="single" w:sz="4" w:space="0" w:color="000000"/>
              <w:left w:val="single" w:sz="4" w:space="0" w:color="000000"/>
              <w:bottom w:val="single" w:sz="4" w:space="0" w:color="000000"/>
              <w:right w:val="single" w:sz="4" w:space="0" w:color="000000"/>
            </w:tcBorders>
          </w:tcPr>
          <w:p>
            <w:pPr>
              <w:pStyle w:val="TableParagraph"/>
              <w:spacing w:before="1"/>
              <w:ind w:left="13"/>
              <w:jc w:val="center"/>
              <w:rPr>
                <w:b/>
                <w:sz w:val="18"/>
              </w:rPr>
            </w:pPr>
            <w:r>
              <w:rPr>
                <w:b/>
                <w:spacing w:val="-5"/>
                <w:sz w:val="18"/>
              </w:rPr>
              <w:t>12</w:t>
            </w:r>
          </w:p>
          <w:p>
            <w:pPr>
              <w:pStyle w:val="TableParagraph"/>
              <w:spacing w:line="197" w:lineRule="exact" w:before="1"/>
              <w:ind w:left="13" w:right="2"/>
              <w:jc w:val="center"/>
              <w:rPr>
                <w:sz w:val="18"/>
              </w:rPr>
            </w:pPr>
            <w:r>
              <w:rPr>
                <w:sz w:val="18"/>
              </w:rPr>
              <w:t>per</w:t>
            </w:r>
            <w:r>
              <w:rPr>
                <w:spacing w:val="-2"/>
                <w:sz w:val="18"/>
              </w:rPr>
              <w:t> </w:t>
            </w:r>
            <w:r>
              <w:rPr>
                <w:spacing w:val="-5"/>
                <w:sz w:val="18"/>
              </w:rPr>
              <w:t>100</w:t>
            </w:r>
          </w:p>
        </w:tc>
        <w:tc>
          <w:tcPr>
            <w:tcW w:w="1963" w:type="dxa"/>
            <w:vMerge w:val="restart"/>
            <w:tcBorders>
              <w:top w:val="single" w:sz="4" w:space="0" w:color="000000"/>
              <w:left w:val="single" w:sz="4" w:space="0" w:color="000000"/>
              <w:right w:val="single" w:sz="4" w:space="0" w:color="000000"/>
            </w:tcBorders>
          </w:tcPr>
          <w:p>
            <w:pPr>
              <w:pStyle w:val="TableParagraph"/>
              <w:rPr>
                <w:rFonts w:ascii="Times New Roman"/>
                <w:sz w:val="18"/>
              </w:rPr>
            </w:pPr>
          </w:p>
        </w:tc>
        <w:tc>
          <w:tcPr>
            <w:tcW w:w="4044" w:type="dxa"/>
            <w:vMerge w:val="restart"/>
            <w:tcBorders>
              <w:top w:val="single" w:sz="4" w:space="0" w:color="000000"/>
              <w:left w:val="single" w:sz="4" w:space="0" w:color="000000"/>
            </w:tcBorders>
          </w:tcPr>
          <w:p>
            <w:pPr>
              <w:pStyle w:val="TableParagraph"/>
              <w:spacing w:before="1"/>
              <w:ind w:left="89" w:right="70"/>
              <w:jc w:val="center"/>
              <w:rPr>
                <w:sz w:val="18"/>
              </w:rPr>
            </w:pPr>
            <w:r>
              <w:rPr>
                <w:sz w:val="18"/>
              </w:rPr>
              <w:t>There</w:t>
            </w:r>
            <w:r>
              <w:rPr>
                <w:spacing w:val="-6"/>
                <w:sz w:val="18"/>
              </w:rPr>
              <w:t> </w:t>
            </w:r>
            <w:r>
              <w:rPr>
                <w:sz w:val="18"/>
              </w:rPr>
              <w:t>may</w:t>
            </w:r>
            <w:r>
              <w:rPr>
                <w:spacing w:val="-4"/>
                <w:sz w:val="18"/>
              </w:rPr>
              <w:t> </w:t>
            </w:r>
            <w:r>
              <w:rPr>
                <w:sz w:val="18"/>
              </w:rPr>
              <w:t>be</w:t>
            </w:r>
            <w:r>
              <w:rPr>
                <w:spacing w:val="-5"/>
                <w:sz w:val="18"/>
              </w:rPr>
              <w:t> </w:t>
            </w:r>
            <w:r>
              <w:rPr>
                <w:sz w:val="18"/>
              </w:rPr>
              <w:t>little</w:t>
            </w:r>
            <w:r>
              <w:rPr>
                <w:spacing w:val="-5"/>
                <w:sz w:val="18"/>
              </w:rPr>
              <w:t> </w:t>
            </w:r>
            <w:r>
              <w:rPr>
                <w:sz w:val="18"/>
              </w:rPr>
              <w:t>to</w:t>
            </w:r>
            <w:r>
              <w:rPr>
                <w:spacing w:val="-4"/>
                <w:sz w:val="18"/>
              </w:rPr>
              <w:t> </w:t>
            </w:r>
            <w:r>
              <w:rPr>
                <w:sz w:val="18"/>
              </w:rPr>
              <w:t>no</w:t>
            </w:r>
            <w:r>
              <w:rPr>
                <w:spacing w:val="-4"/>
                <w:sz w:val="18"/>
              </w:rPr>
              <w:t> </w:t>
            </w:r>
            <w:r>
              <w:rPr>
                <w:sz w:val="18"/>
              </w:rPr>
              <w:t>difference</w:t>
            </w:r>
            <w:r>
              <w:rPr>
                <w:spacing w:val="-5"/>
                <w:sz w:val="18"/>
              </w:rPr>
              <w:t> </w:t>
            </w:r>
            <w:r>
              <w:rPr>
                <w:sz w:val="18"/>
              </w:rPr>
              <w:t>in</w:t>
            </w:r>
            <w:r>
              <w:rPr>
                <w:spacing w:val="-6"/>
                <w:sz w:val="18"/>
              </w:rPr>
              <w:t> </w:t>
            </w:r>
            <w:r>
              <w:rPr>
                <w:sz w:val="18"/>
              </w:rPr>
              <w:t>the</w:t>
            </w:r>
            <w:r>
              <w:rPr>
                <w:spacing w:val="-3"/>
                <w:sz w:val="18"/>
              </w:rPr>
              <w:t> </w:t>
            </w:r>
            <w:r>
              <w:rPr>
                <w:sz w:val="18"/>
              </w:rPr>
              <w:t>risk</w:t>
            </w:r>
            <w:r>
              <w:rPr>
                <w:spacing w:val="-4"/>
                <w:sz w:val="18"/>
              </w:rPr>
              <w:t> </w:t>
            </w:r>
            <w:r>
              <w:rPr>
                <w:sz w:val="18"/>
              </w:rPr>
              <w:t>of mortality when comparing treatment with clopidogrel (+ possible concomitant aspirin) to</w:t>
            </w:r>
          </w:p>
          <w:p>
            <w:pPr>
              <w:pStyle w:val="TableParagraph"/>
              <w:spacing w:line="209" w:lineRule="exact" w:before="1"/>
              <w:ind w:left="89" w:right="72"/>
              <w:jc w:val="center"/>
              <w:rPr>
                <w:sz w:val="18"/>
              </w:rPr>
            </w:pPr>
            <w:r>
              <w:rPr>
                <w:sz w:val="18"/>
              </w:rPr>
              <w:t>treatment</w:t>
            </w:r>
            <w:r>
              <w:rPr>
                <w:spacing w:val="-2"/>
                <w:sz w:val="18"/>
              </w:rPr>
              <w:t> </w:t>
            </w:r>
            <w:r>
              <w:rPr>
                <w:sz w:val="18"/>
              </w:rPr>
              <w:t>with</w:t>
            </w:r>
            <w:r>
              <w:rPr>
                <w:spacing w:val="-3"/>
                <w:sz w:val="18"/>
              </w:rPr>
              <w:t> </w:t>
            </w:r>
            <w:r>
              <w:rPr>
                <w:sz w:val="18"/>
              </w:rPr>
              <w:t>placebo</w:t>
            </w:r>
            <w:r>
              <w:rPr>
                <w:spacing w:val="-1"/>
                <w:sz w:val="18"/>
              </w:rPr>
              <w:t> </w:t>
            </w:r>
            <w:r>
              <w:rPr>
                <w:sz w:val="18"/>
              </w:rPr>
              <w:t>(+</w:t>
            </w:r>
            <w:r>
              <w:rPr>
                <w:spacing w:val="-3"/>
                <w:sz w:val="18"/>
              </w:rPr>
              <w:t> </w:t>
            </w:r>
            <w:r>
              <w:rPr>
                <w:sz w:val="18"/>
              </w:rPr>
              <w:t>possible</w:t>
            </w:r>
            <w:r>
              <w:rPr>
                <w:spacing w:val="-2"/>
                <w:sz w:val="18"/>
              </w:rPr>
              <w:t> concomitant</w:t>
            </w:r>
          </w:p>
        </w:tc>
      </w:tr>
      <w:tr>
        <w:trPr>
          <w:trHeight w:val="436" w:hRule="atLeast"/>
        </w:trPr>
        <w:tc>
          <w:tcPr>
            <w:tcW w:w="1488" w:type="dxa"/>
            <w:vMerge/>
            <w:tcBorders>
              <w:top w:val="nil"/>
              <w:right w:val="single" w:sz="4" w:space="0" w:color="000000"/>
            </w:tcBorders>
          </w:tcPr>
          <w:p>
            <w:pPr>
              <w:rPr>
                <w:sz w:val="2"/>
                <w:szCs w:val="2"/>
              </w:rPr>
            </w:pPr>
          </w:p>
        </w:tc>
        <w:tc>
          <w:tcPr>
            <w:tcW w:w="1557" w:type="dxa"/>
            <w:vMerge/>
            <w:tcBorders>
              <w:top w:val="nil"/>
              <w:left w:val="single" w:sz="4" w:space="0" w:color="000000"/>
              <w:right w:val="single" w:sz="4" w:space="0" w:color="000000"/>
            </w:tcBorders>
          </w:tcPr>
          <w:p>
            <w:pPr>
              <w:rPr>
                <w:sz w:val="2"/>
                <w:szCs w:val="2"/>
              </w:rPr>
            </w:pPr>
          </w:p>
        </w:tc>
        <w:tc>
          <w:tcPr>
            <w:tcW w:w="4975" w:type="dxa"/>
            <w:gridSpan w:val="2"/>
            <w:tcBorders>
              <w:top w:val="single" w:sz="4" w:space="0" w:color="000000"/>
              <w:left w:val="single" w:sz="4" w:space="0" w:color="000000"/>
              <w:right w:val="single" w:sz="4" w:space="0" w:color="000000"/>
            </w:tcBorders>
          </w:tcPr>
          <w:p>
            <w:pPr>
              <w:pStyle w:val="TableParagraph"/>
              <w:rPr>
                <w:rFonts w:ascii="Times New Roman"/>
                <w:sz w:val="18"/>
              </w:rPr>
            </w:pPr>
          </w:p>
        </w:tc>
        <w:tc>
          <w:tcPr>
            <w:tcW w:w="1963" w:type="dxa"/>
            <w:vMerge/>
            <w:tcBorders>
              <w:top w:val="nil"/>
              <w:left w:val="single" w:sz="4" w:space="0" w:color="000000"/>
              <w:right w:val="single" w:sz="4" w:space="0" w:color="000000"/>
            </w:tcBorders>
          </w:tcPr>
          <w:p>
            <w:pPr>
              <w:rPr>
                <w:sz w:val="2"/>
                <w:szCs w:val="2"/>
              </w:rPr>
            </w:pPr>
          </w:p>
        </w:tc>
        <w:tc>
          <w:tcPr>
            <w:tcW w:w="4044" w:type="dxa"/>
            <w:vMerge/>
            <w:tcBorders>
              <w:top w:val="nil"/>
              <w:left w:val="single" w:sz="4" w:space="0" w:color="000000"/>
            </w:tcBorders>
          </w:tcPr>
          <w:p>
            <w:pPr>
              <w:rPr>
                <w:sz w:val="2"/>
                <w:szCs w:val="2"/>
              </w:rPr>
            </w:pPr>
          </w:p>
        </w:tc>
      </w:tr>
    </w:tbl>
    <w:p>
      <w:pPr>
        <w:spacing w:after="0"/>
        <w:rPr>
          <w:sz w:val="2"/>
          <w:szCs w:val="2"/>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488"/>
        <w:gridCol w:w="1557"/>
        <w:gridCol w:w="3252"/>
        <w:gridCol w:w="1723"/>
        <w:gridCol w:w="1963"/>
        <w:gridCol w:w="4044"/>
      </w:tblGrid>
      <w:tr>
        <w:trPr>
          <w:trHeight w:val="2637" w:hRule="atLeast"/>
        </w:trPr>
        <w:tc>
          <w:tcPr>
            <w:tcW w:w="1488" w:type="dxa"/>
            <w:tcBorders>
              <w:bottom w:val="single" w:sz="4" w:space="0" w:color="000000"/>
              <w:right w:val="single" w:sz="4" w:space="0" w:color="000000"/>
            </w:tcBorders>
          </w:tcPr>
          <w:p>
            <w:pPr>
              <w:pStyle w:val="TableParagraph"/>
              <w:spacing w:before="219"/>
              <w:ind w:left="318" w:firstLine="84"/>
              <w:rPr>
                <w:sz w:val="18"/>
              </w:rPr>
            </w:pPr>
            <w:r>
              <w:rPr>
                <w:spacing w:val="-2"/>
                <w:sz w:val="18"/>
              </w:rPr>
              <w:t>Mortality</w:t>
            </w:r>
            <w:r>
              <w:rPr>
                <w:sz w:val="18"/>
              </w:rPr>
              <w:t> </w:t>
            </w:r>
            <w:r>
              <w:rPr>
                <w:spacing w:val="-2"/>
                <w:sz w:val="18"/>
              </w:rPr>
              <w:t>(important)</w:t>
            </w:r>
          </w:p>
        </w:tc>
        <w:tc>
          <w:tcPr>
            <w:tcW w:w="1557" w:type="dxa"/>
            <w:tcBorders>
              <w:left w:val="single" w:sz="4" w:space="0" w:color="000000"/>
              <w:bottom w:val="single" w:sz="4" w:space="0" w:color="000000"/>
              <w:right w:val="single" w:sz="4" w:space="0" w:color="000000"/>
            </w:tcBorders>
          </w:tcPr>
          <w:p>
            <w:pPr>
              <w:pStyle w:val="TableParagraph"/>
              <w:spacing w:line="219" w:lineRule="exact" w:before="1"/>
              <w:ind w:left="116" w:right="102"/>
              <w:jc w:val="center"/>
              <w:rPr>
                <w:sz w:val="18"/>
              </w:rPr>
            </w:pPr>
            <w:r>
              <w:rPr>
                <w:sz w:val="18"/>
              </w:rPr>
              <w:t>(95% CI 0.61 </w:t>
            </w:r>
            <w:r>
              <w:rPr>
                <w:spacing w:val="-5"/>
                <w:sz w:val="18"/>
              </w:rPr>
              <w:t>to</w:t>
            </w:r>
          </w:p>
          <w:p>
            <w:pPr>
              <w:pStyle w:val="TableParagraph"/>
              <w:spacing w:line="219" w:lineRule="exact"/>
              <w:ind w:left="116" w:right="104"/>
              <w:jc w:val="center"/>
              <w:rPr>
                <w:sz w:val="18"/>
              </w:rPr>
            </w:pPr>
            <w:r>
              <w:rPr>
                <w:spacing w:val="-2"/>
                <w:sz w:val="18"/>
              </w:rPr>
              <w:t>1.21)</w:t>
            </w:r>
          </w:p>
          <w:p>
            <w:pPr>
              <w:pStyle w:val="TableParagraph"/>
              <w:spacing w:before="219"/>
              <w:ind w:left="116" w:right="98"/>
              <w:jc w:val="center"/>
              <w:rPr>
                <w:sz w:val="18"/>
              </w:rPr>
            </w:pPr>
            <w:r>
              <w:rPr>
                <w:sz w:val="18"/>
              </w:rPr>
              <w:t>Based</w:t>
            </w:r>
            <w:r>
              <w:rPr>
                <w:spacing w:val="-11"/>
                <w:sz w:val="18"/>
              </w:rPr>
              <w:t> </w:t>
            </w:r>
            <w:r>
              <w:rPr>
                <w:sz w:val="18"/>
              </w:rPr>
              <w:t>on</w:t>
            </w:r>
            <w:r>
              <w:rPr>
                <w:spacing w:val="-10"/>
                <w:sz w:val="18"/>
              </w:rPr>
              <w:t> </w:t>
            </w:r>
            <w:r>
              <w:rPr>
                <w:sz w:val="18"/>
              </w:rPr>
              <w:t>data from 906</w:t>
            </w:r>
          </w:p>
          <w:p>
            <w:pPr>
              <w:pStyle w:val="TableParagraph"/>
              <w:spacing w:before="2"/>
              <w:ind w:left="116" w:right="101"/>
              <w:jc w:val="center"/>
              <w:rPr>
                <w:sz w:val="18"/>
              </w:rPr>
            </w:pPr>
            <w:r>
              <w:rPr>
                <w:sz w:val="18"/>
              </w:rPr>
              <w:t>participants</w:t>
            </w:r>
            <w:r>
              <w:rPr>
                <w:spacing w:val="-11"/>
                <w:sz w:val="18"/>
              </w:rPr>
              <w:t> </w:t>
            </w:r>
            <w:r>
              <w:rPr>
                <w:sz w:val="18"/>
              </w:rPr>
              <w:t>in</w:t>
            </w:r>
            <w:r>
              <w:rPr>
                <w:spacing w:val="-10"/>
                <w:sz w:val="18"/>
              </w:rPr>
              <w:t> </w:t>
            </w:r>
            <w:r>
              <w:rPr>
                <w:sz w:val="18"/>
              </w:rPr>
              <w:t>1 </w:t>
            </w:r>
            <w:r>
              <w:rPr>
                <w:spacing w:val="-2"/>
                <w:sz w:val="18"/>
              </w:rPr>
              <w:t>study</w:t>
            </w:r>
          </w:p>
          <w:p>
            <w:pPr>
              <w:pStyle w:val="TableParagraph"/>
              <w:ind w:left="141" w:right="123" w:hanging="1"/>
              <w:jc w:val="center"/>
              <w:rPr>
                <w:sz w:val="18"/>
              </w:rPr>
            </w:pPr>
            <w:r>
              <w:rPr>
                <w:spacing w:val="-2"/>
                <w:sz w:val="18"/>
              </w:rPr>
              <w:t>Follow-up:</w:t>
            </w:r>
            <w:r>
              <w:rPr>
                <w:sz w:val="18"/>
              </w:rPr>
              <w:t> median</w:t>
            </w:r>
            <w:r>
              <w:rPr>
                <w:spacing w:val="-11"/>
                <w:sz w:val="18"/>
              </w:rPr>
              <w:t> </w:t>
            </w:r>
            <w:r>
              <w:rPr>
                <w:sz w:val="18"/>
              </w:rPr>
              <w:t>6</w:t>
            </w:r>
            <w:r>
              <w:rPr>
                <w:spacing w:val="-10"/>
                <w:sz w:val="18"/>
              </w:rPr>
              <w:t> </w:t>
            </w:r>
            <w:r>
              <w:rPr>
                <w:sz w:val="18"/>
              </w:rPr>
              <w:t>months for overall study </w:t>
            </w:r>
            <w:r>
              <w:rPr>
                <w:spacing w:val="-2"/>
                <w:sz w:val="18"/>
              </w:rPr>
              <w:t>population</w:t>
            </w:r>
          </w:p>
        </w:tc>
        <w:tc>
          <w:tcPr>
            <w:tcW w:w="4975" w:type="dxa"/>
            <w:gridSpan w:val="2"/>
            <w:tcBorders>
              <w:left w:val="single" w:sz="4" w:space="0" w:color="000000"/>
              <w:bottom w:val="single" w:sz="4" w:space="0" w:color="000000"/>
              <w:right w:val="single" w:sz="4" w:space="0" w:color="000000"/>
            </w:tcBorders>
          </w:tcPr>
          <w:p>
            <w:pPr>
              <w:pStyle w:val="TableParagraph"/>
              <w:spacing w:before="219"/>
              <w:ind w:left="1475"/>
              <w:rPr>
                <w:b/>
                <w:sz w:val="18"/>
              </w:rPr>
            </w:pPr>
            <w:r>
              <w:rPr>
                <w:sz w:val="18"/>
              </w:rPr>
              <w:t>Difference:</w:t>
            </w:r>
            <w:r>
              <w:rPr>
                <w:spacing w:val="-3"/>
                <w:sz w:val="18"/>
              </w:rPr>
              <w:t> </w:t>
            </w:r>
            <w:r>
              <w:rPr>
                <w:b/>
                <w:sz w:val="18"/>
              </w:rPr>
              <w:t>2</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
              <w:ind w:left="1508"/>
              <w:rPr>
                <w:sz w:val="18"/>
              </w:rPr>
            </w:pPr>
            <w:r>
              <w:rPr>
                <w:sz w:val="18"/>
              </w:rPr>
              <w:t>(95%</w:t>
            </w:r>
            <w:r>
              <w:rPr>
                <w:spacing w:val="-3"/>
                <w:sz w:val="18"/>
              </w:rPr>
              <w:t> </w:t>
            </w:r>
            <w:r>
              <w:rPr>
                <w:sz w:val="18"/>
              </w:rPr>
              <w:t>CI 6 fewer</w:t>
            </w:r>
            <w:r>
              <w:rPr>
                <w:spacing w:val="-1"/>
                <w:sz w:val="18"/>
              </w:rPr>
              <w:t> </w:t>
            </w:r>
            <w:r>
              <w:rPr>
                <w:sz w:val="18"/>
              </w:rPr>
              <w:t>to 2 </w:t>
            </w:r>
            <w:r>
              <w:rPr>
                <w:spacing w:val="-4"/>
                <w:sz w:val="18"/>
              </w:rPr>
              <w:t>more)</w:t>
            </w:r>
          </w:p>
        </w:tc>
        <w:tc>
          <w:tcPr>
            <w:tcW w:w="1963" w:type="dxa"/>
            <w:tcBorders>
              <w:left w:val="single" w:sz="4" w:space="0" w:color="000000"/>
              <w:bottom w:val="single" w:sz="4" w:space="0" w:color="000000"/>
              <w:right w:val="single" w:sz="4" w:space="0" w:color="000000"/>
            </w:tcBorders>
          </w:tcPr>
          <w:p>
            <w:pPr>
              <w:pStyle w:val="TableParagraph"/>
              <w:spacing w:line="219" w:lineRule="exact" w:before="1"/>
              <w:ind w:left="134" w:right="116"/>
              <w:jc w:val="center"/>
              <w:rPr>
                <w:b/>
                <w:sz w:val="18"/>
              </w:rPr>
            </w:pPr>
            <w:r>
              <w:rPr>
                <w:b/>
                <w:spacing w:val="-5"/>
                <w:sz w:val="18"/>
              </w:rPr>
              <w:t>Low</w:t>
            </w:r>
          </w:p>
          <w:p>
            <w:pPr>
              <w:pStyle w:val="TableParagraph"/>
              <w:ind w:left="136" w:right="114"/>
              <w:jc w:val="center"/>
              <w:rPr>
                <w:position w:val="5"/>
                <w:sz w:val="12"/>
              </w:rPr>
            </w:pPr>
            <w:r>
              <w:rPr>
                <w:sz w:val="18"/>
              </w:rPr>
              <w:t>Due</w:t>
            </w:r>
            <w:r>
              <w:rPr>
                <w:spacing w:val="-10"/>
                <w:sz w:val="18"/>
              </w:rPr>
              <w:t> </w:t>
            </w:r>
            <w:r>
              <w:rPr>
                <w:sz w:val="18"/>
              </w:rPr>
              <w:t>to</w:t>
            </w:r>
            <w:r>
              <w:rPr>
                <w:spacing w:val="-10"/>
                <w:sz w:val="18"/>
              </w:rPr>
              <w:t> </w:t>
            </w:r>
            <w:r>
              <w:rPr>
                <w:sz w:val="18"/>
              </w:rPr>
              <w:t>serious</w:t>
            </w:r>
            <w:r>
              <w:rPr>
                <w:spacing w:val="-10"/>
                <w:sz w:val="18"/>
              </w:rPr>
              <w:t> </w:t>
            </w:r>
            <w:r>
              <w:rPr>
                <w:sz w:val="18"/>
              </w:rPr>
              <w:t>risk</w:t>
            </w:r>
            <w:r>
              <w:rPr>
                <w:spacing w:val="-10"/>
                <w:sz w:val="18"/>
              </w:rPr>
              <w:t> </w:t>
            </w:r>
            <w:r>
              <w:rPr>
                <w:sz w:val="18"/>
              </w:rPr>
              <w:t>of bias, due to serious </w:t>
            </w:r>
            <w:r>
              <w:rPr>
                <w:spacing w:val="-2"/>
                <w:sz w:val="18"/>
              </w:rPr>
              <w:t>imprecision</w:t>
            </w:r>
            <w:r>
              <w:rPr>
                <w:spacing w:val="-2"/>
                <w:position w:val="5"/>
                <w:sz w:val="12"/>
              </w:rPr>
              <w:t>3</w:t>
            </w:r>
          </w:p>
        </w:tc>
        <w:tc>
          <w:tcPr>
            <w:tcW w:w="4044" w:type="dxa"/>
            <w:tcBorders>
              <w:left w:val="single" w:sz="4" w:space="0" w:color="000000"/>
              <w:bottom w:val="single" w:sz="4" w:space="0" w:color="000000"/>
            </w:tcBorders>
          </w:tcPr>
          <w:p>
            <w:pPr>
              <w:pStyle w:val="TableParagraph"/>
              <w:spacing w:before="1"/>
              <w:ind w:left="119" w:right="99"/>
              <w:jc w:val="center"/>
              <w:rPr>
                <w:sz w:val="18"/>
              </w:rPr>
            </w:pPr>
            <w:r>
              <w:rPr>
                <w:sz w:val="18"/>
              </w:rPr>
              <w:t>aspirin)</w:t>
            </w:r>
            <w:r>
              <w:rPr>
                <w:spacing w:val="-5"/>
                <w:sz w:val="18"/>
              </w:rPr>
              <w:t> </w:t>
            </w:r>
            <w:r>
              <w:rPr>
                <w:sz w:val="18"/>
              </w:rPr>
              <w:t>in</w:t>
            </w:r>
            <w:r>
              <w:rPr>
                <w:spacing w:val="-7"/>
                <w:sz w:val="18"/>
              </w:rPr>
              <w:t> </w:t>
            </w:r>
            <w:r>
              <w:rPr>
                <w:sz w:val="18"/>
              </w:rPr>
              <w:t>infants</w:t>
            </w:r>
            <w:r>
              <w:rPr>
                <w:spacing w:val="-6"/>
                <w:sz w:val="18"/>
              </w:rPr>
              <w:t> </w:t>
            </w:r>
            <w:r>
              <w:rPr>
                <w:sz w:val="18"/>
              </w:rPr>
              <w:t>with</w:t>
            </w:r>
            <w:r>
              <w:rPr>
                <w:spacing w:val="-6"/>
                <w:sz w:val="18"/>
              </w:rPr>
              <w:t> </w:t>
            </w:r>
            <w:r>
              <w:rPr>
                <w:sz w:val="18"/>
              </w:rPr>
              <w:t>an</w:t>
            </w:r>
            <w:r>
              <w:rPr>
                <w:spacing w:val="-6"/>
                <w:sz w:val="18"/>
              </w:rPr>
              <w:t> </w:t>
            </w:r>
            <w:r>
              <w:rPr>
                <w:sz w:val="18"/>
              </w:rPr>
              <w:t>indication</w:t>
            </w:r>
            <w:r>
              <w:rPr>
                <w:spacing w:val="-6"/>
                <w:sz w:val="18"/>
              </w:rPr>
              <w:t> </w:t>
            </w:r>
            <w:r>
              <w:rPr>
                <w:sz w:val="18"/>
              </w:rPr>
              <w:t>for</w:t>
            </w:r>
            <w:r>
              <w:rPr>
                <w:spacing w:val="-5"/>
                <w:sz w:val="18"/>
              </w:rPr>
              <w:t> </w:t>
            </w:r>
            <w:r>
              <w:rPr>
                <w:sz w:val="18"/>
              </w:rPr>
              <w:t>systemic-to-pulmonary-artery shunt surgery</w:t>
            </w:r>
          </w:p>
          <w:p>
            <w:pPr>
              <w:pStyle w:val="TableParagraph"/>
              <w:spacing w:before="218"/>
              <w:ind w:left="17"/>
              <w:jc w:val="center"/>
              <w:rPr>
                <w:sz w:val="18"/>
              </w:rPr>
            </w:pPr>
            <w:r>
              <w:rPr>
                <w:sz w:val="18"/>
              </w:rPr>
              <w:t>(Wessel,</w:t>
            </w:r>
            <w:r>
              <w:rPr>
                <w:spacing w:val="-5"/>
                <w:sz w:val="18"/>
              </w:rPr>
              <w:t> </w:t>
            </w:r>
            <w:r>
              <w:rPr>
                <w:spacing w:val="-2"/>
                <w:sz w:val="18"/>
              </w:rPr>
              <w:t>2013)</w:t>
            </w:r>
          </w:p>
        </w:tc>
      </w:tr>
      <w:tr>
        <w:trPr>
          <w:trHeight w:val="438" w:hRule="atLeast"/>
        </w:trPr>
        <w:tc>
          <w:tcPr>
            <w:tcW w:w="1488" w:type="dxa"/>
            <w:vMerge w:val="restart"/>
            <w:tcBorders>
              <w:top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219"/>
              <w:rPr>
                <w:sz w:val="18"/>
              </w:rPr>
            </w:pPr>
          </w:p>
          <w:p>
            <w:pPr>
              <w:pStyle w:val="TableParagraph"/>
              <w:ind w:left="318" w:right="164" w:hanging="135"/>
              <w:rPr>
                <w:sz w:val="18"/>
              </w:rPr>
            </w:pPr>
            <w:r>
              <w:rPr>
                <w:sz w:val="18"/>
              </w:rPr>
              <w:t>Adverse</w:t>
            </w:r>
            <w:r>
              <w:rPr>
                <w:spacing w:val="-11"/>
                <w:sz w:val="18"/>
              </w:rPr>
              <w:t> </w:t>
            </w:r>
            <w:r>
              <w:rPr>
                <w:sz w:val="18"/>
              </w:rPr>
              <w:t>events </w:t>
            </w:r>
            <w:r>
              <w:rPr>
                <w:spacing w:val="-2"/>
                <w:sz w:val="18"/>
              </w:rPr>
              <w:t>(important)</w:t>
            </w:r>
          </w:p>
        </w:tc>
        <w:tc>
          <w:tcPr>
            <w:tcW w:w="1557"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spacing w:line="219" w:lineRule="exact" w:before="1"/>
              <w:ind w:left="116" w:right="105"/>
              <w:jc w:val="center"/>
              <w:rPr>
                <w:b/>
                <w:sz w:val="18"/>
              </w:rPr>
            </w:pPr>
            <w:r>
              <w:rPr>
                <w:sz w:val="18"/>
              </w:rPr>
              <w:t>Relative</w:t>
            </w:r>
            <w:r>
              <w:rPr>
                <w:spacing w:val="-3"/>
                <w:sz w:val="18"/>
              </w:rPr>
              <w:t> </w:t>
            </w:r>
            <w:r>
              <w:rPr>
                <w:sz w:val="18"/>
              </w:rPr>
              <w:t>risk:</w:t>
            </w:r>
            <w:r>
              <w:rPr>
                <w:spacing w:val="-2"/>
                <w:sz w:val="18"/>
              </w:rPr>
              <w:t> </w:t>
            </w:r>
            <w:r>
              <w:rPr>
                <w:b/>
                <w:spacing w:val="-4"/>
                <w:sz w:val="18"/>
              </w:rPr>
              <w:t>1.07</w:t>
            </w:r>
          </w:p>
          <w:p>
            <w:pPr>
              <w:pStyle w:val="TableParagraph"/>
              <w:spacing w:line="219" w:lineRule="exact"/>
              <w:ind w:left="116" w:right="102"/>
              <w:jc w:val="center"/>
              <w:rPr>
                <w:sz w:val="18"/>
              </w:rPr>
            </w:pPr>
            <w:r>
              <w:rPr>
                <w:sz w:val="18"/>
              </w:rPr>
              <w:t>(95% CI 0.99 </w:t>
            </w:r>
            <w:r>
              <w:rPr>
                <w:spacing w:val="-5"/>
                <w:sz w:val="18"/>
              </w:rPr>
              <w:t>to</w:t>
            </w:r>
          </w:p>
          <w:p>
            <w:pPr>
              <w:pStyle w:val="TableParagraph"/>
              <w:spacing w:before="1"/>
              <w:ind w:left="116" w:right="104"/>
              <w:jc w:val="center"/>
              <w:rPr>
                <w:sz w:val="18"/>
              </w:rPr>
            </w:pPr>
            <w:r>
              <w:rPr>
                <w:spacing w:val="-2"/>
                <w:sz w:val="18"/>
              </w:rPr>
              <w:t>1.16)</w:t>
            </w:r>
          </w:p>
          <w:p>
            <w:pPr>
              <w:pStyle w:val="TableParagraph"/>
              <w:spacing w:before="219"/>
              <w:ind w:left="116" w:right="98"/>
              <w:jc w:val="center"/>
              <w:rPr>
                <w:sz w:val="18"/>
              </w:rPr>
            </w:pPr>
            <w:r>
              <w:rPr>
                <w:sz w:val="18"/>
              </w:rPr>
              <w:t>Based</w:t>
            </w:r>
            <w:r>
              <w:rPr>
                <w:spacing w:val="-11"/>
                <w:sz w:val="18"/>
              </w:rPr>
              <w:t> </w:t>
            </w:r>
            <w:r>
              <w:rPr>
                <w:sz w:val="18"/>
              </w:rPr>
              <w:t>on</w:t>
            </w:r>
            <w:r>
              <w:rPr>
                <w:spacing w:val="-10"/>
                <w:sz w:val="18"/>
              </w:rPr>
              <w:t> </w:t>
            </w:r>
            <w:r>
              <w:rPr>
                <w:sz w:val="18"/>
              </w:rPr>
              <w:t>data from 906</w:t>
            </w:r>
          </w:p>
          <w:p>
            <w:pPr>
              <w:pStyle w:val="TableParagraph"/>
              <w:ind w:left="116" w:right="101"/>
              <w:jc w:val="center"/>
              <w:rPr>
                <w:sz w:val="18"/>
              </w:rPr>
            </w:pPr>
            <w:r>
              <w:rPr>
                <w:sz w:val="18"/>
              </w:rPr>
              <w:t>participants</w:t>
            </w:r>
            <w:r>
              <w:rPr>
                <w:spacing w:val="-11"/>
                <w:sz w:val="18"/>
              </w:rPr>
              <w:t> </w:t>
            </w:r>
            <w:r>
              <w:rPr>
                <w:sz w:val="18"/>
              </w:rPr>
              <w:t>in</w:t>
            </w:r>
            <w:r>
              <w:rPr>
                <w:spacing w:val="-10"/>
                <w:sz w:val="18"/>
              </w:rPr>
              <w:t> </w:t>
            </w:r>
            <w:r>
              <w:rPr>
                <w:sz w:val="18"/>
              </w:rPr>
              <w:t>1 </w:t>
            </w:r>
            <w:r>
              <w:rPr>
                <w:spacing w:val="-2"/>
                <w:sz w:val="18"/>
              </w:rPr>
              <w:t>study</w:t>
            </w:r>
          </w:p>
          <w:p>
            <w:pPr>
              <w:pStyle w:val="TableParagraph"/>
              <w:ind w:left="141" w:right="123" w:hanging="1"/>
              <w:jc w:val="center"/>
              <w:rPr>
                <w:sz w:val="18"/>
              </w:rPr>
            </w:pPr>
            <w:r>
              <w:rPr>
                <w:spacing w:val="-2"/>
                <w:sz w:val="18"/>
              </w:rPr>
              <w:t>Follow-up:</w:t>
            </w:r>
            <w:r>
              <w:rPr>
                <w:sz w:val="18"/>
              </w:rPr>
              <w:t> median</w:t>
            </w:r>
            <w:r>
              <w:rPr>
                <w:spacing w:val="-11"/>
                <w:sz w:val="18"/>
              </w:rPr>
              <w:t> </w:t>
            </w:r>
            <w:r>
              <w:rPr>
                <w:sz w:val="18"/>
              </w:rPr>
              <w:t>6</w:t>
            </w:r>
            <w:r>
              <w:rPr>
                <w:spacing w:val="-10"/>
                <w:sz w:val="18"/>
              </w:rPr>
              <w:t> </w:t>
            </w:r>
            <w:r>
              <w:rPr>
                <w:sz w:val="18"/>
              </w:rPr>
              <w:t>months for overall study</w:t>
            </w:r>
          </w:p>
          <w:p>
            <w:pPr>
              <w:pStyle w:val="TableParagraph"/>
              <w:spacing w:line="199" w:lineRule="exact" w:before="1"/>
              <w:ind w:left="116" w:right="105"/>
              <w:jc w:val="center"/>
              <w:rPr>
                <w:sz w:val="18"/>
              </w:rPr>
            </w:pPr>
            <w:r>
              <w:rPr>
                <w:spacing w:val="-2"/>
                <w:sz w:val="18"/>
              </w:rPr>
              <w:t>population</w:t>
            </w:r>
          </w:p>
        </w:tc>
        <w:tc>
          <w:tcPr>
            <w:tcW w:w="3252" w:type="dxa"/>
            <w:tcBorders>
              <w:top w:val="single" w:sz="4" w:space="0" w:color="000000"/>
              <w:left w:val="single" w:sz="4" w:space="0" w:color="000000"/>
              <w:bottom w:val="single" w:sz="4" w:space="0" w:color="000000"/>
              <w:right w:val="single" w:sz="4" w:space="0" w:color="000000"/>
            </w:tcBorders>
          </w:tcPr>
          <w:p>
            <w:pPr>
              <w:pStyle w:val="TableParagraph"/>
              <w:spacing w:line="219" w:lineRule="exact" w:before="1"/>
              <w:ind w:left="15"/>
              <w:jc w:val="center"/>
              <w:rPr>
                <w:b/>
                <w:sz w:val="18"/>
              </w:rPr>
            </w:pPr>
            <w:r>
              <w:rPr>
                <w:b/>
                <w:spacing w:val="-5"/>
                <w:sz w:val="18"/>
              </w:rPr>
              <w:t>71</w:t>
            </w:r>
          </w:p>
          <w:p>
            <w:pPr>
              <w:pStyle w:val="TableParagraph"/>
              <w:spacing w:line="199" w:lineRule="exact"/>
              <w:ind w:left="15" w:right="2"/>
              <w:jc w:val="center"/>
              <w:rPr>
                <w:sz w:val="18"/>
              </w:rPr>
            </w:pPr>
            <w:r>
              <w:rPr>
                <w:sz w:val="18"/>
              </w:rPr>
              <w:t>per</w:t>
            </w:r>
            <w:r>
              <w:rPr>
                <w:spacing w:val="-2"/>
                <w:sz w:val="18"/>
              </w:rPr>
              <w:t> </w:t>
            </w:r>
            <w:r>
              <w:rPr>
                <w:spacing w:val="-5"/>
                <w:sz w:val="18"/>
              </w:rPr>
              <w:t>100</w:t>
            </w:r>
          </w:p>
        </w:tc>
        <w:tc>
          <w:tcPr>
            <w:tcW w:w="1723" w:type="dxa"/>
            <w:tcBorders>
              <w:top w:val="single" w:sz="4" w:space="0" w:color="000000"/>
              <w:left w:val="single" w:sz="4" w:space="0" w:color="000000"/>
              <w:bottom w:val="single" w:sz="4" w:space="0" w:color="000000"/>
              <w:right w:val="single" w:sz="4" w:space="0" w:color="000000"/>
            </w:tcBorders>
          </w:tcPr>
          <w:p>
            <w:pPr>
              <w:pStyle w:val="TableParagraph"/>
              <w:spacing w:line="219" w:lineRule="exact" w:before="1"/>
              <w:ind w:left="13"/>
              <w:jc w:val="center"/>
              <w:rPr>
                <w:b/>
                <w:sz w:val="18"/>
              </w:rPr>
            </w:pPr>
            <w:r>
              <w:rPr>
                <w:b/>
                <w:spacing w:val="-5"/>
                <w:sz w:val="18"/>
              </w:rPr>
              <w:t>76</w:t>
            </w:r>
          </w:p>
          <w:p>
            <w:pPr>
              <w:pStyle w:val="TableParagraph"/>
              <w:spacing w:line="199" w:lineRule="exact"/>
              <w:ind w:left="13" w:right="2"/>
              <w:jc w:val="center"/>
              <w:rPr>
                <w:sz w:val="18"/>
              </w:rPr>
            </w:pPr>
            <w:r>
              <w:rPr>
                <w:sz w:val="18"/>
              </w:rPr>
              <w:t>per</w:t>
            </w:r>
            <w:r>
              <w:rPr>
                <w:spacing w:val="-2"/>
                <w:sz w:val="18"/>
              </w:rPr>
              <w:t> </w:t>
            </w:r>
            <w:r>
              <w:rPr>
                <w:spacing w:val="-5"/>
                <w:sz w:val="18"/>
              </w:rPr>
              <w:t>100</w:t>
            </w:r>
          </w:p>
        </w:tc>
        <w:tc>
          <w:tcPr>
            <w:tcW w:w="1963"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spacing w:before="219"/>
              <w:rPr>
                <w:sz w:val="18"/>
              </w:rPr>
            </w:pPr>
          </w:p>
          <w:p>
            <w:pPr>
              <w:pStyle w:val="TableParagraph"/>
              <w:ind w:left="141" w:right="119"/>
              <w:jc w:val="center"/>
              <w:rPr>
                <w:b/>
                <w:sz w:val="18"/>
              </w:rPr>
            </w:pPr>
            <w:r>
              <w:rPr>
                <w:b/>
                <w:spacing w:val="-2"/>
                <w:sz w:val="18"/>
              </w:rPr>
              <w:t>Moderate</w:t>
            </w:r>
          </w:p>
          <w:p>
            <w:pPr>
              <w:pStyle w:val="TableParagraph"/>
              <w:spacing w:before="1"/>
              <w:ind w:left="141" w:right="119"/>
              <w:jc w:val="center"/>
              <w:rPr>
                <w:position w:val="5"/>
                <w:sz w:val="12"/>
              </w:rPr>
            </w:pPr>
            <w:r>
              <w:rPr>
                <w:sz w:val="18"/>
              </w:rPr>
              <w:t>Due</w:t>
            </w:r>
            <w:r>
              <w:rPr>
                <w:spacing w:val="-10"/>
                <w:sz w:val="18"/>
              </w:rPr>
              <w:t> </w:t>
            </w:r>
            <w:r>
              <w:rPr>
                <w:sz w:val="18"/>
              </w:rPr>
              <w:t>to</w:t>
            </w:r>
            <w:r>
              <w:rPr>
                <w:spacing w:val="-10"/>
                <w:sz w:val="18"/>
              </w:rPr>
              <w:t> </w:t>
            </w:r>
            <w:r>
              <w:rPr>
                <w:sz w:val="18"/>
              </w:rPr>
              <w:t>serious</w:t>
            </w:r>
            <w:r>
              <w:rPr>
                <w:spacing w:val="-10"/>
                <w:sz w:val="18"/>
              </w:rPr>
              <w:t> </w:t>
            </w:r>
            <w:r>
              <w:rPr>
                <w:sz w:val="18"/>
              </w:rPr>
              <w:t>risk</w:t>
            </w:r>
            <w:r>
              <w:rPr>
                <w:spacing w:val="-10"/>
                <w:sz w:val="18"/>
              </w:rPr>
              <w:t> </w:t>
            </w:r>
            <w:r>
              <w:rPr>
                <w:sz w:val="18"/>
              </w:rPr>
              <w:t>of </w:t>
            </w:r>
            <w:r>
              <w:rPr>
                <w:spacing w:val="-2"/>
                <w:sz w:val="18"/>
              </w:rPr>
              <w:t>bias</w:t>
            </w:r>
            <w:r>
              <w:rPr>
                <w:spacing w:val="-2"/>
                <w:position w:val="5"/>
                <w:sz w:val="12"/>
              </w:rPr>
              <w:t>4</w:t>
            </w:r>
          </w:p>
        </w:tc>
        <w:tc>
          <w:tcPr>
            <w:tcW w:w="4044" w:type="dxa"/>
            <w:vMerge w:val="restart"/>
            <w:tcBorders>
              <w:top w:val="single" w:sz="4" w:space="0" w:color="000000"/>
              <w:left w:val="single" w:sz="4" w:space="0" w:color="000000"/>
              <w:bottom w:val="single" w:sz="4" w:space="0" w:color="000000"/>
            </w:tcBorders>
          </w:tcPr>
          <w:p>
            <w:pPr>
              <w:pStyle w:val="TableParagraph"/>
              <w:spacing w:before="1"/>
              <w:ind w:left="119" w:right="99" w:hanging="1"/>
              <w:jc w:val="center"/>
              <w:rPr>
                <w:sz w:val="18"/>
              </w:rPr>
            </w:pPr>
            <w:r>
              <w:rPr>
                <w:sz w:val="18"/>
              </w:rPr>
              <w:t>There is likely little to no difference in the risk of adverse events when comparing treatment with clopidogrel (+ possible concomitant aspirin) to treatment with placebo (+ possible concomitant aspirin)</w:t>
            </w:r>
            <w:r>
              <w:rPr>
                <w:spacing w:val="-5"/>
                <w:sz w:val="18"/>
              </w:rPr>
              <w:t> </w:t>
            </w:r>
            <w:r>
              <w:rPr>
                <w:sz w:val="18"/>
              </w:rPr>
              <w:t>in</w:t>
            </w:r>
            <w:r>
              <w:rPr>
                <w:spacing w:val="-7"/>
                <w:sz w:val="18"/>
              </w:rPr>
              <w:t> </w:t>
            </w:r>
            <w:r>
              <w:rPr>
                <w:sz w:val="18"/>
              </w:rPr>
              <w:t>infants</w:t>
            </w:r>
            <w:r>
              <w:rPr>
                <w:spacing w:val="-6"/>
                <w:sz w:val="18"/>
              </w:rPr>
              <w:t> </w:t>
            </w:r>
            <w:r>
              <w:rPr>
                <w:sz w:val="18"/>
              </w:rPr>
              <w:t>with</w:t>
            </w:r>
            <w:r>
              <w:rPr>
                <w:spacing w:val="-6"/>
                <w:sz w:val="18"/>
              </w:rPr>
              <w:t> </w:t>
            </w:r>
            <w:r>
              <w:rPr>
                <w:sz w:val="18"/>
              </w:rPr>
              <w:t>an</w:t>
            </w:r>
            <w:r>
              <w:rPr>
                <w:spacing w:val="-6"/>
                <w:sz w:val="18"/>
              </w:rPr>
              <w:t> </w:t>
            </w:r>
            <w:r>
              <w:rPr>
                <w:sz w:val="18"/>
              </w:rPr>
              <w:t>indication</w:t>
            </w:r>
            <w:r>
              <w:rPr>
                <w:spacing w:val="-6"/>
                <w:sz w:val="18"/>
              </w:rPr>
              <w:t> </w:t>
            </w:r>
            <w:r>
              <w:rPr>
                <w:sz w:val="18"/>
              </w:rPr>
              <w:t>for</w:t>
            </w:r>
            <w:r>
              <w:rPr>
                <w:spacing w:val="-5"/>
                <w:sz w:val="18"/>
              </w:rPr>
              <w:t> </w:t>
            </w:r>
            <w:r>
              <w:rPr>
                <w:sz w:val="18"/>
              </w:rPr>
              <w:t>systemic-to-pulmonary-artery shunt surgery</w:t>
            </w:r>
          </w:p>
          <w:p>
            <w:pPr>
              <w:pStyle w:val="TableParagraph"/>
              <w:spacing w:before="218"/>
              <w:ind w:left="89" w:right="72"/>
              <w:jc w:val="center"/>
              <w:rPr>
                <w:sz w:val="18"/>
              </w:rPr>
            </w:pPr>
            <w:r>
              <w:rPr>
                <w:sz w:val="18"/>
              </w:rPr>
              <w:t>(Wessel,</w:t>
            </w:r>
            <w:r>
              <w:rPr>
                <w:spacing w:val="-5"/>
                <w:sz w:val="18"/>
              </w:rPr>
              <w:t> </w:t>
            </w:r>
            <w:r>
              <w:rPr>
                <w:spacing w:val="-2"/>
                <w:sz w:val="18"/>
              </w:rPr>
              <w:t>2013)</w:t>
            </w:r>
          </w:p>
        </w:tc>
      </w:tr>
      <w:tr>
        <w:trPr>
          <w:trHeight w:val="2628" w:hRule="atLeast"/>
        </w:trPr>
        <w:tc>
          <w:tcPr>
            <w:tcW w:w="1488" w:type="dxa"/>
            <w:vMerge/>
            <w:tcBorders>
              <w:top w:val="nil"/>
              <w:bottom w:val="single" w:sz="4" w:space="0" w:color="000000"/>
              <w:right w:val="single" w:sz="4" w:space="0" w:color="000000"/>
            </w:tcBorders>
          </w:tcPr>
          <w:p>
            <w:pPr>
              <w:rPr>
                <w:sz w:val="2"/>
                <w:szCs w:val="2"/>
              </w:rPr>
            </w:pPr>
          </w:p>
        </w:tc>
        <w:tc>
          <w:tcPr>
            <w:tcW w:w="1557" w:type="dxa"/>
            <w:vMerge/>
            <w:tcBorders>
              <w:top w:val="nil"/>
              <w:left w:val="single" w:sz="4" w:space="0" w:color="000000"/>
              <w:bottom w:val="single" w:sz="4" w:space="0" w:color="000000"/>
              <w:right w:val="single" w:sz="4" w:space="0" w:color="000000"/>
            </w:tcBorders>
          </w:tcPr>
          <w:p>
            <w:pPr>
              <w:rPr>
                <w:sz w:val="2"/>
                <w:szCs w:val="2"/>
              </w:rPr>
            </w:pPr>
          </w:p>
        </w:tc>
        <w:tc>
          <w:tcPr>
            <w:tcW w:w="4975" w:type="dxa"/>
            <w:gridSpan w:val="2"/>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spacing w:before="74"/>
              <w:rPr>
                <w:sz w:val="18"/>
              </w:rPr>
            </w:pPr>
          </w:p>
          <w:p>
            <w:pPr>
              <w:pStyle w:val="TableParagraph"/>
              <w:ind w:left="1448"/>
              <w:rPr>
                <w:b/>
                <w:sz w:val="18"/>
              </w:rPr>
            </w:pPr>
            <w:r>
              <w:rPr>
                <w:sz w:val="18"/>
              </w:rPr>
              <w:t>Difference:</w:t>
            </w:r>
            <w:r>
              <w:rPr>
                <w:spacing w:val="-2"/>
                <w:sz w:val="18"/>
              </w:rPr>
              <w:t> </w:t>
            </w:r>
            <w:r>
              <w:rPr>
                <w:b/>
                <w:sz w:val="18"/>
              </w:rPr>
              <w:t>16</w:t>
            </w:r>
            <w:r>
              <w:rPr>
                <w:b/>
                <w:spacing w:val="-2"/>
                <w:sz w:val="18"/>
              </w:rPr>
              <w:t> </w:t>
            </w:r>
            <w:r>
              <w:rPr>
                <w:b/>
                <w:sz w:val="18"/>
              </w:rPr>
              <w:t>more</w:t>
            </w:r>
            <w:r>
              <w:rPr>
                <w:b/>
                <w:spacing w:val="-2"/>
                <w:sz w:val="18"/>
              </w:rPr>
              <w:t> </w:t>
            </w:r>
            <w:r>
              <w:rPr>
                <w:b/>
                <w:sz w:val="18"/>
              </w:rPr>
              <w:t>per</w:t>
            </w:r>
            <w:r>
              <w:rPr>
                <w:b/>
                <w:spacing w:val="-1"/>
                <w:sz w:val="18"/>
              </w:rPr>
              <w:t> </w:t>
            </w:r>
            <w:r>
              <w:rPr>
                <w:b/>
                <w:spacing w:val="-5"/>
                <w:sz w:val="18"/>
              </w:rPr>
              <w:t>100</w:t>
            </w:r>
          </w:p>
          <w:p>
            <w:pPr>
              <w:pStyle w:val="TableParagraph"/>
              <w:spacing w:before="1"/>
              <w:ind w:left="1417"/>
              <w:rPr>
                <w:sz w:val="18"/>
              </w:rPr>
            </w:pPr>
            <w:r>
              <w:rPr>
                <w:sz w:val="18"/>
              </w:rPr>
              <w:t>(95%</w:t>
            </w:r>
            <w:r>
              <w:rPr>
                <w:spacing w:val="-3"/>
                <w:sz w:val="18"/>
              </w:rPr>
              <w:t> </w:t>
            </w:r>
            <w:r>
              <w:rPr>
                <w:sz w:val="18"/>
              </w:rPr>
              <w:t>CI 20</w:t>
            </w:r>
            <w:r>
              <w:rPr>
                <w:spacing w:val="-1"/>
                <w:sz w:val="18"/>
              </w:rPr>
              <w:t> </w:t>
            </w:r>
            <w:r>
              <w:rPr>
                <w:sz w:val="18"/>
              </w:rPr>
              <w:t>fewer to</w:t>
            </w:r>
            <w:r>
              <w:rPr>
                <w:spacing w:val="-1"/>
                <w:sz w:val="18"/>
              </w:rPr>
              <w:t> </w:t>
            </w:r>
            <w:r>
              <w:rPr>
                <w:sz w:val="18"/>
              </w:rPr>
              <w:t>53 </w:t>
            </w:r>
            <w:r>
              <w:rPr>
                <w:spacing w:val="-4"/>
                <w:sz w:val="18"/>
              </w:rPr>
              <w:t>more)</w:t>
            </w:r>
          </w:p>
        </w:tc>
        <w:tc>
          <w:tcPr>
            <w:tcW w:w="1963" w:type="dxa"/>
            <w:vMerge/>
            <w:tcBorders>
              <w:top w:val="nil"/>
              <w:left w:val="single" w:sz="4" w:space="0" w:color="000000"/>
              <w:bottom w:val="single" w:sz="4" w:space="0" w:color="000000"/>
              <w:right w:val="single" w:sz="4" w:space="0" w:color="000000"/>
            </w:tcBorders>
          </w:tcPr>
          <w:p>
            <w:pPr>
              <w:rPr>
                <w:sz w:val="2"/>
                <w:szCs w:val="2"/>
              </w:rPr>
            </w:pPr>
          </w:p>
        </w:tc>
        <w:tc>
          <w:tcPr>
            <w:tcW w:w="4044" w:type="dxa"/>
            <w:vMerge/>
            <w:tcBorders>
              <w:top w:val="nil"/>
              <w:left w:val="single" w:sz="4" w:space="0" w:color="000000"/>
              <w:bottom w:val="single" w:sz="4" w:space="0" w:color="000000"/>
            </w:tcBorders>
          </w:tcPr>
          <w:p>
            <w:pPr>
              <w:rPr>
                <w:sz w:val="2"/>
                <w:szCs w:val="2"/>
              </w:rPr>
            </w:pPr>
          </w:p>
        </w:tc>
      </w:tr>
      <w:tr>
        <w:trPr>
          <w:trHeight w:val="2416" w:hRule="atLeast"/>
        </w:trPr>
        <w:tc>
          <w:tcPr>
            <w:tcW w:w="1488" w:type="dxa"/>
            <w:tcBorders>
              <w:top w:val="single" w:sz="4" w:space="0" w:color="000000"/>
              <w:right w:val="single" w:sz="4" w:space="0" w:color="000000"/>
            </w:tcBorders>
          </w:tcPr>
          <w:p>
            <w:pPr>
              <w:pStyle w:val="TableParagraph"/>
              <w:spacing w:before="1"/>
              <w:ind w:left="105"/>
              <w:rPr>
                <w:sz w:val="18"/>
              </w:rPr>
            </w:pPr>
            <w:r>
              <w:rPr>
                <w:spacing w:val="-2"/>
                <w:sz w:val="18"/>
              </w:rPr>
              <w:t>Thrombotic</w:t>
            </w:r>
            <w:r>
              <w:rPr>
                <w:sz w:val="18"/>
              </w:rPr>
              <w:t> </w:t>
            </w:r>
            <w:r>
              <w:rPr>
                <w:spacing w:val="-2"/>
                <w:sz w:val="18"/>
              </w:rPr>
              <w:t>complications</w:t>
            </w:r>
            <w:r>
              <w:rPr>
                <w:sz w:val="18"/>
              </w:rPr>
              <w:t> </w:t>
            </w:r>
            <w:r>
              <w:rPr>
                <w:spacing w:val="-2"/>
                <w:sz w:val="18"/>
              </w:rPr>
              <w:t>(critical)</w:t>
            </w:r>
          </w:p>
          <w:p>
            <w:pPr>
              <w:pStyle w:val="TableParagraph"/>
              <w:spacing w:before="219"/>
              <w:ind w:left="105" w:right="223"/>
              <w:rPr>
                <w:sz w:val="18"/>
              </w:rPr>
            </w:pPr>
            <w:r>
              <w:rPr>
                <w:sz w:val="18"/>
              </w:rPr>
              <w:t>Ischemic</w:t>
            </w:r>
            <w:r>
              <w:rPr>
                <w:spacing w:val="-11"/>
                <w:sz w:val="18"/>
              </w:rPr>
              <w:t> </w:t>
            </w:r>
            <w:r>
              <w:rPr>
                <w:sz w:val="18"/>
              </w:rPr>
              <w:t>stroke </w:t>
            </w:r>
            <w:r>
              <w:rPr>
                <w:spacing w:val="-2"/>
                <w:sz w:val="18"/>
              </w:rPr>
              <w:t>(important)</w:t>
            </w:r>
          </w:p>
          <w:p>
            <w:pPr>
              <w:pStyle w:val="TableParagraph"/>
              <w:spacing w:before="218"/>
              <w:ind w:left="105" w:right="147"/>
              <w:rPr>
                <w:sz w:val="18"/>
              </w:rPr>
            </w:pPr>
            <w:r>
              <w:rPr>
                <w:sz w:val="18"/>
              </w:rPr>
              <w:t>Quality</w:t>
            </w:r>
            <w:r>
              <w:rPr>
                <w:spacing w:val="-11"/>
                <w:sz w:val="18"/>
              </w:rPr>
              <w:t> </w:t>
            </w:r>
            <w:r>
              <w:rPr>
                <w:sz w:val="18"/>
              </w:rPr>
              <w:t>of</w:t>
            </w:r>
            <w:r>
              <w:rPr>
                <w:spacing w:val="-10"/>
                <w:sz w:val="18"/>
              </w:rPr>
              <w:t> </w:t>
            </w:r>
            <w:r>
              <w:rPr>
                <w:sz w:val="18"/>
              </w:rPr>
              <w:t>life </w:t>
            </w:r>
            <w:r>
              <w:rPr>
                <w:spacing w:val="-2"/>
                <w:sz w:val="18"/>
              </w:rPr>
              <w:t>(QOL)</w:t>
            </w:r>
          </w:p>
          <w:p>
            <w:pPr>
              <w:pStyle w:val="TableParagraph"/>
              <w:spacing w:before="1"/>
              <w:ind w:left="105"/>
              <w:rPr>
                <w:sz w:val="18"/>
              </w:rPr>
            </w:pPr>
            <w:r>
              <w:rPr>
                <w:spacing w:val="-2"/>
                <w:sz w:val="18"/>
              </w:rPr>
              <w:t>(important)</w:t>
            </w:r>
          </w:p>
        </w:tc>
        <w:tc>
          <w:tcPr>
            <w:tcW w:w="1557" w:type="dxa"/>
            <w:tcBorders>
              <w:top w:val="single" w:sz="4" w:space="0" w:color="000000"/>
              <w:left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116" w:right="101"/>
              <w:jc w:val="center"/>
              <w:rPr>
                <w:sz w:val="18"/>
              </w:rPr>
            </w:pPr>
            <w:r>
              <w:rPr>
                <w:spacing w:val="-10"/>
                <w:sz w:val="18"/>
              </w:rPr>
              <w:t>-</w:t>
            </w:r>
          </w:p>
        </w:tc>
        <w:tc>
          <w:tcPr>
            <w:tcW w:w="4975" w:type="dxa"/>
            <w:gridSpan w:val="2"/>
            <w:tcBorders>
              <w:top w:val="single" w:sz="4" w:space="0" w:color="000000"/>
              <w:left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12"/>
              <w:jc w:val="center"/>
              <w:rPr>
                <w:sz w:val="18"/>
              </w:rPr>
            </w:pPr>
            <w:r>
              <w:rPr>
                <w:spacing w:val="-10"/>
                <w:sz w:val="18"/>
              </w:rPr>
              <w:t>-</w:t>
            </w:r>
          </w:p>
        </w:tc>
        <w:tc>
          <w:tcPr>
            <w:tcW w:w="1963" w:type="dxa"/>
            <w:tcBorders>
              <w:top w:val="single" w:sz="4" w:space="0" w:color="000000"/>
              <w:left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line="219" w:lineRule="exact"/>
              <w:ind w:left="134" w:right="119"/>
              <w:jc w:val="center"/>
              <w:rPr>
                <w:b/>
                <w:sz w:val="18"/>
              </w:rPr>
            </w:pPr>
            <w:r>
              <w:rPr>
                <w:b/>
                <w:sz w:val="18"/>
              </w:rPr>
              <w:t>No</w:t>
            </w:r>
            <w:r>
              <w:rPr>
                <w:b/>
                <w:spacing w:val="-5"/>
                <w:sz w:val="18"/>
              </w:rPr>
              <w:t> </w:t>
            </w:r>
            <w:r>
              <w:rPr>
                <w:b/>
                <w:spacing w:val="-2"/>
                <w:sz w:val="18"/>
              </w:rPr>
              <w:t>GRADE</w:t>
            </w:r>
          </w:p>
          <w:p>
            <w:pPr>
              <w:pStyle w:val="TableParagraph"/>
              <w:ind w:left="134" w:right="114"/>
              <w:jc w:val="center"/>
              <w:rPr>
                <w:sz w:val="18"/>
              </w:rPr>
            </w:pPr>
            <w:r>
              <w:rPr>
                <w:sz w:val="18"/>
              </w:rPr>
              <w:t>(No</w:t>
            </w:r>
            <w:r>
              <w:rPr>
                <w:spacing w:val="-11"/>
                <w:sz w:val="18"/>
              </w:rPr>
              <w:t> </w:t>
            </w:r>
            <w:r>
              <w:rPr>
                <w:sz w:val="18"/>
              </w:rPr>
              <w:t>evidence</w:t>
            </w:r>
            <w:r>
              <w:rPr>
                <w:spacing w:val="-10"/>
                <w:sz w:val="18"/>
              </w:rPr>
              <w:t> </w:t>
            </w:r>
            <w:r>
              <w:rPr>
                <w:sz w:val="18"/>
              </w:rPr>
              <w:t>was </w:t>
            </w:r>
            <w:r>
              <w:rPr>
                <w:spacing w:val="-2"/>
                <w:sz w:val="18"/>
              </w:rPr>
              <w:t>found)</w:t>
            </w:r>
          </w:p>
        </w:tc>
        <w:tc>
          <w:tcPr>
            <w:tcW w:w="4044" w:type="dxa"/>
            <w:tcBorders>
              <w:top w:val="single" w:sz="4" w:space="0" w:color="000000"/>
              <w:left w:val="single" w:sz="4" w:space="0" w:color="000000"/>
            </w:tcBorders>
          </w:tcPr>
          <w:p>
            <w:pPr>
              <w:pStyle w:val="TableParagraph"/>
              <w:spacing w:before="1"/>
              <w:ind w:left="112" w:right="92" w:firstLine="1"/>
              <w:jc w:val="center"/>
              <w:rPr>
                <w:sz w:val="18"/>
              </w:rPr>
            </w:pPr>
            <w:r>
              <w:rPr>
                <w:sz w:val="18"/>
              </w:rPr>
              <w:t>No evidence was found regarding the effect of thromboprophylaxis</w:t>
            </w:r>
            <w:r>
              <w:rPr>
                <w:spacing w:val="-10"/>
                <w:sz w:val="18"/>
              </w:rPr>
              <w:t> </w:t>
            </w:r>
            <w:r>
              <w:rPr>
                <w:sz w:val="18"/>
              </w:rPr>
              <w:t>A</w:t>
            </w:r>
            <w:r>
              <w:rPr>
                <w:spacing w:val="-10"/>
                <w:sz w:val="18"/>
              </w:rPr>
              <w:t> </w:t>
            </w:r>
            <w:r>
              <w:rPr>
                <w:sz w:val="18"/>
              </w:rPr>
              <w:t>on</w:t>
            </w:r>
            <w:r>
              <w:rPr>
                <w:spacing w:val="-10"/>
                <w:sz w:val="18"/>
              </w:rPr>
              <w:t> </w:t>
            </w:r>
            <w:r>
              <w:rPr>
                <w:sz w:val="18"/>
              </w:rPr>
              <w:t>thrombotic</w:t>
            </w:r>
            <w:r>
              <w:rPr>
                <w:spacing w:val="-10"/>
                <w:sz w:val="18"/>
              </w:rPr>
              <w:t> </w:t>
            </w:r>
            <w:r>
              <w:rPr>
                <w:sz w:val="18"/>
              </w:rPr>
              <w:t>complications, ischemic stroke, and quality of life (QOL) when compared with no thromboprophylaxis/thromboprophylaxis B in infants with an indication for systemic-to-pulmonary-artery shunt surgery</w:t>
            </w:r>
          </w:p>
        </w:tc>
      </w:tr>
    </w:tbl>
    <w:p>
      <w:pPr>
        <w:pStyle w:val="ListParagraph"/>
        <w:numPr>
          <w:ilvl w:val="0"/>
          <w:numId w:val="4"/>
        </w:numPr>
        <w:tabs>
          <w:tab w:pos="383" w:val="left" w:leader="none"/>
        </w:tabs>
        <w:spacing w:line="280" w:lineRule="auto" w:before="1" w:after="0"/>
        <w:ind w:left="383" w:right="884" w:hanging="361"/>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serious</w:t>
      </w:r>
      <w:r>
        <w:rPr>
          <w:b/>
          <w:spacing w:val="-2"/>
          <w:sz w:val="18"/>
        </w:rPr>
        <w:t> </w:t>
      </w:r>
      <w:r>
        <w:rPr>
          <w:b/>
          <w:sz w:val="18"/>
        </w:rPr>
        <w:t>(-1 level).</w:t>
      </w:r>
      <w:r>
        <w:rPr>
          <w:b/>
          <w:spacing w:val="-2"/>
          <w:sz w:val="18"/>
        </w:rPr>
        <w:t> </w:t>
      </w:r>
      <w:r>
        <w:rPr>
          <w:sz w:val="18"/>
        </w:rPr>
        <w:t>No</w:t>
      </w:r>
      <w:r>
        <w:rPr>
          <w:spacing w:val="-2"/>
          <w:sz w:val="18"/>
        </w:rPr>
        <w:t> </w:t>
      </w:r>
      <w:r>
        <w:rPr>
          <w:sz w:val="18"/>
        </w:rPr>
        <w:t>reporting</w:t>
      </w:r>
      <w:r>
        <w:rPr>
          <w:spacing w:val="-3"/>
          <w:sz w:val="18"/>
        </w:rPr>
        <w:t> </w:t>
      </w:r>
      <w:r>
        <w:rPr>
          <w:sz w:val="18"/>
        </w:rPr>
        <w:t>on</w:t>
      </w:r>
      <w:r>
        <w:rPr>
          <w:spacing w:val="-3"/>
          <w:sz w:val="18"/>
        </w:rPr>
        <w:t> </w:t>
      </w:r>
      <w:r>
        <w:rPr>
          <w:sz w:val="18"/>
        </w:rPr>
        <w:t>allocation</w:t>
      </w:r>
      <w:r>
        <w:rPr>
          <w:spacing w:val="-3"/>
          <w:sz w:val="18"/>
        </w:rPr>
        <w:t> </w:t>
      </w:r>
      <w:r>
        <w:rPr>
          <w:sz w:val="18"/>
        </w:rPr>
        <w:t>concealment,</w:t>
      </w:r>
      <w:r>
        <w:rPr>
          <w:spacing w:val="-2"/>
          <w:sz w:val="18"/>
        </w:rPr>
        <w:t> </w:t>
      </w:r>
      <w:r>
        <w:rPr>
          <w:sz w:val="18"/>
        </w:rPr>
        <w:t>and</w:t>
      </w:r>
      <w:r>
        <w:rPr>
          <w:spacing w:val="-1"/>
          <w:sz w:val="18"/>
        </w:rPr>
        <w:t> </w:t>
      </w:r>
      <w:r>
        <w:rPr>
          <w:sz w:val="18"/>
        </w:rPr>
        <w:t>potential</w:t>
      </w:r>
      <w:r>
        <w:rPr>
          <w:spacing w:val="-2"/>
          <w:sz w:val="18"/>
        </w:rPr>
        <w:t> </w:t>
      </w:r>
      <w:r>
        <w:rPr>
          <w:sz w:val="18"/>
        </w:rPr>
        <w:t>funding</w:t>
      </w:r>
      <w:r>
        <w:rPr>
          <w:spacing w:val="-1"/>
          <w:sz w:val="18"/>
        </w:rPr>
        <w:t> </w:t>
      </w:r>
      <w:r>
        <w:rPr>
          <w:sz w:val="18"/>
        </w:rPr>
        <w:t>bias. </w:t>
      </w:r>
      <w:r>
        <w:rPr>
          <w:b/>
          <w:sz w:val="18"/>
        </w:rPr>
        <w:t>Imprecision:</w:t>
      </w:r>
      <w:r>
        <w:rPr>
          <w:b/>
          <w:spacing w:val="-2"/>
          <w:sz w:val="18"/>
        </w:rPr>
        <w:t> </w:t>
      </w:r>
      <w:r>
        <w:rPr>
          <w:b/>
          <w:sz w:val="18"/>
        </w:rPr>
        <w:t>very</w:t>
      </w:r>
      <w:r>
        <w:rPr>
          <w:b/>
          <w:spacing w:val="-2"/>
          <w:sz w:val="18"/>
        </w:rPr>
        <w:t> </w:t>
      </w:r>
      <w:r>
        <w:rPr>
          <w:b/>
          <w:sz w:val="18"/>
        </w:rPr>
        <w:t>serious</w:t>
      </w:r>
      <w:r>
        <w:rPr>
          <w:b/>
          <w:spacing w:val="-2"/>
          <w:sz w:val="18"/>
        </w:rPr>
        <w:t> </w:t>
      </w:r>
      <w:r>
        <w:rPr>
          <w:b/>
          <w:sz w:val="18"/>
        </w:rPr>
        <w:t>(-2</w:t>
      </w:r>
      <w:r>
        <w:rPr>
          <w:b/>
          <w:spacing w:val="-2"/>
          <w:sz w:val="18"/>
        </w:rPr>
        <w:t> </w:t>
      </w:r>
      <w:r>
        <w:rPr>
          <w:b/>
          <w:sz w:val="18"/>
        </w:rPr>
        <w:t>levels).</w:t>
      </w:r>
      <w:r>
        <w:rPr>
          <w:b/>
          <w:spacing w:val="-2"/>
          <w:sz w:val="18"/>
        </w:rPr>
        <w:t> </w:t>
      </w:r>
      <w:r>
        <w:rPr>
          <w:sz w:val="18"/>
        </w:rPr>
        <w:t>Confidence</w:t>
      </w:r>
      <w:r>
        <w:rPr>
          <w:spacing w:val="-3"/>
          <w:sz w:val="18"/>
        </w:rPr>
        <w:t> </w:t>
      </w:r>
      <w:r>
        <w:rPr>
          <w:sz w:val="18"/>
        </w:rPr>
        <w:t>interval</w:t>
      </w:r>
      <w:r>
        <w:rPr>
          <w:spacing w:val="-3"/>
          <w:sz w:val="18"/>
        </w:rPr>
        <w:t> </w:t>
      </w:r>
      <w:r>
        <w:rPr>
          <w:sz w:val="18"/>
        </w:rPr>
        <w:t>crosses</w:t>
      </w:r>
      <w:r>
        <w:rPr>
          <w:spacing w:val="-1"/>
          <w:sz w:val="18"/>
        </w:rPr>
        <w:t> </w:t>
      </w:r>
      <w:r>
        <w:rPr>
          <w:sz w:val="18"/>
        </w:rPr>
        <w:t>both</w:t>
      </w:r>
      <w:r>
        <w:rPr>
          <w:spacing w:val="-4"/>
          <w:sz w:val="18"/>
        </w:rPr>
        <w:t> </w:t>
      </w:r>
      <w:r>
        <w:rPr>
          <w:sz w:val="18"/>
        </w:rPr>
        <w:t>borders</w:t>
      </w:r>
      <w:r>
        <w:rPr>
          <w:spacing w:val="-3"/>
          <w:sz w:val="18"/>
        </w:rPr>
        <w:t> </w:t>
      </w:r>
      <w:r>
        <w:rPr>
          <w:sz w:val="18"/>
        </w:rPr>
        <w:t>of clinical relevance.</w:t>
      </w:r>
    </w:p>
    <w:p>
      <w:pPr>
        <w:pStyle w:val="ListParagraph"/>
        <w:spacing w:after="0" w:line="280" w:lineRule="auto"/>
        <w:jc w:val="left"/>
        <w:rPr>
          <w:sz w:val="18"/>
        </w:rPr>
        <w:sectPr>
          <w:pgSz w:w="16840" w:h="11910" w:orient="landscape"/>
          <w:pgMar w:top="1340" w:bottom="280" w:left="1417" w:right="992"/>
        </w:sectPr>
      </w:pPr>
    </w:p>
    <w:p>
      <w:pPr>
        <w:pStyle w:val="ListParagraph"/>
        <w:numPr>
          <w:ilvl w:val="0"/>
          <w:numId w:val="4"/>
        </w:numPr>
        <w:tabs>
          <w:tab w:pos="383" w:val="left" w:leader="none"/>
        </w:tabs>
        <w:spacing w:line="278" w:lineRule="auto" w:before="93" w:after="0"/>
        <w:ind w:left="383" w:right="884" w:hanging="361"/>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serious</w:t>
      </w:r>
      <w:r>
        <w:rPr>
          <w:b/>
          <w:spacing w:val="-2"/>
          <w:sz w:val="18"/>
        </w:rPr>
        <w:t> </w:t>
      </w:r>
      <w:r>
        <w:rPr>
          <w:b/>
          <w:sz w:val="18"/>
        </w:rPr>
        <w:t>(-1 level).</w:t>
      </w:r>
      <w:r>
        <w:rPr>
          <w:b/>
          <w:spacing w:val="-2"/>
          <w:sz w:val="18"/>
        </w:rPr>
        <w:t> </w:t>
      </w:r>
      <w:r>
        <w:rPr>
          <w:sz w:val="18"/>
        </w:rPr>
        <w:t>No</w:t>
      </w:r>
      <w:r>
        <w:rPr>
          <w:spacing w:val="-2"/>
          <w:sz w:val="18"/>
        </w:rPr>
        <w:t> </w:t>
      </w:r>
      <w:r>
        <w:rPr>
          <w:sz w:val="18"/>
        </w:rPr>
        <w:t>reporting</w:t>
      </w:r>
      <w:r>
        <w:rPr>
          <w:spacing w:val="-3"/>
          <w:sz w:val="18"/>
        </w:rPr>
        <w:t> </w:t>
      </w:r>
      <w:r>
        <w:rPr>
          <w:sz w:val="18"/>
        </w:rPr>
        <w:t>on</w:t>
      </w:r>
      <w:r>
        <w:rPr>
          <w:spacing w:val="-3"/>
          <w:sz w:val="18"/>
        </w:rPr>
        <w:t> </w:t>
      </w:r>
      <w:r>
        <w:rPr>
          <w:sz w:val="18"/>
        </w:rPr>
        <w:t>allocation</w:t>
      </w:r>
      <w:r>
        <w:rPr>
          <w:spacing w:val="-3"/>
          <w:sz w:val="18"/>
        </w:rPr>
        <w:t> </w:t>
      </w:r>
      <w:r>
        <w:rPr>
          <w:sz w:val="18"/>
        </w:rPr>
        <w:t>concealment,</w:t>
      </w:r>
      <w:r>
        <w:rPr>
          <w:spacing w:val="-2"/>
          <w:sz w:val="18"/>
        </w:rPr>
        <w:t> </w:t>
      </w:r>
      <w:r>
        <w:rPr>
          <w:sz w:val="18"/>
        </w:rPr>
        <w:t>and</w:t>
      </w:r>
      <w:r>
        <w:rPr>
          <w:spacing w:val="-1"/>
          <w:sz w:val="18"/>
        </w:rPr>
        <w:t> </w:t>
      </w:r>
      <w:r>
        <w:rPr>
          <w:sz w:val="18"/>
        </w:rPr>
        <w:t>potential</w:t>
      </w:r>
      <w:r>
        <w:rPr>
          <w:spacing w:val="-2"/>
          <w:sz w:val="18"/>
        </w:rPr>
        <w:t> </w:t>
      </w:r>
      <w:r>
        <w:rPr>
          <w:sz w:val="18"/>
        </w:rPr>
        <w:t>funding</w:t>
      </w:r>
      <w:r>
        <w:rPr>
          <w:spacing w:val="-1"/>
          <w:sz w:val="18"/>
        </w:rPr>
        <w:t> </w:t>
      </w:r>
      <w:r>
        <w:rPr>
          <w:sz w:val="18"/>
        </w:rPr>
        <w:t>bias. </w:t>
      </w:r>
      <w:r>
        <w:rPr>
          <w:b/>
          <w:sz w:val="18"/>
        </w:rPr>
        <w:t>Imprecision:</w:t>
      </w:r>
      <w:r>
        <w:rPr>
          <w:b/>
          <w:spacing w:val="-2"/>
          <w:sz w:val="18"/>
        </w:rPr>
        <w:t> </w:t>
      </w:r>
      <w:r>
        <w:rPr>
          <w:b/>
          <w:sz w:val="18"/>
        </w:rPr>
        <w:t>very</w:t>
      </w:r>
      <w:r>
        <w:rPr>
          <w:b/>
          <w:spacing w:val="-2"/>
          <w:sz w:val="18"/>
        </w:rPr>
        <w:t> </w:t>
      </w:r>
      <w:r>
        <w:rPr>
          <w:b/>
          <w:sz w:val="18"/>
        </w:rPr>
        <w:t>serious</w:t>
      </w:r>
      <w:r>
        <w:rPr>
          <w:b/>
          <w:spacing w:val="-2"/>
          <w:sz w:val="18"/>
        </w:rPr>
        <w:t> </w:t>
      </w:r>
      <w:r>
        <w:rPr>
          <w:b/>
          <w:sz w:val="18"/>
        </w:rPr>
        <w:t>(-2</w:t>
      </w:r>
      <w:r>
        <w:rPr>
          <w:b/>
          <w:spacing w:val="-2"/>
          <w:sz w:val="18"/>
        </w:rPr>
        <w:t> </w:t>
      </w:r>
      <w:r>
        <w:rPr>
          <w:b/>
          <w:sz w:val="18"/>
        </w:rPr>
        <w:t>levels).</w:t>
      </w:r>
      <w:r>
        <w:rPr>
          <w:b/>
          <w:spacing w:val="-2"/>
          <w:sz w:val="18"/>
        </w:rPr>
        <w:t> </w:t>
      </w:r>
      <w:r>
        <w:rPr>
          <w:sz w:val="18"/>
        </w:rPr>
        <w:t>Confidence</w:t>
      </w:r>
      <w:r>
        <w:rPr>
          <w:spacing w:val="-3"/>
          <w:sz w:val="18"/>
        </w:rPr>
        <w:t> </w:t>
      </w:r>
      <w:r>
        <w:rPr>
          <w:sz w:val="18"/>
        </w:rPr>
        <w:t>interval</w:t>
      </w:r>
      <w:r>
        <w:rPr>
          <w:spacing w:val="-3"/>
          <w:sz w:val="18"/>
        </w:rPr>
        <w:t> </w:t>
      </w:r>
      <w:r>
        <w:rPr>
          <w:sz w:val="18"/>
        </w:rPr>
        <w:t>crosses</w:t>
      </w:r>
      <w:r>
        <w:rPr>
          <w:spacing w:val="-1"/>
          <w:sz w:val="18"/>
        </w:rPr>
        <w:t> </w:t>
      </w:r>
      <w:r>
        <w:rPr>
          <w:sz w:val="18"/>
        </w:rPr>
        <w:t>both</w:t>
      </w:r>
      <w:r>
        <w:rPr>
          <w:spacing w:val="-4"/>
          <w:sz w:val="18"/>
        </w:rPr>
        <w:t> </w:t>
      </w:r>
      <w:r>
        <w:rPr>
          <w:sz w:val="18"/>
        </w:rPr>
        <w:t>borders</w:t>
      </w:r>
      <w:r>
        <w:rPr>
          <w:spacing w:val="-3"/>
          <w:sz w:val="18"/>
        </w:rPr>
        <w:t> </w:t>
      </w:r>
      <w:r>
        <w:rPr>
          <w:sz w:val="18"/>
        </w:rPr>
        <w:t>of clinical relevance.</w:t>
      </w:r>
    </w:p>
    <w:p>
      <w:pPr>
        <w:pStyle w:val="ListParagraph"/>
        <w:numPr>
          <w:ilvl w:val="0"/>
          <w:numId w:val="4"/>
        </w:numPr>
        <w:tabs>
          <w:tab w:pos="383" w:val="left" w:leader="none"/>
        </w:tabs>
        <w:spacing w:line="278" w:lineRule="auto" w:before="162" w:after="0"/>
        <w:ind w:left="383" w:right="921" w:hanging="361"/>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serious</w:t>
      </w:r>
      <w:r>
        <w:rPr>
          <w:b/>
          <w:spacing w:val="-2"/>
          <w:sz w:val="18"/>
        </w:rPr>
        <w:t> </w:t>
      </w:r>
      <w:r>
        <w:rPr>
          <w:b/>
          <w:sz w:val="18"/>
        </w:rPr>
        <w:t>(-1 level).</w:t>
      </w:r>
      <w:r>
        <w:rPr>
          <w:b/>
          <w:spacing w:val="-2"/>
          <w:sz w:val="18"/>
        </w:rPr>
        <w:t> </w:t>
      </w:r>
      <w:r>
        <w:rPr>
          <w:sz w:val="18"/>
        </w:rPr>
        <w:t>No</w:t>
      </w:r>
      <w:r>
        <w:rPr>
          <w:spacing w:val="-2"/>
          <w:sz w:val="18"/>
        </w:rPr>
        <w:t> </w:t>
      </w:r>
      <w:r>
        <w:rPr>
          <w:sz w:val="18"/>
        </w:rPr>
        <w:t>reporting</w:t>
      </w:r>
      <w:r>
        <w:rPr>
          <w:spacing w:val="-3"/>
          <w:sz w:val="18"/>
        </w:rPr>
        <w:t> </w:t>
      </w:r>
      <w:r>
        <w:rPr>
          <w:sz w:val="18"/>
        </w:rPr>
        <w:t>on</w:t>
      </w:r>
      <w:r>
        <w:rPr>
          <w:spacing w:val="-3"/>
          <w:sz w:val="18"/>
        </w:rPr>
        <w:t> </w:t>
      </w:r>
      <w:r>
        <w:rPr>
          <w:sz w:val="18"/>
        </w:rPr>
        <w:t>allocation</w:t>
      </w:r>
      <w:r>
        <w:rPr>
          <w:spacing w:val="-3"/>
          <w:sz w:val="18"/>
        </w:rPr>
        <w:t> </w:t>
      </w:r>
      <w:r>
        <w:rPr>
          <w:sz w:val="18"/>
        </w:rPr>
        <w:t>concealment,</w:t>
      </w:r>
      <w:r>
        <w:rPr>
          <w:spacing w:val="-2"/>
          <w:sz w:val="18"/>
        </w:rPr>
        <w:t> </w:t>
      </w:r>
      <w:r>
        <w:rPr>
          <w:sz w:val="18"/>
        </w:rPr>
        <w:t>and</w:t>
      </w:r>
      <w:r>
        <w:rPr>
          <w:spacing w:val="-1"/>
          <w:sz w:val="18"/>
        </w:rPr>
        <w:t> </w:t>
      </w:r>
      <w:r>
        <w:rPr>
          <w:sz w:val="18"/>
        </w:rPr>
        <w:t>potential</w:t>
      </w:r>
      <w:r>
        <w:rPr>
          <w:spacing w:val="-2"/>
          <w:sz w:val="18"/>
        </w:rPr>
        <w:t> </w:t>
      </w:r>
      <w:r>
        <w:rPr>
          <w:sz w:val="18"/>
        </w:rPr>
        <w:t>funding</w:t>
      </w:r>
      <w:r>
        <w:rPr>
          <w:spacing w:val="-1"/>
          <w:sz w:val="18"/>
        </w:rPr>
        <w:t> </w:t>
      </w:r>
      <w:r>
        <w:rPr>
          <w:sz w:val="18"/>
        </w:rPr>
        <w:t>bias. </w:t>
      </w:r>
      <w:r>
        <w:rPr>
          <w:b/>
          <w:sz w:val="18"/>
        </w:rPr>
        <w:t>Imprecision:</w:t>
      </w:r>
      <w:r>
        <w:rPr>
          <w:b/>
          <w:spacing w:val="-2"/>
          <w:sz w:val="18"/>
        </w:rPr>
        <w:t> </w:t>
      </w:r>
      <w:r>
        <w:rPr>
          <w:b/>
          <w:sz w:val="18"/>
        </w:rPr>
        <w:t>serious (-1</w:t>
      </w:r>
      <w:r>
        <w:rPr>
          <w:b/>
          <w:spacing w:val="-2"/>
          <w:sz w:val="18"/>
        </w:rPr>
        <w:t> </w:t>
      </w:r>
      <w:r>
        <w:rPr>
          <w:b/>
          <w:sz w:val="18"/>
        </w:rPr>
        <w:t>level).</w:t>
      </w:r>
      <w:r>
        <w:rPr>
          <w:b/>
          <w:spacing w:val="-2"/>
          <w:sz w:val="18"/>
        </w:rPr>
        <w:t> </w:t>
      </w:r>
      <w:r>
        <w:rPr>
          <w:sz w:val="18"/>
        </w:rPr>
        <w:t>Confidence</w:t>
      </w:r>
      <w:r>
        <w:rPr>
          <w:spacing w:val="-3"/>
          <w:sz w:val="18"/>
        </w:rPr>
        <w:t> </w:t>
      </w:r>
      <w:r>
        <w:rPr>
          <w:sz w:val="18"/>
        </w:rPr>
        <w:t>interval</w:t>
      </w:r>
      <w:r>
        <w:rPr>
          <w:spacing w:val="-3"/>
          <w:sz w:val="18"/>
        </w:rPr>
        <w:t> </w:t>
      </w:r>
      <w:r>
        <w:rPr>
          <w:sz w:val="18"/>
        </w:rPr>
        <w:t>crosses</w:t>
      </w:r>
      <w:r>
        <w:rPr>
          <w:spacing w:val="-3"/>
          <w:sz w:val="18"/>
        </w:rPr>
        <w:t> </w:t>
      </w:r>
      <w:r>
        <w:rPr>
          <w:sz w:val="18"/>
        </w:rPr>
        <w:t>one</w:t>
      </w:r>
      <w:r>
        <w:rPr>
          <w:spacing w:val="-1"/>
          <w:sz w:val="18"/>
        </w:rPr>
        <w:t> </w:t>
      </w:r>
      <w:r>
        <w:rPr>
          <w:sz w:val="18"/>
        </w:rPr>
        <w:t>border</w:t>
      </w:r>
      <w:r>
        <w:rPr>
          <w:spacing w:val="-2"/>
          <w:sz w:val="18"/>
        </w:rPr>
        <w:t> </w:t>
      </w:r>
      <w:r>
        <w:rPr>
          <w:sz w:val="18"/>
        </w:rPr>
        <w:t>of</w:t>
      </w:r>
      <w:r>
        <w:rPr>
          <w:spacing w:val="-3"/>
          <w:sz w:val="18"/>
        </w:rPr>
        <w:t> </w:t>
      </w:r>
      <w:r>
        <w:rPr>
          <w:sz w:val="18"/>
        </w:rPr>
        <w:t>clinical </w:t>
      </w:r>
      <w:r>
        <w:rPr>
          <w:spacing w:val="-2"/>
          <w:sz w:val="18"/>
        </w:rPr>
        <w:t>relevance.</w:t>
      </w:r>
    </w:p>
    <w:p>
      <w:pPr>
        <w:pStyle w:val="ListParagraph"/>
        <w:numPr>
          <w:ilvl w:val="0"/>
          <w:numId w:val="4"/>
        </w:numPr>
        <w:tabs>
          <w:tab w:pos="383" w:val="left" w:leader="none"/>
        </w:tabs>
        <w:spacing w:line="240" w:lineRule="auto" w:before="160" w:after="0"/>
        <w:ind w:left="383" w:right="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serious</w:t>
      </w:r>
      <w:r>
        <w:rPr>
          <w:b/>
          <w:spacing w:val="-1"/>
          <w:sz w:val="18"/>
        </w:rPr>
        <w:t> </w:t>
      </w:r>
      <w:r>
        <w:rPr>
          <w:b/>
          <w:sz w:val="18"/>
        </w:rPr>
        <w:t>(-1 level).</w:t>
      </w:r>
      <w:r>
        <w:rPr>
          <w:b/>
          <w:spacing w:val="-2"/>
          <w:sz w:val="18"/>
        </w:rPr>
        <w:t> </w:t>
      </w:r>
      <w:r>
        <w:rPr>
          <w:sz w:val="18"/>
        </w:rPr>
        <w:t>No</w:t>
      </w:r>
      <w:r>
        <w:rPr>
          <w:spacing w:val="-2"/>
          <w:sz w:val="18"/>
        </w:rPr>
        <w:t> </w:t>
      </w:r>
      <w:r>
        <w:rPr>
          <w:sz w:val="18"/>
        </w:rPr>
        <w:t>reporting</w:t>
      </w:r>
      <w:r>
        <w:rPr>
          <w:spacing w:val="-2"/>
          <w:sz w:val="18"/>
        </w:rPr>
        <w:t> </w:t>
      </w:r>
      <w:r>
        <w:rPr>
          <w:sz w:val="18"/>
        </w:rPr>
        <w:t>on</w:t>
      </w:r>
      <w:r>
        <w:rPr>
          <w:spacing w:val="-3"/>
          <w:sz w:val="18"/>
        </w:rPr>
        <w:t> </w:t>
      </w:r>
      <w:r>
        <w:rPr>
          <w:sz w:val="18"/>
        </w:rPr>
        <w:t>allocation</w:t>
      </w:r>
      <w:r>
        <w:rPr>
          <w:spacing w:val="-3"/>
          <w:sz w:val="18"/>
        </w:rPr>
        <w:t> </w:t>
      </w:r>
      <w:r>
        <w:rPr>
          <w:sz w:val="18"/>
        </w:rPr>
        <w:t>concealment,</w:t>
      </w:r>
      <w:r>
        <w:rPr>
          <w:spacing w:val="-1"/>
          <w:sz w:val="18"/>
        </w:rPr>
        <w:t> </w:t>
      </w:r>
      <w:r>
        <w:rPr>
          <w:sz w:val="18"/>
        </w:rPr>
        <w:t>and</w:t>
      </w:r>
      <w:r>
        <w:rPr>
          <w:spacing w:val="-1"/>
          <w:sz w:val="18"/>
        </w:rPr>
        <w:t> </w:t>
      </w:r>
      <w:r>
        <w:rPr>
          <w:sz w:val="18"/>
        </w:rPr>
        <w:t>potential</w:t>
      </w:r>
      <w:r>
        <w:rPr>
          <w:spacing w:val="-2"/>
          <w:sz w:val="18"/>
        </w:rPr>
        <w:t> </w:t>
      </w:r>
      <w:r>
        <w:rPr>
          <w:sz w:val="18"/>
        </w:rPr>
        <w:t>funding </w:t>
      </w:r>
      <w:r>
        <w:rPr>
          <w:spacing w:val="-2"/>
          <w:sz w:val="18"/>
        </w:rPr>
        <w:t>bias.</w:t>
      </w:r>
    </w:p>
    <w:p>
      <w:pPr>
        <w:pStyle w:val="ListParagraph"/>
        <w:spacing w:after="0" w:line="240" w:lineRule="auto"/>
        <w:jc w:val="left"/>
        <w:rPr>
          <w:sz w:val="18"/>
        </w:rPr>
        <w:sectPr>
          <w:pgSz w:w="16840" w:h="11910" w:orient="landscape"/>
          <w:pgMar w:top="1340" w:bottom="280" w:left="1417" w:right="992"/>
        </w:sectPr>
      </w:pPr>
    </w:p>
    <w:p>
      <w:pPr>
        <w:pStyle w:val="ListParagraph"/>
        <w:numPr>
          <w:ilvl w:val="0"/>
          <w:numId w:val="1"/>
        </w:numPr>
        <w:tabs>
          <w:tab w:pos="381" w:val="left" w:leader="none"/>
          <w:tab w:pos="383" w:val="left" w:leader="none"/>
        </w:tabs>
        <w:spacing w:line="276" w:lineRule="auto" w:before="93" w:after="0"/>
        <w:ind w:left="383" w:right="453" w:hanging="361"/>
        <w:jc w:val="left"/>
        <w:rPr>
          <w:i/>
          <w:sz w:val="22"/>
        </w:rPr>
      </w:pPr>
      <w:r>
        <w:rPr>
          <w:i/>
          <w:sz w:val="22"/>
        </w:rPr>
        <w:t>Clinical</w:t>
      </w:r>
      <w:r>
        <w:rPr>
          <w:i/>
          <w:spacing w:val="-2"/>
          <w:sz w:val="22"/>
        </w:rPr>
        <w:t> </w:t>
      </w:r>
      <w:r>
        <w:rPr>
          <w:i/>
          <w:sz w:val="22"/>
        </w:rPr>
        <w:t>question:</w:t>
      </w:r>
      <w:r>
        <w:rPr>
          <w:i/>
          <w:spacing w:val="-1"/>
          <w:sz w:val="22"/>
        </w:rPr>
        <w:t> </w:t>
      </w:r>
      <w:r>
        <w:rPr>
          <w:i/>
          <w:sz w:val="22"/>
        </w:rPr>
        <w:t>What</w:t>
      </w:r>
      <w:r>
        <w:rPr>
          <w:i/>
          <w:spacing w:val="-4"/>
          <w:sz w:val="22"/>
        </w:rPr>
        <w:t> </w:t>
      </w:r>
      <w:r>
        <w:rPr>
          <w:i/>
          <w:sz w:val="22"/>
        </w:rPr>
        <w:t>is</w:t>
      </w:r>
      <w:r>
        <w:rPr>
          <w:i/>
          <w:spacing w:val="-1"/>
          <w:sz w:val="22"/>
        </w:rPr>
        <w:t> </w:t>
      </w:r>
      <w:r>
        <w:rPr>
          <w:i/>
          <w:sz w:val="22"/>
        </w:rPr>
        <w:t>the</w:t>
      </w:r>
      <w:r>
        <w:rPr>
          <w:i/>
          <w:spacing w:val="-2"/>
          <w:sz w:val="22"/>
        </w:rPr>
        <w:t> </w:t>
      </w:r>
      <w:r>
        <w:rPr>
          <w:i/>
          <w:sz w:val="22"/>
        </w:rPr>
        <w:t>recommended</w:t>
      </w:r>
      <w:r>
        <w:rPr>
          <w:i/>
          <w:spacing w:val="-2"/>
          <w:sz w:val="22"/>
        </w:rPr>
        <w:t> </w:t>
      </w:r>
      <w:r>
        <w:rPr>
          <w:i/>
          <w:sz w:val="22"/>
        </w:rPr>
        <w:t>antithrombotic</w:t>
      </w:r>
      <w:r>
        <w:rPr>
          <w:i/>
          <w:spacing w:val="-4"/>
          <w:sz w:val="22"/>
        </w:rPr>
        <w:t> </w:t>
      </w:r>
      <w:r>
        <w:rPr>
          <w:i/>
          <w:sz w:val="22"/>
        </w:rPr>
        <w:t>strategy</w:t>
      </w:r>
      <w:r>
        <w:rPr>
          <w:i/>
          <w:spacing w:val="-2"/>
          <w:sz w:val="22"/>
        </w:rPr>
        <w:t> </w:t>
      </w:r>
      <w:r>
        <w:rPr>
          <w:i/>
          <w:sz w:val="22"/>
        </w:rPr>
        <w:t>for</w:t>
      </w:r>
      <w:r>
        <w:rPr>
          <w:i/>
          <w:spacing w:val="-1"/>
          <w:sz w:val="22"/>
        </w:rPr>
        <w:t> </w:t>
      </w:r>
      <w:r>
        <w:rPr>
          <w:i/>
          <w:sz w:val="22"/>
        </w:rPr>
        <w:t>primary</w:t>
      </w:r>
      <w:r>
        <w:rPr>
          <w:i/>
          <w:spacing w:val="-2"/>
          <w:sz w:val="22"/>
        </w:rPr>
        <w:t> </w:t>
      </w:r>
      <w:r>
        <w:rPr>
          <w:i/>
          <w:sz w:val="22"/>
        </w:rPr>
        <w:t>thrombosis</w:t>
      </w:r>
      <w:r>
        <w:rPr>
          <w:i/>
          <w:spacing w:val="-1"/>
          <w:sz w:val="22"/>
        </w:rPr>
        <w:t> </w:t>
      </w:r>
      <w:r>
        <w:rPr>
          <w:i/>
          <w:sz w:val="22"/>
        </w:rPr>
        <w:t>prevention</w:t>
      </w:r>
      <w:r>
        <w:rPr>
          <w:i/>
          <w:spacing w:val="-3"/>
          <w:sz w:val="22"/>
        </w:rPr>
        <w:t> </w:t>
      </w:r>
      <w:r>
        <w:rPr>
          <w:i/>
          <w:sz w:val="22"/>
        </w:rPr>
        <w:t>in</w:t>
      </w:r>
      <w:r>
        <w:rPr>
          <w:i/>
          <w:spacing w:val="-5"/>
          <w:sz w:val="22"/>
        </w:rPr>
        <w:t> </w:t>
      </w:r>
      <w:r>
        <w:rPr>
          <w:i/>
          <w:sz w:val="22"/>
        </w:rPr>
        <w:t>for</w:t>
      </w:r>
      <w:r>
        <w:rPr>
          <w:i/>
          <w:spacing w:val="-2"/>
          <w:sz w:val="22"/>
        </w:rPr>
        <w:t> </w:t>
      </w:r>
      <w:r>
        <w:rPr>
          <w:i/>
          <w:sz w:val="22"/>
        </w:rPr>
        <w:t>children</w:t>
      </w:r>
      <w:r>
        <w:rPr>
          <w:i/>
          <w:spacing w:val="-2"/>
          <w:sz w:val="22"/>
        </w:rPr>
        <w:t> </w:t>
      </w:r>
      <w:r>
        <w:rPr>
          <w:i/>
          <w:sz w:val="22"/>
        </w:rPr>
        <w:t>undergoing</w:t>
      </w:r>
      <w:r>
        <w:rPr>
          <w:i/>
          <w:spacing w:val="-3"/>
          <w:sz w:val="22"/>
        </w:rPr>
        <w:t> </w:t>
      </w:r>
      <w:r>
        <w:rPr>
          <w:i/>
          <w:sz w:val="22"/>
        </w:rPr>
        <w:t>a</w:t>
      </w:r>
      <w:r>
        <w:rPr>
          <w:i/>
          <w:spacing w:val="-2"/>
          <w:sz w:val="22"/>
        </w:rPr>
        <w:t> </w:t>
      </w:r>
      <w:r>
        <w:rPr>
          <w:i/>
          <w:sz w:val="22"/>
        </w:rPr>
        <w:t>Glenn</w:t>
      </w:r>
      <w:r>
        <w:rPr>
          <w:i/>
          <w:spacing w:val="-3"/>
          <w:sz w:val="22"/>
        </w:rPr>
        <w:t> </w:t>
      </w:r>
      <w:r>
        <w:rPr>
          <w:i/>
          <w:sz w:val="22"/>
        </w:rPr>
        <w:t>shunt</w:t>
      </w:r>
      <w:r>
        <w:rPr>
          <w:i/>
          <w:spacing w:val="-2"/>
          <w:sz w:val="22"/>
        </w:rPr>
        <w:t> </w:t>
      </w:r>
      <w:r>
        <w:rPr>
          <w:i/>
          <w:sz w:val="22"/>
        </w:rPr>
        <w:t>or PCPC</w:t>
      </w:r>
      <w:r>
        <w:rPr>
          <w:i/>
          <w:sz w:val="22"/>
        </w:rPr>
        <w:t> </w:t>
      </w:r>
      <w:r>
        <w:rPr>
          <w:i/>
          <w:spacing w:val="-2"/>
          <w:sz w:val="22"/>
        </w:rPr>
        <w:t>procedure?</w:t>
      </w:r>
    </w:p>
    <w:p>
      <w:pPr>
        <w:pStyle w:val="BodyText"/>
        <w:spacing w:before="203"/>
        <w:rPr>
          <w:i/>
        </w:rPr>
      </w:pPr>
    </w:p>
    <w:p>
      <w:pPr>
        <w:pStyle w:val="BodyText"/>
        <w:ind w:left="23"/>
      </w:pPr>
      <w:r>
        <w:rPr/>
        <w:t>A</w:t>
      </w:r>
      <w:r>
        <w:rPr>
          <w:spacing w:val="-5"/>
        </w:rPr>
        <w:t> </w:t>
      </w:r>
      <w:r>
        <w:rPr/>
        <w:t>systematic</w:t>
      </w:r>
      <w:r>
        <w:rPr>
          <w:spacing w:val="-3"/>
        </w:rPr>
        <w:t> </w:t>
      </w:r>
      <w:r>
        <w:rPr/>
        <w:t>review</w:t>
      </w:r>
      <w:r>
        <w:rPr>
          <w:spacing w:val="-5"/>
        </w:rPr>
        <w:t> </w:t>
      </w:r>
      <w:r>
        <w:rPr/>
        <w:t>of</w:t>
      </w:r>
      <w:r>
        <w:rPr>
          <w:spacing w:val="-5"/>
        </w:rPr>
        <w:t> </w:t>
      </w:r>
      <w:r>
        <w:rPr/>
        <w:t>the</w:t>
      </w:r>
      <w:r>
        <w:rPr>
          <w:spacing w:val="-5"/>
        </w:rPr>
        <w:t> </w:t>
      </w:r>
      <w:r>
        <w:rPr/>
        <w:t>literature</w:t>
      </w:r>
      <w:r>
        <w:rPr>
          <w:spacing w:val="-5"/>
        </w:rPr>
        <w:t> </w:t>
      </w:r>
      <w:r>
        <w:rPr/>
        <w:t>was</w:t>
      </w:r>
      <w:r>
        <w:rPr>
          <w:spacing w:val="-6"/>
        </w:rPr>
        <w:t> </w:t>
      </w:r>
      <w:r>
        <w:rPr/>
        <w:t>performed</w:t>
      </w:r>
      <w:r>
        <w:rPr>
          <w:spacing w:val="-3"/>
        </w:rPr>
        <w:t> </w:t>
      </w:r>
      <w:r>
        <w:rPr/>
        <w:t>to</w:t>
      </w:r>
      <w:r>
        <w:rPr>
          <w:spacing w:val="-2"/>
        </w:rPr>
        <w:t> </w:t>
      </w:r>
      <w:r>
        <w:rPr/>
        <w:t>answer</w:t>
      </w:r>
      <w:r>
        <w:rPr>
          <w:spacing w:val="-3"/>
        </w:rPr>
        <w:t> </w:t>
      </w:r>
      <w:r>
        <w:rPr/>
        <w:t>the</w:t>
      </w:r>
      <w:r>
        <w:rPr>
          <w:spacing w:val="-3"/>
        </w:rPr>
        <w:t> </w:t>
      </w:r>
      <w:r>
        <w:rPr/>
        <w:t>following</w:t>
      </w:r>
      <w:r>
        <w:rPr>
          <w:spacing w:val="-4"/>
        </w:rPr>
        <w:t> </w:t>
      </w:r>
      <w:r>
        <w:rPr>
          <w:spacing w:val="-2"/>
        </w:rPr>
        <w:t>question:</w:t>
      </w:r>
    </w:p>
    <w:p>
      <w:pPr>
        <w:pStyle w:val="BodyText"/>
        <w:spacing w:line="278" w:lineRule="auto" w:before="44"/>
        <w:ind w:left="23" w:right="466"/>
      </w:pPr>
      <w:r>
        <w:rPr/>
        <w:t>What</w:t>
      </w:r>
      <w:r>
        <w:rPr>
          <w:spacing w:val="-1"/>
        </w:rPr>
        <w:t> </w:t>
      </w:r>
      <w:r>
        <w:rPr/>
        <w:t>are</w:t>
      </w:r>
      <w:r>
        <w:rPr>
          <w:spacing w:val="-3"/>
        </w:rPr>
        <w:t> </w:t>
      </w:r>
      <w:r>
        <w:rPr/>
        <w:t>the</w:t>
      </w:r>
      <w:r>
        <w:rPr>
          <w:spacing w:val="-3"/>
        </w:rPr>
        <w:t> </w:t>
      </w:r>
      <w:r>
        <w:rPr/>
        <w:t>favorable</w:t>
      </w:r>
      <w:r>
        <w:rPr>
          <w:spacing w:val="-3"/>
        </w:rPr>
        <w:t> </w:t>
      </w:r>
      <w:r>
        <w:rPr/>
        <w:t>and</w:t>
      </w:r>
      <w:r>
        <w:rPr>
          <w:spacing w:val="-2"/>
        </w:rPr>
        <w:t> </w:t>
      </w:r>
      <w:r>
        <w:rPr/>
        <w:t>unfavorable</w:t>
      </w:r>
      <w:r>
        <w:rPr>
          <w:spacing w:val="-4"/>
        </w:rPr>
        <w:t> </w:t>
      </w:r>
      <w:r>
        <w:rPr/>
        <w:t>effects</w:t>
      </w:r>
      <w:r>
        <w:rPr>
          <w:spacing w:val="-3"/>
        </w:rPr>
        <w:t> </w:t>
      </w:r>
      <w:r>
        <w:rPr/>
        <w:t>of</w:t>
      </w:r>
      <w:r>
        <w:rPr>
          <w:spacing w:val="-3"/>
        </w:rPr>
        <w:t> </w:t>
      </w:r>
      <w:r>
        <w:rPr/>
        <w:t>the</w:t>
      </w:r>
      <w:r>
        <w:rPr>
          <w:spacing w:val="-1"/>
        </w:rPr>
        <w:t> </w:t>
      </w:r>
      <w:r>
        <w:rPr/>
        <w:t>use</w:t>
      </w:r>
      <w:r>
        <w:rPr>
          <w:spacing w:val="-3"/>
        </w:rPr>
        <w:t> </w:t>
      </w:r>
      <w:r>
        <w:rPr/>
        <w:t>of</w:t>
      </w:r>
      <w:r>
        <w:rPr>
          <w:spacing w:val="-3"/>
        </w:rPr>
        <w:t> </w:t>
      </w:r>
      <w:r>
        <w:rPr/>
        <w:t>thromboprophylaxis</w:t>
      </w:r>
      <w:r>
        <w:rPr>
          <w:spacing w:val="-1"/>
        </w:rPr>
        <w:t> </w:t>
      </w:r>
      <w:r>
        <w:rPr/>
        <w:t>(various)</w:t>
      </w:r>
      <w:r>
        <w:rPr>
          <w:spacing w:val="-3"/>
        </w:rPr>
        <w:t> </w:t>
      </w:r>
      <w:r>
        <w:rPr/>
        <w:t>compared</w:t>
      </w:r>
      <w:r>
        <w:rPr>
          <w:spacing w:val="-5"/>
        </w:rPr>
        <w:t> </w:t>
      </w:r>
      <w:r>
        <w:rPr/>
        <w:t>with</w:t>
      </w:r>
      <w:r>
        <w:rPr>
          <w:spacing w:val="-4"/>
        </w:rPr>
        <w:t> </w:t>
      </w:r>
      <w:r>
        <w:rPr/>
        <w:t>the</w:t>
      </w:r>
      <w:r>
        <w:rPr>
          <w:spacing w:val="-1"/>
        </w:rPr>
        <w:t> </w:t>
      </w:r>
      <w:r>
        <w:rPr/>
        <w:t>use</w:t>
      </w:r>
      <w:r>
        <w:rPr>
          <w:spacing w:val="-3"/>
        </w:rPr>
        <w:t> </w:t>
      </w:r>
      <w:r>
        <w:rPr/>
        <w:t>of</w:t>
      </w:r>
      <w:r>
        <w:rPr>
          <w:spacing w:val="-1"/>
        </w:rPr>
        <w:t> </w:t>
      </w:r>
      <w:r>
        <w:rPr/>
        <w:t>no thromboprophylaxis</w:t>
      </w:r>
      <w:r>
        <w:rPr>
          <w:spacing w:val="-1"/>
        </w:rPr>
        <w:t> </w:t>
      </w:r>
      <w:r>
        <w:rPr/>
        <w:t>for</w:t>
      </w:r>
      <w:r>
        <w:rPr>
          <w:spacing w:val="-1"/>
        </w:rPr>
        <w:t> </w:t>
      </w:r>
      <w:r>
        <w:rPr/>
        <w:t>children with an indication for a Glenn shunt?</w:t>
      </w:r>
    </w:p>
    <w:p>
      <w:pPr>
        <w:pStyle w:val="BodyText"/>
        <w:spacing w:before="162"/>
        <w:ind w:left="23"/>
      </w:pPr>
      <w:r>
        <w:rPr/>
        <w:t>PICO</w:t>
      </w:r>
      <w:r>
        <w:rPr>
          <w:spacing w:val="-3"/>
        </w:rPr>
        <w:t> </w:t>
      </w:r>
      <w:r>
        <w:rPr/>
        <w:t>used</w:t>
      </w:r>
      <w:r>
        <w:rPr>
          <w:spacing w:val="-2"/>
        </w:rPr>
        <w:t> </w:t>
      </w:r>
      <w:r>
        <w:rPr/>
        <w:t>for</w:t>
      </w:r>
      <w:r>
        <w:rPr>
          <w:spacing w:val="-5"/>
        </w:rPr>
        <w:t> </w:t>
      </w:r>
      <w:r>
        <w:rPr/>
        <w:t>this</w:t>
      </w:r>
      <w:r>
        <w:rPr>
          <w:spacing w:val="-2"/>
        </w:rPr>
        <w:t> question:</w:t>
      </w:r>
    </w:p>
    <w:p>
      <w:pPr>
        <w:pStyle w:val="BodyText"/>
        <w:spacing w:before="5"/>
        <w:rPr>
          <w:sz w:val="14"/>
        </w:rPr>
      </w:pPr>
      <w:r>
        <w:rPr>
          <w:sz w:val="14"/>
        </w:rPr>
        <mc:AlternateContent>
          <mc:Choice Requires="wps">
            <w:drawing>
              <wp:anchor distT="0" distB="0" distL="0" distR="0" allowOverlap="1" layoutInCell="1" locked="0" behindDoc="1" simplePos="0" relativeHeight="487590400">
                <wp:simplePos x="0" y="0"/>
                <wp:positionH relativeFrom="page">
                  <wp:posOffset>914400</wp:posOffset>
                </wp:positionH>
                <wp:positionV relativeFrom="paragraph">
                  <wp:posOffset>127389</wp:posOffset>
                </wp:positionV>
                <wp:extent cx="5648960" cy="952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648960" cy="9525"/>
                        </a:xfrm>
                        <a:custGeom>
                          <a:avLst/>
                          <a:gdLst/>
                          <a:ahLst/>
                          <a:cxnLst/>
                          <a:rect l="l" t="t" r="r" b="b"/>
                          <a:pathLst>
                            <a:path w="5648960" h="9525">
                              <a:moveTo>
                                <a:pt x="5648820" y="0"/>
                              </a:moveTo>
                              <a:lnTo>
                                <a:pt x="1694942" y="0"/>
                              </a:lnTo>
                              <a:lnTo>
                                <a:pt x="1685798" y="0"/>
                              </a:lnTo>
                              <a:lnTo>
                                <a:pt x="0" y="0"/>
                              </a:lnTo>
                              <a:lnTo>
                                <a:pt x="0" y="9144"/>
                              </a:lnTo>
                              <a:lnTo>
                                <a:pt x="1685798" y="9144"/>
                              </a:lnTo>
                              <a:lnTo>
                                <a:pt x="1694942" y="9144"/>
                              </a:lnTo>
                              <a:lnTo>
                                <a:pt x="5648820" y="9144"/>
                              </a:lnTo>
                              <a:lnTo>
                                <a:pt x="5648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030645pt;width:444.8pt;height:.75pt;mso-position-horizontal-relative:page;mso-position-vertical-relative:paragraph;z-index:-15726080;mso-wrap-distance-left:0;mso-wrap-distance-right:0" id="docshape6" coordorigin="1440,201" coordsize="8896,15" path="m10336,201l4109,201,4095,201,1440,201,1440,215,4095,215,4109,215,10336,215,10336,201xe" filled="true" fillcolor="#000000" stroked="false">
                <v:path arrowok="t"/>
                <v:fill type="solid"/>
                <w10:wrap type="topAndBottom"/>
              </v:shape>
            </w:pict>
          </mc:Fallback>
        </mc:AlternateContent>
      </w:r>
    </w:p>
    <w:p>
      <w:pPr>
        <w:pStyle w:val="BodyText"/>
        <w:tabs>
          <w:tab w:pos="2783" w:val="left" w:leader="none"/>
        </w:tabs>
        <w:spacing w:before="1"/>
        <w:ind w:left="128"/>
      </w:pPr>
      <w:r>
        <w:rPr>
          <w:spacing w:val="-2"/>
        </w:rPr>
        <w:t>Patients</w:t>
      </w:r>
      <w:r>
        <w:rPr/>
        <w:tab/>
        <w:t>Children</w:t>
      </w:r>
      <w:r>
        <w:rPr>
          <w:spacing w:val="-6"/>
        </w:rPr>
        <w:t> </w:t>
      </w:r>
      <w:r>
        <w:rPr/>
        <w:t>with</w:t>
      </w:r>
      <w:r>
        <w:rPr>
          <w:spacing w:val="-4"/>
        </w:rPr>
        <w:t> </w:t>
      </w:r>
      <w:r>
        <w:rPr/>
        <w:t>an</w:t>
      </w:r>
      <w:r>
        <w:rPr>
          <w:spacing w:val="-4"/>
        </w:rPr>
        <w:t> </w:t>
      </w:r>
      <w:r>
        <w:rPr/>
        <w:t>indication</w:t>
      </w:r>
      <w:r>
        <w:rPr>
          <w:spacing w:val="-6"/>
        </w:rPr>
        <w:t> </w:t>
      </w:r>
      <w:r>
        <w:rPr/>
        <w:t>for</w:t>
      </w:r>
      <w:r>
        <w:rPr>
          <w:spacing w:val="-4"/>
        </w:rPr>
        <w:t> </w:t>
      </w:r>
      <w:r>
        <w:rPr/>
        <w:t>Glenn</w:t>
      </w:r>
      <w:r>
        <w:rPr>
          <w:spacing w:val="-5"/>
        </w:rPr>
        <w:t> </w:t>
      </w:r>
      <w:r>
        <w:rPr>
          <w:spacing w:val="-2"/>
        </w:rPr>
        <w:t>shunt</w:t>
      </w:r>
    </w:p>
    <w:p>
      <w:pPr>
        <w:pStyle w:val="BodyText"/>
        <w:spacing w:before="8"/>
        <w:rPr>
          <w:sz w:val="14"/>
        </w:rPr>
      </w:pPr>
      <w:r>
        <w:rPr>
          <w:sz w:val="14"/>
        </w:rPr>
        <mc:AlternateContent>
          <mc:Choice Requires="wps">
            <w:drawing>
              <wp:anchor distT="0" distB="0" distL="0" distR="0" allowOverlap="1" layoutInCell="1" locked="0" behindDoc="1" simplePos="0" relativeHeight="487590912">
                <wp:simplePos x="0" y="0"/>
                <wp:positionH relativeFrom="page">
                  <wp:posOffset>914400</wp:posOffset>
                </wp:positionH>
                <wp:positionV relativeFrom="paragraph">
                  <wp:posOffset>129060</wp:posOffset>
                </wp:positionV>
                <wp:extent cx="5648960" cy="9525"/>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648960" cy="9525"/>
                        </a:xfrm>
                        <a:custGeom>
                          <a:avLst/>
                          <a:gdLst/>
                          <a:ahLst/>
                          <a:cxnLst/>
                          <a:rect l="l" t="t" r="r" b="b"/>
                          <a:pathLst>
                            <a:path w="5648960" h="9525">
                              <a:moveTo>
                                <a:pt x="5648820" y="0"/>
                              </a:moveTo>
                              <a:lnTo>
                                <a:pt x="1694942" y="0"/>
                              </a:lnTo>
                              <a:lnTo>
                                <a:pt x="1685798" y="0"/>
                              </a:lnTo>
                              <a:lnTo>
                                <a:pt x="0" y="0"/>
                              </a:lnTo>
                              <a:lnTo>
                                <a:pt x="0" y="9144"/>
                              </a:lnTo>
                              <a:lnTo>
                                <a:pt x="1685798" y="9144"/>
                              </a:lnTo>
                              <a:lnTo>
                                <a:pt x="1694942" y="9144"/>
                              </a:lnTo>
                              <a:lnTo>
                                <a:pt x="5648820" y="9144"/>
                              </a:lnTo>
                              <a:lnTo>
                                <a:pt x="5648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162249pt;width:444.8pt;height:.75pt;mso-position-horizontal-relative:page;mso-position-vertical-relative:paragraph;z-index:-15725568;mso-wrap-distance-left:0;mso-wrap-distance-right:0" id="docshape7" coordorigin="1440,203" coordsize="8896,15" path="m10336,203l4109,203,4095,203,1440,203,1440,218,4095,218,4109,218,10336,218,10336,203xe" filled="true" fillcolor="#000000" stroked="false">
                <v:path arrowok="t"/>
                <v:fill type="solid"/>
                <w10:wrap type="topAndBottom"/>
              </v:shape>
            </w:pict>
          </mc:Fallback>
        </mc:AlternateContent>
      </w:r>
    </w:p>
    <w:p>
      <w:pPr>
        <w:pStyle w:val="BodyText"/>
        <w:tabs>
          <w:tab w:pos="2783" w:val="left" w:leader="none"/>
        </w:tabs>
        <w:spacing w:before="1"/>
        <w:ind w:left="128"/>
      </w:pPr>
      <w:r>
        <w:rPr>
          <w:spacing w:val="-2"/>
        </w:rPr>
        <w:t>Intervention</w:t>
      </w:r>
      <w:r>
        <w:rPr/>
        <w:tab/>
      </w:r>
      <w:r>
        <w:rPr>
          <w:spacing w:val="-2"/>
        </w:rPr>
        <w:t>Thromboprophylaxis:</w:t>
      </w:r>
    </w:p>
    <w:p>
      <w:pPr>
        <w:pStyle w:val="ListParagraph"/>
        <w:numPr>
          <w:ilvl w:val="1"/>
          <w:numId w:val="1"/>
        </w:numPr>
        <w:tabs>
          <w:tab w:pos="3287" w:val="left" w:leader="none"/>
        </w:tabs>
        <w:spacing w:line="240" w:lineRule="auto" w:before="203" w:after="0"/>
        <w:ind w:left="3287" w:right="0" w:hanging="425"/>
        <w:jc w:val="left"/>
        <w:rPr>
          <w:rFonts w:ascii="Symbol" w:hAnsi="Symbol"/>
          <w:sz w:val="22"/>
        </w:rPr>
      </w:pPr>
      <w:r>
        <w:rPr>
          <w:sz w:val="22"/>
        </w:rPr>
        <w:t>DOACs</w:t>
      </w:r>
      <w:r>
        <w:rPr>
          <w:spacing w:val="-11"/>
          <w:sz w:val="22"/>
        </w:rPr>
        <w:t> </w:t>
      </w:r>
      <w:r>
        <w:rPr>
          <w:sz w:val="22"/>
        </w:rPr>
        <w:t>(apixaban,</w:t>
      </w:r>
      <w:r>
        <w:rPr>
          <w:spacing w:val="-8"/>
          <w:sz w:val="22"/>
        </w:rPr>
        <w:t> </w:t>
      </w:r>
      <w:r>
        <w:rPr>
          <w:sz w:val="22"/>
        </w:rPr>
        <w:t>rivaroxaban,</w:t>
      </w:r>
      <w:r>
        <w:rPr>
          <w:spacing w:val="-7"/>
          <w:sz w:val="22"/>
        </w:rPr>
        <w:t> </w:t>
      </w:r>
      <w:r>
        <w:rPr>
          <w:spacing w:val="-2"/>
          <w:sz w:val="22"/>
        </w:rPr>
        <w:t>edoxaban)</w:t>
      </w:r>
    </w:p>
    <w:p>
      <w:pPr>
        <w:pStyle w:val="ListParagraph"/>
        <w:numPr>
          <w:ilvl w:val="1"/>
          <w:numId w:val="1"/>
        </w:numPr>
        <w:tabs>
          <w:tab w:pos="3287" w:val="left" w:leader="none"/>
        </w:tabs>
        <w:spacing w:line="240" w:lineRule="auto" w:before="204" w:after="0"/>
        <w:ind w:left="3287" w:right="0" w:hanging="425"/>
        <w:jc w:val="left"/>
        <w:rPr>
          <w:rFonts w:ascii="Symbol" w:hAnsi="Symbol"/>
          <w:sz w:val="22"/>
        </w:rPr>
      </w:pPr>
      <w:r>
        <w:rPr>
          <w:sz w:val="22"/>
        </w:rPr>
        <w:t>Platelet</w:t>
      </w:r>
      <w:r>
        <w:rPr>
          <w:spacing w:val="-7"/>
          <w:sz w:val="22"/>
        </w:rPr>
        <w:t> </w:t>
      </w:r>
      <w:r>
        <w:rPr>
          <w:sz w:val="22"/>
        </w:rPr>
        <w:t>aggregation</w:t>
      </w:r>
      <w:r>
        <w:rPr>
          <w:spacing w:val="-8"/>
          <w:sz w:val="22"/>
        </w:rPr>
        <w:t> </w:t>
      </w:r>
      <w:r>
        <w:rPr>
          <w:sz w:val="22"/>
        </w:rPr>
        <w:t>inhibitors</w:t>
      </w:r>
      <w:r>
        <w:rPr>
          <w:spacing w:val="-7"/>
          <w:sz w:val="22"/>
        </w:rPr>
        <w:t> </w:t>
      </w:r>
      <w:r>
        <w:rPr>
          <w:sz w:val="22"/>
        </w:rPr>
        <w:t>(aspirin,</w:t>
      </w:r>
      <w:r>
        <w:rPr>
          <w:spacing w:val="-7"/>
          <w:sz w:val="22"/>
        </w:rPr>
        <w:t> </w:t>
      </w:r>
      <w:r>
        <w:rPr>
          <w:sz w:val="22"/>
        </w:rPr>
        <w:t>carbasalate</w:t>
      </w:r>
      <w:r>
        <w:rPr>
          <w:spacing w:val="-6"/>
          <w:sz w:val="22"/>
        </w:rPr>
        <w:t> </w:t>
      </w:r>
      <w:r>
        <w:rPr>
          <w:spacing w:val="-2"/>
          <w:sz w:val="22"/>
        </w:rPr>
        <w:t>calcium)</w:t>
      </w:r>
    </w:p>
    <w:p>
      <w:pPr>
        <w:pStyle w:val="ListParagraph"/>
        <w:numPr>
          <w:ilvl w:val="1"/>
          <w:numId w:val="1"/>
        </w:numPr>
        <w:tabs>
          <w:tab w:pos="3287" w:val="left" w:leader="none"/>
        </w:tabs>
        <w:spacing w:line="278" w:lineRule="auto" w:before="205" w:after="0"/>
        <w:ind w:left="3287" w:right="6777" w:hanging="425"/>
        <w:jc w:val="left"/>
        <w:rPr>
          <w:rFonts w:ascii="Symbol" w:hAnsi="Symbol"/>
          <w:sz w:val="22"/>
        </w:rPr>
      </w:pPr>
      <w:r>
        <w:rPr>
          <w:sz w:val="22"/>
        </w:rPr>
        <w:t>Vitamin</w:t>
      </w:r>
      <w:r>
        <w:rPr>
          <w:spacing w:val="-11"/>
          <w:sz w:val="22"/>
        </w:rPr>
        <w:t> </w:t>
      </w:r>
      <w:r>
        <w:rPr>
          <w:sz w:val="22"/>
        </w:rPr>
        <w:t>K</w:t>
      </w:r>
      <w:r>
        <w:rPr>
          <w:spacing w:val="-8"/>
          <w:sz w:val="22"/>
        </w:rPr>
        <w:t> </w:t>
      </w:r>
      <w:r>
        <w:rPr>
          <w:sz w:val="22"/>
        </w:rPr>
        <w:t>antagonists</w:t>
      </w:r>
      <w:r>
        <w:rPr>
          <w:spacing w:val="-8"/>
          <w:sz w:val="22"/>
        </w:rPr>
        <w:t> </w:t>
      </w:r>
      <w:r>
        <w:rPr>
          <w:sz w:val="22"/>
        </w:rPr>
        <w:t>(warfarin,</w:t>
      </w:r>
      <w:r>
        <w:rPr>
          <w:spacing w:val="-8"/>
          <w:sz w:val="22"/>
        </w:rPr>
        <w:t> </w:t>
      </w:r>
      <w:r>
        <w:rPr>
          <w:sz w:val="22"/>
        </w:rPr>
        <w:t>acenocoumarol, </w:t>
      </w:r>
      <w:r>
        <w:rPr>
          <w:spacing w:val="-2"/>
          <w:sz w:val="22"/>
        </w:rPr>
        <w:t>fenprocoumon)</w:t>
      </w:r>
    </w:p>
    <w:p>
      <w:pPr>
        <w:pStyle w:val="ListParagraph"/>
        <w:numPr>
          <w:ilvl w:val="1"/>
          <w:numId w:val="1"/>
        </w:numPr>
        <w:tabs>
          <w:tab w:pos="3287" w:val="left" w:leader="none"/>
        </w:tabs>
        <w:spacing w:line="278" w:lineRule="auto" w:before="160" w:after="0"/>
        <w:ind w:left="3287" w:right="6269" w:hanging="425"/>
        <w:jc w:val="left"/>
        <w:rPr>
          <w:rFonts w:ascii="Symbol" w:hAnsi="Symbol"/>
          <w:sz w:val="22"/>
        </w:rPr>
      </w:pPr>
      <w:r>
        <w:rPr>
          <w:sz w:val="22"/>
        </w:rPr>
        <w:t>Low</w:t>
      </w:r>
      <w:r>
        <w:rPr>
          <w:spacing w:val="-9"/>
          <w:sz w:val="22"/>
        </w:rPr>
        <w:t> </w:t>
      </w:r>
      <w:r>
        <w:rPr>
          <w:sz w:val="22"/>
        </w:rPr>
        <w:t>molecular</w:t>
      </w:r>
      <w:r>
        <w:rPr>
          <w:spacing w:val="-9"/>
          <w:sz w:val="22"/>
        </w:rPr>
        <w:t> </w:t>
      </w:r>
      <w:r>
        <w:rPr>
          <w:sz w:val="22"/>
        </w:rPr>
        <w:t>weight</w:t>
      </w:r>
      <w:r>
        <w:rPr>
          <w:spacing w:val="-7"/>
          <w:sz w:val="22"/>
        </w:rPr>
        <w:t> </w:t>
      </w:r>
      <w:r>
        <w:rPr>
          <w:sz w:val="22"/>
        </w:rPr>
        <w:t>heparin</w:t>
      </w:r>
      <w:r>
        <w:rPr>
          <w:spacing w:val="-8"/>
          <w:sz w:val="22"/>
        </w:rPr>
        <w:t> </w:t>
      </w:r>
      <w:r>
        <w:rPr>
          <w:sz w:val="22"/>
        </w:rPr>
        <w:t>(nadroparin,</w:t>
      </w:r>
      <w:r>
        <w:rPr>
          <w:spacing w:val="-7"/>
          <w:sz w:val="22"/>
        </w:rPr>
        <w:t> </w:t>
      </w:r>
      <w:r>
        <w:rPr>
          <w:sz w:val="22"/>
        </w:rPr>
        <w:t>tinzaparin, enoxaparin, dalteparin) post-operatively</w:t>
      </w:r>
    </w:p>
    <w:p>
      <w:pPr>
        <w:pStyle w:val="BodyText"/>
        <w:spacing w:before="3"/>
        <w:rPr>
          <w:sz w:val="11"/>
        </w:rPr>
      </w:pPr>
      <w:r>
        <w:rPr>
          <w:sz w:val="11"/>
        </w:rPr>
        <mc:AlternateContent>
          <mc:Choice Requires="wps">
            <w:drawing>
              <wp:anchor distT="0" distB="0" distL="0" distR="0" allowOverlap="1" layoutInCell="1" locked="0" behindDoc="1" simplePos="0" relativeHeight="487591424">
                <wp:simplePos x="0" y="0"/>
                <wp:positionH relativeFrom="page">
                  <wp:posOffset>914400</wp:posOffset>
                </wp:positionH>
                <wp:positionV relativeFrom="paragraph">
                  <wp:posOffset>102931</wp:posOffset>
                </wp:positionV>
                <wp:extent cx="5648960" cy="9525"/>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648960" cy="9525"/>
                        </a:xfrm>
                        <a:custGeom>
                          <a:avLst/>
                          <a:gdLst/>
                          <a:ahLst/>
                          <a:cxnLst/>
                          <a:rect l="l" t="t" r="r" b="b"/>
                          <a:pathLst>
                            <a:path w="5648960" h="9525">
                              <a:moveTo>
                                <a:pt x="5648820" y="0"/>
                              </a:moveTo>
                              <a:lnTo>
                                <a:pt x="1694942" y="0"/>
                              </a:lnTo>
                              <a:lnTo>
                                <a:pt x="1685798" y="0"/>
                              </a:lnTo>
                              <a:lnTo>
                                <a:pt x="0" y="0"/>
                              </a:lnTo>
                              <a:lnTo>
                                <a:pt x="0" y="9144"/>
                              </a:lnTo>
                              <a:lnTo>
                                <a:pt x="1685798" y="9144"/>
                              </a:lnTo>
                              <a:lnTo>
                                <a:pt x="1694942" y="9144"/>
                              </a:lnTo>
                              <a:lnTo>
                                <a:pt x="5648820" y="9144"/>
                              </a:lnTo>
                              <a:lnTo>
                                <a:pt x="5648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8.104834pt;width:444.8pt;height:.75pt;mso-position-horizontal-relative:page;mso-position-vertical-relative:paragraph;z-index:-15725056;mso-wrap-distance-left:0;mso-wrap-distance-right:0" id="docshape8" coordorigin="1440,162" coordsize="8896,15" path="m10336,162l4109,162,4095,162,1440,162,1440,176,4095,176,4109,176,10336,176,10336,162xe" filled="true" fillcolor="#000000" stroked="false">
                <v:path arrowok="t"/>
                <v:fill type="solid"/>
                <w10:wrap type="topAndBottom"/>
              </v:shape>
            </w:pict>
          </mc:Fallback>
        </mc:AlternateContent>
      </w:r>
    </w:p>
    <w:p>
      <w:pPr>
        <w:pStyle w:val="BodyText"/>
        <w:tabs>
          <w:tab w:pos="2783" w:val="left" w:leader="none"/>
        </w:tabs>
        <w:ind w:left="128"/>
      </w:pPr>
      <w:r>
        <w:rPr>
          <w:spacing w:val="-2"/>
        </w:rPr>
        <w:t>Control</w:t>
      </w:r>
      <w:r>
        <w:rPr/>
        <w:tab/>
        <w:t>No </w:t>
      </w:r>
      <w:r>
        <w:rPr>
          <w:spacing w:val="-2"/>
        </w:rPr>
        <w:t>thromboprophylaxis</w:t>
      </w:r>
    </w:p>
    <w:p>
      <w:pPr>
        <w:pStyle w:val="BodyText"/>
        <w:spacing w:before="9"/>
        <w:rPr>
          <w:sz w:val="14"/>
        </w:rPr>
      </w:pPr>
      <w:r>
        <w:rPr>
          <w:sz w:val="14"/>
        </w:rPr>
        <mc:AlternateContent>
          <mc:Choice Requires="wps">
            <w:drawing>
              <wp:anchor distT="0" distB="0" distL="0" distR="0" allowOverlap="1" layoutInCell="1" locked="0" behindDoc="1" simplePos="0" relativeHeight="487591936">
                <wp:simplePos x="0" y="0"/>
                <wp:positionH relativeFrom="page">
                  <wp:posOffset>914400</wp:posOffset>
                </wp:positionH>
                <wp:positionV relativeFrom="paragraph">
                  <wp:posOffset>129708</wp:posOffset>
                </wp:positionV>
                <wp:extent cx="5648960" cy="9525"/>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5648960" cy="9525"/>
                        </a:xfrm>
                        <a:custGeom>
                          <a:avLst/>
                          <a:gdLst/>
                          <a:ahLst/>
                          <a:cxnLst/>
                          <a:rect l="l" t="t" r="r" b="b"/>
                          <a:pathLst>
                            <a:path w="5648960" h="9525">
                              <a:moveTo>
                                <a:pt x="5648820" y="0"/>
                              </a:moveTo>
                              <a:lnTo>
                                <a:pt x="1694942" y="0"/>
                              </a:lnTo>
                              <a:lnTo>
                                <a:pt x="1685798" y="0"/>
                              </a:lnTo>
                              <a:lnTo>
                                <a:pt x="0" y="0"/>
                              </a:lnTo>
                              <a:lnTo>
                                <a:pt x="0" y="9131"/>
                              </a:lnTo>
                              <a:lnTo>
                                <a:pt x="1685798" y="9131"/>
                              </a:lnTo>
                              <a:lnTo>
                                <a:pt x="1694942" y="9131"/>
                              </a:lnTo>
                              <a:lnTo>
                                <a:pt x="5648820" y="9131"/>
                              </a:lnTo>
                              <a:lnTo>
                                <a:pt x="5648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213257pt;width:444.8pt;height:.75pt;mso-position-horizontal-relative:page;mso-position-vertical-relative:paragraph;z-index:-15724544;mso-wrap-distance-left:0;mso-wrap-distance-right:0" id="docshape9" coordorigin="1440,204" coordsize="8896,15" path="m10336,204l4109,204,4095,204,1440,204,1440,219,4095,219,4109,219,10336,219,10336,204xe" filled="true" fillcolor="#000000" stroked="false">
                <v:path arrowok="t"/>
                <v:fill type="solid"/>
                <w10:wrap type="topAndBottom"/>
              </v:shape>
            </w:pict>
          </mc:Fallback>
        </mc:AlternateContent>
      </w:r>
    </w:p>
    <w:p>
      <w:pPr>
        <w:pStyle w:val="BodyText"/>
        <w:tabs>
          <w:tab w:pos="2783" w:val="left" w:leader="none"/>
        </w:tabs>
        <w:spacing w:line="278" w:lineRule="auto"/>
        <w:ind w:left="2783" w:right="5885" w:hanging="2655"/>
        <w:jc w:val="both"/>
      </w:pPr>
      <w:r>
        <w:rPr>
          <w:spacing w:val="-2"/>
        </w:rPr>
        <w:t>Outcomes</w:t>
      </w:r>
      <w:r>
        <w:rPr/>
        <w:tab/>
        <w:t>Shunt</w:t>
      </w:r>
      <w:r>
        <w:rPr>
          <w:spacing w:val="-7"/>
        </w:rPr>
        <w:t> </w:t>
      </w:r>
      <w:r>
        <w:rPr/>
        <w:t>occlusion,</w:t>
      </w:r>
      <w:r>
        <w:rPr>
          <w:spacing w:val="-7"/>
        </w:rPr>
        <w:t> </w:t>
      </w:r>
      <w:r>
        <w:rPr/>
        <w:t>thrombotic</w:t>
      </w:r>
      <w:r>
        <w:rPr>
          <w:spacing w:val="-7"/>
        </w:rPr>
        <w:t> </w:t>
      </w:r>
      <w:r>
        <w:rPr/>
        <w:t>complications</w:t>
      </w:r>
      <w:r>
        <w:rPr>
          <w:spacing w:val="-7"/>
        </w:rPr>
        <w:t> </w:t>
      </w:r>
      <w:r>
        <w:rPr/>
        <w:t>(including</w:t>
      </w:r>
      <w:r>
        <w:rPr>
          <w:spacing w:val="-8"/>
        </w:rPr>
        <w:t> </w:t>
      </w:r>
      <w:r>
        <w:rPr/>
        <w:t>pulmonary embolism),</w:t>
      </w:r>
      <w:r>
        <w:rPr>
          <w:spacing w:val="-1"/>
        </w:rPr>
        <w:t> </w:t>
      </w:r>
      <w:r>
        <w:rPr/>
        <w:t>hemorrhage,</w:t>
      </w:r>
      <w:r>
        <w:rPr>
          <w:spacing w:val="-3"/>
        </w:rPr>
        <w:t> </w:t>
      </w:r>
      <w:r>
        <w:rPr/>
        <w:t>mortality,</w:t>
      </w:r>
      <w:r>
        <w:rPr>
          <w:spacing w:val="-1"/>
        </w:rPr>
        <w:t> </w:t>
      </w:r>
      <w:r>
        <w:rPr/>
        <w:t>quality</w:t>
      </w:r>
      <w:r>
        <w:rPr>
          <w:spacing w:val="-3"/>
        </w:rPr>
        <w:t> </w:t>
      </w:r>
      <w:r>
        <w:rPr/>
        <w:t>of</w:t>
      </w:r>
      <w:r>
        <w:rPr>
          <w:spacing w:val="-1"/>
        </w:rPr>
        <w:t> </w:t>
      </w:r>
      <w:r>
        <w:rPr/>
        <w:t>life</w:t>
      </w:r>
      <w:r>
        <w:rPr>
          <w:spacing w:val="-4"/>
        </w:rPr>
        <w:t> </w:t>
      </w:r>
      <w:r>
        <w:rPr/>
        <w:t>(QOL),</w:t>
      </w:r>
      <w:r>
        <w:rPr>
          <w:spacing w:val="-1"/>
        </w:rPr>
        <w:t> </w:t>
      </w:r>
      <w:r>
        <w:rPr/>
        <w:t>adverse </w:t>
      </w:r>
      <w:r>
        <w:rPr>
          <w:spacing w:val="-2"/>
        </w:rPr>
        <w:t>effects</w:t>
      </w:r>
    </w:p>
    <w:p>
      <w:pPr>
        <w:pStyle w:val="BodyText"/>
        <w:spacing w:before="3"/>
        <w:rPr>
          <w:sz w:val="11"/>
        </w:rPr>
      </w:pPr>
      <w:r>
        <w:rPr>
          <w:sz w:val="11"/>
        </w:rPr>
        <mc:AlternateContent>
          <mc:Choice Requires="wps">
            <w:drawing>
              <wp:anchor distT="0" distB="0" distL="0" distR="0" allowOverlap="1" layoutInCell="1" locked="0" behindDoc="1" simplePos="0" relativeHeight="487592448">
                <wp:simplePos x="0" y="0"/>
                <wp:positionH relativeFrom="page">
                  <wp:posOffset>905256</wp:posOffset>
                </wp:positionH>
                <wp:positionV relativeFrom="paragraph">
                  <wp:posOffset>103015</wp:posOffset>
                </wp:positionV>
                <wp:extent cx="5658485" cy="9525"/>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5658485" cy="9525"/>
                        </a:xfrm>
                        <a:custGeom>
                          <a:avLst/>
                          <a:gdLst/>
                          <a:ahLst/>
                          <a:cxnLst/>
                          <a:rect l="l" t="t" r="r" b="b"/>
                          <a:pathLst>
                            <a:path w="5658485" h="9525">
                              <a:moveTo>
                                <a:pt x="5657964" y="0"/>
                              </a:moveTo>
                              <a:lnTo>
                                <a:pt x="1694942" y="0"/>
                              </a:lnTo>
                              <a:lnTo>
                                <a:pt x="1685798" y="0"/>
                              </a:lnTo>
                              <a:lnTo>
                                <a:pt x="0" y="0"/>
                              </a:lnTo>
                              <a:lnTo>
                                <a:pt x="0" y="9144"/>
                              </a:lnTo>
                              <a:lnTo>
                                <a:pt x="1685798" y="9144"/>
                              </a:lnTo>
                              <a:lnTo>
                                <a:pt x="1694942" y="9144"/>
                              </a:lnTo>
                              <a:lnTo>
                                <a:pt x="5657964" y="9144"/>
                              </a:lnTo>
                              <a:lnTo>
                                <a:pt x="5657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1.280006pt;margin-top:8.111478pt;width:445.55pt;height:.75pt;mso-position-horizontal-relative:page;mso-position-vertical-relative:paragraph;z-index:-15724032;mso-wrap-distance-left:0;mso-wrap-distance-right:0" id="docshape10" coordorigin="1426,162" coordsize="8911,15" path="m10336,162l4095,162,4080,162,1426,162,1426,177,4080,177,4095,177,10336,177,10336,162xe" filled="true" fillcolor="#000000" stroked="false">
                <v:path arrowok="t"/>
                <v:fill type="solid"/>
                <w10:wrap type="topAndBottom"/>
              </v:shape>
            </w:pict>
          </mc:Fallback>
        </mc:AlternateContent>
      </w:r>
    </w:p>
    <w:p>
      <w:pPr>
        <w:pStyle w:val="BodyText"/>
        <w:spacing w:before="201"/>
      </w:pPr>
    </w:p>
    <w:p>
      <w:pPr>
        <w:pStyle w:val="BodyText"/>
        <w:ind w:left="23"/>
      </w:pPr>
      <w:r>
        <w:rPr>
          <w:u w:val="single"/>
        </w:rPr>
        <w:t>Relevant</w:t>
      </w:r>
      <w:r>
        <w:rPr>
          <w:spacing w:val="-6"/>
          <w:u w:val="single"/>
        </w:rPr>
        <w:t> </w:t>
      </w:r>
      <w:r>
        <w:rPr>
          <w:u w:val="single"/>
        </w:rPr>
        <w:t>outcome</w:t>
      </w:r>
      <w:r>
        <w:rPr>
          <w:spacing w:val="-5"/>
          <w:u w:val="single"/>
        </w:rPr>
        <w:t> </w:t>
      </w:r>
      <w:r>
        <w:rPr>
          <w:spacing w:val="-2"/>
          <w:u w:val="single"/>
        </w:rPr>
        <w:t>measures</w:t>
      </w:r>
    </w:p>
    <w:p>
      <w:pPr>
        <w:pStyle w:val="BodyText"/>
        <w:spacing w:after="0"/>
        <w:sectPr>
          <w:pgSz w:w="16840" w:h="11910" w:orient="landscape"/>
          <w:pgMar w:top="1340" w:bottom="280" w:left="1417" w:right="992"/>
        </w:sectPr>
      </w:pPr>
    </w:p>
    <w:p>
      <w:pPr>
        <w:pStyle w:val="BodyText"/>
        <w:spacing w:line="276" w:lineRule="auto" w:before="93"/>
        <w:ind w:left="23" w:right="466"/>
      </w:pPr>
      <w:r>
        <w:rPr/>
        <w:t>The</w:t>
      </w:r>
      <w:r>
        <w:rPr>
          <w:spacing w:val="-1"/>
        </w:rPr>
        <w:t> </w:t>
      </w:r>
      <w:r>
        <w:rPr/>
        <w:t>guideline</w:t>
      </w:r>
      <w:r>
        <w:rPr>
          <w:spacing w:val="-1"/>
        </w:rPr>
        <w:t> </w:t>
      </w:r>
      <w:r>
        <w:rPr/>
        <w:t>panel</w:t>
      </w:r>
      <w:r>
        <w:rPr>
          <w:spacing w:val="-3"/>
        </w:rPr>
        <w:t> </w:t>
      </w:r>
      <w:r>
        <w:rPr/>
        <w:t>considered</w:t>
      </w:r>
      <w:r>
        <w:rPr>
          <w:spacing w:val="-1"/>
        </w:rPr>
        <w:t> </w:t>
      </w:r>
      <w:r>
        <w:rPr/>
        <w:t>thrombotic</w:t>
      </w:r>
      <w:r>
        <w:rPr>
          <w:spacing w:val="-4"/>
        </w:rPr>
        <w:t> </w:t>
      </w:r>
      <w:r>
        <w:rPr/>
        <w:t>complications</w:t>
      </w:r>
      <w:r>
        <w:rPr>
          <w:spacing w:val="-1"/>
        </w:rPr>
        <w:t> </w:t>
      </w:r>
      <w:r>
        <w:rPr/>
        <w:t>(including</w:t>
      </w:r>
      <w:r>
        <w:rPr>
          <w:spacing w:val="-2"/>
        </w:rPr>
        <w:t> </w:t>
      </w:r>
      <w:r>
        <w:rPr/>
        <w:t>pulmonary</w:t>
      </w:r>
      <w:r>
        <w:rPr>
          <w:spacing w:val="-3"/>
        </w:rPr>
        <w:t> </w:t>
      </w:r>
      <w:r>
        <w:rPr/>
        <w:t>embolism)</w:t>
      </w:r>
      <w:r>
        <w:rPr>
          <w:spacing w:val="-4"/>
        </w:rPr>
        <w:t> </w:t>
      </w:r>
      <w:r>
        <w:rPr/>
        <w:t>as a</w:t>
      </w:r>
      <w:r>
        <w:rPr>
          <w:spacing w:val="-3"/>
        </w:rPr>
        <w:t> </w:t>
      </w:r>
      <w:r>
        <w:rPr/>
        <w:t>critical</w:t>
      </w:r>
      <w:r>
        <w:rPr>
          <w:spacing w:val="-4"/>
        </w:rPr>
        <w:t> </w:t>
      </w:r>
      <w:r>
        <w:rPr/>
        <w:t>outcome</w:t>
      </w:r>
      <w:r>
        <w:rPr>
          <w:spacing w:val="-3"/>
        </w:rPr>
        <w:t> </w:t>
      </w:r>
      <w:r>
        <w:rPr/>
        <w:t>measure</w:t>
      </w:r>
      <w:r>
        <w:rPr>
          <w:spacing w:val="-1"/>
        </w:rPr>
        <w:t> </w:t>
      </w:r>
      <w:r>
        <w:rPr/>
        <w:t>for</w:t>
      </w:r>
      <w:r>
        <w:rPr>
          <w:spacing w:val="-1"/>
        </w:rPr>
        <w:t> </w:t>
      </w:r>
      <w:r>
        <w:rPr/>
        <w:t>decision</w:t>
      </w:r>
      <w:r>
        <w:rPr>
          <w:spacing w:val="-2"/>
        </w:rPr>
        <w:t> </w:t>
      </w:r>
      <w:r>
        <w:rPr/>
        <w:t>making;</w:t>
      </w:r>
      <w:r>
        <w:rPr>
          <w:spacing w:val="-1"/>
        </w:rPr>
        <w:t> </w:t>
      </w:r>
      <w:r>
        <w:rPr/>
        <w:t>and</w:t>
      </w:r>
      <w:r>
        <w:rPr>
          <w:spacing w:val="-3"/>
        </w:rPr>
        <w:t> </w:t>
      </w:r>
      <w:r>
        <w:rPr/>
        <w:t>the</w:t>
      </w:r>
      <w:r>
        <w:rPr>
          <w:spacing w:val="-3"/>
        </w:rPr>
        <w:t> </w:t>
      </w:r>
      <w:r>
        <w:rPr/>
        <w:t>other outcomes (shunt occlusion,</w:t>
      </w:r>
      <w:r>
        <w:rPr>
          <w:spacing w:val="-3"/>
        </w:rPr>
        <w:t> </w:t>
      </w:r>
      <w:r>
        <w:rPr/>
        <w:t>hemorrhage,</w:t>
      </w:r>
      <w:r>
        <w:rPr>
          <w:spacing w:val="-2"/>
        </w:rPr>
        <w:t> </w:t>
      </w:r>
      <w:r>
        <w:rPr/>
        <w:t>mortality,</w:t>
      </w:r>
      <w:r>
        <w:rPr>
          <w:spacing w:val="-3"/>
        </w:rPr>
        <w:t> </w:t>
      </w:r>
      <w:r>
        <w:rPr/>
        <w:t>QOL, adverse effects) as important</w:t>
      </w:r>
      <w:r>
        <w:rPr>
          <w:spacing w:val="-2"/>
        </w:rPr>
        <w:t> </w:t>
      </w:r>
      <w:r>
        <w:rPr/>
        <w:t>outcome</w:t>
      </w:r>
      <w:r>
        <w:rPr>
          <w:spacing w:val="-2"/>
        </w:rPr>
        <w:t> </w:t>
      </w:r>
      <w:r>
        <w:rPr/>
        <w:t>measures</w:t>
      </w:r>
      <w:r>
        <w:rPr>
          <w:spacing w:val="-3"/>
        </w:rPr>
        <w:t> </w:t>
      </w:r>
      <w:r>
        <w:rPr/>
        <w:t>for decision</w:t>
      </w:r>
      <w:r>
        <w:rPr>
          <w:spacing w:val="-3"/>
        </w:rPr>
        <w:t> </w:t>
      </w:r>
      <w:r>
        <w:rPr/>
        <w:t>making. A priori, the guideline panel did not define the outcome measures listed above but used the definitions used in the studies. The guideline panel defined a difference of 25% (0.8 ≥ RR ≥ 1.25) as minimal clinically (patient) important difference.</w:t>
      </w:r>
    </w:p>
    <w:p>
      <w:pPr>
        <w:pStyle w:val="BodyText"/>
        <w:spacing w:before="39"/>
      </w:pPr>
    </w:p>
    <w:p>
      <w:pPr>
        <w:pStyle w:val="BodyText"/>
        <w:ind w:left="23"/>
      </w:pPr>
      <w:r>
        <w:rPr>
          <w:u w:val="single"/>
        </w:rPr>
        <w:t>Search</w:t>
      </w:r>
      <w:r>
        <w:rPr>
          <w:spacing w:val="-6"/>
          <w:u w:val="single"/>
        </w:rPr>
        <w:t> </w:t>
      </w:r>
      <w:r>
        <w:rPr>
          <w:u w:val="single"/>
        </w:rPr>
        <w:t>and</w:t>
      </w:r>
      <w:r>
        <w:rPr>
          <w:spacing w:val="-5"/>
          <w:u w:val="single"/>
        </w:rPr>
        <w:t> </w:t>
      </w:r>
      <w:r>
        <w:rPr>
          <w:spacing w:val="-2"/>
          <w:u w:val="single"/>
        </w:rPr>
        <w:t>selection</w:t>
      </w:r>
    </w:p>
    <w:p>
      <w:pPr>
        <w:pStyle w:val="BodyText"/>
        <w:spacing w:line="276" w:lineRule="auto" w:before="41"/>
        <w:ind w:left="23" w:right="466"/>
      </w:pPr>
      <w:r>
        <w:rPr/>
        <w:t>The systematic literature search resulted in 388 hits. Two studies were initially selected based on title and abstract screening. After reading the full text, both studies</w:t>
      </w:r>
      <w:r>
        <w:rPr>
          <w:spacing w:val="-3"/>
        </w:rPr>
        <w:t> </w:t>
      </w:r>
      <w:r>
        <w:rPr/>
        <w:t>were</w:t>
      </w:r>
      <w:r>
        <w:rPr>
          <w:spacing w:val="-2"/>
        </w:rPr>
        <w:t> </w:t>
      </w:r>
      <w:r>
        <w:rPr/>
        <w:t>excluded</w:t>
      </w:r>
      <w:r>
        <w:rPr>
          <w:spacing w:val="-1"/>
        </w:rPr>
        <w:t> </w:t>
      </w:r>
      <w:r>
        <w:rPr/>
        <w:t>(table</w:t>
      </w:r>
      <w:r>
        <w:rPr>
          <w:spacing w:val="-2"/>
        </w:rPr>
        <w:t> </w:t>
      </w:r>
      <w:r>
        <w:rPr/>
        <w:t>2.1). In</w:t>
      </w:r>
      <w:r>
        <w:rPr>
          <w:spacing w:val="-4"/>
        </w:rPr>
        <w:t> </w:t>
      </w:r>
      <w:r>
        <w:rPr/>
        <w:t>addition</w:t>
      </w:r>
      <w:r>
        <w:rPr>
          <w:spacing w:val="-1"/>
        </w:rPr>
        <w:t> </w:t>
      </w:r>
      <w:r>
        <w:rPr/>
        <w:t>to</w:t>
      </w:r>
      <w:r>
        <w:rPr>
          <w:spacing w:val="-1"/>
        </w:rPr>
        <w:t> </w:t>
      </w:r>
      <w:r>
        <w:rPr/>
        <w:t>the systematic literature</w:t>
      </w:r>
      <w:r>
        <w:rPr>
          <w:spacing w:val="-2"/>
        </w:rPr>
        <w:t> </w:t>
      </w:r>
      <w:r>
        <w:rPr/>
        <w:t>search, we</w:t>
      </w:r>
      <w:r>
        <w:rPr>
          <w:spacing w:val="-2"/>
        </w:rPr>
        <w:t> </w:t>
      </w:r>
      <w:r>
        <w:rPr/>
        <w:t>also screened</w:t>
      </w:r>
      <w:r>
        <w:rPr>
          <w:spacing w:val="-3"/>
        </w:rPr>
        <w:t> </w:t>
      </w:r>
      <w:r>
        <w:rPr/>
        <w:t>the</w:t>
      </w:r>
      <w:r>
        <w:rPr>
          <w:spacing w:val="-2"/>
        </w:rPr>
        <w:t> </w:t>
      </w:r>
      <w:r>
        <w:rPr/>
        <w:t>title and</w:t>
      </w:r>
      <w:r>
        <w:rPr>
          <w:spacing w:val="-1"/>
        </w:rPr>
        <w:t> </w:t>
      </w:r>
      <w:r>
        <w:rPr/>
        <w:t>abstract</w:t>
      </w:r>
      <w:r>
        <w:rPr>
          <w:spacing w:val="-2"/>
        </w:rPr>
        <w:t> </w:t>
      </w:r>
      <w:r>
        <w:rPr/>
        <w:t>of</w:t>
      </w:r>
      <w:r>
        <w:rPr>
          <w:spacing w:val="-2"/>
        </w:rPr>
        <w:t> </w:t>
      </w:r>
      <w:r>
        <w:rPr/>
        <w:t>two additional studies</w:t>
      </w:r>
      <w:r>
        <w:rPr>
          <w:spacing w:val="-3"/>
        </w:rPr>
        <w:t> </w:t>
      </w:r>
      <w:r>
        <w:rPr/>
        <w:t>that were</w:t>
      </w:r>
      <w:r>
        <w:rPr>
          <w:spacing w:val="-3"/>
        </w:rPr>
        <w:t> </w:t>
      </w:r>
      <w:r>
        <w:rPr/>
        <w:t>included</w:t>
      </w:r>
      <w:r>
        <w:rPr>
          <w:spacing w:val="-1"/>
        </w:rPr>
        <w:t> </w:t>
      </w:r>
      <w:r>
        <w:rPr/>
        <w:t>in</w:t>
      </w:r>
      <w:r>
        <w:rPr>
          <w:spacing w:val="-2"/>
        </w:rPr>
        <w:t> </w:t>
      </w:r>
      <w:r>
        <w:rPr/>
        <w:t>the</w:t>
      </w:r>
      <w:r>
        <w:rPr>
          <w:spacing w:val="-3"/>
        </w:rPr>
        <w:t> </w:t>
      </w:r>
      <w:r>
        <w:rPr/>
        <w:t>conclusions</w:t>
      </w:r>
      <w:r>
        <w:rPr>
          <w:spacing w:val="-3"/>
        </w:rPr>
        <w:t> </w:t>
      </w:r>
      <w:r>
        <w:rPr/>
        <w:t>of</w:t>
      </w:r>
      <w:r>
        <w:rPr>
          <w:spacing w:val="-1"/>
        </w:rPr>
        <w:t> </w:t>
      </w:r>
      <w:r>
        <w:rPr/>
        <w:t>the</w:t>
      </w:r>
      <w:r>
        <w:rPr>
          <w:spacing w:val="-3"/>
        </w:rPr>
        <w:t> </w:t>
      </w:r>
      <w:r>
        <w:rPr/>
        <w:t>module</w:t>
      </w:r>
      <w:r>
        <w:rPr>
          <w:spacing w:val="-3"/>
        </w:rPr>
        <w:t> </w:t>
      </w:r>
      <w:r>
        <w:rPr/>
        <w:t>on</w:t>
      </w:r>
      <w:r>
        <w:rPr>
          <w:spacing w:val="-2"/>
        </w:rPr>
        <w:t> </w:t>
      </w:r>
      <w:r>
        <w:rPr/>
        <w:t>Glenn</w:t>
      </w:r>
      <w:r>
        <w:rPr>
          <w:spacing w:val="-3"/>
        </w:rPr>
        <w:t> </w:t>
      </w:r>
      <w:r>
        <w:rPr/>
        <w:t>shunt</w:t>
      </w:r>
      <w:r>
        <w:rPr>
          <w:spacing w:val="-1"/>
        </w:rPr>
        <w:t> </w:t>
      </w:r>
      <w:r>
        <w:rPr/>
        <w:t>in</w:t>
      </w:r>
      <w:r>
        <w:rPr>
          <w:spacing w:val="-3"/>
        </w:rPr>
        <w:t> </w:t>
      </w:r>
      <w:r>
        <w:rPr/>
        <w:t>the</w:t>
      </w:r>
      <w:r>
        <w:rPr>
          <w:spacing w:val="-1"/>
        </w:rPr>
        <w:t> </w:t>
      </w:r>
      <w:r>
        <w:rPr/>
        <w:t>former</w:t>
      </w:r>
      <w:r>
        <w:rPr>
          <w:spacing w:val="-3"/>
        </w:rPr>
        <w:t> </w:t>
      </w:r>
      <w:r>
        <w:rPr/>
        <w:t>Dutch</w:t>
      </w:r>
      <w:r>
        <w:rPr>
          <w:spacing w:val="-1"/>
        </w:rPr>
        <w:t> </w:t>
      </w:r>
      <w:r>
        <w:rPr/>
        <w:t>guideline).</w:t>
      </w:r>
      <w:r>
        <w:rPr>
          <w:spacing w:val="-1"/>
        </w:rPr>
        <w:t> </w:t>
      </w:r>
      <w:r>
        <w:rPr/>
        <w:t>One</w:t>
      </w:r>
      <w:r>
        <w:rPr>
          <w:spacing w:val="-1"/>
        </w:rPr>
        <w:t> </w:t>
      </w:r>
      <w:r>
        <w:rPr/>
        <w:t>study</w:t>
      </w:r>
      <w:r>
        <w:rPr>
          <w:spacing w:val="-3"/>
        </w:rPr>
        <w:t> </w:t>
      </w:r>
      <w:r>
        <w:rPr/>
        <w:t>(Iyer,</w:t>
      </w:r>
      <w:r>
        <w:rPr>
          <w:spacing w:val="-3"/>
        </w:rPr>
        <w:t> </w:t>
      </w:r>
      <w:r>
        <w:rPr/>
        <w:t>2000)</w:t>
      </w:r>
      <w:r>
        <w:rPr>
          <w:spacing w:val="-1"/>
        </w:rPr>
        <w:t> </w:t>
      </w:r>
      <w:r>
        <w:rPr/>
        <w:t>did</w:t>
      </w:r>
      <w:r>
        <w:rPr>
          <w:spacing w:val="-3"/>
        </w:rPr>
        <w:t> </w:t>
      </w:r>
      <w:r>
        <w:rPr/>
        <w:t>not fit</w:t>
      </w:r>
      <w:r>
        <w:rPr>
          <w:spacing w:val="-3"/>
        </w:rPr>
        <w:t> </w:t>
      </w:r>
      <w:r>
        <w:rPr/>
        <w:t>the</w:t>
      </w:r>
      <w:r>
        <w:rPr>
          <w:spacing w:val="-3"/>
        </w:rPr>
        <w:t> </w:t>
      </w:r>
      <w:r>
        <w:rPr/>
        <w:t>PICO.</w:t>
      </w:r>
      <w:r>
        <w:rPr>
          <w:spacing w:val="-1"/>
        </w:rPr>
        <w:t> </w:t>
      </w:r>
      <w:r>
        <w:rPr/>
        <w:t>After</w:t>
      </w:r>
      <w:r>
        <w:rPr>
          <w:spacing w:val="-3"/>
        </w:rPr>
        <w:t> </w:t>
      </w:r>
      <w:r>
        <w:rPr/>
        <w:t>reading</w:t>
      </w:r>
      <w:r>
        <w:rPr>
          <w:spacing w:val="-2"/>
        </w:rPr>
        <w:t> </w:t>
      </w:r>
      <w:r>
        <w:rPr/>
        <w:t>the full text, one study (Manlhiot, 2012) was included in this summary of literature.</w:t>
      </w:r>
    </w:p>
    <w:p>
      <w:pPr>
        <w:pStyle w:val="BodyText"/>
        <w:spacing w:before="160"/>
        <w:ind w:left="23"/>
      </w:pPr>
      <w:r>
        <w:rPr>
          <w:u w:val="single"/>
        </w:rPr>
        <w:t>Summary</w:t>
      </w:r>
      <w:r>
        <w:rPr>
          <w:spacing w:val="-5"/>
          <w:u w:val="single"/>
        </w:rPr>
        <w:t> </w:t>
      </w:r>
      <w:r>
        <w:rPr>
          <w:u w:val="single"/>
        </w:rPr>
        <w:t>of</w:t>
      </w:r>
      <w:r>
        <w:rPr>
          <w:spacing w:val="-2"/>
          <w:u w:val="single"/>
        </w:rPr>
        <w:t> literature</w:t>
      </w:r>
    </w:p>
    <w:p>
      <w:pPr>
        <w:spacing w:before="41"/>
        <w:ind w:left="23" w:right="0" w:firstLine="0"/>
        <w:jc w:val="left"/>
        <w:rPr>
          <w:i/>
          <w:sz w:val="22"/>
        </w:rPr>
      </w:pPr>
      <w:r>
        <w:rPr>
          <w:i/>
          <w:sz w:val="22"/>
        </w:rPr>
        <w:t>Description</w:t>
      </w:r>
      <w:r>
        <w:rPr>
          <w:i/>
          <w:spacing w:val="-6"/>
          <w:sz w:val="22"/>
        </w:rPr>
        <w:t> </w:t>
      </w:r>
      <w:r>
        <w:rPr>
          <w:i/>
          <w:sz w:val="22"/>
        </w:rPr>
        <w:t>of</w:t>
      </w:r>
      <w:r>
        <w:rPr>
          <w:i/>
          <w:spacing w:val="-5"/>
          <w:sz w:val="22"/>
        </w:rPr>
        <w:t> </w:t>
      </w:r>
      <w:r>
        <w:rPr>
          <w:i/>
          <w:spacing w:val="-2"/>
          <w:sz w:val="22"/>
        </w:rPr>
        <w:t>studies</w:t>
      </w:r>
    </w:p>
    <w:p>
      <w:pPr>
        <w:pStyle w:val="BodyText"/>
        <w:spacing w:before="41"/>
        <w:ind w:left="23"/>
      </w:pPr>
      <w:r>
        <w:rPr/>
        <w:t>One</w:t>
      </w:r>
      <w:r>
        <w:rPr>
          <w:spacing w:val="-5"/>
        </w:rPr>
        <w:t> </w:t>
      </w:r>
      <w:r>
        <w:rPr/>
        <w:t>study</w:t>
      </w:r>
      <w:r>
        <w:rPr>
          <w:spacing w:val="-5"/>
        </w:rPr>
        <w:t> </w:t>
      </w:r>
      <w:r>
        <w:rPr/>
        <w:t>was</w:t>
      </w:r>
      <w:r>
        <w:rPr>
          <w:spacing w:val="-6"/>
        </w:rPr>
        <w:t> </w:t>
      </w:r>
      <w:r>
        <w:rPr/>
        <w:t>included</w:t>
      </w:r>
      <w:r>
        <w:rPr>
          <w:spacing w:val="-3"/>
        </w:rPr>
        <w:t> </w:t>
      </w:r>
      <w:r>
        <w:rPr/>
        <w:t>in</w:t>
      </w:r>
      <w:r>
        <w:rPr>
          <w:spacing w:val="-6"/>
        </w:rPr>
        <w:t> </w:t>
      </w:r>
      <w:r>
        <w:rPr/>
        <w:t>the</w:t>
      </w:r>
      <w:r>
        <w:rPr>
          <w:spacing w:val="-3"/>
        </w:rPr>
        <w:t> </w:t>
      </w:r>
      <w:r>
        <w:rPr/>
        <w:t>analysis</w:t>
      </w:r>
      <w:r>
        <w:rPr>
          <w:spacing w:val="-3"/>
        </w:rPr>
        <w:t> </w:t>
      </w:r>
      <w:r>
        <w:rPr/>
        <w:t>of</w:t>
      </w:r>
      <w:r>
        <w:rPr>
          <w:spacing w:val="-6"/>
        </w:rPr>
        <w:t> </w:t>
      </w:r>
      <w:r>
        <w:rPr/>
        <w:t>the</w:t>
      </w:r>
      <w:r>
        <w:rPr>
          <w:spacing w:val="-4"/>
        </w:rPr>
        <w:t> </w:t>
      </w:r>
      <w:r>
        <w:rPr/>
        <w:t>literature.</w:t>
      </w:r>
      <w:r>
        <w:rPr>
          <w:spacing w:val="-3"/>
        </w:rPr>
        <w:t> </w:t>
      </w:r>
      <w:r>
        <w:rPr/>
        <w:t>Important</w:t>
      </w:r>
      <w:r>
        <w:rPr>
          <w:spacing w:val="-5"/>
        </w:rPr>
        <w:t> </w:t>
      </w:r>
      <w:r>
        <w:rPr/>
        <w:t>study</w:t>
      </w:r>
      <w:r>
        <w:rPr>
          <w:spacing w:val="-5"/>
        </w:rPr>
        <w:t> </w:t>
      </w:r>
      <w:r>
        <w:rPr/>
        <w:t>characteristics</w:t>
      </w:r>
      <w:r>
        <w:rPr>
          <w:spacing w:val="-5"/>
        </w:rPr>
        <w:t> </w:t>
      </w:r>
      <w:r>
        <w:rPr/>
        <w:t>and</w:t>
      </w:r>
      <w:r>
        <w:rPr>
          <w:spacing w:val="-4"/>
        </w:rPr>
        <w:t> </w:t>
      </w:r>
      <w:r>
        <w:rPr/>
        <w:t>results</w:t>
      </w:r>
      <w:r>
        <w:rPr>
          <w:spacing w:val="-5"/>
        </w:rPr>
        <w:t> </w:t>
      </w:r>
      <w:r>
        <w:rPr/>
        <w:t>are</w:t>
      </w:r>
      <w:r>
        <w:rPr>
          <w:spacing w:val="-2"/>
        </w:rPr>
        <w:t> </w:t>
      </w:r>
      <w:r>
        <w:rPr/>
        <w:t>summarized</w:t>
      </w:r>
      <w:r>
        <w:rPr>
          <w:spacing w:val="-3"/>
        </w:rPr>
        <w:t> </w:t>
      </w:r>
      <w:r>
        <w:rPr/>
        <w:t>in</w:t>
      </w:r>
      <w:r>
        <w:rPr>
          <w:spacing w:val="-5"/>
        </w:rPr>
        <w:t> </w:t>
      </w:r>
      <w:r>
        <w:rPr/>
        <w:t>table </w:t>
      </w:r>
      <w:r>
        <w:rPr>
          <w:spacing w:val="-4"/>
        </w:rPr>
        <w:t>2.2.</w:t>
      </w:r>
    </w:p>
    <w:p>
      <w:pPr>
        <w:pStyle w:val="BodyText"/>
        <w:spacing w:line="278" w:lineRule="auto" w:before="204"/>
        <w:ind w:left="23" w:right="466"/>
      </w:pPr>
      <w:r>
        <w:rPr/>
        <w:t>Manlhiot (2012) conducted a cross-sectional study including patients (n=139) born between 2003 and 2008, who underwent superior cavopulmonary connection</w:t>
      </w:r>
      <w:r>
        <w:rPr>
          <w:spacing w:val="-2"/>
        </w:rPr>
        <w:t> </w:t>
      </w:r>
      <w:r>
        <w:rPr/>
        <w:t>(SCPC)</w:t>
      </w:r>
      <w:r>
        <w:rPr>
          <w:spacing w:val="-4"/>
        </w:rPr>
        <w:t> </w:t>
      </w:r>
      <w:r>
        <w:rPr/>
        <w:t>or</w:t>
      </w:r>
      <w:r>
        <w:rPr>
          <w:spacing w:val="-4"/>
        </w:rPr>
        <w:t> </w:t>
      </w:r>
      <w:r>
        <w:rPr/>
        <w:t>bidirectional</w:t>
      </w:r>
      <w:r>
        <w:rPr>
          <w:spacing w:val="-1"/>
        </w:rPr>
        <w:t> </w:t>
      </w:r>
      <w:r>
        <w:rPr/>
        <w:t>Glenn</w:t>
      </w:r>
      <w:r>
        <w:rPr>
          <w:spacing w:val="-3"/>
        </w:rPr>
        <w:t> </w:t>
      </w:r>
      <w:r>
        <w:rPr/>
        <w:t>shunt</w:t>
      </w:r>
      <w:r>
        <w:rPr>
          <w:spacing w:val="-1"/>
        </w:rPr>
        <w:t> </w:t>
      </w:r>
      <w:r>
        <w:rPr/>
        <w:t>surgery.</w:t>
      </w:r>
      <w:r>
        <w:rPr>
          <w:spacing w:val="-1"/>
        </w:rPr>
        <w:t> </w:t>
      </w:r>
      <w:r>
        <w:rPr/>
        <w:t>No further</w:t>
      </w:r>
      <w:r>
        <w:rPr>
          <w:spacing w:val="-1"/>
        </w:rPr>
        <w:t> </w:t>
      </w:r>
      <w:r>
        <w:rPr/>
        <w:t>inclusion</w:t>
      </w:r>
      <w:r>
        <w:rPr>
          <w:spacing w:val="-2"/>
        </w:rPr>
        <w:t> </w:t>
      </w:r>
      <w:r>
        <w:rPr/>
        <w:t>and</w:t>
      </w:r>
      <w:r>
        <w:rPr>
          <w:spacing w:val="-5"/>
        </w:rPr>
        <w:t> </w:t>
      </w:r>
      <w:r>
        <w:rPr/>
        <w:t>exclusion</w:t>
      </w:r>
      <w:r>
        <w:rPr>
          <w:spacing w:val="-5"/>
        </w:rPr>
        <w:t> </w:t>
      </w:r>
      <w:r>
        <w:rPr/>
        <w:t>criteria</w:t>
      </w:r>
      <w:r>
        <w:rPr>
          <w:spacing w:val="-1"/>
        </w:rPr>
        <w:t> </w:t>
      </w:r>
      <w:r>
        <w:rPr/>
        <w:t>were defined. The</w:t>
      </w:r>
      <w:r>
        <w:rPr>
          <w:spacing w:val="-1"/>
        </w:rPr>
        <w:t> </w:t>
      </w:r>
      <w:r>
        <w:rPr/>
        <w:t>use</w:t>
      </w:r>
      <w:r>
        <w:rPr>
          <w:spacing w:val="-3"/>
        </w:rPr>
        <w:t> </w:t>
      </w:r>
      <w:r>
        <w:rPr/>
        <w:t>of</w:t>
      </w:r>
      <w:r>
        <w:rPr>
          <w:spacing w:val="-4"/>
        </w:rPr>
        <w:t> </w:t>
      </w:r>
      <w:r>
        <w:rPr/>
        <w:t>thromboprophylaxis</w:t>
      </w:r>
      <w:r>
        <w:rPr>
          <w:spacing w:val="-4"/>
        </w:rPr>
        <w:t> </w:t>
      </w:r>
      <w:r>
        <w:rPr/>
        <w:t>(aspirin, aspirin + enoxaparin, enoxaparin only, or warfarin ± enoxaparin lead-in only) was compared with no thromboprophylaxis.</w:t>
      </w:r>
    </w:p>
    <w:p>
      <w:pPr>
        <w:spacing w:before="163"/>
        <w:ind w:left="23" w:right="0" w:firstLine="0"/>
        <w:jc w:val="left"/>
        <w:rPr>
          <w:i/>
          <w:sz w:val="22"/>
        </w:rPr>
      </w:pPr>
      <w:r>
        <w:rPr>
          <w:i/>
          <w:spacing w:val="-2"/>
          <w:sz w:val="22"/>
        </w:rPr>
        <w:t>Results</w:t>
      </w:r>
    </w:p>
    <w:p>
      <w:pPr>
        <w:pStyle w:val="BodyText"/>
        <w:spacing w:line="278" w:lineRule="auto" w:before="202"/>
        <w:ind w:left="23" w:right="466"/>
      </w:pPr>
      <w:r>
        <w:rPr/>
        <w:t>Manlhiot (2012) reported that thromboprophylaxis was associated with a lower</w:t>
      </w:r>
      <w:r>
        <w:rPr>
          <w:spacing w:val="-3"/>
        </w:rPr>
        <w:t> </w:t>
      </w:r>
      <w:r>
        <w:rPr/>
        <w:t>hazard of thrombotic complications 3.5 years after surgery: HR = 0.2 (95% CI:</w:t>
      </w:r>
      <w:r>
        <w:rPr>
          <w:spacing w:val="-1"/>
        </w:rPr>
        <w:t> </w:t>
      </w:r>
      <w:r>
        <w:rPr/>
        <w:t>0.1</w:t>
      </w:r>
      <w:r>
        <w:rPr>
          <w:spacing w:val="-1"/>
        </w:rPr>
        <w:t> </w:t>
      </w:r>
      <w:r>
        <w:rPr/>
        <w:t>to</w:t>
      </w:r>
      <w:r>
        <w:rPr>
          <w:spacing w:val="-2"/>
        </w:rPr>
        <w:t> </w:t>
      </w:r>
      <w:r>
        <w:rPr/>
        <w:t>0.9),</w:t>
      </w:r>
      <w:r>
        <w:rPr>
          <w:spacing w:val="-4"/>
        </w:rPr>
        <w:t> </w:t>
      </w:r>
      <w:r>
        <w:rPr/>
        <w:t>adjusted</w:t>
      </w:r>
      <w:r>
        <w:rPr>
          <w:spacing w:val="-4"/>
        </w:rPr>
        <w:t> </w:t>
      </w:r>
      <w:r>
        <w:rPr/>
        <w:t>for</w:t>
      </w:r>
      <w:r>
        <w:rPr>
          <w:spacing w:val="-3"/>
        </w:rPr>
        <w:t> </w:t>
      </w:r>
      <w:r>
        <w:rPr/>
        <w:t>age</w:t>
      </w:r>
      <w:r>
        <w:rPr>
          <w:spacing w:val="-1"/>
        </w:rPr>
        <w:t> </w:t>
      </w:r>
      <w:r>
        <w:rPr/>
        <w:t>at</w:t>
      </w:r>
      <w:r>
        <w:rPr>
          <w:spacing w:val="-1"/>
        </w:rPr>
        <w:t> </w:t>
      </w:r>
      <w:r>
        <w:rPr/>
        <w:t>surgery,</w:t>
      </w:r>
      <w:r>
        <w:rPr>
          <w:spacing w:val="-3"/>
        </w:rPr>
        <w:t> </w:t>
      </w:r>
      <w:r>
        <w:rPr/>
        <w:t>year</w:t>
      </w:r>
      <w:r>
        <w:rPr>
          <w:spacing w:val="-4"/>
        </w:rPr>
        <w:t> </w:t>
      </w:r>
      <w:r>
        <w:rPr/>
        <w:t>of</w:t>
      </w:r>
      <w:r>
        <w:rPr>
          <w:spacing w:val="-4"/>
        </w:rPr>
        <w:t> </w:t>
      </w:r>
      <w:r>
        <w:rPr/>
        <w:t>surgery,</w:t>
      </w:r>
      <w:r>
        <w:rPr>
          <w:spacing w:val="-3"/>
        </w:rPr>
        <w:t> </w:t>
      </w:r>
      <w:r>
        <w:rPr/>
        <w:t>thrombotic</w:t>
      </w:r>
      <w:r>
        <w:rPr>
          <w:spacing w:val="-1"/>
        </w:rPr>
        <w:t> </w:t>
      </w:r>
      <w:r>
        <w:rPr/>
        <w:t>complications</w:t>
      </w:r>
      <w:r>
        <w:rPr>
          <w:spacing w:val="-1"/>
        </w:rPr>
        <w:t> </w:t>
      </w:r>
      <w:r>
        <w:rPr/>
        <w:t>associated</w:t>
      </w:r>
      <w:r>
        <w:rPr>
          <w:spacing w:val="-2"/>
        </w:rPr>
        <w:t> </w:t>
      </w:r>
      <w:r>
        <w:rPr/>
        <w:t>with</w:t>
      </w:r>
      <w:r>
        <w:rPr>
          <w:spacing w:val="-1"/>
        </w:rPr>
        <w:t> </w:t>
      </w:r>
      <w:r>
        <w:rPr/>
        <w:t>previous</w:t>
      </w:r>
      <w:r>
        <w:rPr>
          <w:spacing w:val="-1"/>
        </w:rPr>
        <w:t> </w:t>
      </w:r>
      <w:r>
        <w:rPr/>
        <w:t>surgery,</w:t>
      </w:r>
      <w:r>
        <w:rPr>
          <w:spacing w:val="-1"/>
        </w:rPr>
        <w:t> </w:t>
      </w:r>
      <w:r>
        <w:rPr/>
        <w:t>postoperative</w:t>
      </w:r>
      <w:r>
        <w:rPr>
          <w:spacing w:val="-1"/>
        </w:rPr>
        <w:t> </w:t>
      </w:r>
      <w:r>
        <w:rPr/>
        <w:t>use of</w:t>
      </w:r>
      <w:r>
        <w:rPr>
          <w:spacing w:val="-4"/>
        </w:rPr>
        <w:t> </w:t>
      </w:r>
      <w:r>
        <w:rPr/>
        <w:t>extracorporeal membrane oxygenation, and use of deep hypothermic circulatory arrest.</w:t>
      </w:r>
    </w:p>
    <w:p>
      <w:pPr>
        <w:pStyle w:val="BodyText"/>
      </w:pPr>
    </w:p>
    <w:p>
      <w:pPr>
        <w:pStyle w:val="BodyText"/>
        <w:spacing w:before="126"/>
      </w:pPr>
    </w:p>
    <w:p>
      <w:pPr>
        <w:pStyle w:val="BodyText"/>
        <w:spacing w:before="1"/>
        <w:ind w:left="23"/>
      </w:pPr>
      <w:r>
        <w:rPr/>
        <w:t>Table</w:t>
      </w:r>
      <w:r>
        <w:rPr>
          <w:spacing w:val="-4"/>
        </w:rPr>
        <w:t> </w:t>
      </w:r>
      <w:r>
        <w:rPr/>
        <w:t>2.1.</w:t>
      </w:r>
      <w:r>
        <w:rPr>
          <w:spacing w:val="-4"/>
        </w:rPr>
        <w:t> </w:t>
      </w:r>
      <w:r>
        <w:rPr/>
        <w:t>Excluded</w:t>
      </w:r>
      <w:r>
        <w:rPr>
          <w:spacing w:val="-4"/>
        </w:rPr>
        <w:t> </w:t>
      </w:r>
      <w:r>
        <w:rPr>
          <w:spacing w:val="-2"/>
        </w:rPr>
        <w:t>studies</w:t>
      </w:r>
    </w:p>
    <w:p>
      <w:pPr>
        <w:pStyle w:val="BodyText"/>
        <w:spacing w:before="10"/>
        <w:rPr>
          <w:sz w:val="16"/>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225"/>
        <w:gridCol w:w="6805"/>
      </w:tblGrid>
      <w:tr>
        <w:trPr>
          <w:trHeight w:val="414" w:hRule="atLeast"/>
        </w:trPr>
        <w:tc>
          <w:tcPr>
            <w:tcW w:w="7225" w:type="dxa"/>
            <w:shd w:val="clear" w:color="auto" w:fill="D9D9D9"/>
          </w:tcPr>
          <w:p>
            <w:pPr>
              <w:pStyle w:val="TableParagraph"/>
              <w:spacing w:line="218" w:lineRule="exact"/>
              <w:ind w:left="105"/>
              <w:rPr>
                <w:b/>
                <w:sz w:val="18"/>
              </w:rPr>
            </w:pPr>
            <w:r>
              <w:rPr>
                <w:b/>
                <w:spacing w:val="-2"/>
                <w:sz w:val="18"/>
              </w:rPr>
              <w:t>Reference</w:t>
            </w:r>
          </w:p>
        </w:tc>
        <w:tc>
          <w:tcPr>
            <w:tcW w:w="6805" w:type="dxa"/>
            <w:shd w:val="clear" w:color="auto" w:fill="D9D9D9"/>
          </w:tcPr>
          <w:p>
            <w:pPr>
              <w:pStyle w:val="TableParagraph"/>
              <w:spacing w:line="218" w:lineRule="exact"/>
              <w:ind w:left="102"/>
              <w:rPr>
                <w:b/>
                <w:sz w:val="18"/>
              </w:rPr>
            </w:pPr>
            <w:r>
              <w:rPr>
                <w:b/>
                <w:sz w:val="18"/>
              </w:rPr>
              <w:t>Reason</w:t>
            </w:r>
            <w:r>
              <w:rPr>
                <w:b/>
                <w:spacing w:val="-3"/>
                <w:sz w:val="18"/>
              </w:rPr>
              <w:t> </w:t>
            </w:r>
            <w:r>
              <w:rPr>
                <w:b/>
                <w:sz w:val="18"/>
              </w:rPr>
              <w:t>for</w:t>
            </w:r>
            <w:r>
              <w:rPr>
                <w:b/>
                <w:spacing w:val="-1"/>
                <w:sz w:val="18"/>
              </w:rPr>
              <w:t> </w:t>
            </w:r>
            <w:r>
              <w:rPr>
                <w:b/>
                <w:spacing w:val="-2"/>
                <w:sz w:val="18"/>
              </w:rPr>
              <w:t>exclusion</w:t>
            </w:r>
          </w:p>
        </w:tc>
      </w:tr>
    </w:tbl>
    <w:p>
      <w:pPr>
        <w:pStyle w:val="TableParagraph"/>
        <w:spacing w:after="0" w:line="218" w:lineRule="exact"/>
        <w:rPr>
          <w:b/>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225"/>
        <w:gridCol w:w="6805"/>
      </w:tblGrid>
      <w:tr>
        <w:trPr>
          <w:trHeight w:val="1437" w:hRule="atLeast"/>
        </w:trPr>
        <w:tc>
          <w:tcPr>
            <w:tcW w:w="7225" w:type="dxa"/>
            <w:shd w:val="clear" w:color="auto" w:fill="D9D9D9"/>
          </w:tcPr>
          <w:p>
            <w:pPr>
              <w:pStyle w:val="TableParagraph"/>
              <w:spacing w:line="278" w:lineRule="auto"/>
              <w:ind w:left="105" w:right="242"/>
              <w:rPr>
                <w:sz w:val="18"/>
              </w:rPr>
            </w:pPr>
            <w:r>
              <w:rPr>
                <w:sz w:val="18"/>
              </w:rPr>
              <w:t>Agarwal A, Firdouse M, Brar N, Yang A, Lambiris P, Chan AK, Mondal TK. Incidence and Management of Thrombotic and Thromboembolic Complications Following the Superior Cavopulmonary</w:t>
            </w:r>
            <w:r>
              <w:rPr>
                <w:spacing w:val="-4"/>
                <w:sz w:val="18"/>
              </w:rPr>
              <w:t> </w:t>
            </w:r>
            <w:r>
              <w:rPr>
                <w:sz w:val="18"/>
              </w:rPr>
              <w:t>Anastomosis</w:t>
            </w:r>
            <w:r>
              <w:rPr>
                <w:spacing w:val="-5"/>
                <w:sz w:val="18"/>
              </w:rPr>
              <w:t> </w:t>
            </w:r>
            <w:r>
              <w:rPr>
                <w:sz w:val="18"/>
              </w:rPr>
              <w:t>Procedure:</w:t>
            </w:r>
            <w:r>
              <w:rPr>
                <w:spacing w:val="-2"/>
                <w:sz w:val="18"/>
              </w:rPr>
              <w:t> </w:t>
            </w:r>
            <w:r>
              <w:rPr>
                <w:sz w:val="18"/>
              </w:rPr>
              <w:t>A</w:t>
            </w:r>
            <w:r>
              <w:rPr>
                <w:spacing w:val="-6"/>
                <w:sz w:val="18"/>
              </w:rPr>
              <w:t> </w:t>
            </w:r>
            <w:r>
              <w:rPr>
                <w:sz w:val="18"/>
              </w:rPr>
              <w:t>Literature</w:t>
            </w:r>
            <w:r>
              <w:rPr>
                <w:spacing w:val="-6"/>
                <w:sz w:val="18"/>
              </w:rPr>
              <w:t> </w:t>
            </w:r>
            <w:r>
              <w:rPr>
                <w:sz w:val="18"/>
              </w:rPr>
              <w:t>Review.</w:t>
            </w:r>
            <w:r>
              <w:rPr>
                <w:spacing w:val="-5"/>
                <w:sz w:val="18"/>
              </w:rPr>
              <w:t> </w:t>
            </w:r>
            <w:r>
              <w:rPr>
                <w:sz w:val="18"/>
              </w:rPr>
              <w:t>Clin</w:t>
            </w:r>
            <w:r>
              <w:rPr>
                <w:spacing w:val="-3"/>
                <w:sz w:val="18"/>
              </w:rPr>
              <w:t> </w:t>
            </w:r>
            <w:r>
              <w:rPr>
                <w:sz w:val="18"/>
              </w:rPr>
              <w:t>Appl</w:t>
            </w:r>
            <w:r>
              <w:rPr>
                <w:spacing w:val="-5"/>
                <w:sz w:val="18"/>
              </w:rPr>
              <w:t> </w:t>
            </w:r>
            <w:r>
              <w:rPr>
                <w:sz w:val="18"/>
              </w:rPr>
              <w:t>Thromb</w:t>
            </w:r>
            <w:r>
              <w:rPr>
                <w:spacing w:val="-5"/>
                <w:sz w:val="18"/>
              </w:rPr>
              <w:t> </w:t>
            </w:r>
            <w:r>
              <w:rPr>
                <w:sz w:val="18"/>
              </w:rPr>
              <w:t>Hemost.</w:t>
            </w:r>
            <w:r>
              <w:rPr>
                <w:spacing w:val="-5"/>
                <w:sz w:val="18"/>
              </w:rPr>
              <w:t> </w:t>
            </w:r>
            <w:r>
              <w:rPr>
                <w:sz w:val="18"/>
              </w:rPr>
              <w:t>2018 Apr;24(3):405-415. doi: 10.1177/1076029617739702. Epub 2017 Dec 25. PMID: 29277101; PMCID:</w:t>
            </w:r>
            <w:r>
              <w:rPr>
                <w:spacing w:val="-2"/>
                <w:sz w:val="18"/>
              </w:rPr>
              <w:t> </w:t>
            </w:r>
            <w:r>
              <w:rPr>
                <w:sz w:val="18"/>
              </w:rPr>
              <w:t>PMC6714653.</w:t>
            </w:r>
          </w:p>
        </w:tc>
        <w:tc>
          <w:tcPr>
            <w:tcW w:w="6805" w:type="dxa"/>
          </w:tcPr>
          <w:p>
            <w:pPr>
              <w:pStyle w:val="TableParagraph"/>
              <w:spacing w:line="278" w:lineRule="auto"/>
              <w:ind w:left="102" w:right="95"/>
              <w:rPr>
                <w:sz w:val="18"/>
              </w:rPr>
            </w:pPr>
            <w:r>
              <w:rPr>
                <w:sz w:val="18"/>
              </w:rPr>
              <w:t>None</w:t>
            </w:r>
            <w:r>
              <w:rPr>
                <w:spacing w:val="-3"/>
                <w:sz w:val="18"/>
              </w:rPr>
              <w:t> </w:t>
            </w:r>
            <w:r>
              <w:rPr>
                <w:sz w:val="18"/>
              </w:rPr>
              <w:t>of</w:t>
            </w:r>
            <w:r>
              <w:rPr>
                <w:spacing w:val="-3"/>
                <w:sz w:val="18"/>
              </w:rPr>
              <w:t> </w:t>
            </w:r>
            <w:r>
              <w:rPr>
                <w:sz w:val="18"/>
              </w:rPr>
              <w:t>the</w:t>
            </w:r>
            <w:r>
              <w:rPr>
                <w:spacing w:val="-3"/>
                <w:sz w:val="18"/>
              </w:rPr>
              <w:t> </w:t>
            </w:r>
            <w:r>
              <w:rPr>
                <w:sz w:val="18"/>
              </w:rPr>
              <w:t>studies</w:t>
            </w:r>
            <w:r>
              <w:rPr>
                <w:spacing w:val="-3"/>
                <w:sz w:val="18"/>
              </w:rPr>
              <w:t> </w:t>
            </w:r>
            <w:r>
              <w:rPr>
                <w:sz w:val="18"/>
              </w:rPr>
              <w:t>that</w:t>
            </w:r>
            <w:r>
              <w:rPr>
                <w:spacing w:val="-2"/>
                <w:sz w:val="18"/>
              </w:rPr>
              <w:t> </w:t>
            </w:r>
            <w:r>
              <w:rPr>
                <w:sz w:val="18"/>
              </w:rPr>
              <w:t>were</w:t>
            </w:r>
            <w:r>
              <w:rPr>
                <w:spacing w:val="-4"/>
                <w:sz w:val="18"/>
              </w:rPr>
              <w:t> </w:t>
            </w:r>
            <w:r>
              <w:rPr>
                <w:sz w:val="18"/>
              </w:rPr>
              <w:t>part</w:t>
            </w:r>
            <w:r>
              <w:rPr>
                <w:spacing w:val="-3"/>
                <w:sz w:val="18"/>
              </w:rPr>
              <w:t> </w:t>
            </w:r>
            <w:r>
              <w:rPr>
                <w:sz w:val="18"/>
              </w:rPr>
              <w:t>of</w:t>
            </w:r>
            <w:r>
              <w:rPr>
                <w:spacing w:val="-3"/>
                <w:sz w:val="18"/>
              </w:rPr>
              <w:t> </w:t>
            </w:r>
            <w:r>
              <w:rPr>
                <w:sz w:val="18"/>
              </w:rPr>
              <w:t>this</w:t>
            </w:r>
            <w:r>
              <w:rPr>
                <w:spacing w:val="-3"/>
                <w:sz w:val="18"/>
              </w:rPr>
              <w:t> </w:t>
            </w:r>
            <w:r>
              <w:rPr>
                <w:sz w:val="18"/>
              </w:rPr>
              <w:t>review</w:t>
            </w:r>
            <w:r>
              <w:rPr>
                <w:spacing w:val="-2"/>
                <w:sz w:val="18"/>
              </w:rPr>
              <w:t> </w:t>
            </w:r>
            <w:r>
              <w:rPr>
                <w:sz w:val="18"/>
              </w:rPr>
              <w:t>fit</w:t>
            </w:r>
            <w:r>
              <w:rPr>
                <w:spacing w:val="-2"/>
                <w:sz w:val="18"/>
              </w:rPr>
              <w:t> </w:t>
            </w:r>
            <w:r>
              <w:rPr>
                <w:sz w:val="18"/>
              </w:rPr>
              <w:t>our</w:t>
            </w:r>
            <w:r>
              <w:rPr>
                <w:spacing w:val="-2"/>
                <w:sz w:val="18"/>
              </w:rPr>
              <w:t> </w:t>
            </w:r>
            <w:r>
              <w:rPr>
                <w:sz w:val="18"/>
              </w:rPr>
              <w:t>PICO</w:t>
            </w:r>
            <w:r>
              <w:rPr>
                <w:spacing w:val="-1"/>
                <w:sz w:val="18"/>
              </w:rPr>
              <w:t> </w:t>
            </w:r>
            <w:r>
              <w:rPr>
                <w:sz w:val="18"/>
              </w:rPr>
              <w:t>and</w:t>
            </w:r>
            <w:r>
              <w:rPr>
                <w:spacing w:val="-3"/>
                <w:sz w:val="18"/>
              </w:rPr>
              <w:t> </w:t>
            </w:r>
            <w:r>
              <w:rPr>
                <w:sz w:val="18"/>
              </w:rPr>
              <w:t>were</w:t>
            </w:r>
            <w:r>
              <w:rPr>
                <w:spacing w:val="-4"/>
                <w:sz w:val="18"/>
              </w:rPr>
              <w:t> </w:t>
            </w:r>
            <w:r>
              <w:rPr>
                <w:sz w:val="18"/>
              </w:rPr>
              <w:t>conducted</w:t>
            </w:r>
            <w:r>
              <w:rPr>
                <w:spacing w:val="-3"/>
                <w:sz w:val="18"/>
              </w:rPr>
              <w:t> </w:t>
            </w:r>
            <w:r>
              <w:rPr>
                <w:sz w:val="18"/>
              </w:rPr>
              <w:t>after 2014. Manlhiot (2012) was later included because it was included in the previous </w:t>
            </w:r>
            <w:r>
              <w:rPr>
                <w:spacing w:val="-2"/>
                <w:sz w:val="18"/>
              </w:rPr>
              <w:t>guideline.</w:t>
            </w:r>
          </w:p>
        </w:tc>
      </w:tr>
      <w:tr>
        <w:trPr>
          <w:trHeight w:val="1183" w:hRule="atLeast"/>
        </w:trPr>
        <w:tc>
          <w:tcPr>
            <w:tcW w:w="7225" w:type="dxa"/>
            <w:shd w:val="clear" w:color="auto" w:fill="D9D9D9"/>
          </w:tcPr>
          <w:p>
            <w:pPr>
              <w:pStyle w:val="TableParagraph"/>
              <w:spacing w:line="280" w:lineRule="auto"/>
              <w:ind w:left="105" w:right="72"/>
              <w:rPr>
                <w:sz w:val="18"/>
              </w:rPr>
            </w:pPr>
            <w:r>
              <w:rPr>
                <w:sz w:val="18"/>
              </w:rPr>
              <w:t>Truong DT, Johnson JT, Bailly DK, Clawson JR, Sheng X, Burch PT, Witte MK, LuAnn Minich L. Platelet Inhibition in Shunted Infants on Aspirin at Short and Midterm Follow-Up. Pediatr Cardiol.</w:t>
            </w:r>
            <w:r>
              <w:rPr>
                <w:spacing w:val="-5"/>
                <w:sz w:val="18"/>
              </w:rPr>
              <w:t> </w:t>
            </w:r>
            <w:r>
              <w:rPr>
                <w:sz w:val="18"/>
              </w:rPr>
              <w:t>2017</w:t>
            </w:r>
            <w:r>
              <w:rPr>
                <w:spacing w:val="-4"/>
                <w:sz w:val="18"/>
              </w:rPr>
              <w:t> </w:t>
            </w:r>
            <w:r>
              <w:rPr>
                <w:sz w:val="18"/>
              </w:rPr>
              <w:t>Feb;38(2):401-409.</w:t>
            </w:r>
            <w:r>
              <w:rPr>
                <w:spacing w:val="-5"/>
                <w:sz w:val="18"/>
              </w:rPr>
              <w:t> </w:t>
            </w:r>
            <w:r>
              <w:rPr>
                <w:sz w:val="18"/>
              </w:rPr>
              <w:t>doi:</w:t>
            </w:r>
            <w:r>
              <w:rPr>
                <w:spacing w:val="-4"/>
                <w:sz w:val="18"/>
              </w:rPr>
              <w:t> </w:t>
            </w:r>
            <w:r>
              <w:rPr>
                <w:sz w:val="18"/>
              </w:rPr>
              <w:t>10.1007/s00246-016-1529-x.</w:t>
            </w:r>
            <w:r>
              <w:rPr>
                <w:spacing w:val="-5"/>
                <w:sz w:val="18"/>
              </w:rPr>
              <w:t> </w:t>
            </w:r>
            <w:r>
              <w:rPr>
                <w:sz w:val="18"/>
              </w:rPr>
              <w:t>Epub</w:t>
            </w:r>
            <w:r>
              <w:rPr>
                <w:spacing w:val="-5"/>
                <w:sz w:val="18"/>
              </w:rPr>
              <w:t> </w:t>
            </w:r>
            <w:r>
              <w:rPr>
                <w:sz w:val="18"/>
              </w:rPr>
              <w:t>2016</w:t>
            </w:r>
            <w:r>
              <w:rPr>
                <w:spacing w:val="-4"/>
                <w:sz w:val="18"/>
              </w:rPr>
              <w:t> </w:t>
            </w:r>
            <w:r>
              <w:rPr>
                <w:sz w:val="18"/>
              </w:rPr>
              <w:t>Dec</w:t>
            </w:r>
            <w:r>
              <w:rPr>
                <w:spacing w:val="-4"/>
                <w:sz w:val="18"/>
              </w:rPr>
              <w:t> </w:t>
            </w:r>
            <w:r>
              <w:rPr>
                <w:sz w:val="18"/>
              </w:rPr>
              <w:t>30.</w:t>
            </w:r>
            <w:r>
              <w:rPr>
                <w:spacing w:val="-5"/>
                <w:sz w:val="18"/>
              </w:rPr>
              <w:t> </w:t>
            </w:r>
            <w:r>
              <w:rPr>
                <w:sz w:val="18"/>
              </w:rPr>
              <w:t>PMID: </w:t>
            </w:r>
            <w:r>
              <w:rPr>
                <w:spacing w:val="-2"/>
                <w:sz w:val="18"/>
              </w:rPr>
              <w:t>28039526.</w:t>
            </w:r>
          </w:p>
        </w:tc>
        <w:tc>
          <w:tcPr>
            <w:tcW w:w="6805" w:type="dxa"/>
          </w:tcPr>
          <w:p>
            <w:pPr>
              <w:pStyle w:val="TableParagraph"/>
              <w:spacing w:line="218" w:lineRule="exact"/>
              <w:ind w:left="102"/>
              <w:rPr>
                <w:sz w:val="18"/>
              </w:rPr>
            </w:pPr>
            <w:r>
              <w:rPr>
                <w:sz w:val="18"/>
              </w:rPr>
              <w:t>No</w:t>
            </w:r>
            <w:r>
              <w:rPr>
                <w:spacing w:val="-4"/>
                <w:sz w:val="18"/>
              </w:rPr>
              <w:t> </w:t>
            </w:r>
            <w:r>
              <w:rPr>
                <w:sz w:val="18"/>
              </w:rPr>
              <w:t>comparison</w:t>
            </w:r>
            <w:r>
              <w:rPr>
                <w:spacing w:val="-4"/>
                <w:sz w:val="18"/>
              </w:rPr>
              <w:t> </w:t>
            </w:r>
            <w:r>
              <w:rPr>
                <w:sz w:val="18"/>
              </w:rPr>
              <w:t>between</w:t>
            </w:r>
            <w:r>
              <w:rPr>
                <w:spacing w:val="-4"/>
                <w:sz w:val="18"/>
              </w:rPr>
              <w:t> </w:t>
            </w:r>
            <w:r>
              <w:rPr>
                <w:sz w:val="18"/>
              </w:rPr>
              <w:t>thromboprophylaxis</w:t>
            </w:r>
            <w:r>
              <w:rPr>
                <w:spacing w:val="-5"/>
                <w:sz w:val="18"/>
              </w:rPr>
              <w:t> </w:t>
            </w:r>
            <w:r>
              <w:rPr>
                <w:sz w:val="18"/>
              </w:rPr>
              <w:t>and</w:t>
            </w:r>
            <w:r>
              <w:rPr>
                <w:spacing w:val="-2"/>
                <w:sz w:val="18"/>
              </w:rPr>
              <w:t> </w:t>
            </w:r>
            <w:r>
              <w:rPr>
                <w:sz w:val="18"/>
              </w:rPr>
              <w:t>no</w:t>
            </w:r>
            <w:r>
              <w:rPr>
                <w:spacing w:val="-3"/>
                <w:sz w:val="18"/>
              </w:rPr>
              <w:t> </w:t>
            </w:r>
            <w:r>
              <w:rPr>
                <w:spacing w:val="-2"/>
                <w:sz w:val="18"/>
              </w:rPr>
              <w:t>thromboprophylaxis</w:t>
            </w:r>
          </w:p>
        </w:tc>
      </w:tr>
    </w:tbl>
    <w:p>
      <w:pPr>
        <w:pStyle w:val="BodyText"/>
        <w:spacing w:before="203"/>
      </w:pPr>
    </w:p>
    <w:p>
      <w:pPr>
        <w:pStyle w:val="BodyText"/>
        <w:ind w:left="23"/>
      </w:pPr>
      <w:r>
        <w:rPr/>
        <w:t>Table</w:t>
      </w:r>
      <w:r>
        <w:rPr>
          <w:spacing w:val="-5"/>
        </w:rPr>
        <w:t> </w:t>
      </w:r>
      <w:r>
        <w:rPr/>
        <w:t>2.2.</w:t>
      </w:r>
      <w:r>
        <w:rPr>
          <w:spacing w:val="-4"/>
        </w:rPr>
        <w:t> </w:t>
      </w:r>
      <w:r>
        <w:rPr/>
        <w:t>Characteristics</w:t>
      </w:r>
      <w:r>
        <w:rPr>
          <w:spacing w:val="-7"/>
        </w:rPr>
        <w:t> </w:t>
      </w:r>
      <w:r>
        <w:rPr/>
        <w:t>of</w:t>
      </w:r>
      <w:r>
        <w:rPr>
          <w:spacing w:val="-4"/>
        </w:rPr>
        <w:t> </w:t>
      </w:r>
      <w:r>
        <w:rPr/>
        <w:t>included</w:t>
      </w:r>
      <w:r>
        <w:rPr>
          <w:spacing w:val="-4"/>
        </w:rPr>
        <w:t> </w:t>
      </w:r>
      <w:r>
        <w:rPr>
          <w:spacing w:val="-2"/>
        </w:rPr>
        <w:t>studies</w:t>
      </w:r>
    </w:p>
    <w:p>
      <w:pPr>
        <w:pStyle w:val="BodyText"/>
        <w:spacing w:before="7"/>
        <w:rPr>
          <w:sz w:val="16"/>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36"/>
        <w:gridCol w:w="2176"/>
        <w:gridCol w:w="2124"/>
        <w:gridCol w:w="1276"/>
        <w:gridCol w:w="2126"/>
        <w:gridCol w:w="1559"/>
        <w:gridCol w:w="3542"/>
      </w:tblGrid>
      <w:tr>
        <w:trPr>
          <w:trHeight w:val="928" w:hRule="atLeast"/>
        </w:trPr>
        <w:tc>
          <w:tcPr>
            <w:tcW w:w="936" w:type="dxa"/>
          </w:tcPr>
          <w:p>
            <w:pPr>
              <w:pStyle w:val="TableParagraph"/>
              <w:spacing w:before="1"/>
              <w:ind w:left="105"/>
              <w:rPr>
                <w:b/>
                <w:sz w:val="18"/>
              </w:rPr>
            </w:pPr>
            <w:r>
              <w:rPr>
                <w:b/>
                <w:spacing w:val="-2"/>
                <w:sz w:val="18"/>
              </w:rPr>
              <w:t>Study</w:t>
            </w:r>
          </w:p>
        </w:tc>
        <w:tc>
          <w:tcPr>
            <w:tcW w:w="2176" w:type="dxa"/>
          </w:tcPr>
          <w:p>
            <w:pPr>
              <w:pStyle w:val="TableParagraph"/>
              <w:spacing w:line="278" w:lineRule="auto" w:before="1"/>
              <w:ind w:left="105" w:right="422"/>
              <w:rPr>
                <w:b/>
                <w:sz w:val="18"/>
              </w:rPr>
            </w:pPr>
            <w:r>
              <w:rPr>
                <w:b/>
                <w:sz w:val="18"/>
              </w:rPr>
              <w:t>Participants</w:t>
            </w:r>
            <w:r>
              <w:rPr>
                <w:b/>
                <w:spacing w:val="-11"/>
                <w:sz w:val="18"/>
              </w:rPr>
              <w:t> </w:t>
            </w:r>
            <w:r>
              <w:rPr>
                <w:b/>
                <w:sz w:val="18"/>
              </w:rPr>
              <w:t>(number, age, other important </w:t>
            </w:r>
            <w:r>
              <w:rPr>
                <w:b/>
                <w:spacing w:val="-2"/>
                <w:sz w:val="18"/>
              </w:rPr>
              <w:t>characteristics)</w:t>
            </w:r>
          </w:p>
        </w:tc>
        <w:tc>
          <w:tcPr>
            <w:tcW w:w="2124" w:type="dxa"/>
          </w:tcPr>
          <w:p>
            <w:pPr>
              <w:pStyle w:val="TableParagraph"/>
              <w:spacing w:before="1"/>
              <w:ind w:left="104"/>
              <w:rPr>
                <w:b/>
                <w:sz w:val="18"/>
              </w:rPr>
            </w:pPr>
            <w:r>
              <w:rPr>
                <w:b/>
                <w:spacing w:val="-2"/>
                <w:sz w:val="18"/>
              </w:rPr>
              <w:t>Comparison</w:t>
            </w:r>
          </w:p>
        </w:tc>
        <w:tc>
          <w:tcPr>
            <w:tcW w:w="1276" w:type="dxa"/>
          </w:tcPr>
          <w:p>
            <w:pPr>
              <w:pStyle w:val="TableParagraph"/>
              <w:spacing w:before="1"/>
              <w:ind w:left="107"/>
              <w:rPr>
                <w:b/>
                <w:sz w:val="18"/>
              </w:rPr>
            </w:pPr>
            <w:r>
              <w:rPr>
                <w:b/>
                <w:spacing w:val="-2"/>
                <w:sz w:val="18"/>
              </w:rPr>
              <w:t>Follow-</w:t>
            </w:r>
            <w:r>
              <w:rPr>
                <w:b/>
                <w:spacing w:val="-5"/>
                <w:sz w:val="18"/>
              </w:rPr>
              <w:t>up</w:t>
            </w:r>
          </w:p>
        </w:tc>
        <w:tc>
          <w:tcPr>
            <w:tcW w:w="2126" w:type="dxa"/>
          </w:tcPr>
          <w:p>
            <w:pPr>
              <w:pStyle w:val="TableParagraph"/>
              <w:spacing w:before="1"/>
              <w:ind w:left="107"/>
              <w:rPr>
                <w:b/>
                <w:sz w:val="18"/>
              </w:rPr>
            </w:pPr>
            <w:r>
              <w:rPr>
                <w:b/>
                <w:sz w:val="18"/>
              </w:rPr>
              <w:t>Outcome</w:t>
            </w:r>
            <w:r>
              <w:rPr>
                <w:b/>
                <w:spacing w:val="-5"/>
                <w:sz w:val="18"/>
              </w:rPr>
              <w:t> </w:t>
            </w:r>
            <w:r>
              <w:rPr>
                <w:b/>
                <w:spacing w:val="-2"/>
                <w:sz w:val="18"/>
              </w:rPr>
              <w:t>measures</w:t>
            </w:r>
          </w:p>
        </w:tc>
        <w:tc>
          <w:tcPr>
            <w:tcW w:w="1559" w:type="dxa"/>
          </w:tcPr>
          <w:p>
            <w:pPr>
              <w:pStyle w:val="TableParagraph"/>
              <w:spacing w:before="1"/>
              <w:ind w:left="108"/>
              <w:rPr>
                <w:b/>
                <w:sz w:val="18"/>
              </w:rPr>
            </w:pPr>
            <w:r>
              <w:rPr>
                <w:b/>
                <w:spacing w:val="-2"/>
                <w:sz w:val="18"/>
              </w:rPr>
              <w:t>Comments</w:t>
            </w:r>
          </w:p>
        </w:tc>
        <w:tc>
          <w:tcPr>
            <w:tcW w:w="3542" w:type="dxa"/>
          </w:tcPr>
          <w:p>
            <w:pPr>
              <w:pStyle w:val="TableParagraph"/>
              <w:spacing w:before="1"/>
              <w:ind w:left="107"/>
              <w:rPr>
                <w:b/>
                <w:sz w:val="18"/>
              </w:rPr>
            </w:pPr>
            <w:r>
              <w:rPr>
                <w:b/>
                <w:sz w:val="18"/>
              </w:rPr>
              <w:t>Risk</w:t>
            </w:r>
            <w:r>
              <w:rPr>
                <w:b/>
                <w:spacing w:val="-3"/>
                <w:sz w:val="18"/>
              </w:rPr>
              <w:t> </w:t>
            </w:r>
            <w:r>
              <w:rPr>
                <w:b/>
                <w:sz w:val="18"/>
              </w:rPr>
              <w:t>of</w:t>
            </w:r>
            <w:r>
              <w:rPr>
                <w:b/>
                <w:spacing w:val="-3"/>
                <w:sz w:val="18"/>
              </w:rPr>
              <w:t> </w:t>
            </w:r>
            <w:r>
              <w:rPr>
                <w:b/>
                <w:sz w:val="18"/>
              </w:rPr>
              <w:t>bias</w:t>
            </w:r>
            <w:r>
              <w:rPr>
                <w:b/>
                <w:spacing w:val="-2"/>
                <w:sz w:val="18"/>
              </w:rPr>
              <w:t> </w:t>
            </w:r>
            <w:r>
              <w:rPr>
                <w:b/>
                <w:sz w:val="18"/>
              </w:rPr>
              <w:t>(per</w:t>
            </w:r>
            <w:r>
              <w:rPr>
                <w:b/>
                <w:spacing w:val="-2"/>
                <w:sz w:val="18"/>
              </w:rPr>
              <w:t> </w:t>
            </w:r>
            <w:r>
              <w:rPr>
                <w:b/>
                <w:sz w:val="18"/>
              </w:rPr>
              <w:t>outcome</w:t>
            </w:r>
            <w:r>
              <w:rPr>
                <w:b/>
                <w:spacing w:val="-2"/>
                <w:sz w:val="18"/>
              </w:rPr>
              <w:t> measure)*</w:t>
            </w:r>
          </w:p>
        </w:tc>
      </w:tr>
      <w:tr>
        <w:trPr>
          <w:trHeight w:val="414" w:hRule="atLeast"/>
        </w:trPr>
        <w:tc>
          <w:tcPr>
            <w:tcW w:w="13739" w:type="dxa"/>
            <w:gridSpan w:val="7"/>
          </w:tcPr>
          <w:p>
            <w:pPr>
              <w:pStyle w:val="TableParagraph"/>
              <w:spacing w:line="218" w:lineRule="exact"/>
              <w:ind w:left="105"/>
              <w:rPr>
                <w:i/>
                <w:sz w:val="18"/>
              </w:rPr>
            </w:pPr>
            <w:r>
              <w:rPr>
                <w:i/>
                <w:sz w:val="18"/>
              </w:rPr>
              <w:t>Individual</w:t>
            </w:r>
            <w:r>
              <w:rPr>
                <w:i/>
                <w:spacing w:val="-5"/>
                <w:sz w:val="18"/>
              </w:rPr>
              <w:t> </w:t>
            </w:r>
            <w:r>
              <w:rPr>
                <w:i/>
                <w:spacing w:val="-2"/>
                <w:sz w:val="18"/>
              </w:rPr>
              <w:t>studies</w:t>
            </w:r>
          </w:p>
        </w:tc>
      </w:tr>
      <w:tr>
        <w:trPr>
          <w:trHeight w:val="2058" w:hRule="atLeast"/>
        </w:trPr>
        <w:tc>
          <w:tcPr>
            <w:tcW w:w="936" w:type="dxa"/>
            <w:tcBorders>
              <w:bottom w:val="nil"/>
            </w:tcBorders>
          </w:tcPr>
          <w:p>
            <w:pPr>
              <w:pStyle w:val="TableParagraph"/>
              <w:spacing w:line="280" w:lineRule="auto"/>
              <w:ind w:left="105" w:right="102"/>
              <w:rPr>
                <w:sz w:val="18"/>
              </w:rPr>
            </w:pPr>
            <w:r>
              <w:rPr>
                <w:spacing w:val="-2"/>
                <w:sz w:val="18"/>
              </w:rPr>
              <w:t>Manlhiot,</w:t>
            </w:r>
            <w:r>
              <w:rPr>
                <w:sz w:val="18"/>
              </w:rPr>
              <w:t> </w:t>
            </w:r>
            <w:r>
              <w:rPr>
                <w:spacing w:val="-4"/>
                <w:sz w:val="18"/>
              </w:rPr>
              <w:t>2012</w:t>
            </w:r>
          </w:p>
        </w:tc>
        <w:tc>
          <w:tcPr>
            <w:tcW w:w="2176" w:type="dxa"/>
            <w:tcBorders>
              <w:bottom w:val="nil"/>
            </w:tcBorders>
          </w:tcPr>
          <w:p>
            <w:pPr>
              <w:pStyle w:val="TableParagraph"/>
              <w:spacing w:line="453" w:lineRule="auto"/>
              <w:ind w:left="105" w:right="866"/>
              <w:rPr>
                <w:sz w:val="18"/>
              </w:rPr>
            </w:pPr>
            <w:r>
              <w:rPr>
                <w:sz w:val="18"/>
                <w:u w:val="single"/>
              </w:rPr>
              <w:t>N at baseline</w:t>
            </w:r>
            <w:r>
              <w:rPr>
                <w:sz w:val="18"/>
                <w:u w:val="none"/>
              </w:rPr>
              <w:t> Intervention:</w:t>
            </w:r>
            <w:r>
              <w:rPr>
                <w:spacing w:val="-11"/>
                <w:sz w:val="18"/>
                <w:u w:val="none"/>
              </w:rPr>
              <w:t> </w:t>
            </w:r>
            <w:r>
              <w:rPr>
                <w:sz w:val="18"/>
                <w:u w:val="none"/>
              </w:rPr>
              <w:t>64</w:t>
            </w:r>
          </w:p>
          <w:p>
            <w:pPr>
              <w:pStyle w:val="TableParagraph"/>
              <w:ind w:left="105"/>
              <w:rPr>
                <w:sz w:val="18"/>
              </w:rPr>
            </w:pPr>
            <w:r>
              <w:rPr>
                <w:sz w:val="18"/>
              </w:rPr>
              <w:t>Control:</w:t>
            </w:r>
            <w:r>
              <w:rPr>
                <w:spacing w:val="-5"/>
                <w:sz w:val="18"/>
              </w:rPr>
              <w:t> 75</w:t>
            </w:r>
          </w:p>
          <w:p>
            <w:pPr>
              <w:pStyle w:val="TableParagraph"/>
              <w:rPr>
                <w:sz w:val="18"/>
              </w:rPr>
            </w:pPr>
          </w:p>
          <w:p>
            <w:pPr>
              <w:pStyle w:val="TableParagraph"/>
              <w:spacing w:before="172"/>
              <w:rPr>
                <w:sz w:val="18"/>
              </w:rPr>
            </w:pPr>
          </w:p>
          <w:p>
            <w:pPr>
              <w:pStyle w:val="TableParagraph"/>
              <w:ind w:left="105"/>
              <w:rPr>
                <w:position w:val="5"/>
                <w:sz w:val="12"/>
              </w:rPr>
            </w:pPr>
            <w:r>
              <w:rPr>
                <w:sz w:val="18"/>
                <w:u w:val="single"/>
              </w:rPr>
              <w:t>Age</w:t>
            </w:r>
            <w:r>
              <w:rPr>
                <w:spacing w:val="-5"/>
                <w:sz w:val="18"/>
                <w:u w:val="single"/>
              </w:rPr>
              <w:t> </w:t>
            </w:r>
            <w:r>
              <w:rPr>
                <w:sz w:val="18"/>
                <w:u w:val="single"/>
              </w:rPr>
              <w:t>(at</w:t>
            </w:r>
            <w:r>
              <w:rPr>
                <w:spacing w:val="-1"/>
                <w:sz w:val="18"/>
                <w:u w:val="single"/>
              </w:rPr>
              <w:t> </w:t>
            </w:r>
            <w:r>
              <w:rPr>
                <w:spacing w:val="-2"/>
                <w:sz w:val="18"/>
                <w:u w:val="single"/>
              </w:rPr>
              <w:t>surgery)</w:t>
            </w:r>
            <w:r>
              <w:rPr>
                <w:spacing w:val="-2"/>
                <w:position w:val="5"/>
                <w:sz w:val="12"/>
                <w:u w:val="none"/>
              </w:rPr>
              <w:t>1</w:t>
            </w:r>
          </w:p>
        </w:tc>
        <w:tc>
          <w:tcPr>
            <w:tcW w:w="2124" w:type="dxa"/>
            <w:tcBorders>
              <w:bottom w:val="nil"/>
            </w:tcBorders>
          </w:tcPr>
          <w:p>
            <w:pPr>
              <w:pStyle w:val="TableParagraph"/>
              <w:spacing w:line="219" w:lineRule="exact"/>
              <w:ind w:left="104"/>
              <w:rPr>
                <w:sz w:val="18"/>
              </w:rPr>
            </w:pPr>
            <w:r>
              <w:rPr>
                <w:spacing w:val="-2"/>
                <w:sz w:val="18"/>
                <w:u w:val="single"/>
              </w:rPr>
              <w:t>Intervention</w:t>
            </w:r>
          </w:p>
          <w:p>
            <w:pPr>
              <w:pStyle w:val="TableParagraph"/>
              <w:spacing w:line="278" w:lineRule="auto" w:before="195"/>
              <w:ind w:left="104"/>
              <w:rPr>
                <w:sz w:val="18"/>
              </w:rPr>
            </w:pPr>
            <w:r>
              <w:rPr>
                <w:spacing w:val="-2"/>
                <w:sz w:val="18"/>
              </w:rPr>
              <w:t>Thromboprophylaxis</w:t>
            </w:r>
            <w:r>
              <w:rPr>
                <w:sz w:val="18"/>
              </w:rPr>
              <w:t> (aspirin, aspirin + enoxaparin, enoxaparin only, or warfarin ± enoxaparin</w:t>
            </w:r>
            <w:r>
              <w:rPr>
                <w:spacing w:val="-11"/>
                <w:sz w:val="18"/>
              </w:rPr>
              <w:t> </w:t>
            </w:r>
            <w:r>
              <w:rPr>
                <w:sz w:val="18"/>
              </w:rPr>
              <w:t>lead-in</w:t>
            </w:r>
            <w:r>
              <w:rPr>
                <w:spacing w:val="-10"/>
                <w:sz w:val="18"/>
              </w:rPr>
              <w:t> </w:t>
            </w:r>
            <w:r>
              <w:rPr>
                <w:sz w:val="18"/>
              </w:rPr>
              <w:t>only)</w:t>
            </w:r>
          </w:p>
        </w:tc>
        <w:tc>
          <w:tcPr>
            <w:tcW w:w="1276" w:type="dxa"/>
            <w:tcBorders>
              <w:bottom w:val="nil"/>
            </w:tcBorders>
          </w:tcPr>
          <w:p>
            <w:pPr>
              <w:pStyle w:val="TableParagraph"/>
              <w:spacing w:line="280" w:lineRule="auto"/>
              <w:ind w:left="107" w:right="232"/>
              <w:rPr>
                <w:sz w:val="18"/>
              </w:rPr>
            </w:pPr>
            <w:r>
              <w:rPr>
                <w:sz w:val="18"/>
              </w:rPr>
              <w:t>3.5 years </w:t>
            </w:r>
            <w:r>
              <w:rPr>
                <w:spacing w:val="-2"/>
                <w:sz w:val="18"/>
              </w:rPr>
              <w:t>post-</w:t>
            </w:r>
            <w:r>
              <w:rPr>
                <w:spacing w:val="-2"/>
                <w:sz w:val="18"/>
              </w:rPr>
              <w:t>surger</w:t>
            </w:r>
            <w:r>
              <w:rPr>
                <w:spacing w:val="-2"/>
                <w:sz w:val="18"/>
              </w:rPr>
              <w:t>y</w:t>
            </w:r>
          </w:p>
        </w:tc>
        <w:tc>
          <w:tcPr>
            <w:tcW w:w="2126" w:type="dxa"/>
            <w:tcBorders>
              <w:bottom w:val="nil"/>
            </w:tcBorders>
          </w:tcPr>
          <w:p>
            <w:pPr>
              <w:pStyle w:val="TableParagraph"/>
              <w:spacing w:line="278" w:lineRule="auto"/>
              <w:ind w:left="107" w:right="91"/>
              <w:rPr>
                <w:sz w:val="18"/>
              </w:rPr>
            </w:pPr>
            <w:r>
              <w:rPr>
                <w:b/>
                <w:spacing w:val="-2"/>
                <w:sz w:val="18"/>
              </w:rPr>
              <w:t>Thrombotic</w:t>
            </w:r>
            <w:r>
              <w:rPr>
                <w:b/>
                <w:sz w:val="18"/>
              </w:rPr>
              <w:t> complications</w:t>
            </w:r>
            <w:r>
              <w:rPr>
                <w:sz w:val="18"/>
              </w:rPr>
              <w:t>,</w:t>
            </w:r>
            <w:r>
              <w:rPr>
                <w:spacing w:val="-11"/>
                <w:sz w:val="18"/>
              </w:rPr>
              <w:t> </w:t>
            </w:r>
            <w:r>
              <w:rPr>
                <w:sz w:val="18"/>
              </w:rPr>
              <w:t>defined</w:t>
            </w:r>
            <w:r>
              <w:rPr>
                <w:spacing w:val="-10"/>
                <w:sz w:val="18"/>
              </w:rPr>
              <w:t> </w:t>
            </w:r>
            <w:r>
              <w:rPr>
                <w:sz w:val="18"/>
              </w:rPr>
              <w:t>as intravascular thrombosis (venous, arterial, or intracardiac including shunts), cardioembolic strokes, or pulmonary </w:t>
            </w:r>
            <w:r>
              <w:rPr>
                <w:spacing w:val="-2"/>
                <w:sz w:val="18"/>
              </w:rPr>
              <w:t>embolism</w:t>
            </w:r>
          </w:p>
        </w:tc>
        <w:tc>
          <w:tcPr>
            <w:tcW w:w="1559" w:type="dxa"/>
            <w:tcBorders>
              <w:bottom w:val="nil"/>
            </w:tcBorders>
          </w:tcPr>
          <w:p>
            <w:pPr>
              <w:pStyle w:val="TableParagraph"/>
              <w:spacing w:line="219" w:lineRule="exact"/>
              <w:ind w:left="108"/>
              <w:rPr>
                <w:sz w:val="18"/>
              </w:rPr>
            </w:pPr>
            <w:r>
              <w:rPr>
                <w:spacing w:val="-10"/>
                <w:sz w:val="18"/>
              </w:rPr>
              <w:t>-</w:t>
            </w:r>
          </w:p>
        </w:tc>
        <w:tc>
          <w:tcPr>
            <w:tcW w:w="3542" w:type="dxa"/>
            <w:tcBorders>
              <w:bottom w:val="nil"/>
            </w:tcBorders>
          </w:tcPr>
          <w:p>
            <w:pPr>
              <w:pStyle w:val="TableParagraph"/>
              <w:spacing w:line="280" w:lineRule="auto"/>
              <w:ind w:left="107"/>
              <w:rPr>
                <w:sz w:val="18"/>
              </w:rPr>
            </w:pPr>
            <w:r>
              <w:rPr>
                <w:sz w:val="18"/>
              </w:rPr>
              <w:t>Very</w:t>
            </w:r>
            <w:r>
              <w:rPr>
                <w:spacing w:val="-10"/>
                <w:sz w:val="18"/>
              </w:rPr>
              <w:t> </w:t>
            </w:r>
            <w:r>
              <w:rPr>
                <w:sz w:val="18"/>
              </w:rPr>
              <w:t>high</w:t>
            </w:r>
            <w:r>
              <w:rPr>
                <w:spacing w:val="-11"/>
                <w:sz w:val="18"/>
              </w:rPr>
              <w:t> </w:t>
            </w:r>
            <w:r>
              <w:rPr>
                <w:sz w:val="18"/>
              </w:rPr>
              <w:t>(for</w:t>
            </w:r>
            <w:r>
              <w:rPr>
                <w:spacing w:val="-9"/>
                <w:sz w:val="18"/>
              </w:rPr>
              <w:t> </w:t>
            </w:r>
            <w:r>
              <w:rPr>
                <w:sz w:val="18"/>
              </w:rPr>
              <w:t>outcome</w:t>
            </w:r>
            <w:r>
              <w:rPr>
                <w:spacing w:val="-11"/>
                <w:sz w:val="18"/>
              </w:rPr>
              <w:t> </w:t>
            </w:r>
            <w:r>
              <w:rPr>
                <w:sz w:val="18"/>
              </w:rPr>
              <w:t>thrombotic </w:t>
            </w:r>
            <w:r>
              <w:rPr>
                <w:spacing w:val="-2"/>
                <w:sz w:val="18"/>
              </w:rPr>
              <w:t>complications)</w:t>
            </w:r>
          </w:p>
        </w:tc>
      </w:tr>
      <w:tr>
        <w:trPr>
          <w:trHeight w:val="384" w:hRule="atLeast"/>
        </w:trPr>
        <w:tc>
          <w:tcPr>
            <w:tcW w:w="936" w:type="dxa"/>
            <w:tcBorders>
              <w:top w:val="nil"/>
              <w:bottom w:val="nil"/>
            </w:tcBorders>
          </w:tcPr>
          <w:p>
            <w:pPr>
              <w:pStyle w:val="TableParagraph"/>
              <w:rPr>
                <w:rFonts w:ascii="Times New Roman"/>
                <w:sz w:val="18"/>
              </w:rPr>
            </w:pPr>
          </w:p>
        </w:tc>
        <w:tc>
          <w:tcPr>
            <w:tcW w:w="2176" w:type="dxa"/>
            <w:tcBorders>
              <w:top w:val="nil"/>
              <w:bottom w:val="nil"/>
            </w:tcBorders>
          </w:tcPr>
          <w:p>
            <w:pPr>
              <w:pStyle w:val="TableParagraph"/>
              <w:spacing w:before="19"/>
              <w:ind w:left="105"/>
              <w:rPr>
                <w:sz w:val="18"/>
              </w:rPr>
            </w:pPr>
            <w:r>
              <w:rPr>
                <w:sz w:val="18"/>
              </w:rPr>
              <w:t>28</w:t>
            </w:r>
            <w:r>
              <w:rPr>
                <w:spacing w:val="-2"/>
                <w:sz w:val="18"/>
              </w:rPr>
              <w:t> </w:t>
            </w:r>
            <w:r>
              <w:rPr>
                <w:sz w:val="18"/>
              </w:rPr>
              <w:t>days</w:t>
            </w:r>
            <w:r>
              <w:rPr>
                <w:spacing w:val="-2"/>
                <w:sz w:val="18"/>
              </w:rPr>
              <w:t> </w:t>
            </w:r>
            <w:r>
              <w:rPr>
                <w:sz w:val="18"/>
              </w:rPr>
              <w:t>(13-</w:t>
            </w:r>
            <w:r>
              <w:rPr>
                <w:spacing w:val="-5"/>
                <w:sz w:val="18"/>
              </w:rPr>
              <w:t>44)</w:t>
            </w:r>
          </w:p>
        </w:tc>
        <w:tc>
          <w:tcPr>
            <w:tcW w:w="2124" w:type="dxa"/>
            <w:tcBorders>
              <w:top w:val="nil"/>
              <w:bottom w:val="nil"/>
            </w:tcBorders>
          </w:tcPr>
          <w:p>
            <w:pPr>
              <w:pStyle w:val="TableParagraph"/>
              <w:spacing w:before="50"/>
              <w:ind w:left="104"/>
              <w:rPr>
                <w:sz w:val="18"/>
              </w:rPr>
            </w:pPr>
            <w:r>
              <w:rPr>
                <w:spacing w:val="-2"/>
                <w:sz w:val="18"/>
                <w:u w:val="single"/>
              </w:rPr>
              <w:t>Control</w:t>
            </w:r>
          </w:p>
        </w:tc>
        <w:tc>
          <w:tcPr>
            <w:tcW w:w="1276" w:type="dxa"/>
            <w:tcBorders>
              <w:top w:val="nil"/>
              <w:bottom w:val="nil"/>
            </w:tcBorders>
          </w:tcPr>
          <w:p>
            <w:pPr>
              <w:pStyle w:val="TableParagraph"/>
              <w:rPr>
                <w:rFonts w:ascii="Times New Roman"/>
                <w:sz w:val="18"/>
              </w:rPr>
            </w:pPr>
          </w:p>
        </w:tc>
        <w:tc>
          <w:tcPr>
            <w:tcW w:w="2126" w:type="dxa"/>
            <w:tcBorders>
              <w:top w:val="nil"/>
              <w:bottom w:val="nil"/>
            </w:tcBorders>
          </w:tcPr>
          <w:p>
            <w:pPr>
              <w:pStyle w:val="TableParagraph"/>
              <w:rPr>
                <w:rFonts w:ascii="Times New Roman"/>
                <w:sz w:val="18"/>
              </w:rPr>
            </w:pPr>
          </w:p>
        </w:tc>
        <w:tc>
          <w:tcPr>
            <w:tcW w:w="1559" w:type="dxa"/>
            <w:tcBorders>
              <w:top w:val="nil"/>
              <w:bottom w:val="nil"/>
            </w:tcBorders>
          </w:tcPr>
          <w:p>
            <w:pPr>
              <w:pStyle w:val="TableParagraph"/>
              <w:rPr>
                <w:rFonts w:ascii="Times New Roman"/>
                <w:sz w:val="18"/>
              </w:rPr>
            </w:pPr>
          </w:p>
        </w:tc>
        <w:tc>
          <w:tcPr>
            <w:tcW w:w="3542" w:type="dxa"/>
            <w:tcBorders>
              <w:top w:val="nil"/>
              <w:bottom w:val="nil"/>
            </w:tcBorders>
          </w:tcPr>
          <w:p>
            <w:pPr>
              <w:pStyle w:val="TableParagraph"/>
              <w:rPr>
                <w:rFonts w:ascii="Times New Roman"/>
                <w:sz w:val="18"/>
              </w:rPr>
            </w:pPr>
          </w:p>
        </w:tc>
      </w:tr>
      <w:tr>
        <w:trPr>
          <w:trHeight w:val="316" w:hRule="atLeast"/>
        </w:trPr>
        <w:tc>
          <w:tcPr>
            <w:tcW w:w="936" w:type="dxa"/>
            <w:tcBorders>
              <w:top w:val="nil"/>
              <w:bottom w:val="nil"/>
            </w:tcBorders>
          </w:tcPr>
          <w:p>
            <w:pPr>
              <w:pStyle w:val="TableParagraph"/>
              <w:rPr>
                <w:rFonts w:ascii="Times New Roman"/>
                <w:sz w:val="18"/>
              </w:rPr>
            </w:pPr>
          </w:p>
        </w:tc>
        <w:tc>
          <w:tcPr>
            <w:tcW w:w="2176" w:type="dxa"/>
            <w:tcBorders>
              <w:top w:val="nil"/>
              <w:bottom w:val="nil"/>
            </w:tcBorders>
          </w:tcPr>
          <w:p>
            <w:pPr>
              <w:pStyle w:val="TableParagraph"/>
              <w:rPr>
                <w:rFonts w:ascii="Times New Roman"/>
                <w:sz w:val="18"/>
              </w:rPr>
            </w:pPr>
          </w:p>
        </w:tc>
        <w:tc>
          <w:tcPr>
            <w:tcW w:w="2124" w:type="dxa"/>
            <w:tcBorders>
              <w:top w:val="nil"/>
              <w:bottom w:val="nil"/>
            </w:tcBorders>
          </w:tcPr>
          <w:p>
            <w:pPr>
              <w:pStyle w:val="TableParagraph"/>
              <w:spacing w:line="216" w:lineRule="exact" w:before="81"/>
              <w:ind w:left="104"/>
              <w:rPr>
                <w:sz w:val="18"/>
              </w:rPr>
            </w:pPr>
            <w:r>
              <w:rPr>
                <w:sz w:val="18"/>
              </w:rPr>
              <w:t>No</w:t>
            </w:r>
            <w:r>
              <w:rPr>
                <w:spacing w:val="-1"/>
                <w:sz w:val="18"/>
              </w:rPr>
              <w:t> </w:t>
            </w:r>
            <w:r>
              <w:rPr>
                <w:spacing w:val="-2"/>
                <w:sz w:val="18"/>
              </w:rPr>
              <w:t>thromboprophylaxis</w:t>
            </w:r>
          </w:p>
        </w:tc>
        <w:tc>
          <w:tcPr>
            <w:tcW w:w="1276" w:type="dxa"/>
            <w:tcBorders>
              <w:top w:val="nil"/>
              <w:bottom w:val="nil"/>
            </w:tcBorders>
          </w:tcPr>
          <w:p>
            <w:pPr>
              <w:pStyle w:val="TableParagraph"/>
              <w:rPr>
                <w:rFonts w:ascii="Times New Roman"/>
                <w:sz w:val="18"/>
              </w:rPr>
            </w:pPr>
          </w:p>
        </w:tc>
        <w:tc>
          <w:tcPr>
            <w:tcW w:w="2126" w:type="dxa"/>
            <w:tcBorders>
              <w:top w:val="nil"/>
              <w:bottom w:val="nil"/>
            </w:tcBorders>
          </w:tcPr>
          <w:p>
            <w:pPr>
              <w:pStyle w:val="TableParagraph"/>
              <w:rPr>
                <w:rFonts w:ascii="Times New Roman"/>
                <w:sz w:val="18"/>
              </w:rPr>
            </w:pPr>
          </w:p>
        </w:tc>
        <w:tc>
          <w:tcPr>
            <w:tcW w:w="1559" w:type="dxa"/>
            <w:tcBorders>
              <w:top w:val="nil"/>
              <w:bottom w:val="nil"/>
            </w:tcBorders>
          </w:tcPr>
          <w:p>
            <w:pPr>
              <w:pStyle w:val="TableParagraph"/>
              <w:rPr>
                <w:rFonts w:ascii="Times New Roman"/>
                <w:sz w:val="18"/>
              </w:rPr>
            </w:pPr>
          </w:p>
        </w:tc>
        <w:tc>
          <w:tcPr>
            <w:tcW w:w="3542" w:type="dxa"/>
            <w:tcBorders>
              <w:top w:val="nil"/>
              <w:bottom w:val="nil"/>
            </w:tcBorders>
          </w:tcPr>
          <w:p>
            <w:pPr>
              <w:pStyle w:val="TableParagraph"/>
              <w:rPr>
                <w:rFonts w:ascii="Times New Roman"/>
                <w:sz w:val="18"/>
              </w:rPr>
            </w:pPr>
          </w:p>
        </w:tc>
      </w:tr>
      <w:tr>
        <w:trPr>
          <w:trHeight w:val="1076" w:hRule="atLeast"/>
        </w:trPr>
        <w:tc>
          <w:tcPr>
            <w:tcW w:w="936" w:type="dxa"/>
            <w:tcBorders>
              <w:top w:val="nil"/>
            </w:tcBorders>
          </w:tcPr>
          <w:p>
            <w:pPr>
              <w:pStyle w:val="TableParagraph"/>
              <w:rPr>
                <w:rFonts w:ascii="Times New Roman"/>
                <w:sz w:val="18"/>
              </w:rPr>
            </w:pPr>
          </w:p>
        </w:tc>
        <w:tc>
          <w:tcPr>
            <w:tcW w:w="2176" w:type="dxa"/>
            <w:tcBorders>
              <w:top w:val="nil"/>
            </w:tcBorders>
          </w:tcPr>
          <w:p>
            <w:pPr>
              <w:pStyle w:val="TableParagraph"/>
              <w:spacing w:line="208" w:lineRule="exact"/>
              <w:ind w:left="105"/>
              <w:rPr>
                <w:position w:val="5"/>
                <w:sz w:val="12"/>
              </w:rPr>
            </w:pPr>
            <w:r>
              <w:rPr>
                <w:spacing w:val="-4"/>
                <w:sz w:val="18"/>
                <w:u w:val="single"/>
              </w:rPr>
              <w:t>Sex</w:t>
            </w:r>
            <w:r>
              <w:rPr>
                <w:spacing w:val="-4"/>
                <w:position w:val="5"/>
                <w:sz w:val="12"/>
                <w:u w:val="none"/>
              </w:rPr>
              <w:t>2</w:t>
            </w:r>
          </w:p>
          <w:p>
            <w:pPr>
              <w:pStyle w:val="TableParagraph"/>
              <w:spacing w:before="37"/>
              <w:ind w:left="105"/>
              <w:rPr>
                <w:sz w:val="18"/>
              </w:rPr>
            </w:pPr>
            <w:r>
              <w:rPr>
                <w:sz w:val="18"/>
              </w:rPr>
              <w:t>37% </w:t>
            </w:r>
            <w:r>
              <w:rPr>
                <w:spacing w:val="-2"/>
                <w:sz w:val="18"/>
              </w:rPr>
              <w:t>female</w:t>
            </w:r>
          </w:p>
        </w:tc>
        <w:tc>
          <w:tcPr>
            <w:tcW w:w="2124" w:type="dxa"/>
            <w:tcBorders>
              <w:top w:val="nil"/>
            </w:tcBorders>
          </w:tcPr>
          <w:p>
            <w:pPr>
              <w:pStyle w:val="TableParagraph"/>
              <w:rPr>
                <w:rFonts w:ascii="Times New Roman"/>
                <w:sz w:val="18"/>
              </w:rPr>
            </w:pPr>
          </w:p>
        </w:tc>
        <w:tc>
          <w:tcPr>
            <w:tcW w:w="1276" w:type="dxa"/>
            <w:tcBorders>
              <w:top w:val="nil"/>
            </w:tcBorders>
          </w:tcPr>
          <w:p>
            <w:pPr>
              <w:pStyle w:val="TableParagraph"/>
              <w:rPr>
                <w:rFonts w:ascii="Times New Roman"/>
                <w:sz w:val="18"/>
              </w:rPr>
            </w:pPr>
          </w:p>
        </w:tc>
        <w:tc>
          <w:tcPr>
            <w:tcW w:w="2126" w:type="dxa"/>
            <w:tcBorders>
              <w:top w:val="nil"/>
            </w:tcBorders>
          </w:tcPr>
          <w:p>
            <w:pPr>
              <w:pStyle w:val="TableParagraph"/>
              <w:rPr>
                <w:rFonts w:ascii="Times New Roman"/>
                <w:sz w:val="18"/>
              </w:rPr>
            </w:pPr>
          </w:p>
        </w:tc>
        <w:tc>
          <w:tcPr>
            <w:tcW w:w="1559" w:type="dxa"/>
            <w:tcBorders>
              <w:top w:val="nil"/>
            </w:tcBorders>
          </w:tcPr>
          <w:p>
            <w:pPr>
              <w:pStyle w:val="TableParagraph"/>
              <w:rPr>
                <w:rFonts w:ascii="Times New Roman"/>
                <w:sz w:val="18"/>
              </w:rPr>
            </w:pPr>
          </w:p>
        </w:tc>
        <w:tc>
          <w:tcPr>
            <w:tcW w:w="3542" w:type="dxa"/>
            <w:tcBorders>
              <w:top w:val="nil"/>
            </w:tcBorders>
          </w:tcPr>
          <w:p>
            <w:pPr>
              <w:pStyle w:val="TableParagraph"/>
              <w:rPr>
                <w:rFonts w:ascii="Times New Roman"/>
                <w:sz w:val="18"/>
              </w:rPr>
            </w:pPr>
          </w:p>
        </w:tc>
      </w:tr>
    </w:tbl>
    <w:p>
      <w:pPr>
        <w:pStyle w:val="TableParagraph"/>
        <w:spacing w:after="0"/>
        <w:rPr>
          <w:rFonts w:ascii="Times New Roman"/>
          <w:sz w:val="18"/>
        </w:rPr>
        <w:sectPr>
          <w:pgSz w:w="16840" w:h="11910" w:orient="landscape"/>
          <w:pgMar w:top="1340" w:bottom="280" w:left="1417" w:right="992"/>
        </w:sectPr>
      </w:pPr>
    </w:p>
    <w:p>
      <w:pPr>
        <w:pStyle w:val="BodyText"/>
      </w:pPr>
    </w:p>
    <w:p>
      <w:pPr>
        <w:pStyle w:val="BodyText"/>
        <w:spacing w:before="29"/>
      </w:pPr>
    </w:p>
    <w:p>
      <w:pPr>
        <w:pStyle w:val="BodyText"/>
        <w:ind w:left="23"/>
      </w:pPr>
      <w:r>
        <w:rPr/>
        <w:t>Table</w:t>
      </w:r>
      <w:r>
        <w:rPr>
          <w:spacing w:val="-5"/>
        </w:rPr>
        <w:t> </w:t>
      </w:r>
      <w:r>
        <w:rPr/>
        <w:t>2.3.</w:t>
      </w:r>
      <w:r>
        <w:rPr>
          <w:spacing w:val="-2"/>
        </w:rPr>
        <w:t> </w:t>
      </w:r>
      <w:r>
        <w:rPr/>
        <w:t>Risk</w:t>
      </w:r>
      <w:r>
        <w:rPr>
          <w:spacing w:val="-3"/>
        </w:rPr>
        <w:t> </w:t>
      </w:r>
      <w:r>
        <w:rPr/>
        <w:t>of</w:t>
      </w:r>
      <w:r>
        <w:rPr>
          <w:spacing w:val="-2"/>
        </w:rPr>
        <w:t> </w:t>
      </w:r>
      <w:r>
        <w:rPr>
          <w:spacing w:val="-4"/>
        </w:rPr>
        <w:t>bias</w:t>
      </w:r>
    </w:p>
    <w:p>
      <w:pPr>
        <w:pStyle w:val="BodyText"/>
        <w:spacing w:before="7"/>
        <w:rPr>
          <w:sz w:val="16"/>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46"/>
        <w:gridCol w:w="1356"/>
        <w:gridCol w:w="1337"/>
        <w:gridCol w:w="1275"/>
        <w:gridCol w:w="1277"/>
        <w:gridCol w:w="1277"/>
        <w:gridCol w:w="1275"/>
        <w:gridCol w:w="1419"/>
        <w:gridCol w:w="1357"/>
        <w:gridCol w:w="1703"/>
      </w:tblGrid>
      <w:tr>
        <w:trPr>
          <w:trHeight w:val="567" w:hRule="atLeast"/>
        </w:trPr>
        <w:tc>
          <w:tcPr>
            <w:tcW w:w="946" w:type="dxa"/>
            <w:tcBorders>
              <w:bottom w:val="nil"/>
              <w:right w:val="single" w:sz="4" w:space="0" w:color="000000"/>
            </w:tcBorders>
            <w:shd w:val="clear" w:color="auto" w:fill="D9D9D9"/>
          </w:tcPr>
          <w:p>
            <w:pPr>
              <w:pStyle w:val="TableParagraph"/>
              <w:spacing w:before="1"/>
              <w:ind w:left="105" w:right="250"/>
              <w:rPr>
                <w:b/>
                <w:sz w:val="18"/>
              </w:rPr>
            </w:pPr>
            <w:r>
              <w:rPr>
                <w:b/>
                <w:spacing w:val="-2"/>
                <w:sz w:val="18"/>
              </w:rPr>
              <w:t>Author,</w:t>
            </w:r>
            <w:r>
              <w:rPr>
                <w:b/>
                <w:sz w:val="18"/>
              </w:rPr>
              <w:t> </w:t>
            </w:r>
            <w:r>
              <w:rPr>
                <w:b/>
                <w:spacing w:val="-4"/>
                <w:sz w:val="18"/>
              </w:rPr>
              <w:t>year</w:t>
            </w:r>
          </w:p>
        </w:tc>
        <w:tc>
          <w:tcPr>
            <w:tcW w:w="1356" w:type="dxa"/>
            <w:tcBorders>
              <w:left w:val="single" w:sz="4" w:space="0" w:color="000000"/>
              <w:bottom w:val="nil"/>
              <w:right w:val="single" w:sz="4" w:space="0" w:color="000000"/>
            </w:tcBorders>
            <w:shd w:val="clear" w:color="auto" w:fill="D9D9D9"/>
          </w:tcPr>
          <w:p>
            <w:pPr>
              <w:pStyle w:val="TableParagraph"/>
              <w:spacing w:before="1"/>
              <w:ind w:left="105" w:right="100"/>
              <w:rPr>
                <w:b/>
                <w:sz w:val="18"/>
              </w:rPr>
            </w:pPr>
            <w:r>
              <w:rPr>
                <w:b/>
                <w:sz w:val="18"/>
              </w:rPr>
              <w:t>Selection</w:t>
            </w:r>
            <w:r>
              <w:rPr>
                <w:b/>
                <w:spacing w:val="-11"/>
                <w:sz w:val="18"/>
              </w:rPr>
              <w:t> </w:t>
            </w:r>
            <w:r>
              <w:rPr>
                <w:b/>
                <w:sz w:val="18"/>
              </w:rPr>
              <w:t>of </w:t>
            </w:r>
            <w:r>
              <w:rPr>
                <w:b/>
                <w:spacing w:val="-2"/>
                <w:sz w:val="18"/>
              </w:rPr>
              <w:t>participants</w:t>
            </w:r>
          </w:p>
        </w:tc>
        <w:tc>
          <w:tcPr>
            <w:tcW w:w="1337" w:type="dxa"/>
            <w:tcBorders>
              <w:left w:val="single" w:sz="4" w:space="0" w:color="000000"/>
              <w:bottom w:val="nil"/>
              <w:right w:val="single" w:sz="4" w:space="0" w:color="000000"/>
            </w:tcBorders>
            <w:shd w:val="clear" w:color="auto" w:fill="D9D9D9"/>
          </w:tcPr>
          <w:p>
            <w:pPr>
              <w:pStyle w:val="TableParagraph"/>
              <w:spacing w:before="1"/>
              <w:ind w:left="105"/>
              <w:rPr>
                <w:b/>
                <w:sz w:val="18"/>
              </w:rPr>
            </w:pPr>
            <w:r>
              <w:rPr>
                <w:b/>
                <w:spacing w:val="-2"/>
                <w:sz w:val="18"/>
              </w:rPr>
              <w:t>Exposure</w:t>
            </w:r>
          </w:p>
        </w:tc>
        <w:tc>
          <w:tcPr>
            <w:tcW w:w="1275" w:type="dxa"/>
            <w:tcBorders>
              <w:left w:val="single" w:sz="4" w:space="0" w:color="000000"/>
              <w:bottom w:val="nil"/>
              <w:right w:val="single" w:sz="4" w:space="0" w:color="000000"/>
            </w:tcBorders>
            <w:shd w:val="clear" w:color="auto" w:fill="D9D9D9"/>
          </w:tcPr>
          <w:p>
            <w:pPr>
              <w:pStyle w:val="TableParagraph"/>
              <w:spacing w:before="1"/>
              <w:ind w:left="107" w:right="264"/>
              <w:rPr>
                <w:b/>
                <w:sz w:val="18"/>
              </w:rPr>
            </w:pPr>
            <w:r>
              <w:rPr>
                <w:b/>
                <w:sz w:val="18"/>
              </w:rPr>
              <w:t>Outcome</w:t>
            </w:r>
            <w:r>
              <w:rPr>
                <w:b/>
                <w:spacing w:val="-11"/>
                <w:sz w:val="18"/>
              </w:rPr>
              <w:t> </w:t>
            </w:r>
            <w:r>
              <w:rPr>
                <w:b/>
                <w:sz w:val="18"/>
              </w:rPr>
              <w:t>of </w:t>
            </w:r>
            <w:r>
              <w:rPr>
                <w:b/>
                <w:spacing w:val="-2"/>
                <w:sz w:val="18"/>
              </w:rPr>
              <w:t>interest</w:t>
            </w:r>
          </w:p>
        </w:tc>
        <w:tc>
          <w:tcPr>
            <w:tcW w:w="1277" w:type="dxa"/>
            <w:tcBorders>
              <w:left w:val="single" w:sz="4" w:space="0" w:color="000000"/>
              <w:bottom w:val="nil"/>
              <w:right w:val="single" w:sz="4" w:space="0" w:color="000000"/>
            </w:tcBorders>
            <w:shd w:val="clear" w:color="auto" w:fill="D9D9D9"/>
          </w:tcPr>
          <w:p>
            <w:pPr>
              <w:pStyle w:val="TableParagraph"/>
              <w:spacing w:before="1"/>
              <w:ind w:left="107"/>
              <w:rPr>
                <w:b/>
                <w:sz w:val="18"/>
              </w:rPr>
            </w:pPr>
            <w:r>
              <w:rPr>
                <w:b/>
                <w:spacing w:val="-2"/>
                <w:sz w:val="18"/>
              </w:rPr>
              <w:t>Confounding-assessment</w:t>
            </w:r>
          </w:p>
        </w:tc>
        <w:tc>
          <w:tcPr>
            <w:tcW w:w="1277" w:type="dxa"/>
            <w:tcBorders>
              <w:left w:val="single" w:sz="4" w:space="0" w:color="000000"/>
              <w:bottom w:val="nil"/>
              <w:right w:val="single" w:sz="4" w:space="0" w:color="000000"/>
            </w:tcBorders>
            <w:shd w:val="clear" w:color="auto" w:fill="D9D9D9"/>
          </w:tcPr>
          <w:p>
            <w:pPr>
              <w:pStyle w:val="TableParagraph"/>
              <w:spacing w:before="1"/>
              <w:ind w:left="107"/>
              <w:rPr>
                <w:b/>
                <w:sz w:val="18"/>
              </w:rPr>
            </w:pPr>
            <w:r>
              <w:rPr>
                <w:b/>
                <w:spacing w:val="-2"/>
                <w:sz w:val="18"/>
              </w:rPr>
              <w:t>Confounding-analysis</w:t>
            </w:r>
          </w:p>
        </w:tc>
        <w:tc>
          <w:tcPr>
            <w:tcW w:w="1275" w:type="dxa"/>
            <w:tcBorders>
              <w:left w:val="single" w:sz="4" w:space="0" w:color="000000"/>
              <w:bottom w:val="nil"/>
              <w:right w:val="single" w:sz="4" w:space="0" w:color="000000"/>
            </w:tcBorders>
            <w:shd w:val="clear" w:color="auto" w:fill="D9D9D9"/>
          </w:tcPr>
          <w:p>
            <w:pPr>
              <w:pStyle w:val="TableParagraph"/>
              <w:spacing w:before="1"/>
              <w:ind w:left="104" w:right="264"/>
              <w:rPr>
                <w:b/>
                <w:sz w:val="18"/>
              </w:rPr>
            </w:pPr>
            <w:r>
              <w:rPr>
                <w:b/>
                <w:spacing w:val="-2"/>
                <w:sz w:val="18"/>
              </w:rPr>
              <w:t>Assessment</w:t>
            </w:r>
            <w:r>
              <w:rPr>
                <w:b/>
                <w:sz w:val="18"/>
              </w:rPr>
              <w:t> of</w:t>
            </w:r>
            <w:r>
              <w:rPr>
                <w:b/>
                <w:spacing w:val="-1"/>
                <w:sz w:val="18"/>
              </w:rPr>
              <w:t> </w:t>
            </w:r>
            <w:r>
              <w:rPr>
                <w:b/>
                <w:spacing w:val="-2"/>
                <w:sz w:val="18"/>
              </w:rPr>
              <w:t>outcome</w:t>
            </w:r>
          </w:p>
        </w:tc>
        <w:tc>
          <w:tcPr>
            <w:tcW w:w="1419" w:type="dxa"/>
            <w:tcBorders>
              <w:left w:val="single" w:sz="4" w:space="0" w:color="000000"/>
              <w:bottom w:val="nil"/>
              <w:right w:val="single" w:sz="4" w:space="0" w:color="000000"/>
            </w:tcBorders>
            <w:shd w:val="clear" w:color="auto" w:fill="D9D9D9"/>
          </w:tcPr>
          <w:p>
            <w:pPr>
              <w:pStyle w:val="TableParagraph"/>
              <w:spacing w:before="1"/>
              <w:ind w:left="106"/>
              <w:rPr>
                <w:b/>
                <w:sz w:val="18"/>
              </w:rPr>
            </w:pPr>
            <w:r>
              <w:rPr>
                <w:b/>
                <w:sz w:val="18"/>
              </w:rPr>
              <w:t>Follow</w:t>
            </w:r>
            <w:r>
              <w:rPr>
                <w:b/>
                <w:spacing w:val="-5"/>
                <w:sz w:val="18"/>
              </w:rPr>
              <w:t> up</w:t>
            </w:r>
          </w:p>
        </w:tc>
        <w:tc>
          <w:tcPr>
            <w:tcW w:w="1357" w:type="dxa"/>
            <w:tcBorders>
              <w:left w:val="single" w:sz="4" w:space="0" w:color="000000"/>
              <w:bottom w:val="nil"/>
              <w:right w:val="single" w:sz="4" w:space="0" w:color="000000"/>
            </w:tcBorders>
            <w:shd w:val="clear" w:color="auto" w:fill="D9D9D9"/>
          </w:tcPr>
          <w:p>
            <w:pPr>
              <w:pStyle w:val="TableParagraph"/>
              <w:spacing w:before="1"/>
              <w:ind w:left="106" w:right="123"/>
              <w:rPr>
                <w:b/>
                <w:sz w:val="18"/>
              </w:rPr>
            </w:pPr>
            <w:r>
              <w:rPr>
                <w:b/>
                <w:spacing w:val="-4"/>
                <w:sz w:val="18"/>
              </w:rPr>
              <w:t>Co-</w:t>
            </w:r>
            <w:r>
              <w:rPr>
                <w:b/>
                <w:spacing w:val="-2"/>
                <w:sz w:val="18"/>
              </w:rPr>
              <w:t>interventions</w:t>
            </w:r>
          </w:p>
        </w:tc>
        <w:tc>
          <w:tcPr>
            <w:tcW w:w="1703" w:type="dxa"/>
            <w:tcBorders>
              <w:left w:val="single" w:sz="4" w:space="0" w:color="000000"/>
              <w:bottom w:val="nil"/>
            </w:tcBorders>
            <w:shd w:val="clear" w:color="auto" w:fill="D9D9D9"/>
          </w:tcPr>
          <w:p>
            <w:pPr>
              <w:pStyle w:val="TableParagraph"/>
              <w:spacing w:before="1"/>
              <w:ind w:left="105"/>
              <w:rPr>
                <w:b/>
                <w:sz w:val="18"/>
              </w:rPr>
            </w:pPr>
            <w:r>
              <w:rPr>
                <w:b/>
                <w:sz w:val="18"/>
              </w:rPr>
              <w:t>Overall</w:t>
            </w:r>
            <w:r>
              <w:rPr>
                <w:b/>
                <w:spacing w:val="-4"/>
                <w:sz w:val="18"/>
              </w:rPr>
              <w:t> </w:t>
            </w:r>
            <w:r>
              <w:rPr>
                <w:b/>
                <w:sz w:val="18"/>
              </w:rPr>
              <w:t>Risk</w:t>
            </w:r>
            <w:r>
              <w:rPr>
                <w:b/>
                <w:spacing w:val="-1"/>
                <w:sz w:val="18"/>
              </w:rPr>
              <w:t> </w:t>
            </w:r>
            <w:r>
              <w:rPr>
                <w:b/>
                <w:sz w:val="18"/>
              </w:rPr>
              <w:t>of</w:t>
            </w:r>
            <w:r>
              <w:rPr>
                <w:b/>
                <w:spacing w:val="-2"/>
                <w:sz w:val="18"/>
              </w:rPr>
              <w:t> </w:t>
            </w:r>
            <w:r>
              <w:rPr>
                <w:b/>
                <w:spacing w:val="-4"/>
                <w:sz w:val="18"/>
              </w:rPr>
              <w:t>bias</w:t>
            </w:r>
          </w:p>
        </w:tc>
      </w:tr>
      <w:tr>
        <w:trPr>
          <w:trHeight w:val="3960" w:hRule="atLeast"/>
        </w:trPr>
        <w:tc>
          <w:tcPr>
            <w:tcW w:w="946" w:type="dxa"/>
            <w:tcBorders>
              <w:top w:val="nil"/>
              <w:bottom w:val="nil"/>
              <w:right w:val="single" w:sz="4" w:space="0" w:color="000000"/>
            </w:tcBorders>
            <w:shd w:val="clear" w:color="auto" w:fill="D9D9D9"/>
          </w:tcPr>
          <w:p>
            <w:pPr>
              <w:pStyle w:val="TableParagraph"/>
              <w:rPr>
                <w:rFonts w:ascii="Times New Roman"/>
                <w:sz w:val="18"/>
              </w:rPr>
            </w:pPr>
          </w:p>
        </w:tc>
        <w:tc>
          <w:tcPr>
            <w:tcW w:w="1356" w:type="dxa"/>
            <w:tcBorders>
              <w:top w:val="nil"/>
              <w:left w:val="single" w:sz="4" w:space="0" w:color="000000"/>
              <w:bottom w:val="nil"/>
              <w:right w:val="single" w:sz="4" w:space="0" w:color="000000"/>
            </w:tcBorders>
            <w:shd w:val="clear" w:color="auto" w:fill="D9D9D9"/>
          </w:tcPr>
          <w:p>
            <w:pPr>
              <w:pStyle w:val="TableParagraph"/>
              <w:spacing w:before="93"/>
              <w:ind w:left="105" w:right="100"/>
              <w:rPr>
                <w:b/>
                <w:sz w:val="18"/>
              </w:rPr>
            </w:pPr>
            <w:r>
              <w:rPr>
                <w:b/>
                <w:sz w:val="18"/>
              </w:rPr>
              <w:t>Was selection of</w:t>
            </w:r>
            <w:r>
              <w:rPr>
                <w:b/>
                <w:spacing w:val="-11"/>
                <w:sz w:val="18"/>
              </w:rPr>
              <w:t> </w:t>
            </w:r>
            <w:r>
              <w:rPr>
                <w:b/>
                <w:sz w:val="18"/>
              </w:rPr>
              <w:t>exposed</w:t>
            </w:r>
            <w:r>
              <w:rPr>
                <w:b/>
                <w:spacing w:val="-10"/>
                <w:sz w:val="18"/>
              </w:rPr>
              <w:t> </w:t>
            </w:r>
            <w:r>
              <w:rPr>
                <w:b/>
                <w:sz w:val="18"/>
              </w:rPr>
              <w:t>and </w:t>
            </w:r>
            <w:r>
              <w:rPr>
                <w:b/>
                <w:spacing w:val="-2"/>
                <w:sz w:val="18"/>
              </w:rPr>
              <w:t>non-exposed</w:t>
            </w:r>
            <w:r>
              <w:rPr>
                <w:b/>
                <w:sz w:val="18"/>
              </w:rPr>
              <w:t> cohorts drawn from the same </w:t>
            </w:r>
            <w:r>
              <w:rPr>
                <w:b/>
                <w:spacing w:val="-2"/>
                <w:sz w:val="18"/>
              </w:rPr>
              <w:t>population?</w:t>
            </w:r>
          </w:p>
        </w:tc>
        <w:tc>
          <w:tcPr>
            <w:tcW w:w="1337" w:type="dxa"/>
            <w:tcBorders>
              <w:top w:val="nil"/>
              <w:left w:val="single" w:sz="4" w:space="0" w:color="000000"/>
              <w:bottom w:val="nil"/>
              <w:right w:val="single" w:sz="4" w:space="0" w:color="000000"/>
            </w:tcBorders>
            <w:shd w:val="clear" w:color="auto" w:fill="D9D9D9"/>
          </w:tcPr>
          <w:p>
            <w:pPr>
              <w:pStyle w:val="TableParagraph"/>
              <w:spacing w:before="93"/>
              <w:ind w:left="105" w:right="155"/>
              <w:rPr>
                <w:b/>
                <w:sz w:val="18"/>
              </w:rPr>
            </w:pPr>
            <w:r>
              <w:rPr>
                <w:b/>
                <w:sz w:val="18"/>
              </w:rPr>
              <w:t>Can we be confident in </w:t>
            </w:r>
            <w:r>
              <w:rPr>
                <w:b/>
                <w:spacing w:val="-4"/>
                <w:sz w:val="18"/>
              </w:rPr>
              <w:t>the</w:t>
            </w:r>
            <w:r>
              <w:rPr>
                <w:b/>
                <w:sz w:val="18"/>
              </w:rPr>
              <w:t> assessment</w:t>
            </w:r>
            <w:r>
              <w:rPr>
                <w:b/>
                <w:spacing w:val="-11"/>
                <w:sz w:val="18"/>
              </w:rPr>
              <w:t> </w:t>
            </w:r>
            <w:r>
              <w:rPr>
                <w:b/>
                <w:sz w:val="18"/>
              </w:rPr>
              <w:t>of </w:t>
            </w:r>
            <w:r>
              <w:rPr>
                <w:b/>
                <w:spacing w:val="-2"/>
                <w:sz w:val="18"/>
              </w:rPr>
              <w:t>exposure?</w:t>
            </w:r>
          </w:p>
        </w:tc>
        <w:tc>
          <w:tcPr>
            <w:tcW w:w="1275" w:type="dxa"/>
            <w:tcBorders>
              <w:top w:val="nil"/>
              <w:left w:val="single" w:sz="4" w:space="0" w:color="000000"/>
              <w:bottom w:val="nil"/>
              <w:right w:val="single" w:sz="4" w:space="0" w:color="000000"/>
            </w:tcBorders>
            <w:shd w:val="clear" w:color="auto" w:fill="D9D9D9"/>
          </w:tcPr>
          <w:p>
            <w:pPr>
              <w:pStyle w:val="TableParagraph"/>
              <w:spacing w:before="93"/>
              <w:ind w:left="107" w:right="95"/>
              <w:rPr>
                <w:b/>
                <w:sz w:val="18"/>
              </w:rPr>
            </w:pPr>
            <w:r>
              <w:rPr>
                <w:b/>
                <w:sz w:val="18"/>
              </w:rPr>
              <w:t>Can we be </w:t>
            </w:r>
            <w:r>
              <w:rPr>
                <w:b/>
                <w:spacing w:val="-2"/>
                <w:sz w:val="18"/>
              </w:rPr>
              <w:t>confident</w:t>
            </w:r>
            <w:r>
              <w:rPr>
                <w:b/>
                <w:spacing w:val="80"/>
                <w:sz w:val="18"/>
              </w:rPr>
              <w:t> </w:t>
            </w:r>
            <w:r>
              <w:rPr>
                <w:b/>
                <w:sz w:val="18"/>
              </w:rPr>
              <w:t>that the outcome of interest was not</w:t>
            </w:r>
            <w:r>
              <w:rPr>
                <w:b/>
                <w:spacing w:val="-11"/>
                <w:sz w:val="18"/>
              </w:rPr>
              <w:t> </w:t>
            </w:r>
            <w:r>
              <w:rPr>
                <w:b/>
                <w:sz w:val="18"/>
              </w:rPr>
              <w:t>present</w:t>
            </w:r>
            <w:r>
              <w:rPr>
                <w:b/>
                <w:spacing w:val="-10"/>
                <w:sz w:val="18"/>
              </w:rPr>
              <w:t> </w:t>
            </w:r>
            <w:r>
              <w:rPr>
                <w:b/>
                <w:sz w:val="18"/>
              </w:rPr>
              <w:t>at start of</w:t>
            </w:r>
            <w:r>
              <w:rPr>
                <w:b/>
                <w:spacing w:val="40"/>
                <w:sz w:val="18"/>
              </w:rPr>
              <w:t> </w:t>
            </w:r>
            <w:r>
              <w:rPr>
                <w:b/>
                <w:spacing w:val="-2"/>
                <w:sz w:val="18"/>
              </w:rPr>
              <w:t>study?</w:t>
            </w:r>
          </w:p>
        </w:tc>
        <w:tc>
          <w:tcPr>
            <w:tcW w:w="1277" w:type="dxa"/>
            <w:tcBorders>
              <w:top w:val="nil"/>
              <w:left w:val="single" w:sz="4" w:space="0" w:color="000000"/>
              <w:bottom w:val="nil"/>
              <w:right w:val="single" w:sz="4" w:space="0" w:color="000000"/>
            </w:tcBorders>
            <w:shd w:val="clear" w:color="auto" w:fill="D9D9D9"/>
          </w:tcPr>
          <w:p>
            <w:pPr>
              <w:pStyle w:val="TableParagraph"/>
              <w:spacing w:before="93"/>
              <w:ind w:left="107" w:right="93"/>
              <w:rPr>
                <w:b/>
                <w:sz w:val="18"/>
              </w:rPr>
            </w:pPr>
            <w:r>
              <w:rPr>
                <w:b/>
                <w:sz w:val="18"/>
              </w:rPr>
              <w:t>Can we be confident in </w:t>
            </w:r>
            <w:r>
              <w:rPr>
                <w:b/>
                <w:spacing w:val="-4"/>
                <w:sz w:val="18"/>
              </w:rPr>
              <w:t>the</w:t>
            </w:r>
            <w:r>
              <w:rPr>
                <w:b/>
                <w:sz w:val="18"/>
              </w:rPr>
              <w:t> assessment</w:t>
            </w:r>
            <w:r>
              <w:rPr>
                <w:b/>
                <w:spacing w:val="-11"/>
                <w:sz w:val="18"/>
              </w:rPr>
              <w:t> </w:t>
            </w:r>
            <w:r>
              <w:rPr>
                <w:b/>
                <w:sz w:val="18"/>
              </w:rPr>
              <w:t>of </w:t>
            </w:r>
            <w:r>
              <w:rPr>
                <w:b/>
                <w:spacing w:val="-2"/>
                <w:sz w:val="18"/>
              </w:rPr>
              <w:t>confounding</w:t>
            </w:r>
            <w:r>
              <w:rPr>
                <w:b/>
                <w:sz w:val="18"/>
              </w:rPr>
              <w:t> </w:t>
            </w:r>
            <w:r>
              <w:rPr>
                <w:b/>
                <w:spacing w:val="-2"/>
                <w:sz w:val="18"/>
              </w:rPr>
              <w:t>factors?</w:t>
            </w:r>
          </w:p>
        </w:tc>
        <w:tc>
          <w:tcPr>
            <w:tcW w:w="1277" w:type="dxa"/>
            <w:tcBorders>
              <w:top w:val="nil"/>
              <w:left w:val="single" w:sz="4" w:space="0" w:color="000000"/>
              <w:bottom w:val="nil"/>
              <w:right w:val="single" w:sz="4" w:space="0" w:color="000000"/>
            </w:tcBorders>
            <w:shd w:val="clear" w:color="auto" w:fill="D9D9D9"/>
          </w:tcPr>
          <w:p>
            <w:pPr>
              <w:pStyle w:val="TableParagraph"/>
              <w:spacing w:before="93"/>
              <w:ind w:left="107" w:right="97"/>
              <w:rPr>
                <w:b/>
                <w:sz w:val="18"/>
              </w:rPr>
            </w:pPr>
            <w:r>
              <w:rPr>
                <w:b/>
                <w:sz w:val="18"/>
              </w:rPr>
              <w:t>Did the study </w:t>
            </w:r>
            <w:r>
              <w:rPr>
                <w:b/>
                <w:spacing w:val="-2"/>
                <w:sz w:val="18"/>
              </w:rPr>
              <w:t>match</w:t>
            </w:r>
            <w:r>
              <w:rPr>
                <w:b/>
                <w:sz w:val="18"/>
              </w:rPr>
              <w:t> exposed</w:t>
            </w:r>
            <w:r>
              <w:rPr>
                <w:b/>
                <w:spacing w:val="-2"/>
                <w:sz w:val="18"/>
              </w:rPr>
              <w:t> </w:t>
            </w:r>
            <w:r>
              <w:rPr>
                <w:b/>
                <w:sz w:val="18"/>
              </w:rPr>
              <w:t>and </w:t>
            </w:r>
            <w:r>
              <w:rPr>
                <w:b/>
                <w:spacing w:val="-2"/>
                <w:sz w:val="18"/>
              </w:rPr>
              <w:t>unexposed</w:t>
            </w:r>
            <w:r>
              <w:rPr>
                <w:b/>
                <w:spacing w:val="80"/>
                <w:sz w:val="18"/>
              </w:rPr>
              <w:t> </w:t>
            </w:r>
            <w:r>
              <w:rPr>
                <w:b/>
                <w:sz w:val="18"/>
              </w:rPr>
              <w:t>for all variables</w:t>
            </w:r>
            <w:r>
              <w:rPr>
                <w:b/>
                <w:spacing w:val="-3"/>
                <w:sz w:val="18"/>
              </w:rPr>
              <w:t> </w:t>
            </w:r>
            <w:r>
              <w:rPr>
                <w:b/>
                <w:sz w:val="18"/>
              </w:rPr>
              <w:t>that </w:t>
            </w:r>
            <w:r>
              <w:rPr>
                <w:b/>
                <w:spacing w:val="-4"/>
                <w:sz w:val="18"/>
              </w:rPr>
              <w:t>are</w:t>
            </w:r>
            <w:r>
              <w:rPr>
                <w:b/>
                <w:spacing w:val="80"/>
                <w:sz w:val="18"/>
              </w:rPr>
              <w:t> </w:t>
            </w:r>
            <w:r>
              <w:rPr>
                <w:b/>
                <w:spacing w:val="-2"/>
                <w:sz w:val="18"/>
              </w:rPr>
              <w:t>associated</w:t>
            </w:r>
            <w:r>
              <w:rPr>
                <w:b/>
                <w:sz w:val="18"/>
              </w:rPr>
              <w:t> with</w:t>
            </w:r>
            <w:r>
              <w:rPr>
                <w:b/>
                <w:spacing w:val="-2"/>
                <w:sz w:val="18"/>
              </w:rPr>
              <w:t> </w:t>
            </w:r>
            <w:r>
              <w:rPr>
                <w:b/>
                <w:sz w:val="18"/>
              </w:rPr>
              <w:t>the outcome of interest</w:t>
            </w:r>
            <w:r>
              <w:rPr>
                <w:b/>
                <w:spacing w:val="-11"/>
                <w:sz w:val="18"/>
              </w:rPr>
              <w:t> </w:t>
            </w:r>
            <w:r>
              <w:rPr>
                <w:b/>
                <w:sz w:val="18"/>
              </w:rPr>
              <w:t>or</w:t>
            </w:r>
            <w:r>
              <w:rPr>
                <w:b/>
                <w:spacing w:val="-10"/>
                <w:sz w:val="18"/>
              </w:rPr>
              <w:t> </w:t>
            </w:r>
            <w:r>
              <w:rPr>
                <w:b/>
                <w:sz w:val="18"/>
              </w:rPr>
              <w:t>did the statistical </w:t>
            </w:r>
            <w:r>
              <w:rPr>
                <w:b/>
                <w:spacing w:val="-2"/>
                <w:sz w:val="18"/>
              </w:rPr>
              <w:t>analysis</w:t>
            </w:r>
            <w:r>
              <w:rPr>
                <w:b/>
                <w:spacing w:val="40"/>
                <w:sz w:val="18"/>
              </w:rPr>
              <w:t> </w:t>
            </w:r>
            <w:r>
              <w:rPr>
                <w:b/>
                <w:sz w:val="18"/>
              </w:rPr>
              <w:t>adjust for </w:t>
            </w:r>
            <w:r>
              <w:rPr>
                <w:b/>
                <w:spacing w:val="-2"/>
                <w:sz w:val="18"/>
              </w:rPr>
              <w:t>these</w:t>
            </w:r>
            <w:r>
              <w:rPr>
                <w:b/>
                <w:sz w:val="18"/>
              </w:rPr>
              <w:t> </w:t>
            </w:r>
            <w:r>
              <w:rPr>
                <w:b/>
                <w:spacing w:val="-2"/>
                <w:sz w:val="18"/>
              </w:rPr>
              <w:t>confounding</w:t>
            </w:r>
            <w:r>
              <w:rPr>
                <w:b/>
                <w:sz w:val="18"/>
              </w:rPr>
              <w:t> </w:t>
            </w:r>
            <w:r>
              <w:rPr>
                <w:b/>
                <w:spacing w:val="-2"/>
                <w:sz w:val="18"/>
              </w:rPr>
              <w:t>variables?</w:t>
            </w:r>
          </w:p>
        </w:tc>
        <w:tc>
          <w:tcPr>
            <w:tcW w:w="1275" w:type="dxa"/>
            <w:tcBorders>
              <w:top w:val="nil"/>
              <w:left w:val="single" w:sz="4" w:space="0" w:color="000000"/>
              <w:bottom w:val="nil"/>
              <w:right w:val="single" w:sz="4" w:space="0" w:color="000000"/>
            </w:tcBorders>
            <w:shd w:val="clear" w:color="auto" w:fill="D9D9D9"/>
          </w:tcPr>
          <w:p>
            <w:pPr>
              <w:pStyle w:val="TableParagraph"/>
              <w:spacing w:before="93"/>
              <w:ind w:left="104" w:right="94"/>
              <w:rPr>
                <w:b/>
                <w:sz w:val="18"/>
              </w:rPr>
            </w:pPr>
            <w:r>
              <w:rPr>
                <w:b/>
                <w:sz w:val="18"/>
              </w:rPr>
              <w:t>Can we be confident in </w:t>
            </w:r>
            <w:r>
              <w:rPr>
                <w:b/>
                <w:spacing w:val="-4"/>
                <w:sz w:val="18"/>
              </w:rPr>
              <w:t>the</w:t>
            </w:r>
            <w:r>
              <w:rPr>
                <w:b/>
                <w:sz w:val="18"/>
              </w:rPr>
              <w:t> assessment</w:t>
            </w:r>
            <w:r>
              <w:rPr>
                <w:b/>
                <w:spacing w:val="-11"/>
                <w:sz w:val="18"/>
              </w:rPr>
              <w:t> </w:t>
            </w:r>
            <w:r>
              <w:rPr>
                <w:b/>
                <w:sz w:val="18"/>
              </w:rPr>
              <w:t>of </w:t>
            </w:r>
            <w:r>
              <w:rPr>
                <w:b/>
                <w:spacing w:val="-2"/>
                <w:sz w:val="18"/>
              </w:rPr>
              <w:t>outcome?</w:t>
            </w:r>
          </w:p>
        </w:tc>
        <w:tc>
          <w:tcPr>
            <w:tcW w:w="1419" w:type="dxa"/>
            <w:tcBorders>
              <w:top w:val="nil"/>
              <w:left w:val="single" w:sz="4" w:space="0" w:color="000000"/>
              <w:bottom w:val="nil"/>
              <w:right w:val="single" w:sz="4" w:space="0" w:color="000000"/>
            </w:tcBorders>
            <w:shd w:val="clear" w:color="auto" w:fill="D9D9D9"/>
          </w:tcPr>
          <w:p>
            <w:pPr>
              <w:pStyle w:val="TableParagraph"/>
              <w:spacing w:before="93"/>
              <w:ind w:left="106" w:right="23"/>
              <w:rPr>
                <w:b/>
                <w:sz w:val="18"/>
              </w:rPr>
            </w:pPr>
            <w:r>
              <w:rPr>
                <w:b/>
                <w:sz w:val="18"/>
              </w:rPr>
              <w:t>Was</w:t>
            </w:r>
            <w:r>
              <w:rPr>
                <w:b/>
                <w:spacing w:val="-11"/>
                <w:sz w:val="18"/>
              </w:rPr>
              <w:t> </w:t>
            </w:r>
            <w:r>
              <w:rPr>
                <w:b/>
                <w:sz w:val="18"/>
              </w:rPr>
              <w:t>the</w:t>
            </w:r>
            <w:r>
              <w:rPr>
                <w:b/>
                <w:spacing w:val="-10"/>
                <w:sz w:val="18"/>
              </w:rPr>
              <w:t> </w:t>
            </w:r>
            <w:r>
              <w:rPr>
                <w:b/>
                <w:sz w:val="18"/>
              </w:rPr>
              <w:t>follow up of cohorts adequate? In particular,</w:t>
            </w:r>
            <w:r>
              <w:rPr>
                <w:b/>
                <w:spacing w:val="-11"/>
                <w:sz w:val="18"/>
              </w:rPr>
              <w:t> </w:t>
            </w:r>
            <w:r>
              <w:rPr>
                <w:b/>
                <w:sz w:val="18"/>
              </w:rPr>
              <w:t>was outcome data complete or </w:t>
            </w:r>
            <w:r>
              <w:rPr>
                <w:b/>
                <w:spacing w:val="-2"/>
                <w:sz w:val="18"/>
              </w:rPr>
              <w:t>imputed?</w:t>
            </w:r>
          </w:p>
        </w:tc>
        <w:tc>
          <w:tcPr>
            <w:tcW w:w="1357" w:type="dxa"/>
            <w:tcBorders>
              <w:top w:val="nil"/>
              <w:left w:val="single" w:sz="4" w:space="0" w:color="000000"/>
              <w:bottom w:val="nil"/>
              <w:right w:val="single" w:sz="4" w:space="0" w:color="000000"/>
            </w:tcBorders>
            <w:shd w:val="clear" w:color="auto" w:fill="D9D9D9"/>
          </w:tcPr>
          <w:p>
            <w:pPr>
              <w:pStyle w:val="TableParagraph"/>
              <w:spacing w:before="93"/>
              <w:ind w:left="106" w:right="123"/>
              <w:rPr>
                <w:b/>
                <w:sz w:val="18"/>
              </w:rPr>
            </w:pPr>
            <w:r>
              <w:rPr>
                <w:b/>
                <w:sz w:val="18"/>
              </w:rPr>
              <w:t>Were co-</w:t>
            </w:r>
            <w:r>
              <w:rPr>
                <w:b/>
                <w:spacing w:val="-2"/>
                <w:sz w:val="18"/>
              </w:rPr>
              <w:t>interventions</w:t>
            </w:r>
            <w:r>
              <w:rPr>
                <w:b/>
                <w:sz w:val="18"/>
              </w:rPr>
              <w:t> </w:t>
            </w:r>
            <w:r>
              <w:rPr>
                <w:b/>
                <w:spacing w:val="-2"/>
                <w:sz w:val="18"/>
              </w:rPr>
              <w:t>similar</w:t>
            </w:r>
            <w:r>
              <w:rPr>
                <w:b/>
                <w:sz w:val="18"/>
              </w:rPr>
              <w:t> </w:t>
            </w:r>
            <w:r>
              <w:rPr>
                <w:b/>
                <w:spacing w:val="-2"/>
                <w:sz w:val="18"/>
              </w:rPr>
              <w:t>between</w:t>
            </w:r>
            <w:r>
              <w:rPr>
                <w:b/>
                <w:sz w:val="18"/>
              </w:rPr>
              <w:t> </w:t>
            </w:r>
            <w:r>
              <w:rPr>
                <w:b/>
                <w:spacing w:val="-2"/>
                <w:sz w:val="18"/>
              </w:rPr>
              <w:t>groups?</w:t>
            </w:r>
          </w:p>
        </w:tc>
        <w:tc>
          <w:tcPr>
            <w:tcW w:w="1703" w:type="dxa"/>
            <w:tcBorders>
              <w:top w:val="nil"/>
              <w:left w:val="single" w:sz="4" w:space="0" w:color="000000"/>
              <w:bottom w:val="nil"/>
            </w:tcBorders>
            <w:shd w:val="clear" w:color="auto" w:fill="D9D9D9"/>
          </w:tcPr>
          <w:p>
            <w:pPr>
              <w:pStyle w:val="TableParagraph"/>
              <w:rPr>
                <w:rFonts w:ascii="Times New Roman"/>
                <w:sz w:val="18"/>
              </w:rPr>
            </w:pPr>
          </w:p>
        </w:tc>
      </w:tr>
      <w:tr>
        <w:trPr>
          <w:trHeight w:val="977" w:hRule="atLeast"/>
        </w:trPr>
        <w:tc>
          <w:tcPr>
            <w:tcW w:w="946" w:type="dxa"/>
            <w:tcBorders>
              <w:top w:val="nil"/>
              <w:bottom w:val="single" w:sz="4" w:space="0" w:color="000000"/>
              <w:right w:val="single" w:sz="4" w:space="0" w:color="000000"/>
            </w:tcBorders>
            <w:shd w:val="clear" w:color="auto" w:fill="D9D9D9"/>
          </w:tcPr>
          <w:p>
            <w:pPr>
              <w:pStyle w:val="TableParagraph"/>
              <w:rPr>
                <w:rFonts w:ascii="Times New Roman"/>
                <w:sz w:val="18"/>
              </w:rPr>
            </w:pPr>
          </w:p>
        </w:tc>
        <w:tc>
          <w:tcPr>
            <w:tcW w:w="1356" w:type="dxa"/>
            <w:tcBorders>
              <w:top w:val="nil"/>
              <w:left w:val="single" w:sz="4" w:space="0" w:color="000000"/>
              <w:bottom w:val="single" w:sz="4" w:space="0" w:color="000000"/>
              <w:right w:val="single" w:sz="4" w:space="0" w:color="000000"/>
            </w:tcBorders>
            <w:shd w:val="clear" w:color="auto" w:fill="D9D9D9"/>
          </w:tcPr>
          <w:p>
            <w:pPr>
              <w:pStyle w:val="TableParagraph"/>
              <w:spacing w:before="98"/>
              <w:ind w:left="105" w:right="209"/>
              <w:jc w:val="both"/>
              <w:rPr>
                <w:sz w:val="18"/>
              </w:rPr>
            </w:pPr>
            <w:r>
              <w:rPr>
                <w:sz w:val="18"/>
              </w:rPr>
              <w:t>Definitely</w:t>
            </w:r>
            <w:r>
              <w:rPr>
                <w:spacing w:val="-11"/>
                <w:sz w:val="18"/>
              </w:rPr>
              <w:t> </w:t>
            </w:r>
            <w:r>
              <w:rPr>
                <w:sz w:val="18"/>
              </w:rPr>
              <w:t>yes, probably yes, probably no,</w:t>
            </w:r>
          </w:p>
          <w:p>
            <w:pPr>
              <w:pStyle w:val="TableParagraph"/>
              <w:spacing w:line="199" w:lineRule="exact" w:before="1"/>
              <w:ind w:left="105"/>
              <w:jc w:val="both"/>
              <w:rPr>
                <w:sz w:val="18"/>
              </w:rPr>
            </w:pPr>
            <w:r>
              <w:rPr>
                <w:sz w:val="18"/>
              </w:rPr>
              <w:t>definitely</w:t>
            </w:r>
            <w:r>
              <w:rPr>
                <w:spacing w:val="-7"/>
                <w:sz w:val="18"/>
              </w:rPr>
              <w:t> </w:t>
            </w:r>
            <w:r>
              <w:rPr>
                <w:spacing w:val="-5"/>
                <w:sz w:val="18"/>
              </w:rPr>
              <w:t>no</w:t>
            </w:r>
          </w:p>
        </w:tc>
        <w:tc>
          <w:tcPr>
            <w:tcW w:w="1337" w:type="dxa"/>
            <w:tcBorders>
              <w:top w:val="nil"/>
              <w:left w:val="single" w:sz="4" w:space="0" w:color="000000"/>
              <w:bottom w:val="single" w:sz="4" w:space="0" w:color="000000"/>
              <w:right w:val="single" w:sz="4" w:space="0" w:color="000000"/>
            </w:tcBorders>
            <w:shd w:val="clear" w:color="auto" w:fill="D9D9D9"/>
          </w:tcPr>
          <w:p>
            <w:pPr>
              <w:pStyle w:val="TableParagraph"/>
              <w:spacing w:before="98"/>
              <w:ind w:left="105" w:right="190"/>
              <w:jc w:val="both"/>
              <w:rPr>
                <w:sz w:val="18"/>
              </w:rPr>
            </w:pPr>
            <w:r>
              <w:rPr>
                <w:sz w:val="18"/>
              </w:rPr>
              <w:t>Definitely</w:t>
            </w:r>
            <w:r>
              <w:rPr>
                <w:spacing w:val="-11"/>
                <w:sz w:val="18"/>
              </w:rPr>
              <w:t> </w:t>
            </w:r>
            <w:r>
              <w:rPr>
                <w:sz w:val="18"/>
              </w:rPr>
              <w:t>yes, probably yes, probably no,</w:t>
            </w:r>
          </w:p>
          <w:p>
            <w:pPr>
              <w:pStyle w:val="TableParagraph"/>
              <w:spacing w:line="199" w:lineRule="exact" w:before="1"/>
              <w:ind w:left="105"/>
              <w:jc w:val="both"/>
              <w:rPr>
                <w:sz w:val="18"/>
              </w:rPr>
            </w:pPr>
            <w:r>
              <w:rPr>
                <w:sz w:val="18"/>
              </w:rPr>
              <w:t>definitely</w:t>
            </w:r>
            <w:r>
              <w:rPr>
                <w:spacing w:val="-7"/>
                <w:sz w:val="18"/>
              </w:rPr>
              <w:t> </w:t>
            </w:r>
            <w:r>
              <w:rPr>
                <w:spacing w:val="-5"/>
                <w:sz w:val="18"/>
              </w:rPr>
              <w:t>no</w:t>
            </w:r>
          </w:p>
        </w:tc>
        <w:tc>
          <w:tcPr>
            <w:tcW w:w="1275" w:type="dxa"/>
            <w:tcBorders>
              <w:top w:val="nil"/>
              <w:left w:val="single" w:sz="4" w:space="0" w:color="000000"/>
              <w:bottom w:val="single" w:sz="4" w:space="0" w:color="000000"/>
              <w:right w:val="single" w:sz="4" w:space="0" w:color="000000"/>
            </w:tcBorders>
            <w:shd w:val="clear" w:color="auto" w:fill="D9D9D9"/>
          </w:tcPr>
          <w:p>
            <w:pPr>
              <w:pStyle w:val="TableParagraph"/>
              <w:spacing w:before="98"/>
              <w:ind w:left="107" w:right="126"/>
              <w:jc w:val="both"/>
              <w:rPr>
                <w:sz w:val="18"/>
              </w:rPr>
            </w:pPr>
            <w:r>
              <w:rPr>
                <w:sz w:val="18"/>
              </w:rPr>
              <w:t>Definitely</w:t>
            </w:r>
            <w:r>
              <w:rPr>
                <w:spacing w:val="-11"/>
                <w:sz w:val="18"/>
              </w:rPr>
              <w:t> </w:t>
            </w:r>
            <w:r>
              <w:rPr>
                <w:sz w:val="18"/>
              </w:rPr>
              <w:t>yes, probably yes, probably no,</w:t>
            </w:r>
          </w:p>
          <w:p>
            <w:pPr>
              <w:pStyle w:val="TableParagraph"/>
              <w:spacing w:line="199" w:lineRule="exact" w:before="1"/>
              <w:ind w:left="107"/>
              <w:jc w:val="both"/>
              <w:rPr>
                <w:sz w:val="18"/>
              </w:rPr>
            </w:pPr>
            <w:r>
              <w:rPr>
                <w:sz w:val="18"/>
              </w:rPr>
              <w:t>definitely</w:t>
            </w:r>
            <w:r>
              <w:rPr>
                <w:spacing w:val="-7"/>
                <w:sz w:val="18"/>
              </w:rPr>
              <w:t> </w:t>
            </w:r>
            <w:r>
              <w:rPr>
                <w:spacing w:val="-5"/>
                <w:sz w:val="18"/>
              </w:rPr>
              <w:t>no</w:t>
            </w:r>
          </w:p>
        </w:tc>
        <w:tc>
          <w:tcPr>
            <w:tcW w:w="1277" w:type="dxa"/>
            <w:tcBorders>
              <w:top w:val="nil"/>
              <w:left w:val="single" w:sz="4" w:space="0" w:color="000000"/>
              <w:bottom w:val="single" w:sz="4" w:space="0" w:color="000000"/>
              <w:right w:val="single" w:sz="4" w:space="0" w:color="000000"/>
            </w:tcBorders>
            <w:shd w:val="clear" w:color="auto" w:fill="D9D9D9"/>
          </w:tcPr>
          <w:p>
            <w:pPr>
              <w:pStyle w:val="TableParagraph"/>
              <w:spacing w:before="98"/>
              <w:ind w:left="107" w:right="128"/>
              <w:jc w:val="both"/>
              <w:rPr>
                <w:sz w:val="18"/>
              </w:rPr>
            </w:pPr>
            <w:r>
              <w:rPr>
                <w:sz w:val="18"/>
              </w:rPr>
              <w:t>Definitely</w:t>
            </w:r>
            <w:r>
              <w:rPr>
                <w:spacing w:val="-11"/>
                <w:sz w:val="18"/>
              </w:rPr>
              <w:t> </w:t>
            </w:r>
            <w:r>
              <w:rPr>
                <w:sz w:val="18"/>
              </w:rPr>
              <w:t>yes, probably yes, probably no,</w:t>
            </w:r>
          </w:p>
          <w:p>
            <w:pPr>
              <w:pStyle w:val="TableParagraph"/>
              <w:spacing w:line="199" w:lineRule="exact" w:before="1"/>
              <w:ind w:left="107"/>
              <w:jc w:val="both"/>
              <w:rPr>
                <w:sz w:val="18"/>
              </w:rPr>
            </w:pPr>
            <w:r>
              <w:rPr>
                <w:sz w:val="18"/>
              </w:rPr>
              <w:t>definitely</w:t>
            </w:r>
            <w:r>
              <w:rPr>
                <w:spacing w:val="-7"/>
                <w:sz w:val="18"/>
              </w:rPr>
              <w:t> </w:t>
            </w:r>
            <w:r>
              <w:rPr>
                <w:spacing w:val="-5"/>
                <w:sz w:val="18"/>
              </w:rPr>
              <w:t>no</w:t>
            </w:r>
          </w:p>
        </w:tc>
        <w:tc>
          <w:tcPr>
            <w:tcW w:w="1277" w:type="dxa"/>
            <w:tcBorders>
              <w:top w:val="nil"/>
              <w:left w:val="single" w:sz="4" w:space="0" w:color="000000"/>
              <w:bottom w:val="single" w:sz="4" w:space="0" w:color="000000"/>
              <w:right w:val="single" w:sz="4" w:space="0" w:color="000000"/>
            </w:tcBorders>
            <w:shd w:val="clear" w:color="auto" w:fill="D9D9D9"/>
          </w:tcPr>
          <w:p>
            <w:pPr>
              <w:pStyle w:val="TableParagraph"/>
              <w:spacing w:before="98"/>
              <w:ind w:left="107" w:right="128"/>
              <w:jc w:val="both"/>
              <w:rPr>
                <w:sz w:val="18"/>
              </w:rPr>
            </w:pPr>
            <w:r>
              <w:rPr>
                <w:sz w:val="18"/>
              </w:rPr>
              <w:t>Definitely</w:t>
            </w:r>
            <w:r>
              <w:rPr>
                <w:spacing w:val="-11"/>
                <w:sz w:val="18"/>
              </w:rPr>
              <w:t> </w:t>
            </w:r>
            <w:r>
              <w:rPr>
                <w:sz w:val="18"/>
              </w:rPr>
              <w:t>yes, probably yes, probably no,</w:t>
            </w:r>
          </w:p>
          <w:p>
            <w:pPr>
              <w:pStyle w:val="TableParagraph"/>
              <w:spacing w:line="199" w:lineRule="exact" w:before="1"/>
              <w:ind w:left="107"/>
              <w:jc w:val="both"/>
              <w:rPr>
                <w:sz w:val="18"/>
              </w:rPr>
            </w:pPr>
            <w:r>
              <w:rPr>
                <w:sz w:val="18"/>
              </w:rPr>
              <w:t>definitely</w:t>
            </w:r>
            <w:r>
              <w:rPr>
                <w:spacing w:val="-7"/>
                <w:sz w:val="18"/>
              </w:rPr>
              <w:t> </w:t>
            </w:r>
            <w:r>
              <w:rPr>
                <w:spacing w:val="-5"/>
                <w:sz w:val="18"/>
              </w:rPr>
              <w:t>no</w:t>
            </w:r>
          </w:p>
        </w:tc>
        <w:tc>
          <w:tcPr>
            <w:tcW w:w="1275" w:type="dxa"/>
            <w:tcBorders>
              <w:top w:val="nil"/>
              <w:left w:val="single" w:sz="4" w:space="0" w:color="000000"/>
              <w:bottom w:val="single" w:sz="4" w:space="0" w:color="000000"/>
              <w:right w:val="single" w:sz="4" w:space="0" w:color="000000"/>
            </w:tcBorders>
            <w:shd w:val="clear" w:color="auto" w:fill="D9D9D9"/>
          </w:tcPr>
          <w:p>
            <w:pPr>
              <w:pStyle w:val="TableParagraph"/>
              <w:spacing w:before="98"/>
              <w:ind w:left="104" w:right="129"/>
              <w:jc w:val="both"/>
              <w:rPr>
                <w:sz w:val="18"/>
              </w:rPr>
            </w:pPr>
            <w:r>
              <w:rPr>
                <w:sz w:val="18"/>
              </w:rPr>
              <w:t>Definitely</w:t>
            </w:r>
            <w:r>
              <w:rPr>
                <w:spacing w:val="-11"/>
                <w:sz w:val="18"/>
              </w:rPr>
              <w:t> </w:t>
            </w:r>
            <w:r>
              <w:rPr>
                <w:sz w:val="18"/>
              </w:rPr>
              <w:t>yes, probably yes, probably no,</w:t>
            </w:r>
          </w:p>
          <w:p>
            <w:pPr>
              <w:pStyle w:val="TableParagraph"/>
              <w:spacing w:line="199" w:lineRule="exact" w:before="1"/>
              <w:ind w:left="104"/>
              <w:jc w:val="both"/>
              <w:rPr>
                <w:sz w:val="18"/>
              </w:rPr>
            </w:pPr>
            <w:r>
              <w:rPr>
                <w:sz w:val="18"/>
              </w:rPr>
              <w:t>definitely</w:t>
            </w:r>
            <w:r>
              <w:rPr>
                <w:spacing w:val="-7"/>
                <w:sz w:val="18"/>
              </w:rPr>
              <w:t> </w:t>
            </w:r>
            <w:r>
              <w:rPr>
                <w:spacing w:val="-5"/>
                <w:sz w:val="18"/>
              </w:rPr>
              <w:t>no</w:t>
            </w:r>
          </w:p>
        </w:tc>
        <w:tc>
          <w:tcPr>
            <w:tcW w:w="1419" w:type="dxa"/>
            <w:tcBorders>
              <w:top w:val="nil"/>
              <w:left w:val="single" w:sz="4" w:space="0" w:color="000000"/>
              <w:bottom w:val="single" w:sz="4" w:space="0" w:color="000000"/>
              <w:right w:val="single" w:sz="4" w:space="0" w:color="000000"/>
            </w:tcBorders>
            <w:shd w:val="clear" w:color="auto" w:fill="D9D9D9"/>
          </w:tcPr>
          <w:p>
            <w:pPr>
              <w:pStyle w:val="TableParagraph"/>
              <w:spacing w:before="98"/>
              <w:ind w:left="106" w:right="271"/>
              <w:jc w:val="both"/>
              <w:rPr>
                <w:sz w:val="18"/>
              </w:rPr>
            </w:pPr>
            <w:r>
              <w:rPr>
                <w:sz w:val="18"/>
              </w:rPr>
              <w:t>Definitely</w:t>
            </w:r>
            <w:r>
              <w:rPr>
                <w:spacing w:val="-11"/>
                <w:sz w:val="18"/>
              </w:rPr>
              <w:t> </w:t>
            </w:r>
            <w:r>
              <w:rPr>
                <w:sz w:val="18"/>
              </w:rPr>
              <w:t>yes, probably yes, probably no,</w:t>
            </w:r>
          </w:p>
          <w:p>
            <w:pPr>
              <w:pStyle w:val="TableParagraph"/>
              <w:spacing w:line="199" w:lineRule="exact" w:before="1"/>
              <w:ind w:left="106"/>
              <w:jc w:val="both"/>
              <w:rPr>
                <w:sz w:val="18"/>
              </w:rPr>
            </w:pPr>
            <w:r>
              <w:rPr>
                <w:sz w:val="18"/>
              </w:rPr>
              <w:t>definitely</w:t>
            </w:r>
            <w:r>
              <w:rPr>
                <w:spacing w:val="-7"/>
                <w:sz w:val="18"/>
              </w:rPr>
              <w:t> </w:t>
            </w:r>
            <w:r>
              <w:rPr>
                <w:spacing w:val="-5"/>
                <w:sz w:val="18"/>
              </w:rPr>
              <w:t>no</w:t>
            </w:r>
          </w:p>
        </w:tc>
        <w:tc>
          <w:tcPr>
            <w:tcW w:w="1357" w:type="dxa"/>
            <w:tcBorders>
              <w:top w:val="nil"/>
              <w:left w:val="single" w:sz="4" w:space="0" w:color="000000"/>
              <w:bottom w:val="single" w:sz="4" w:space="0" w:color="000000"/>
              <w:right w:val="single" w:sz="4" w:space="0" w:color="000000"/>
            </w:tcBorders>
            <w:shd w:val="clear" w:color="auto" w:fill="D9D9D9"/>
          </w:tcPr>
          <w:p>
            <w:pPr>
              <w:pStyle w:val="TableParagraph"/>
              <w:spacing w:before="98"/>
              <w:ind w:left="106" w:right="209"/>
              <w:jc w:val="both"/>
              <w:rPr>
                <w:sz w:val="18"/>
              </w:rPr>
            </w:pPr>
            <w:r>
              <w:rPr>
                <w:sz w:val="18"/>
              </w:rPr>
              <w:t>Definitely</w:t>
            </w:r>
            <w:r>
              <w:rPr>
                <w:spacing w:val="-11"/>
                <w:sz w:val="18"/>
              </w:rPr>
              <w:t> </w:t>
            </w:r>
            <w:r>
              <w:rPr>
                <w:sz w:val="18"/>
              </w:rPr>
              <w:t>yes, probably yes, probably no,</w:t>
            </w:r>
          </w:p>
          <w:p>
            <w:pPr>
              <w:pStyle w:val="TableParagraph"/>
              <w:spacing w:line="199" w:lineRule="exact" w:before="1"/>
              <w:ind w:left="106"/>
              <w:jc w:val="both"/>
              <w:rPr>
                <w:sz w:val="18"/>
              </w:rPr>
            </w:pPr>
            <w:r>
              <w:rPr>
                <w:sz w:val="18"/>
              </w:rPr>
              <w:t>definitely</w:t>
            </w:r>
            <w:r>
              <w:rPr>
                <w:spacing w:val="-7"/>
                <w:sz w:val="18"/>
              </w:rPr>
              <w:t> </w:t>
            </w:r>
            <w:r>
              <w:rPr>
                <w:spacing w:val="-5"/>
                <w:sz w:val="18"/>
              </w:rPr>
              <w:t>no</w:t>
            </w:r>
          </w:p>
        </w:tc>
        <w:tc>
          <w:tcPr>
            <w:tcW w:w="1703" w:type="dxa"/>
            <w:tcBorders>
              <w:top w:val="nil"/>
              <w:left w:val="single" w:sz="4" w:space="0" w:color="000000"/>
              <w:bottom w:val="single" w:sz="4" w:space="0" w:color="000000"/>
            </w:tcBorders>
            <w:shd w:val="clear" w:color="auto" w:fill="D9D9D9"/>
          </w:tcPr>
          <w:p>
            <w:pPr>
              <w:pStyle w:val="TableParagraph"/>
              <w:spacing w:before="98"/>
              <w:ind w:left="105" w:right="499"/>
              <w:rPr>
                <w:sz w:val="18"/>
              </w:rPr>
            </w:pPr>
            <w:r>
              <w:rPr>
                <w:sz w:val="18"/>
              </w:rPr>
              <w:t>Low, Some concerns,</w:t>
            </w:r>
            <w:r>
              <w:rPr>
                <w:spacing w:val="-11"/>
                <w:sz w:val="18"/>
              </w:rPr>
              <w:t> </w:t>
            </w:r>
            <w:r>
              <w:rPr>
                <w:sz w:val="18"/>
              </w:rPr>
              <w:t>High</w:t>
            </w:r>
          </w:p>
        </w:tc>
      </w:tr>
      <w:tr>
        <w:trPr>
          <w:trHeight w:val="456" w:hRule="atLeast"/>
        </w:trPr>
        <w:tc>
          <w:tcPr>
            <w:tcW w:w="946" w:type="dxa"/>
            <w:tcBorders>
              <w:top w:val="single" w:sz="4" w:space="0" w:color="000000"/>
              <w:bottom w:val="nil"/>
              <w:right w:val="single" w:sz="4" w:space="0" w:color="000000"/>
            </w:tcBorders>
          </w:tcPr>
          <w:p>
            <w:pPr>
              <w:pStyle w:val="TableParagraph"/>
              <w:spacing w:line="219" w:lineRule="exact"/>
              <w:ind w:left="105"/>
              <w:rPr>
                <w:b/>
                <w:sz w:val="18"/>
              </w:rPr>
            </w:pPr>
            <w:r>
              <w:rPr>
                <w:b/>
                <w:spacing w:val="-2"/>
                <w:sz w:val="18"/>
              </w:rPr>
              <w:t>Manlhiot,</w:t>
            </w:r>
          </w:p>
          <w:p>
            <w:pPr>
              <w:pStyle w:val="TableParagraph"/>
              <w:spacing w:line="217" w:lineRule="exact" w:before="1"/>
              <w:ind w:left="105"/>
              <w:rPr>
                <w:b/>
                <w:sz w:val="18"/>
              </w:rPr>
            </w:pPr>
            <w:r>
              <w:rPr>
                <w:b/>
                <w:spacing w:val="-4"/>
                <w:sz w:val="18"/>
              </w:rPr>
              <w:t>2012</w:t>
            </w:r>
          </w:p>
        </w:tc>
        <w:tc>
          <w:tcPr>
            <w:tcW w:w="1356" w:type="dxa"/>
            <w:tcBorders>
              <w:top w:val="single" w:sz="4" w:space="0" w:color="000000"/>
              <w:left w:val="single" w:sz="4" w:space="0" w:color="000000"/>
              <w:bottom w:val="nil"/>
              <w:right w:val="single" w:sz="4" w:space="0" w:color="000000"/>
            </w:tcBorders>
          </w:tcPr>
          <w:p>
            <w:pPr>
              <w:pStyle w:val="TableParagraph"/>
              <w:spacing w:line="219" w:lineRule="exact"/>
              <w:ind w:left="105"/>
              <w:rPr>
                <w:sz w:val="18"/>
              </w:rPr>
            </w:pPr>
            <w:r>
              <w:rPr>
                <w:sz w:val="18"/>
              </w:rPr>
              <w:t>Probably</w:t>
            </w:r>
            <w:r>
              <w:rPr>
                <w:spacing w:val="-5"/>
                <w:sz w:val="18"/>
              </w:rPr>
              <w:t> yes</w:t>
            </w:r>
          </w:p>
        </w:tc>
        <w:tc>
          <w:tcPr>
            <w:tcW w:w="1337" w:type="dxa"/>
            <w:tcBorders>
              <w:top w:val="single" w:sz="4" w:space="0" w:color="000000"/>
              <w:left w:val="single" w:sz="4" w:space="0" w:color="000000"/>
              <w:bottom w:val="nil"/>
              <w:right w:val="single" w:sz="4" w:space="0" w:color="000000"/>
            </w:tcBorders>
          </w:tcPr>
          <w:p>
            <w:pPr>
              <w:pStyle w:val="TableParagraph"/>
              <w:spacing w:line="219" w:lineRule="exact"/>
              <w:ind w:left="105"/>
              <w:rPr>
                <w:sz w:val="18"/>
              </w:rPr>
            </w:pPr>
            <w:r>
              <w:rPr>
                <w:sz w:val="18"/>
              </w:rPr>
              <w:t>Definitely</w:t>
            </w:r>
            <w:r>
              <w:rPr>
                <w:spacing w:val="-7"/>
                <w:sz w:val="18"/>
              </w:rPr>
              <w:t> </w:t>
            </w:r>
            <w:r>
              <w:rPr>
                <w:spacing w:val="-4"/>
                <w:sz w:val="18"/>
              </w:rPr>
              <w:t>yes:</w:t>
            </w:r>
          </w:p>
        </w:tc>
        <w:tc>
          <w:tcPr>
            <w:tcW w:w="1275" w:type="dxa"/>
            <w:tcBorders>
              <w:top w:val="single" w:sz="4" w:space="0" w:color="000000"/>
              <w:left w:val="single" w:sz="4" w:space="0" w:color="000000"/>
              <w:bottom w:val="nil"/>
              <w:right w:val="single" w:sz="4" w:space="0" w:color="000000"/>
            </w:tcBorders>
          </w:tcPr>
          <w:p>
            <w:pPr>
              <w:pStyle w:val="TableParagraph"/>
              <w:spacing w:line="219" w:lineRule="exact"/>
              <w:ind w:left="107"/>
              <w:rPr>
                <w:sz w:val="18"/>
              </w:rPr>
            </w:pPr>
            <w:r>
              <w:rPr>
                <w:sz w:val="18"/>
              </w:rPr>
              <w:t>Definitely</w:t>
            </w:r>
            <w:r>
              <w:rPr>
                <w:spacing w:val="-7"/>
                <w:sz w:val="18"/>
              </w:rPr>
              <w:t> </w:t>
            </w:r>
            <w:r>
              <w:rPr>
                <w:spacing w:val="-5"/>
                <w:sz w:val="18"/>
              </w:rPr>
              <w:t>no:</w:t>
            </w:r>
          </w:p>
        </w:tc>
        <w:tc>
          <w:tcPr>
            <w:tcW w:w="1277" w:type="dxa"/>
            <w:tcBorders>
              <w:top w:val="single" w:sz="4" w:space="0" w:color="000000"/>
              <w:left w:val="single" w:sz="4" w:space="0" w:color="000000"/>
              <w:bottom w:val="nil"/>
              <w:right w:val="single" w:sz="4" w:space="0" w:color="000000"/>
            </w:tcBorders>
          </w:tcPr>
          <w:p>
            <w:pPr>
              <w:pStyle w:val="TableParagraph"/>
              <w:spacing w:line="219" w:lineRule="exact"/>
              <w:ind w:left="107"/>
              <w:rPr>
                <w:sz w:val="18"/>
              </w:rPr>
            </w:pPr>
            <w:r>
              <w:rPr>
                <w:sz w:val="18"/>
              </w:rPr>
              <w:t>Probably</w:t>
            </w:r>
            <w:r>
              <w:rPr>
                <w:spacing w:val="-7"/>
                <w:sz w:val="18"/>
              </w:rPr>
              <w:t> </w:t>
            </w:r>
            <w:r>
              <w:rPr>
                <w:spacing w:val="-4"/>
                <w:sz w:val="18"/>
              </w:rPr>
              <w:t>yes:</w:t>
            </w:r>
          </w:p>
        </w:tc>
        <w:tc>
          <w:tcPr>
            <w:tcW w:w="1277" w:type="dxa"/>
            <w:tcBorders>
              <w:top w:val="single" w:sz="4" w:space="0" w:color="000000"/>
              <w:left w:val="single" w:sz="4" w:space="0" w:color="000000"/>
              <w:bottom w:val="nil"/>
              <w:right w:val="single" w:sz="4" w:space="0" w:color="000000"/>
            </w:tcBorders>
          </w:tcPr>
          <w:p>
            <w:pPr>
              <w:pStyle w:val="TableParagraph"/>
              <w:spacing w:line="219" w:lineRule="exact"/>
              <w:ind w:left="107"/>
              <w:rPr>
                <w:sz w:val="18"/>
              </w:rPr>
            </w:pPr>
            <w:r>
              <w:rPr>
                <w:sz w:val="18"/>
              </w:rPr>
              <w:t>Probably</w:t>
            </w:r>
            <w:r>
              <w:rPr>
                <w:spacing w:val="-7"/>
                <w:sz w:val="18"/>
              </w:rPr>
              <w:t> </w:t>
            </w:r>
            <w:r>
              <w:rPr>
                <w:spacing w:val="-4"/>
                <w:sz w:val="18"/>
              </w:rPr>
              <w:t>yes:</w:t>
            </w:r>
          </w:p>
        </w:tc>
        <w:tc>
          <w:tcPr>
            <w:tcW w:w="1275" w:type="dxa"/>
            <w:tcBorders>
              <w:top w:val="single" w:sz="4" w:space="0" w:color="000000"/>
              <w:left w:val="single" w:sz="4" w:space="0" w:color="000000"/>
              <w:bottom w:val="nil"/>
              <w:right w:val="single" w:sz="4" w:space="0" w:color="000000"/>
            </w:tcBorders>
          </w:tcPr>
          <w:p>
            <w:pPr>
              <w:pStyle w:val="TableParagraph"/>
              <w:spacing w:line="219" w:lineRule="exact"/>
              <w:ind w:left="104"/>
              <w:rPr>
                <w:sz w:val="18"/>
              </w:rPr>
            </w:pPr>
            <w:r>
              <w:rPr>
                <w:sz w:val="18"/>
              </w:rPr>
              <w:t>Definitely</w:t>
            </w:r>
            <w:r>
              <w:rPr>
                <w:spacing w:val="-7"/>
                <w:sz w:val="18"/>
              </w:rPr>
              <w:t> </w:t>
            </w:r>
            <w:r>
              <w:rPr>
                <w:spacing w:val="-4"/>
                <w:sz w:val="18"/>
              </w:rPr>
              <w:t>yes:</w:t>
            </w:r>
          </w:p>
        </w:tc>
        <w:tc>
          <w:tcPr>
            <w:tcW w:w="1419" w:type="dxa"/>
            <w:tcBorders>
              <w:top w:val="single" w:sz="4" w:space="0" w:color="000000"/>
              <w:left w:val="single" w:sz="4" w:space="0" w:color="000000"/>
              <w:bottom w:val="nil"/>
              <w:right w:val="single" w:sz="4" w:space="0" w:color="000000"/>
            </w:tcBorders>
          </w:tcPr>
          <w:p>
            <w:pPr>
              <w:pStyle w:val="TableParagraph"/>
              <w:spacing w:line="219" w:lineRule="exact"/>
              <w:ind w:left="106"/>
              <w:rPr>
                <w:sz w:val="18"/>
              </w:rPr>
            </w:pPr>
            <w:r>
              <w:rPr>
                <w:sz w:val="18"/>
              </w:rPr>
              <w:t>Definitely</w:t>
            </w:r>
            <w:r>
              <w:rPr>
                <w:spacing w:val="-7"/>
                <w:sz w:val="18"/>
              </w:rPr>
              <w:t> </w:t>
            </w:r>
            <w:r>
              <w:rPr>
                <w:spacing w:val="-5"/>
                <w:sz w:val="18"/>
              </w:rPr>
              <w:t>no</w:t>
            </w:r>
          </w:p>
        </w:tc>
        <w:tc>
          <w:tcPr>
            <w:tcW w:w="1357" w:type="dxa"/>
            <w:tcBorders>
              <w:top w:val="single" w:sz="4" w:space="0" w:color="000000"/>
              <w:left w:val="single" w:sz="4" w:space="0" w:color="000000"/>
              <w:bottom w:val="nil"/>
              <w:right w:val="single" w:sz="4" w:space="0" w:color="000000"/>
            </w:tcBorders>
          </w:tcPr>
          <w:p>
            <w:pPr>
              <w:pStyle w:val="TableParagraph"/>
              <w:spacing w:line="219" w:lineRule="exact"/>
              <w:ind w:left="106"/>
              <w:rPr>
                <w:sz w:val="18"/>
              </w:rPr>
            </w:pPr>
            <w:r>
              <w:rPr>
                <w:sz w:val="18"/>
              </w:rPr>
              <w:t>Definitely</w:t>
            </w:r>
            <w:r>
              <w:rPr>
                <w:spacing w:val="-7"/>
                <w:sz w:val="18"/>
              </w:rPr>
              <w:t> </w:t>
            </w:r>
            <w:r>
              <w:rPr>
                <w:spacing w:val="-5"/>
                <w:sz w:val="18"/>
              </w:rPr>
              <w:t>no:</w:t>
            </w:r>
          </w:p>
        </w:tc>
        <w:tc>
          <w:tcPr>
            <w:tcW w:w="1703" w:type="dxa"/>
            <w:tcBorders>
              <w:top w:val="single" w:sz="4" w:space="0" w:color="000000"/>
              <w:left w:val="single" w:sz="4" w:space="0" w:color="000000"/>
              <w:bottom w:val="nil"/>
            </w:tcBorders>
          </w:tcPr>
          <w:p>
            <w:pPr>
              <w:pStyle w:val="TableParagraph"/>
              <w:spacing w:line="219" w:lineRule="exact"/>
              <w:ind w:left="105"/>
              <w:rPr>
                <w:b/>
                <w:sz w:val="18"/>
              </w:rPr>
            </w:pPr>
            <w:r>
              <w:rPr>
                <w:b/>
                <w:spacing w:val="-4"/>
                <w:sz w:val="18"/>
              </w:rPr>
              <w:t>High</w:t>
            </w:r>
          </w:p>
        </w:tc>
      </w:tr>
      <w:tr>
        <w:trPr>
          <w:trHeight w:val="1960" w:hRule="atLeast"/>
        </w:trPr>
        <w:tc>
          <w:tcPr>
            <w:tcW w:w="946" w:type="dxa"/>
            <w:tcBorders>
              <w:top w:val="nil"/>
              <w:right w:val="single" w:sz="4" w:space="0" w:color="000000"/>
            </w:tcBorders>
          </w:tcPr>
          <w:p>
            <w:pPr>
              <w:pStyle w:val="TableParagraph"/>
              <w:rPr>
                <w:rFonts w:ascii="Times New Roman"/>
                <w:sz w:val="18"/>
              </w:rPr>
            </w:pPr>
          </w:p>
        </w:tc>
        <w:tc>
          <w:tcPr>
            <w:tcW w:w="1356" w:type="dxa"/>
            <w:tcBorders>
              <w:top w:val="nil"/>
              <w:left w:val="single" w:sz="4" w:space="0" w:color="000000"/>
              <w:right w:val="single" w:sz="4" w:space="0" w:color="000000"/>
            </w:tcBorders>
          </w:tcPr>
          <w:p>
            <w:pPr>
              <w:pStyle w:val="TableParagraph"/>
              <w:spacing w:before="202"/>
              <w:ind w:left="105" w:right="159"/>
              <w:rPr>
                <w:sz w:val="18"/>
              </w:rPr>
            </w:pPr>
            <w:r>
              <w:rPr>
                <w:sz w:val="18"/>
              </w:rPr>
              <w:t>Reason: it is not clearly described</w:t>
            </w:r>
            <w:r>
              <w:rPr>
                <w:spacing w:val="-11"/>
                <w:sz w:val="18"/>
              </w:rPr>
              <w:t> </w:t>
            </w:r>
            <w:r>
              <w:rPr>
                <w:sz w:val="18"/>
              </w:rPr>
              <w:t>how the</w:t>
            </w:r>
            <w:r>
              <w:rPr>
                <w:spacing w:val="-2"/>
                <w:sz w:val="18"/>
              </w:rPr>
              <w:t> </w:t>
            </w:r>
            <w:r>
              <w:rPr>
                <w:sz w:val="18"/>
              </w:rPr>
              <w:t>patients were</w:t>
            </w:r>
            <w:r>
              <w:rPr>
                <w:spacing w:val="-4"/>
                <w:sz w:val="18"/>
              </w:rPr>
              <w:t> </w:t>
            </w:r>
            <w:r>
              <w:rPr>
                <w:sz w:val="18"/>
              </w:rPr>
              <w:t>selected</w:t>
            </w:r>
          </w:p>
        </w:tc>
        <w:tc>
          <w:tcPr>
            <w:tcW w:w="1337" w:type="dxa"/>
            <w:tcBorders>
              <w:top w:val="nil"/>
              <w:left w:val="single" w:sz="4" w:space="0" w:color="000000"/>
              <w:right w:val="single" w:sz="4" w:space="0" w:color="000000"/>
            </w:tcBorders>
          </w:tcPr>
          <w:p>
            <w:pPr>
              <w:pStyle w:val="TableParagraph"/>
              <w:spacing w:before="202"/>
              <w:ind w:left="105" w:right="250"/>
              <w:rPr>
                <w:sz w:val="18"/>
              </w:rPr>
            </w:pPr>
            <w:r>
              <w:rPr>
                <w:spacing w:val="-2"/>
                <w:sz w:val="18"/>
              </w:rPr>
              <w:t>Reason:</w:t>
            </w:r>
            <w:r>
              <w:rPr>
                <w:sz w:val="18"/>
              </w:rPr>
              <w:t> </w:t>
            </w:r>
            <w:r>
              <w:rPr>
                <w:spacing w:val="-2"/>
                <w:sz w:val="18"/>
              </w:rPr>
              <w:t>medical</w:t>
            </w:r>
            <w:r>
              <w:rPr>
                <w:sz w:val="18"/>
              </w:rPr>
              <w:t> records</w:t>
            </w:r>
            <w:r>
              <w:rPr>
                <w:spacing w:val="-11"/>
                <w:sz w:val="18"/>
              </w:rPr>
              <w:t> </w:t>
            </w:r>
            <w:r>
              <w:rPr>
                <w:sz w:val="18"/>
              </w:rPr>
              <w:t>were </w:t>
            </w:r>
            <w:r>
              <w:rPr>
                <w:spacing w:val="-4"/>
                <w:sz w:val="18"/>
              </w:rPr>
              <w:t>used</w:t>
            </w:r>
          </w:p>
        </w:tc>
        <w:tc>
          <w:tcPr>
            <w:tcW w:w="1275" w:type="dxa"/>
            <w:tcBorders>
              <w:top w:val="nil"/>
              <w:left w:val="single" w:sz="4" w:space="0" w:color="000000"/>
              <w:right w:val="single" w:sz="4" w:space="0" w:color="000000"/>
            </w:tcBorders>
          </w:tcPr>
          <w:p>
            <w:pPr>
              <w:pStyle w:val="TableParagraph"/>
              <w:spacing w:before="202"/>
              <w:ind w:left="107" w:right="186"/>
              <w:rPr>
                <w:sz w:val="18"/>
              </w:rPr>
            </w:pPr>
            <w:r>
              <w:rPr>
                <w:spacing w:val="-2"/>
                <w:sz w:val="18"/>
              </w:rPr>
              <w:t>Reason:</w:t>
            </w:r>
            <w:r>
              <w:rPr>
                <w:sz w:val="18"/>
              </w:rPr>
              <w:t> patients</w:t>
            </w:r>
            <w:r>
              <w:rPr>
                <w:spacing w:val="-11"/>
                <w:sz w:val="18"/>
              </w:rPr>
              <w:t> </w:t>
            </w:r>
            <w:r>
              <w:rPr>
                <w:sz w:val="18"/>
              </w:rPr>
              <w:t>with </w:t>
            </w:r>
            <w:r>
              <w:rPr>
                <w:spacing w:val="-2"/>
                <w:sz w:val="18"/>
              </w:rPr>
              <w:t>prior</w:t>
            </w:r>
            <w:r>
              <w:rPr>
                <w:sz w:val="18"/>
              </w:rPr>
              <w:t> </w:t>
            </w:r>
            <w:r>
              <w:rPr>
                <w:spacing w:val="-2"/>
                <w:sz w:val="18"/>
              </w:rPr>
              <w:t>thrombotic</w:t>
            </w:r>
            <w:r>
              <w:rPr>
                <w:sz w:val="18"/>
              </w:rPr>
              <w:t> events</w:t>
            </w:r>
            <w:r>
              <w:rPr>
                <w:spacing w:val="-4"/>
                <w:sz w:val="18"/>
              </w:rPr>
              <w:t> </w:t>
            </w:r>
            <w:r>
              <w:rPr>
                <w:sz w:val="18"/>
              </w:rPr>
              <w:t>were not</w:t>
            </w:r>
            <w:r>
              <w:rPr>
                <w:spacing w:val="-11"/>
                <w:sz w:val="18"/>
              </w:rPr>
              <w:t> </w:t>
            </w:r>
            <w:r>
              <w:rPr>
                <w:sz w:val="18"/>
              </w:rPr>
              <w:t>excluded</w:t>
            </w:r>
          </w:p>
        </w:tc>
        <w:tc>
          <w:tcPr>
            <w:tcW w:w="1277" w:type="dxa"/>
            <w:tcBorders>
              <w:top w:val="nil"/>
              <w:left w:val="single" w:sz="4" w:space="0" w:color="000000"/>
              <w:right w:val="single" w:sz="4" w:space="0" w:color="000000"/>
            </w:tcBorders>
          </w:tcPr>
          <w:p>
            <w:pPr>
              <w:pStyle w:val="TableParagraph"/>
              <w:spacing w:before="202"/>
              <w:ind w:left="107" w:right="107"/>
              <w:rPr>
                <w:sz w:val="18"/>
              </w:rPr>
            </w:pPr>
            <w:r>
              <w:rPr>
                <w:sz w:val="18"/>
              </w:rPr>
              <w:t>Reason: a list </w:t>
            </w:r>
            <w:r>
              <w:rPr>
                <w:spacing w:val="-6"/>
                <w:sz w:val="18"/>
              </w:rPr>
              <w:t>of</w:t>
            </w:r>
            <w:r>
              <w:rPr>
                <w:spacing w:val="40"/>
                <w:sz w:val="18"/>
              </w:rPr>
              <w:t> </w:t>
            </w:r>
            <w:r>
              <w:rPr>
                <w:spacing w:val="-2"/>
                <w:sz w:val="18"/>
              </w:rPr>
              <w:t>confounding</w:t>
            </w:r>
            <w:r>
              <w:rPr>
                <w:sz w:val="18"/>
              </w:rPr>
              <w:t> factors</w:t>
            </w:r>
            <w:r>
              <w:rPr>
                <w:spacing w:val="-4"/>
                <w:sz w:val="18"/>
              </w:rPr>
              <w:t> </w:t>
            </w:r>
            <w:r>
              <w:rPr>
                <w:sz w:val="18"/>
              </w:rPr>
              <w:t>has been</w:t>
            </w:r>
            <w:r>
              <w:rPr>
                <w:spacing w:val="-11"/>
                <w:sz w:val="18"/>
              </w:rPr>
              <w:t> </w:t>
            </w:r>
            <w:r>
              <w:rPr>
                <w:sz w:val="18"/>
              </w:rPr>
              <w:t>assessed</w:t>
            </w:r>
          </w:p>
        </w:tc>
        <w:tc>
          <w:tcPr>
            <w:tcW w:w="1277" w:type="dxa"/>
            <w:tcBorders>
              <w:top w:val="nil"/>
              <w:left w:val="single" w:sz="4" w:space="0" w:color="000000"/>
              <w:right w:val="single" w:sz="4" w:space="0" w:color="000000"/>
            </w:tcBorders>
          </w:tcPr>
          <w:p>
            <w:pPr>
              <w:pStyle w:val="TableParagraph"/>
              <w:spacing w:before="202"/>
              <w:ind w:left="107"/>
              <w:rPr>
                <w:sz w:val="18"/>
              </w:rPr>
            </w:pPr>
            <w:r>
              <w:rPr>
                <w:spacing w:val="-2"/>
                <w:sz w:val="18"/>
              </w:rPr>
              <w:t>Reason:</w:t>
            </w:r>
          </w:p>
          <w:p>
            <w:pPr>
              <w:pStyle w:val="TableParagraph"/>
              <w:spacing w:before="1"/>
              <w:ind w:left="107" w:right="115"/>
              <w:rPr>
                <w:sz w:val="18"/>
              </w:rPr>
            </w:pPr>
            <w:r>
              <w:rPr>
                <w:sz w:val="18"/>
              </w:rPr>
              <w:t>a number of </w:t>
            </w:r>
            <w:r>
              <w:rPr>
                <w:spacing w:val="-2"/>
                <w:sz w:val="18"/>
              </w:rPr>
              <w:t>confounding</w:t>
            </w:r>
            <w:r>
              <w:rPr>
                <w:sz w:val="18"/>
              </w:rPr>
              <w:t> factors</w:t>
            </w:r>
            <w:r>
              <w:rPr>
                <w:spacing w:val="-4"/>
                <w:sz w:val="18"/>
              </w:rPr>
              <w:t> </w:t>
            </w:r>
            <w:r>
              <w:rPr>
                <w:sz w:val="18"/>
              </w:rPr>
              <w:t>have been</w:t>
            </w:r>
            <w:r>
              <w:rPr>
                <w:spacing w:val="-11"/>
                <w:sz w:val="18"/>
              </w:rPr>
              <w:t> </w:t>
            </w:r>
            <w:r>
              <w:rPr>
                <w:sz w:val="18"/>
              </w:rPr>
              <w:t>included </w:t>
            </w:r>
            <w:r>
              <w:rPr>
                <w:spacing w:val="-6"/>
                <w:sz w:val="18"/>
              </w:rPr>
              <w:t>in</w:t>
            </w:r>
            <w:r>
              <w:rPr>
                <w:sz w:val="18"/>
              </w:rPr>
              <w:t> </w:t>
            </w:r>
            <w:r>
              <w:rPr>
                <w:spacing w:val="-2"/>
                <w:sz w:val="18"/>
              </w:rPr>
              <w:t>multivariable</w:t>
            </w:r>
          </w:p>
          <w:p>
            <w:pPr>
              <w:pStyle w:val="TableParagraph"/>
              <w:spacing w:line="199" w:lineRule="exact"/>
              <w:ind w:left="107"/>
              <w:rPr>
                <w:sz w:val="18"/>
              </w:rPr>
            </w:pPr>
            <w:r>
              <w:rPr>
                <w:spacing w:val="-2"/>
                <w:sz w:val="18"/>
              </w:rPr>
              <w:t>analyses</w:t>
            </w:r>
          </w:p>
        </w:tc>
        <w:tc>
          <w:tcPr>
            <w:tcW w:w="1275" w:type="dxa"/>
            <w:tcBorders>
              <w:top w:val="nil"/>
              <w:left w:val="single" w:sz="4" w:space="0" w:color="000000"/>
              <w:right w:val="single" w:sz="4" w:space="0" w:color="000000"/>
            </w:tcBorders>
          </w:tcPr>
          <w:p>
            <w:pPr>
              <w:pStyle w:val="TableParagraph"/>
              <w:spacing w:before="202"/>
              <w:ind w:left="104"/>
              <w:rPr>
                <w:sz w:val="18"/>
              </w:rPr>
            </w:pPr>
            <w:r>
              <w:rPr>
                <w:sz w:val="18"/>
              </w:rPr>
              <w:t>Reason:</w:t>
            </w:r>
            <w:r>
              <w:rPr>
                <w:spacing w:val="-11"/>
                <w:sz w:val="18"/>
              </w:rPr>
              <w:t> </w:t>
            </w:r>
            <w:r>
              <w:rPr>
                <w:sz w:val="18"/>
              </w:rPr>
              <w:t>only </w:t>
            </w:r>
            <w:r>
              <w:rPr>
                <w:spacing w:val="-2"/>
                <w:sz w:val="18"/>
              </w:rPr>
              <w:t>thrombotic</w:t>
            </w:r>
            <w:r>
              <w:rPr>
                <w:sz w:val="18"/>
              </w:rPr>
              <w:t> </w:t>
            </w:r>
            <w:r>
              <w:rPr>
                <w:spacing w:val="-2"/>
                <w:sz w:val="18"/>
              </w:rPr>
              <w:t>complication</w:t>
            </w:r>
            <w:r>
              <w:rPr>
                <w:sz w:val="18"/>
              </w:rPr>
              <w:t> </w:t>
            </w:r>
            <w:r>
              <w:rPr>
                <w:spacing w:val="-2"/>
                <w:sz w:val="18"/>
              </w:rPr>
              <w:t>confirmed</w:t>
            </w:r>
            <w:r>
              <w:rPr>
                <w:sz w:val="18"/>
              </w:rPr>
              <w:t> </w:t>
            </w:r>
            <w:r>
              <w:rPr>
                <w:spacing w:val="-2"/>
                <w:sz w:val="18"/>
              </w:rPr>
              <w:t>through</w:t>
            </w:r>
            <w:r>
              <w:rPr>
                <w:sz w:val="18"/>
              </w:rPr>
              <w:t> </w:t>
            </w:r>
            <w:r>
              <w:rPr>
                <w:spacing w:val="-2"/>
                <w:sz w:val="18"/>
              </w:rPr>
              <w:t>radiological</w:t>
            </w:r>
            <w:r>
              <w:rPr>
                <w:sz w:val="18"/>
              </w:rPr>
              <w:t> </w:t>
            </w:r>
            <w:r>
              <w:rPr>
                <w:spacing w:val="-2"/>
                <w:sz w:val="18"/>
              </w:rPr>
              <w:t>methods,</w:t>
            </w:r>
          </w:p>
        </w:tc>
        <w:tc>
          <w:tcPr>
            <w:tcW w:w="1419" w:type="dxa"/>
            <w:tcBorders>
              <w:top w:val="nil"/>
              <w:left w:val="single" w:sz="4" w:space="0" w:color="000000"/>
              <w:right w:val="single" w:sz="4" w:space="0" w:color="000000"/>
            </w:tcBorders>
          </w:tcPr>
          <w:p>
            <w:pPr>
              <w:pStyle w:val="TableParagraph"/>
              <w:spacing w:before="202"/>
              <w:ind w:left="106" w:right="275"/>
              <w:rPr>
                <w:sz w:val="18"/>
              </w:rPr>
            </w:pPr>
            <w:r>
              <w:rPr>
                <w:sz w:val="18"/>
              </w:rPr>
              <w:t>Reason:</w:t>
            </w:r>
            <w:r>
              <w:rPr>
                <w:spacing w:val="-11"/>
                <w:sz w:val="18"/>
              </w:rPr>
              <w:t> </w:t>
            </w:r>
            <w:r>
              <w:rPr>
                <w:sz w:val="18"/>
              </w:rPr>
              <w:t>there was</w:t>
            </w:r>
            <w:r>
              <w:rPr>
                <w:spacing w:val="-2"/>
                <w:sz w:val="18"/>
              </w:rPr>
              <w:t> </w:t>
            </w:r>
            <w:r>
              <w:rPr>
                <w:sz w:val="18"/>
              </w:rPr>
              <w:t>no reporting</w:t>
            </w:r>
            <w:r>
              <w:rPr>
                <w:spacing w:val="-2"/>
                <w:sz w:val="18"/>
              </w:rPr>
              <w:t> </w:t>
            </w:r>
            <w:r>
              <w:rPr>
                <w:sz w:val="18"/>
              </w:rPr>
              <w:t>on missing</w:t>
            </w:r>
            <w:r>
              <w:rPr>
                <w:spacing w:val="-2"/>
                <w:sz w:val="18"/>
              </w:rPr>
              <w:t> </w:t>
            </w:r>
            <w:r>
              <w:rPr>
                <w:sz w:val="18"/>
              </w:rPr>
              <w:t>data</w:t>
            </w:r>
          </w:p>
        </w:tc>
        <w:tc>
          <w:tcPr>
            <w:tcW w:w="1357" w:type="dxa"/>
            <w:tcBorders>
              <w:top w:val="nil"/>
              <w:left w:val="single" w:sz="4" w:space="0" w:color="000000"/>
              <w:right w:val="single" w:sz="4" w:space="0" w:color="000000"/>
            </w:tcBorders>
          </w:tcPr>
          <w:p>
            <w:pPr>
              <w:pStyle w:val="TableParagraph"/>
              <w:spacing w:before="202"/>
              <w:ind w:left="106"/>
              <w:rPr>
                <w:sz w:val="18"/>
              </w:rPr>
            </w:pPr>
            <w:r>
              <w:rPr>
                <w:spacing w:val="-2"/>
                <w:sz w:val="18"/>
              </w:rPr>
              <w:t>Reason:</w:t>
            </w:r>
            <w:r>
              <w:rPr>
                <w:sz w:val="18"/>
              </w:rPr>
              <w:t> </w:t>
            </w:r>
            <w:r>
              <w:rPr>
                <w:spacing w:val="-2"/>
                <w:sz w:val="18"/>
              </w:rPr>
              <w:t>cointerventions</w:t>
            </w:r>
            <w:r>
              <w:rPr>
                <w:sz w:val="18"/>
              </w:rPr>
              <w:t> were</w:t>
            </w:r>
            <w:r>
              <w:rPr>
                <w:spacing w:val="-4"/>
                <w:sz w:val="18"/>
              </w:rPr>
              <w:t> </w:t>
            </w:r>
            <w:r>
              <w:rPr>
                <w:sz w:val="18"/>
              </w:rPr>
              <w:t>not </w:t>
            </w:r>
            <w:r>
              <w:rPr>
                <w:spacing w:val="-2"/>
                <w:sz w:val="18"/>
              </w:rPr>
              <w:t>reported</w:t>
            </w:r>
          </w:p>
        </w:tc>
        <w:tc>
          <w:tcPr>
            <w:tcW w:w="1703" w:type="dxa"/>
            <w:tcBorders>
              <w:top w:val="nil"/>
              <w:left w:val="single" w:sz="4" w:space="0" w:color="000000"/>
            </w:tcBorders>
          </w:tcPr>
          <w:p>
            <w:pPr>
              <w:pStyle w:val="TableParagraph"/>
              <w:spacing w:line="203" w:lineRule="exact"/>
              <w:ind w:left="105"/>
              <w:rPr>
                <w:b/>
                <w:sz w:val="18"/>
              </w:rPr>
            </w:pPr>
            <w:r>
              <w:rPr>
                <w:b/>
                <w:sz w:val="18"/>
              </w:rPr>
              <w:t>Reason:</w:t>
            </w:r>
            <w:r>
              <w:rPr>
                <w:b/>
                <w:spacing w:val="-3"/>
                <w:sz w:val="18"/>
              </w:rPr>
              <w:t> </w:t>
            </w:r>
            <w:r>
              <w:rPr>
                <w:b/>
                <w:spacing w:val="-2"/>
                <w:sz w:val="18"/>
              </w:rPr>
              <w:t>patient</w:t>
            </w:r>
          </w:p>
          <w:p>
            <w:pPr>
              <w:pStyle w:val="TableParagraph"/>
              <w:ind w:left="105"/>
              <w:rPr>
                <w:b/>
                <w:sz w:val="18"/>
              </w:rPr>
            </w:pPr>
            <w:r>
              <w:rPr>
                <w:b/>
                <w:sz w:val="18"/>
              </w:rPr>
              <w:t>selection is not clearly described, patients</w:t>
            </w:r>
            <w:r>
              <w:rPr>
                <w:b/>
                <w:spacing w:val="-1"/>
                <w:sz w:val="18"/>
              </w:rPr>
              <w:t> </w:t>
            </w:r>
            <w:r>
              <w:rPr>
                <w:b/>
                <w:sz w:val="18"/>
              </w:rPr>
              <w:t>with</w:t>
            </w:r>
            <w:r>
              <w:rPr>
                <w:b/>
                <w:spacing w:val="-2"/>
                <w:sz w:val="18"/>
              </w:rPr>
              <w:t> </w:t>
            </w:r>
            <w:r>
              <w:rPr>
                <w:b/>
                <w:sz w:val="18"/>
              </w:rPr>
              <w:t>prior thrombotic</w:t>
            </w:r>
            <w:r>
              <w:rPr>
                <w:b/>
                <w:spacing w:val="-2"/>
                <w:sz w:val="18"/>
              </w:rPr>
              <w:t> </w:t>
            </w:r>
            <w:r>
              <w:rPr>
                <w:b/>
                <w:sz w:val="18"/>
              </w:rPr>
              <w:t>events were</w:t>
            </w:r>
            <w:r>
              <w:rPr>
                <w:b/>
                <w:spacing w:val="-11"/>
                <w:sz w:val="18"/>
              </w:rPr>
              <w:t> </w:t>
            </w:r>
            <w:r>
              <w:rPr>
                <w:b/>
                <w:sz w:val="18"/>
              </w:rPr>
              <w:t>not</w:t>
            </w:r>
            <w:r>
              <w:rPr>
                <w:b/>
                <w:spacing w:val="-10"/>
                <w:sz w:val="18"/>
              </w:rPr>
              <w:t> </w:t>
            </w:r>
            <w:r>
              <w:rPr>
                <w:b/>
                <w:sz w:val="18"/>
              </w:rPr>
              <w:t>excluded, and there was no reporting on</w:t>
            </w:r>
          </w:p>
          <w:p>
            <w:pPr>
              <w:pStyle w:val="TableParagraph"/>
              <w:spacing w:line="199" w:lineRule="exact"/>
              <w:ind w:left="105"/>
              <w:rPr>
                <w:b/>
                <w:sz w:val="18"/>
              </w:rPr>
            </w:pPr>
            <w:r>
              <w:rPr>
                <w:b/>
                <w:sz w:val="18"/>
              </w:rPr>
              <w:t>missing</w:t>
            </w:r>
            <w:r>
              <w:rPr>
                <w:b/>
                <w:spacing w:val="-3"/>
                <w:sz w:val="18"/>
              </w:rPr>
              <w:t> </w:t>
            </w:r>
            <w:r>
              <w:rPr>
                <w:b/>
                <w:spacing w:val="-4"/>
                <w:sz w:val="18"/>
              </w:rPr>
              <w:t>data</w:t>
            </w:r>
          </w:p>
        </w:tc>
      </w:tr>
    </w:tbl>
    <w:p>
      <w:pPr>
        <w:pStyle w:val="TableParagraph"/>
        <w:spacing w:after="0" w:line="199" w:lineRule="exact"/>
        <w:rPr>
          <w:b/>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46"/>
        <w:gridCol w:w="1356"/>
        <w:gridCol w:w="1337"/>
        <w:gridCol w:w="1275"/>
        <w:gridCol w:w="1277"/>
        <w:gridCol w:w="1277"/>
        <w:gridCol w:w="1275"/>
        <w:gridCol w:w="1419"/>
        <w:gridCol w:w="1357"/>
        <w:gridCol w:w="1703"/>
      </w:tblGrid>
      <w:tr>
        <w:trPr>
          <w:trHeight w:val="441" w:hRule="atLeast"/>
        </w:trPr>
        <w:tc>
          <w:tcPr>
            <w:tcW w:w="946" w:type="dxa"/>
            <w:tcBorders>
              <w:right w:val="single" w:sz="4" w:space="0" w:color="000000"/>
            </w:tcBorders>
          </w:tcPr>
          <w:p>
            <w:pPr>
              <w:pStyle w:val="TableParagraph"/>
              <w:rPr>
                <w:rFonts w:ascii="Times New Roman"/>
                <w:sz w:val="18"/>
              </w:rPr>
            </w:pPr>
          </w:p>
        </w:tc>
        <w:tc>
          <w:tcPr>
            <w:tcW w:w="1356" w:type="dxa"/>
            <w:tcBorders>
              <w:left w:val="single" w:sz="4" w:space="0" w:color="000000"/>
              <w:right w:val="single" w:sz="4" w:space="0" w:color="000000"/>
            </w:tcBorders>
          </w:tcPr>
          <w:p>
            <w:pPr>
              <w:pStyle w:val="TableParagraph"/>
              <w:rPr>
                <w:rFonts w:ascii="Times New Roman"/>
                <w:sz w:val="18"/>
              </w:rPr>
            </w:pPr>
          </w:p>
        </w:tc>
        <w:tc>
          <w:tcPr>
            <w:tcW w:w="1337" w:type="dxa"/>
            <w:tcBorders>
              <w:left w:val="single" w:sz="4" w:space="0" w:color="000000"/>
              <w:right w:val="single" w:sz="4" w:space="0" w:color="000000"/>
            </w:tcBorders>
          </w:tcPr>
          <w:p>
            <w:pPr>
              <w:pStyle w:val="TableParagraph"/>
              <w:rPr>
                <w:rFonts w:ascii="Times New Roman"/>
                <w:sz w:val="18"/>
              </w:rPr>
            </w:pPr>
          </w:p>
        </w:tc>
        <w:tc>
          <w:tcPr>
            <w:tcW w:w="1275" w:type="dxa"/>
            <w:tcBorders>
              <w:left w:val="single" w:sz="4" w:space="0" w:color="000000"/>
              <w:right w:val="single" w:sz="4" w:space="0" w:color="000000"/>
            </w:tcBorders>
          </w:tcPr>
          <w:p>
            <w:pPr>
              <w:pStyle w:val="TableParagraph"/>
              <w:rPr>
                <w:rFonts w:ascii="Times New Roman"/>
                <w:sz w:val="18"/>
              </w:rPr>
            </w:pPr>
          </w:p>
        </w:tc>
        <w:tc>
          <w:tcPr>
            <w:tcW w:w="1277" w:type="dxa"/>
            <w:tcBorders>
              <w:left w:val="single" w:sz="4" w:space="0" w:color="000000"/>
              <w:right w:val="single" w:sz="4" w:space="0" w:color="000000"/>
            </w:tcBorders>
          </w:tcPr>
          <w:p>
            <w:pPr>
              <w:pStyle w:val="TableParagraph"/>
              <w:rPr>
                <w:rFonts w:ascii="Times New Roman"/>
                <w:sz w:val="18"/>
              </w:rPr>
            </w:pPr>
          </w:p>
        </w:tc>
        <w:tc>
          <w:tcPr>
            <w:tcW w:w="1277" w:type="dxa"/>
            <w:tcBorders>
              <w:left w:val="single" w:sz="4" w:space="0" w:color="000000"/>
              <w:right w:val="single" w:sz="4" w:space="0" w:color="000000"/>
            </w:tcBorders>
          </w:tcPr>
          <w:p>
            <w:pPr>
              <w:pStyle w:val="TableParagraph"/>
              <w:rPr>
                <w:rFonts w:ascii="Times New Roman"/>
                <w:sz w:val="18"/>
              </w:rPr>
            </w:pPr>
          </w:p>
        </w:tc>
        <w:tc>
          <w:tcPr>
            <w:tcW w:w="1275" w:type="dxa"/>
            <w:tcBorders>
              <w:left w:val="single" w:sz="4" w:space="0" w:color="000000"/>
              <w:right w:val="single" w:sz="4" w:space="0" w:color="000000"/>
            </w:tcBorders>
          </w:tcPr>
          <w:p>
            <w:pPr>
              <w:pStyle w:val="TableParagraph"/>
              <w:spacing w:line="219" w:lineRule="exact" w:before="1"/>
              <w:ind w:left="104"/>
              <w:rPr>
                <w:sz w:val="18"/>
              </w:rPr>
            </w:pPr>
            <w:r>
              <w:rPr>
                <w:sz w:val="18"/>
              </w:rPr>
              <w:t>surgery,</w:t>
            </w:r>
            <w:r>
              <w:rPr>
                <w:spacing w:val="-2"/>
                <w:sz w:val="18"/>
              </w:rPr>
              <w:t> </w:t>
            </w:r>
            <w:r>
              <w:rPr>
                <w:spacing w:val="-4"/>
                <w:sz w:val="18"/>
              </w:rPr>
              <w:t>etc.</w:t>
            </w:r>
          </w:p>
          <w:p>
            <w:pPr>
              <w:pStyle w:val="TableParagraph"/>
              <w:spacing w:line="201" w:lineRule="exact"/>
              <w:ind w:left="104"/>
              <w:rPr>
                <w:sz w:val="18"/>
              </w:rPr>
            </w:pPr>
            <w:r>
              <w:rPr>
                <w:sz w:val="18"/>
              </w:rPr>
              <w:t>were</w:t>
            </w:r>
            <w:r>
              <w:rPr>
                <w:spacing w:val="-5"/>
                <w:sz w:val="18"/>
              </w:rPr>
              <w:t> </w:t>
            </w:r>
            <w:r>
              <w:rPr>
                <w:spacing w:val="-2"/>
                <w:sz w:val="18"/>
              </w:rPr>
              <w:t>included</w:t>
            </w:r>
          </w:p>
        </w:tc>
        <w:tc>
          <w:tcPr>
            <w:tcW w:w="1419" w:type="dxa"/>
            <w:tcBorders>
              <w:left w:val="single" w:sz="4" w:space="0" w:color="000000"/>
              <w:right w:val="single" w:sz="4" w:space="0" w:color="000000"/>
            </w:tcBorders>
          </w:tcPr>
          <w:p>
            <w:pPr>
              <w:pStyle w:val="TableParagraph"/>
              <w:rPr>
                <w:rFonts w:ascii="Times New Roman"/>
                <w:sz w:val="18"/>
              </w:rPr>
            </w:pPr>
          </w:p>
        </w:tc>
        <w:tc>
          <w:tcPr>
            <w:tcW w:w="1357" w:type="dxa"/>
            <w:tcBorders>
              <w:left w:val="single" w:sz="4" w:space="0" w:color="000000"/>
              <w:right w:val="single" w:sz="4" w:space="0" w:color="000000"/>
            </w:tcBorders>
          </w:tcPr>
          <w:p>
            <w:pPr>
              <w:pStyle w:val="TableParagraph"/>
              <w:rPr>
                <w:rFonts w:ascii="Times New Roman"/>
                <w:sz w:val="18"/>
              </w:rPr>
            </w:pPr>
          </w:p>
        </w:tc>
        <w:tc>
          <w:tcPr>
            <w:tcW w:w="1703" w:type="dxa"/>
            <w:tcBorders>
              <w:left w:val="single" w:sz="4" w:space="0" w:color="000000"/>
            </w:tcBorders>
          </w:tcPr>
          <w:p>
            <w:pPr>
              <w:pStyle w:val="TableParagraph"/>
              <w:rPr>
                <w:rFonts w:ascii="Times New Roman"/>
                <w:sz w:val="18"/>
              </w:rPr>
            </w:pPr>
          </w:p>
        </w:tc>
      </w:tr>
    </w:tbl>
    <w:p>
      <w:pPr>
        <w:pStyle w:val="BodyText"/>
        <w:rPr>
          <w:sz w:val="18"/>
        </w:rPr>
      </w:pPr>
    </w:p>
    <w:p>
      <w:pPr>
        <w:pStyle w:val="BodyText"/>
        <w:spacing w:before="29"/>
        <w:rPr>
          <w:sz w:val="18"/>
        </w:rPr>
      </w:pPr>
    </w:p>
    <w:p>
      <w:pPr>
        <w:spacing w:line="278" w:lineRule="auto" w:before="0"/>
        <w:ind w:left="23" w:right="0" w:firstLine="0"/>
        <w:jc w:val="left"/>
        <w:rPr>
          <w:b/>
          <w:sz w:val="18"/>
        </w:rPr>
      </w:pPr>
      <w:r>
        <w:rPr>
          <w:sz w:val="22"/>
        </w:rPr>
        <w:t>Table 2.4 Summary of findings </w:t>
      </w:r>
      <w:r>
        <w:rPr>
          <w:b/>
          <w:sz w:val="18"/>
        </w:rPr>
        <w:t>– Thromboprophylaxis versus no thromboprophylaxis with outcomes thrombotic complications (including pulmonary embolism), shunt</w:t>
      </w:r>
      <w:r>
        <w:rPr>
          <w:b/>
          <w:spacing w:val="24"/>
          <w:sz w:val="18"/>
        </w:rPr>
        <w:t> </w:t>
      </w:r>
      <w:r>
        <w:rPr>
          <w:b/>
          <w:sz w:val="18"/>
        </w:rPr>
        <w:t>occlusion,</w:t>
      </w:r>
      <w:r>
        <w:rPr>
          <w:b/>
          <w:spacing w:val="80"/>
          <w:sz w:val="18"/>
        </w:rPr>
        <w:t> </w:t>
      </w:r>
      <w:r>
        <w:rPr>
          <w:b/>
          <w:sz w:val="18"/>
        </w:rPr>
        <w:t>hemorrhage, mortality, quality of life (QOL), adverse effects (including pain post injection)</w:t>
      </w:r>
    </w:p>
    <w:p>
      <w:pPr>
        <w:spacing w:line="453" w:lineRule="auto" w:before="163"/>
        <w:ind w:left="23" w:right="7738" w:firstLine="0"/>
        <w:jc w:val="left"/>
        <w:rPr>
          <w:sz w:val="18"/>
        </w:rPr>
      </w:pPr>
      <w:r>
        <w:rPr>
          <w:sz w:val="18"/>
        </w:rPr>
        <w:t>Population:</w:t>
      </w:r>
      <w:r>
        <w:rPr>
          <w:spacing w:val="-5"/>
          <w:sz w:val="18"/>
        </w:rPr>
        <w:t> </w:t>
      </w:r>
      <w:r>
        <w:rPr>
          <w:sz w:val="18"/>
        </w:rPr>
        <w:t>Children</w:t>
      </w:r>
      <w:r>
        <w:rPr>
          <w:spacing w:val="-5"/>
          <w:sz w:val="18"/>
        </w:rPr>
        <w:t> </w:t>
      </w:r>
      <w:r>
        <w:rPr>
          <w:sz w:val="18"/>
        </w:rPr>
        <w:t>with</w:t>
      </w:r>
      <w:r>
        <w:rPr>
          <w:spacing w:val="-6"/>
          <w:sz w:val="18"/>
        </w:rPr>
        <w:t> </w:t>
      </w:r>
      <w:r>
        <w:rPr>
          <w:sz w:val="18"/>
        </w:rPr>
        <w:t>an</w:t>
      </w:r>
      <w:r>
        <w:rPr>
          <w:spacing w:val="-5"/>
          <w:sz w:val="18"/>
        </w:rPr>
        <w:t> </w:t>
      </w:r>
      <w:r>
        <w:rPr>
          <w:sz w:val="18"/>
        </w:rPr>
        <w:t>indication</w:t>
      </w:r>
      <w:r>
        <w:rPr>
          <w:spacing w:val="-5"/>
          <w:sz w:val="18"/>
        </w:rPr>
        <w:t> </w:t>
      </w:r>
      <w:r>
        <w:rPr>
          <w:sz w:val="18"/>
        </w:rPr>
        <w:t>for</w:t>
      </w:r>
      <w:r>
        <w:rPr>
          <w:spacing w:val="-5"/>
          <w:sz w:val="18"/>
        </w:rPr>
        <w:t> </w:t>
      </w:r>
      <w:r>
        <w:rPr>
          <w:sz w:val="18"/>
        </w:rPr>
        <w:t>SCPC/bidirectional</w:t>
      </w:r>
      <w:r>
        <w:rPr>
          <w:spacing w:val="-3"/>
          <w:sz w:val="18"/>
        </w:rPr>
        <w:t> </w:t>
      </w:r>
      <w:r>
        <w:rPr>
          <w:sz w:val="18"/>
        </w:rPr>
        <w:t>Glenn</w:t>
      </w:r>
      <w:r>
        <w:rPr>
          <w:spacing w:val="-5"/>
          <w:sz w:val="18"/>
        </w:rPr>
        <w:t> </w:t>
      </w:r>
      <w:r>
        <w:rPr>
          <w:sz w:val="18"/>
        </w:rPr>
        <w:t>shunt</w:t>
      </w:r>
      <w:r>
        <w:rPr>
          <w:spacing w:val="-4"/>
          <w:sz w:val="18"/>
        </w:rPr>
        <w:t> </w:t>
      </w:r>
      <w:r>
        <w:rPr>
          <w:sz w:val="18"/>
        </w:rPr>
        <w:t>surgery Intervention: Thromboprophylaxis</w:t>
      </w:r>
    </w:p>
    <w:p>
      <w:pPr>
        <w:spacing w:before="1"/>
        <w:ind w:left="23" w:right="0" w:firstLine="0"/>
        <w:jc w:val="left"/>
        <w:rPr>
          <w:sz w:val="18"/>
        </w:rPr>
      </w:pPr>
      <w:r>
        <w:rPr>
          <w:sz w:val="18"/>
        </w:rPr>
        <w:t>Comparator:</w:t>
      </w:r>
      <w:r>
        <w:rPr>
          <w:spacing w:val="-5"/>
          <w:sz w:val="18"/>
        </w:rPr>
        <w:t> </w:t>
      </w:r>
      <w:r>
        <w:rPr>
          <w:sz w:val="18"/>
        </w:rPr>
        <w:t>No</w:t>
      </w:r>
      <w:r>
        <w:rPr>
          <w:spacing w:val="-3"/>
          <w:sz w:val="18"/>
        </w:rPr>
        <w:t> </w:t>
      </w:r>
      <w:r>
        <w:rPr>
          <w:spacing w:val="-2"/>
          <w:sz w:val="18"/>
        </w:rPr>
        <w:t>thromboprophylaxis</w:t>
      </w:r>
    </w:p>
    <w:p>
      <w:pPr>
        <w:pStyle w:val="BodyText"/>
        <w:spacing w:before="1"/>
        <w:rPr>
          <w:sz w:val="16"/>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494"/>
        <w:gridCol w:w="1207"/>
        <w:gridCol w:w="1577"/>
        <w:gridCol w:w="1603"/>
        <w:gridCol w:w="1927"/>
        <w:gridCol w:w="4368"/>
      </w:tblGrid>
      <w:tr>
        <w:trPr>
          <w:trHeight w:val="433" w:hRule="atLeast"/>
        </w:trPr>
        <w:tc>
          <w:tcPr>
            <w:tcW w:w="2494" w:type="dxa"/>
            <w:vMerge w:val="restart"/>
            <w:tcBorders>
              <w:bottom w:val="single" w:sz="4" w:space="0" w:color="000000"/>
              <w:right w:val="single" w:sz="4" w:space="0" w:color="000000"/>
            </w:tcBorders>
          </w:tcPr>
          <w:p>
            <w:pPr>
              <w:pStyle w:val="TableParagraph"/>
              <w:spacing w:before="47"/>
              <w:rPr>
                <w:sz w:val="18"/>
              </w:rPr>
            </w:pPr>
          </w:p>
          <w:p>
            <w:pPr>
              <w:pStyle w:val="TableParagraph"/>
              <w:ind w:left="70" w:right="59"/>
              <w:jc w:val="center"/>
              <w:rPr>
                <w:b/>
                <w:sz w:val="18"/>
              </w:rPr>
            </w:pPr>
            <w:r>
              <w:rPr>
                <w:b/>
                <w:spacing w:val="-2"/>
                <w:sz w:val="18"/>
              </w:rPr>
              <w:t>Outcome</w:t>
            </w:r>
          </w:p>
        </w:tc>
        <w:tc>
          <w:tcPr>
            <w:tcW w:w="1207" w:type="dxa"/>
            <w:vMerge w:val="restart"/>
            <w:tcBorders>
              <w:left w:val="single" w:sz="4" w:space="0" w:color="000000"/>
              <w:bottom w:val="single" w:sz="4" w:space="0" w:color="000000"/>
              <w:right w:val="single" w:sz="4" w:space="0" w:color="000000"/>
            </w:tcBorders>
          </w:tcPr>
          <w:p>
            <w:pPr>
              <w:pStyle w:val="TableParagraph"/>
              <w:spacing w:before="157"/>
              <w:ind w:left="47" w:right="29" w:hanging="3"/>
              <w:jc w:val="center"/>
              <w:rPr>
                <w:b/>
                <w:sz w:val="18"/>
              </w:rPr>
            </w:pPr>
            <w:r>
              <w:rPr>
                <w:b/>
                <w:sz w:val="18"/>
              </w:rPr>
              <w:t>Study results </w:t>
            </w:r>
            <w:r>
              <w:rPr>
                <w:b/>
                <w:spacing w:val="-4"/>
                <w:sz w:val="18"/>
              </w:rPr>
              <w:t>and</w:t>
            </w:r>
            <w:r>
              <w:rPr>
                <w:b/>
                <w:sz w:val="18"/>
              </w:rPr>
              <w:t> </w:t>
            </w:r>
            <w:r>
              <w:rPr>
                <w:b/>
                <w:spacing w:val="-2"/>
                <w:sz w:val="18"/>
              </w:rPr>
              <w:t>measurements</w:t>
            </w:r>
          </w:p>
        </w:tc>
        <w:tc>
          <w:tcPr>
            <w:tcW w:w="3180" w:type="dxa"/>
            <w:gridSpan w:val="2"/>
            <w:tcBorders>
              <w:left w:val="single" w:sz="4" w:space="0" w:color="000000"/>
              <w:bottom w:val="single" w:sz="4" w:space="0" w:color="000000"/>
              <w:right w:val="single" w:sz="4" w:space="0" w:color="000000"/>
            </w:tcBorders>
          </w:tcPr>
          <w:p>
            <w:pPr>
              <w:pStyle w:val="TableParagraph"/>
              <w:spacing w:before="106"/>
              <w:ind w:left="593"/>
              <w:rPr>
                <w:b/>
                <w:sz w:val="18"/>
              </w:rPr>
            </w:pPr>
            <w:r>
              <w:rPr>
                <w:b/>
                <w:sz w:val="18"/>
              </w:rPr>
              <w:t>Absolute</w:t>
            </w:r>
            <w:r>
              <w:rPr>
                <w:b/>
                <w:spacing w:val="-3"/>
                <w:sz w:val="18"/>
              </w:rPr>
              <w:t> </w:t>
            </w:r>
            <w:r>
              <w:rPr>
                <w:b/>
                <w:sz w:val="18"/>
              </w:rPr>
              <w:t>effect</w:t>
            </w:r>
            <w:r>
              <w:rPr>
                <w:b/>
                <w:spacing w:val="-2"/>
                <w:sz w:val="18"/>
              </w:rPr>
              <w:t> estimates*</w:t>
            </w:r>
          </w:p>
        </w:tc>
        <w:tc>
          <w:tcPr>
            <w:tcW w:w="1927" w:type="dxa"/>
            <w:vMerge w:val="restart"/>
            <w:tcBorders>
              <w:left w:val="single" w:sz="4" w:space="0" w:color="000000"/>
              <w:bottom w:val="single" w:sz="4" w:space="0" w:color="000000"/>
              <w:right w:val="single" w:sz="4" w:space="0" w:color="000000"/>
            </w:tcBorders>
          </w:tcPr>
          <w:p>
            <w:pPr>
              <w:pStyle w:val="TableParagraph"/>
              <w:spacing w:before="157"/>
              <w:ind w:left="83" w:right="68"/>
              <w:jc w:val="center"/>
              <w:rPr>
                <w:b/>
                <w:sz w:val="18"/>
              </w:rPr>
            </w:pPr>
            <w:r>
              <w:rPr>
                <w:b/>
                <w:sz w:val="18"/>
              </w:rPr>
              <w:t>Certainty</w:t>
            </w:r>
            <w:r>
              <w:rPr>
                <w:b/>
                <w:spacing w:val="-11"/>
                <w:sz w:val="18"/>
              </w:rPr>
              <w:t> </w:t>
            </w:r>
            <w:r>
              <w:rPr>
                <w:b/>
                <w:sz w:val="18"/>
              </w:rPr>
              <w:t>of</w:t>
            </w:r>
            <w:r>
              <w:rPr>
                <w:b/>
                <w:spacing w:val="-10"/>
                <w:sz w:val="18"/>
              </w:rPr>
              <w:t> </w:t>
            </w:r>
            <w:r>
              <w:rPr>
                <w:b/>
                <w:sz w:val="18"/>
              </w:rPr>
              <w:t>the </w:t>
            </w:r>
            <w:r>
              <w:rPr>
                <w:b/>
                <w:spacing w:val="-2"/>
                <w:sz w:val="18"/>
              </w:rPr>
              <w:t>Evidence</w:t>
            </w:r>
          </w:p>
          <w:p>
            <w:pPr>
              <w:pStyle w:val="TableParagraph"/>
              <w:spacing w:line="219" w:lineRule="exact"/>
              <w:ind w:left="83" w:right="71"/>
              <w:jc w:val="center"/>
              <w:rPr>
                <w:sz w:val="18"/>
              </w:rPr>
            </w:pPr>
            <w:r>
              <w:rPr>
                <w:sz w:val="18"/>
              </w:rPr>
              <w:t>(Quality</w:t>
            </w:r>
            <w:r>
              <w:rPr>
                <w:spacing w:val="-1"/>
                <w:sz w:val="18"/>
              </w:rPr>
              <w:t> </w:t>
            </w:r>
            <w:r>
              <w:rPr>
                <w:sz w:val="18"/>
              </w:rPr>
              <w:t>of</w:t>
            </w:r>
            <w:r>
              <w:rPr>
                <w:spacing w:val="-1"/>
                <w:sz w:val="18"/>
              </w:rPr>
              <w:t> </w:t>
            </w:r>
            <w:r>
              <w:rPr>
                <w:spacing w:val="-2"/>
                <w:sz w:val="18"/>
              </w:rPr>
              <w:t>evidence)</w:t>
            </w:r>
          </w:p>
        </w:tc>
        <w:tc>
          <w:tcPr>
            <w:tcW w:w="4368" w:type="dxa"/>
            <w:vMerge w:val="restart"/>
            <w:tcBorders>
              <w:left w:val="single" w:sz="4" w:space="0" w:color="000000"/>
              <w:bottom w:val="single" w:sz="4" w:space="0" w:color="000000"/>
            </w:tcBorders>
          </w:tcPr>
          <w:p>
            <w:pPr>
              <w:pStyle w:val="TableParagraph"/>
              <w:spacing w:before="158"/>
              <w:rPr>
                <w:sz w:val="18"/>
              </w:rPr>
            </w:pPr>
          </w:p>
          <w:p>
            <w:pPr>
              <w:pStyle w:val="TableParagraph"/>
              <w:ind w:left="15"/>
              <w:jc w:val="center"/>
              <w:rPr>
                <w:b/>
                <w:sz w:val="18"/>
              </w:rPr>
            </w:pPr>
            <w:r>
              <w:rPr>
                <w:b/>
                <w:spacing w:val="-2"/>
                <w:sz w:val="18"/>
              </w:rPr>
              <w:t>Summary</w:t>
            </w:r>
          </w:p>
        </w:tc>
      </w:tr>
      <w:tr>
        <w:trPr>
          <w:trHeight w:val="529" w:hRule="atLeast"/>
        </w:trPr>
        <w:tc>
          <w:tcPr>
            <w:tcW w:w="2494" w:type="dxa"/>
            <w:vMerge/>
            <w:tcBorders>
              <w:top w:val="nil"/>
              <w:bottom w:val="single" w:sz="4" w:space="0" w:color="000000"/>
              <w:right w:val="single" w:sz="4" w:space="0" w:color="000000"/>
            </w:tcBorders>
          </w:tcPr>
          <w:p>
            <w:pPr>
              <w:rPr>
                <w:sz w:val="2"/>
                <w:szCs w:val="2"/>
              </w:rPr>
            </w:pPr>
          </w:p>
        </w:tc>
        <w:tc>
          <w:tcPr>
            <w:tcW w:w="1207" w:type="dxa"/>
            <w:vMerge/>
            <w:tcBorders>
              <w:top w:val="nil"/>
              <w:left w:val="single" w:sz="4" w:space="0" w:color="000000"/>
              <w:bottom w:val="single" w:sz="4" w:space="0" w:color="000000"/>
              <w:right w:val="single" w:sz="4" w:space="0" w:color="000000"/>
            </w:tcBorders>
          </w:tcPr>
          <w:p>
            <w:pPr>
              <w:rPr>
                <w:sz w:val="2"/>
                <w:szCs w:val="2"/>
              </w:rPr>
            </w:pPr>
          </w:p>
        </w:tc>
        <w:tc>
          <w:tcPr>
            <w:tcW w:w="1577" w:type="dxa"/>
            <w:tcBorders>
              <w:top w:val="single" w:sz="4" w:space="0" w:color="000000"/>
              <w:left w:val="single" w:sz="4" w:space="0" w:color="000000"/>
              <w:bottom w:val="single" w:sz="4" w:space="0" w:color="000000"/>
              <w:right w:val="single" w:sz="4" w:space="0" w:color="000000"/>
            </w:tcBorders>
          </w:tcPr>
          <w:p>
            <w:pPr>
              <w:pStyle w:val="TableParagraph"/>
              <w:spacing w:before="47"/>
              <w:ind w:left="48" w:firstLine="636"/>
              <w:rPr>
                <w:sz w:val="18"/>
              </w:rPr>
            </w:pPr>
            <w:r>
              <w:rPr>
                <w:spacing w:val="-6"/>
                <w:sz w:val="18"/>
              </w:rPr>
              <w:t>No</w:t>
            </w:r>
            <w:r>
              <w:rPr>
                <w:sz w:val="18"/>
              </w:rPr>
              <w:t> </w:t>
            </w:r>
            <w:r>
              <w:rPr>
                <w:spacing w:val="-2"/>
                <w:sz w:val="18"/>
              </w:rPr>
              <w:t>thromboprophylaxis</w:t>
            </w:r>
          </w:p>
        </w:tc>
        <w:tc>
          <w:tcPr>
            <w:tcW w:w="1603" w:type="dxa"/>
            <w:tcBorders>
              <w:top w:val="single" w:sz="4" w:space="0" w:color="000000"/>
              <w:left w:val="single" w:sz="4" w:space="0" w:color="000000"/>
              <w:bottom w:val="single" w:sz="4" w:space="0" w:color="000000"/>
              <w:right w:val="single" w:sz="4" w:space="0" w:color="000000"/>
            </w:tcBorders>
          </w:tcPr>
          <w:p>
            <w:pPr>
              <w:pStyle w:val="TableParagraph"/>
              <w:spacing w:before="157"/>
              <w:ind w:left="13" w:right="3"/>
              <w:jc w:val="center"/>
              <w:rPr>
                <w:sz w:val="18"/>
              </w:rPr>
            </w:pPr>
            <w:r>
              <w:rPr>
                <w:spacing w:val="-2"/>
                <w:sz w:val="18"/>
              </w:rPr>
              <w:t>Thromboprophylaxis</w:t>
            </w:r>
          </w:p>
        </w:tc>
        <w:tc>
          <w:tcPr>
            <w:tcW w:w="1927" w:type="dxa"/>
            <w:vMerge/>
            <w:tcBorders>
              <w:top w:val="nil"/>
              <w:left w:val="single" w:sz="4" w:space="0" w:color="000000"/>
              <w:bottom w:val="single" w:sz="4" w:space="0" w:color="000000"/>
              <w:right w:val="single" w:sz="4" w:space="0" w:color="000000"/>
            </w:tcBorders>
          </w:tcPr>
          <w:p>
            <w:pPr>
              <w:rPr>
                <w:sz w:val="2"/>
                <w:szCs w:val="2"/>
              </w:rPr>
            </w:pPr>
          </w:p>
        </w:tc>
        <w:tc>
          <w:tcPr>
            <w:tcW w:w="4368" w:type="dxa"/>
            <w:vMerge/>
            <w:tcBorders>
              <w:top w:val="nil"/>
              <w:left w:val="single" w:sz="4" w:space="0" w:color="000000"/>
              <w:bottom w:val="single" w:sz="4" w:space="0" w:color="000000"/>
            </w:tcBorders>
          </w:tcPr>
          <w:p>
            <w:pPr>
              <w:rPr>
                <w:sz w:val="2"/>
                <w:szCs w:val="2"/>
              </w:rPr>
            </w:pPr>
          </w:p>
        </w:tc>
      </w:tr>
      <w:tr>
        <w:trPr>
          <w:trHeight w:val="2280" w:hRule="atLeast"/>
        </w:trPr>
        <w:tc>
          <w:tcPr>
            <w:tcW w:w="2494" w:type="dxa"/>
            <w:tcBorders>
              <w:top w:val="single" w:sz="4" w:space="0" w:color="000000"/>
              <w:bottom w:val="single" w:sz="4" w:space="0" w:color="000000"/>
              <w:right w:val="single" w:sz="4" w:space="0" w:color="000000"/>
            </w:tcBorders>
          </w:tcPr>
          <w:p>
            <w:pPr>
              <w:pStyle w:val="TableParagraph"/>
              <w:rPr>
                <w:sz w:val="18"/>
              </w:rPr>
            </w:pPr>
          </w:p>
          <w:p>
            <w:pPr>
              <w:pStyle w:val="TableParagraph"/>
              <w:spacing w:before="41"/>
              <w:rPr>
                <w:sz w:val="18"/>
              </w:rPr>
            </w:pPr>
          </w:p>
          <w:p>
            <w:pPr>
              <w:pStyle w:val="TableParagraph"/>
              <w:ind w:left="62" w:right="52" w:firstLine="3"/>
              <w:jc w:val="center"/>
              <w:rPr>
                <w:sz w:val="18"/>
              </w:rPr>
            </w:pPr>
            <w:r>
              <w:rPr>
                <w:sz w:val="18"/>
              </w:rPr>
              <w:t>Thrombotic complications (including</w:t>
            </w:r>
            <w:r>
              <w:rPr>
                <w:spacing w:val="-11"/>
                <w:sz w:val="18"/>
              </w:rPr>
              <w:t> </w:t>
            </w:r>
            <w:r>
              <w:rPr>
                <w:sz w:val="18"/>
              </w:rPr>
              <w:t>pulmonary</w:t>
            </w:r>
            <w:r>
              <w:rPr>
                <w:spacing w:val="-10"/>
                <w:sz w:val="18"/>
              </w:rPr>
              <w:t> </w:t>
            </w:r>
            <w:r>
              <w:rPr>
                <w:sz w:val="18"/>
              </w:rPr>
              <w:t>embolism) </w:t>
            </w:r>
            <w:r>
              <w:rPr>
                <w:spacing w:val="-2"/>
                <w:sz w:val="18"/>
              </w:rPr>
              <w:t>(critical)</w:t>
            </w:r>
          </w:p>
          <w:p>
            <w:pPr>
              <w:pStyle w:val="TableParagraph"/>
              <w:rPr>
                <w:sz w:val="18"/>
              </w:rPr>
            </w:pPr>
          </w:p>
          <w:p>
            <w:pPr>
              <w:pStyle w:val="TableParagraph"/>
              <w:ind w:left="68" w:right="59"/>
              <w:jc w:val="center"/>
              <w:rPr>
                <w:sz w:val="18"/>
              </w:rPr>
            </w:pPr>
            <w:r>
              <w:rPr>
                <w:sz w:val="18"/>
              </w:rPr>
              <w:t>Follow-up:</w:t>
            </w:r>
            <w:r>
              <w:rPr>
                <w:spacing w:val="-11"/>
                <w:sz w:val="18"/>
              </w:rPr>
              <w:t> </w:t>
            </w:r>
            <w:r>
              <w:rPr>
                <w:sz w:val="18"/>
              </w:rPr>
              <w:t>3.5</w:t>
            </w:r>
            <w:r>
              <w:rPr>
                <w:spacing w:val="-10"/>
                <w:sz w:val="18"/>
              </w:rPr>
              <w:t> </w:t>
            </w:r>
            <w:r>
              <w:rPr>
                <w:sz w:val="18"/>
              </w:rPr>
              <w:t>years</w:t>
            </w:r>
            <w:r>
              <w:rPr>
                <w:spacing w:val="-10"/>
                <w:sz w:val="18"/>
              </w:rPr>
              <w:t> </w:t>
            </w:r>
            <w:r>
              <w:rPr>
                <w:sz w:val="18"/>
              </w:rPr>
              <w:t>post-</w:t>
            </w:r>
            <w:r>
              <w:rPr>
                <w:spacing w:val="-2"/>
                <w:sz w:val="18"/>
              </w:rPr>
              <w:t>surgery</w:t>
            </w:r>
          </w:p>
        </w:tc>
        <w:tc>
          <w:tcPr>
            <w:tcW w:w="1207" w:type="dxa"/>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spacing w:before="152"/>
              <w:rPr>
                <w:sz w:val="18"/>
              </w:rPr>
            </w:pPr>
          </w:p>
          <w:p>
            <w:pPr>
              <w:pStyle w:val="TableParagraph"/>
              <w:ind w:left="50" w:right="34"/>
              <w:jc w:val="center"/>
              <w:rPr>
                <w:sz w:val="18"/>
              </w:rPr>
            </w:pPr>
            <w:r>
              <w:rPr>
                <w:sz w:val="18"/>
              </w:rPr>
              <w:t>Hazard</w:t>
            </w:r>
            <w:r>
              <w:rPr>
                <w:spacing w:val="-11"/>
                <w:sz w:val="18"/>
              </w:rPr>
              <w:t> </w:t>
            </w:r>
            <w:r>
              <w:rPr>
                <w:sz w:val="18"/>
              </w:rPr>
              <w:t>ratio: </w:t>
            </w:r>
            <w:r>
              <w:rPr>
                <w:spacing w:val="-4"/>
                <w:sz w:val="18"/>
              </w:rPr>
              <w:t>0.2</w:t>
            </w:r>
          </w:p>
          <w:p>
            <w:pPr>
              <w:pStyle w:val="TableParagraph"/>
              <w:spacing w:line="219" w:lineRule="exact"/>
              <w:ind w:left="50" w:right="35"/>
              <w:jc w:val="center"/>
              <w:rPr>
                <w:sz w:val="18"/>
              </w:rPr>
            </w:pPr>
            <w:r>
              <w:rPr>
                <w:sz w:val="18"/>
              </w:rPr>
              <w:t>(CI 95%</w:t>
            </w:r>
            <w:r>
              <w:rPr>
                <w:spacing w:val="1"/>
                <w:sz w:val="18"/>
              </w:rPr>
              <w:t> </w:t>
            </w:r>
            <w:r>
              <w:rPr>
                <w:sz w:val="18"/>
              </w:rPr>
              <w:t>0.1 </w:t>
            </w:r>
            <w:r>
              <w:rPr>
                <w:spacing w:val="-10"/>
                <w:sz w:val="18"/>
              </w:rPr>
              <w:t>–</w:t>
            </w:r>
          </w:p>
          <w:p>
            <w:pPr>
              <w:pStyle w:val="TableParagraph"/>
              <w:spacing w:before="1"/>
              <w:ind w:left="50" w:right="39"/>
              <w:jc w:val="center"/>
              <w:rPr>
                <w:sz w:val="18"/>
              </w:rPr>
            </w:pPr>
            <w:r>
              <w:rPr>
                <w:spacing w:val="-4"/>
                <w:sz w:val="18"/>
              </w:rPr>
              <w:t>0.9)</w:t>
            </w:r>
          </w:p>
        </w:tc>
        <w:tc>
          <w:tcPr>
            <w:tcW w:w="1577" w:type="dxa"/>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151"/>
              <w:rPr>
                <w:sz w:val="18"/>
              </w:rPr>
            </w:pPr>
          </w:p>
          <w:p>
            <w:pPr>
              <w:pStyle w:val="TableParagraph"/>
              <w:spacing w:before="1"/>
              <w:ind w:left="54"/>
              <w:jc w:val="center"/>
              <w:rPr>
                <w:sz w:val="18"/>
              </w:rPr>
            </w:pPr>
            <w:r>
              <w:rPr>
                <w:spacing w:val="-10"/>
                <w:sz w:val="18"/>
              </w:rPr>
              <w:t>-</w:t>
            </w:r>
          </w:p>
        </w:tc>
        <w:tc>
          <w:tcPr>
            <w:tcW w:w="1603" w:type="dxa"/>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rPr>
                <w:sz w:val="18"/>
              </w:rPr>
            </w:pPr>
          </w:p>
          <w:p>
            <w:pPr>
              <w:pStyle w:val="TableParagraph"/>
              <w:spacing w:before="151"/>
              <w:rPr>
                <w:sz w:val="18"/>
              </w:rPr>
            </w:pPr>
          </w:p>
          <w:p>
            <w:pPr>
              <w:pStyle w:val="TableParagraph"/>
              <w:spacing w:before="1"/>
              <w:ind w:left="13"/>
              <w:jc w:val="center"/>
              <w:rPr>
                <w:sz w:val="18"/>
              </w:rPr>
            </w:pPr>
            <w:r>
              <w:rPr>
                <w:spacing w:val="-10"/>
                <w:sz w:val="18"/>
              </w:rPr>
              <w:t>-</w:t>
            </w:r>
          </w:p>
        </w:tc>
        <w:tc>
          <w:tcPr>
            <w:tcW w:w="1927" w:type="dxa"/>
            <w:tcBorders>
              <w:top w:val="single" w:sz="4" w:space="0" w:color="000000"/>
              <w:left w:val="single" w:sz="4" w:space="0" w:color="000000"/>
              <w:bottom w:val="single" w:sz="4" w:space="0" w:color="000000"/>
              <w:right w:val="single" w:sz="4" w:space="0" w:color="000000"/>
            </w:tcBorders>
          </w:tcPr>
          <w:p>
            <w:pPr>
              <w:pStyle w:val="TableParagraph"/>
              <w:rPr>
                <w:sz w:val="18"/>
              </w:rPr>
            </w:pPr>
          </w:p>
          <w:p>
            <w:pPr>
              <w:pStyle w:val="TableParagraph"/>
              <w:rPr>
                <w:sz w:val="18"/>
              </w:rPr>
            </w:pPr>
          </w:p>
          <w:p>
            <w:pPr>
              <w:pStyle w:val="TableParagraph"/>
              <w:spacing w:before="42"/>
              <w:rPr>
                <w:sz w:val="18"/>
              </w:rPr>
            </w:pPr>
          </w:p>
          <w:p>
            <w:pPr>
              <w:pStyle w:val="TableParagraph"/>
              <w:spacing w:line="219" w:lineRule="exact" w:before="1"/>
              <w:ind w:left="83" w:right="70"/>
              <w:jc w:val="center"/>
              <w:rPr>
                <w:b/>
                <w:sz w:val="18"/>
              </w:rPr>
            </w:pPr>
            <w:r>
              <w:rPr>
                <w:b/>
                <w:sz w:val="18"/>
              </w:rPr>
              <w:t>Very</w:t>
            </w:r>
            <w:r>
              <w:rPr>
                <w:b/>
                <w:spacing w:val="-1"/>
                <w:sz w:val="18"/>
              </w:rPr>
              <w:t> </w:t>
            </w:r>
            <w:r>
              <w:rPr>
                <w:b/>
                <w:spacing w:val="-5"/>
                <w:sz w:val="18"/>
              </w:rPr>
              <w:t>low</w:t>
            </w:r>
          </w:p>
          <w:p>
            <w:pPr>
              <w:pStyle w:val="TableParagraph"/>
              <w:ind w:left="86" w:right="68"/>
              <w:jc w:val="center"/>
              <w:rPr>
                <w:position w:val="5"/>
                <w:sz w:val="12"/>
              </w:rPr>
            </w:pPr>
            <w:r>
              <w:rPr>
                <w:sz w:val="18"/>
              </w:rPr>
              <w:t>Due</w:t>
            </w:r>
            <w:r>
              <w:rPr>
                <w:spacing w:val="-11"/>
                <w:sz w:val="18"/>
              </w:rPr>
              <w:t> </w:t>
            </w:r>
            <w:r>
              <w:rPr>
                <w:sz w:val="18"/>
              </w:rPr>
              <w:t>to</w:t>
            </w:r>
            <w:r>
              <w:rPr>
                <w:spacing w:val="-9"/>
                <w:sz w:val="18"/>
              </w:rPr>
              <w:t> </w:t>
            </w:r>
            <w:r>
              <w:rPr>
                <w:sz w:val="18"/>
              </w:rPr>
              <w:t>very</w:t>
            </w:r>
            <w:r>
              <w:rPr>
                <w:spacing w:val="-10"/>
                <w:sz w:val="18"/>
              </w:rPr>
              <w:t> </w:t>
            </w:r>
            <w:r>
              <w:rPr>
                <w:sz w:val="18"/>
              </w:rPr>
              <w:t>serious</w:t>
            </w:r>
            <w:r>
              <w:rPr>
                <w:spacing w:val="-10"/>
                <w:sz w:val="18"/>
              </w:rPr>
              <w:t> </w:t>
            </w:r>
            <w:r>
              <w:rPr>
                <w:sz w:val="18"/>
              </w:rPr>
              <w:t>risk of bias, due to very serious</w:t>
            </w:r>
            <w:r>
              <w:rPr>
                <w:spacing w:val="-2"/>
                <w:sz w:val="18"/>
              </w:rPr>
              <w:t> </w:t>
            </w:r>
            <w:r>
              <w:rPr>
                <w:sz w:val="18"/>
              </w:rPr>
              <w:t>imprecision</w:t>
            </w:r>
            <w:r>
              <w:rPr>
                <w:position w:val="5"/>
                <w:sz w:val="12"/>
              </w:rPr>
              <w:t>1</w:t>
            </w:r>
          </w:p>
        </w:tc>
        <w:tc>
          <w:tcPr>
            <w:tcW w:w="4368" w:type="dxa"/>
            <w:tcBorders>
              <w:top w:val="single" w:sz="4" w:space="0" w:color="000000"/>
              <w:left w:val="single" w:sz="4" w:space="0" w:color="000000"/>
              <w:bottom w:val="single" w:sz="4" w:space="0" w:color="000000"/>
            </w:tcBorders>
          </w:tcPr>
          <w:p>
            <w:pPr>
              <w:pStyle w:val="TableParagraph"/>
              <w:rPr>
                <w:sz w:val="18"/>
              </w:rPr>
            </w:pPr>
          </w:p>
          <w:p>
            <w:pPr>
              <w:pStyle w:val="TableParagraph"/>
              <w:spacing w:before="41"/>
              <w:rPr>
                <w:sz w:val="18"/>
              </w:rPr>
            </w:pPr>
          </w:p>
          <w:p>
            <w:pPr>
              <w:pStyle w:val="TableParagraph"/>
              <w:ind w:left="54" w:right="39" w:hanging="1"/>
              <w:jc w:val="center"/>
              <w:rPr>
                <w:sz w:val="18"/>
              </w:rPr>
            </w:pPr>
            <w:r>
              <w:rPr>
                <w:sz w:val="18"/>
              </w:rPr>
              <w:t>The evidence is very uncertain about the effect of thromboprophylaxis on thrombotic complications when compared</w:t>
            </w:r>
            <w:r>
              <w:rPr>
                <w:spacing w:val="-6"/>
                <w:sz w:val="18"/>
              </w:rPr>
              <w:t> </w:t>
            </w:r>
            <w:r>
              <w:rPr>
                <w:sz w:val="18"/>
              </w:rPr>
              <w:t>with</w:t>
            </w:r>
            <w:r>
              <w:rPr>
                <w:spacing w:val="-7"/>
                <w:sz w:val="18"/>
              </w:rPr>
              <w:t> </w:t>
            </w:r>
            <w:r>
              <w:rPr>
                <w:sz w:val="18"/>
              </w:rPr>
              <w:t>no</w:t>
            </w:r>
            <w:r>
              <w:rPr>
                <w:spacing w:val="-5"/>
                <w:sz w:val="18"/>
              </w:rPr>
              <w:t> </w:t>
            </w:r>
            <w:r>
              <w:rPr>
                <w:sz w:val="18"/>
              </w:rPr>
              <w:t>thromboprophylaxis</w:t>
            </w:r>
            <w:r>
              <w:rPr>
                <w:spacing w:val="-6"/>
                <w:sz w:val="18"/>
              </w:rPr>
              <w:t> </w:t>
            </w:r>
            <w:r>
              <w:rPr>
                <w:sz w:val="18"/>
              </w:rPr>
              <w:t>in</w:t>
            </w:r>
            <w:r>
              <w:rPr>
                <w:spacing w:val="-7"/>
                <w:sz w:val="18"/>
              </w:rPr>
              <w:t> </w:t>
            </w:r>
            <w:r>
              <w:rPr>
                <w:sz w:val="18"/>
              </w:rPr>
              <w:t>children</w:t>
            </w:r>
            <w:r>
              <w:rPr>
                <w:spacing w:val="-6"/>
                <w:sz w:val="18"/>
              </w:rPr>
              <w:t> </w:t>
            </w:r>
            <w:r>
              <w:rPr>
                <w:sz w:val="18"/>
              </w:rPr>
              <w:t>with</w:t>
            </w:r>
            <w:r>
              <w:rPr>
                <w:spacing w:val="-7"/>
                <w:sz w:val="18"/>
              </w:rPr>
              <w:t> </w:t>
            </w:r>
            <w:r>
              <w:rPr>
                <w:sz w:val="18"/>
              </w:rPr>
              <w:t>an indication for SCPC/bidirectional Glenn shunt surgery</w:t>
            </w:r>
          </w:p>
          <w:p>
            <w:pPr>
              <w:pStyle w:val="TableParagraph"/>
              <w:spacing w:before="1"/>
              <w:rPr>
                <w:sz w:val="18"/>
              </w:rPr>
            </w:pPr>
          </w:p>
          <w:p>
            <w:pPr>
              <w:pStyle w:val="TableParagraph"/>
              <w:ind w:left="76" w:right="61"/>
              <w:jc w:val="center"/>
              <w:rPr>
                <w:sz w:val="18"/>
              </w:rPr>
            </w:pPr>
            <w:r>
              <w:rPr>
                <w:sz w:val="18"/>
              </w:rPr>
              <w:t>(Manlhiot,</w:t>
            </w:r>
            <w:r>
              <w:rPr>
                <w:spacing w:val="-7"/>
                <w:sz w:val="18"/>
              </w:rPr>
              <w:t> </w:t>
            </w:r>
            <w:r>
              <w:rPr>
                <w:spacing w:val="-2"/>
                <w:sz w:val="18"/>
              </w:rPr>
              <w:t>2012)</w:t>
            </w:r>
          </w:p>
        </w:tc>
      </w:tr>
      <w:tr>
        <w:trPr>
          <w:trHeight w:val="969" w:hRule="atLeast"/>
        </w:trPr>
        <w:tc>
          <w:tcPr>
            <w:tcW w:w="2494" w:type="dxa"/>
            <w:tcBorders>
              <w:top w:val="single" w:sz="4" w:space="0" w:color="000000"/>
              <w:bottom w:val="single" w:sz="4" w:space="0" w:color="000000"/>
              <w:right w:val="single" w:sz="4" w:space="0" w:color="000000"/>
            </w:tcBorders>
          </w:tcPr>
          <w:p>
            <w:pPr>
              <w:pStyle w:val="TableParagraph"/>
              <w:spacing w:before="155"/>
              <w:rPr>
                <w:sz w:val="18"/>
              </w:rPr>
            </w:pPr>
          </w:p>
          <w:p>
            <w:pPr>
              <w:pStyle w:val="TableParagraph"/>
              <w:spacing w:before="1"/>
              <w:ind w:left="68" w:right="64"/>
              <w:jc w:val="center"/>
              <w:rPr>
                <w:sz w:val="18"/>
              </w:rPr>
            </w:pPr>
            <w:r>
              <w:rPr>
                <w:sz w:val="18"/>
              </w:rPr>
              <w:t>Shunt</w:t>
            </w:r>
            <w:r>
              <w:rPr>
                <w:spacing w:val="-4"/>
                <w:sz w:val="18"/>
              </w:rPr>
              <w:t> </w:t>
            </w:r>
            <w:r>
              <w:rPr>
                <w:sz w:val="18"/>
              </w:rPr>
              <w:t>occlusion</w:t>
            </w:r>
            <w:r>
              <w:rPr>
                <w:spacing w:val="-4"/>
                <w:sz w:val="18"/>
              </w:rPr>
              <w:t> </w:t>
            </w:r>
            <w:r>
              <w:rPr>
                <w:spacing w:val="-2"/>
                <w:sz w:val="18"/>
              </w:rPr>
              <w:t>(important)</w:t>
            </w:r>
          </w:p>
        </w:tc>
        <w:tc>
          <w:tcPr>
            <w:tcW w:w="1207" w:type="dxa"/>
            <w:tcBorders>
              <w:top w:val="single" w:sz="4" w:space="0" w:color="000000"/>
              <w:left w:val="single" w:sz="4" w:space="0" w:color="000000"/>
              <w:bottom w:val="single" w:sz="4" w:space="0" w:color="000000"/>
              <w:right w:val="single" w:sz="4" w:space="0" w:color="000000"/>
            </w:tcBorders>
          </w:tcPr>
          <w:p>
            <w:pPr>
              <w:pStyle w:val="TableParagraph"/>
              <w:spacing w:before="155"/>
              <w:rPr>
                <w:sz w:val="18"/>
              </w:rPr>
            </w:pPr>
          </w:p>
          <w:p>
            <w:pPr>
              <w:pStyle w:val="TableParagraph"/>
              <w:spacing w:before="1"/>
              <w:ind w:left="50" w:right="36"/>
              <w:jc w:val="center"/>
              <w:rPr>
                <w:sz w:val="18"/>
              </w:rPr>
            </w:pPr>
            <w:r>
              <w:rPr>
                <w:spacing w:val="-10"/>
                <w:sz w:val="18"/>
              </w:rPr>
              <w:t>-</w:t>
            </w:r>
          </w:p>
        </w:tc>
        <w:tc>
          <w:tcPr>
            <w:tcW w:w="3180"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55"/>
              <w:rPr>
                <w:sz w:val="18"/>
              </w:rPr>
            </w:pPr>
          </w:p>
          <w:p>
            <w:pPr>
              <w:pStyle w:val="TableParagraph"/>
              <w:spacing w:before="1"/>
              <w:ind w:left="15"/>
              <w:jc w:val="center"/>
              <w:rPr>
                <w:sz w:val="18"/>
              </w:rPr>
            </w:pPr>
            <w:r>
              <w:rPr>
                <w:spacing w:val="-10"/>
                <w:sz w:val="18"/>
              </w:rPr>
              <w:t>-</w:t>
            </w:r>
          </w:p>
        </w:tc>
        <w:tc>
          <w:tcPr>
            <w:tcW w:w="1927" w:type="dxa"/>
            <w:tcBorders>
              <w:top w:val="single" w:sz="4" w:space="0" w:color="000000"/>
              <w:left w:val="single" w:sz="4" w:space="0" w:color="000000"/>
              <w:bottom w:val="single" w:sz="4" w:space="0" w:color="000000"/>
              <w:right w:val="single" w:sz="4" w:space="0" w:color="000000"/>
            </w:tcBorders>
          </w:tcPr>
          <w:p>
            <w:pPr>
              <w:pStyle w:val="TableParagraph"/>
              <w:spacing w:before="45"/>
              <w:rPr>
                <w:sz w:val="18"/>
              </w:rPr>
            </w:pPr>
          </w:p>
          <w:p>
            <w:pPr>
              <w:pStyle w:val="TableParagraph"/>
              <w:ind w:left="83" w:right="71"/>
              <w:jc w:val="center"/>
              <w:rPr>
                <w:b/>
                <w:sz w:val="18"/>
              </w:rPr>
            </w:pPr>
            <w:r>
              <w:rPr>
                <w:b/>
                <w:sz w:val="18"/>
              </w:rPr>
              <w:t>NO</w:t>
            </w:r>
            <w:r>
              <w:rPr>
                <w:b/>
                <w:spacing w:val="-4"/>
                <w:sz w:val="18"/>
              </w:rPr>
              <w:t> </w:t>
            </w:r>
            <w:r>
              <w:rPr>
                <w:b/>
                <w:spacing w:val="-2"/>
                <w:sz w:val="18"/>
              </w:rPr>
              <w:t>GRADE</w:t>
            </w:r>
          </w:p>
          <w:p>
            <w:pPr>
              <w:pStyle w:val="TableParagraph"/>
              <w:spacing w:before="1"/>
              <w:ind w:left="14"/>
              <w:jc w:val="center"/>
              <w:rPr>
                <w:sz w:val="18"/>
              </w:rPr>
            </w:pPr>
            <w:r>
              <w:rPr>
                <w:sz w:val="18"/>
              </w:rPr>
              <w:t>(No</w:t>
            </w:r>
            <w:r>
              <w:rPr>
                <w:spacing w:val="-4"/>
                <w:sz w:val="18"/>
              </w:rPr>
              <w:t> </w:t>
            </w:r>
            <w:r>
              <w:rPr>
                <w:sz w:val="18"/>
              </w:rPr>
              <w:t>evidence</w:t>
            </w:r>
            <w:r>
              <w:rPr>
                <w:spacing w:val="-4"/>
                <w:sz w:val="18"/>
              </w:rPr>
              <w:t> </w:t>
            </w:r>
            <w:r>
              <w:rPr>
                <w:sz w:val="18"/>
              </w:rPr>
              <w:t>was</w:t>
            </w:r>
            <w:r>
              <w:rPr>
                <w:spacing w:val="-3"/>
                <w:sz w:val="18"/>
              </w:rPr>
              <w:t> </w:t>
            </w:r>
            <w:r>
              <w:rPr>
                <w:spacing w:val="-2"/>
                <w:sz w:val="18"/>
              </w:rPr>
              <w:t>found)</w:t>
            </w:r>
          </w:p>
        </w:tc>
        <w:tc>
          <w:tcPr>
            <w:tcW w:w="4368" w:type="dxa"/>
            <w:tcBorders>
              <w:top w:val="single" w:sz="4" w:space="0" w:color="000000"/>
              <w:left w:val="single" w:sz="4" w:space="0" w:color="000000"/>
              <w:bottom w:val="single" w:sz="4" w:space="0" w:color="000000"/>
            </w:tcBorders>
          </w:tcPr>
          <w:p>
            <w:pPr>
              <w:pStyle w:val="TableParagraph"/>
              <w:spacing w:before="47"/>
              <w:ind w:left="63" w:right="45" w:hanging="2"/>
              <w:jc w:val="center"/>
              <w:rPr>
                <w:sz w:val="18"/>
              </w:rPr>
            </w:pPr>
            <w:r>
              <w:rPr>
                <w:sz w:val="18"/>
              </w:rPr>
              <w:t>No evidence was found regarding the effect of thromboprophylaxis on shunt occlusion when compared with</w:t>
            </w:r>
            <w:r>
              <w:rPr>
                <w:spacing w:val="-7"/>
                <w:sz w:val="18"/>
              </w:rPr>
              <w:t> </w:t>
            </w:r>
            <w:r>
              <w:rPr>
                <w:sz w:val="18"/>
              </w:rPr>
              <w:t>no</w:t>
            </w:r>
            <w:r>
              <w:rPr>
                <w:spacing w:val="-5"/>
                <w:sz w:val="18"/>
              </w:rPr>
              <w:t> </w:t>
            </w:r>
            <w:r>
              <w:rPr>
                <w:sz w:val="18"/>
              </w:rPr>
              <w:t>thromboprophylaxis</w:t>
            </w:r>
            <w:r>
              <w:rPr>
                <w:spacing w:val="-5"/>
                <w:sz w:val="18"/>
              </w:rPr>
              <w:t> </w:t>
            </w:r>
            <w:r>
              <w:rPr>
                <w:sz w:val="18"/>
              </w:rPr>
              <w:t>in</w:t>
            </w:r>
            <w:r>
              <w:rPr>
                <w:spacing w:val="-6"/>
                <w:sz w:val="18"/>
              </w:rPr>
              <w:t> </w:t>
            </w:r>
            <w:r>
              <w:rPr>
                <w:sz w:val="18"/>
              </w:rPr>
              <w:t>children</w:t>
            </w:r>
            <w:r>
              <w:rPr>
                <w:spacing w:val="-6"/>
                <w:sz w:val="18"/>
              </w:rPr>
              <w:t> </w:t>
            </w:r>
            <w:r>
              <w:rPr>
                <w:sz w:val="18"/>
              </w:rPr>
              <w:t>with</w:t>
            </w:r>
            <w:r>
              <w:rPr>
                <w:spacing w:val="-7"/>
                <w:sz w:val="18"/>
              </w:rPr>
              <w:t> </w:t>
            </w:r>
            <w:r>
              <w:rPr>
                <w:sz w:val="18"/>
              </w:rPr>
              <w:t>an</w:t>
            </w:r>
            <w:r>
              <w:rPr>
                <w:spacing w:val="-6"/>
                <w:sz w:val="18"/>
              </w:rPr>
              <w:t> </w:t>
            </w:r>
            <w:r>
              <w:rPr>
                <w:sz w:val="18"/>
              </w:rPr>
              <w:t>indication for SCPC/bidirectional Glenn shunt surgery</w:t>
            </w:r>
          </w:p>
        </w:tc>
      </w:tr>
      <w:tr>
        <w:trPr>
          <w:trHeight w:val="969" w:hRule="atLeast"/>
        </w:trPr>
        <w:tc>
          <w:tcPr>
            <w:tcW w:w="2494" w:type="dxa"/>
            <w:tcBorders>
              <w:top w:val="single" w:sz="4" w:space="0" w:color="000000"/>
              <w:bottom w:val="single" w:sz="4" w:space="0" w:color="000000"/>
              <w:right w:val="single" w:sz="4" w:space="0" w:color="000000"/>
            </w:tcBorders>
          </w:tcPr>
          <w:p>
            <w:pPr>
              <w:pStyle w:val="TableParagraph"/>
              <w:spacing w:before="155"/>
              <w:rPr>
                <w:sz w:val="18"/>
              </w:rPr>
            </w:pPr>
          </w:p>
          <w:p>
            <w:pPr>
              <w:pStyle w:val="TableParagraph"/>
              <w:spacing w:before="1"/>
              <w:ind w:left="68" w:right="62"/>
              <w:jc w:val="center"/>
              <w:rPr>
                <w:sz w:val="18"/>
              </w:rPr>
            </w:pPr>
            <w:r>
              <w:rPr>
                <w:sz w:val="18"/>
              </w:rPr>
              <w:t>Hemorrhage</w:t>
            </w:r>
            <w:r>
              <w:rPr>
                <w:spacing w:val="-5"/>
                <w:sz w:val="18"/>
              </w:rPr>
              <w:t> </w:t>
            </w:r>
            <w:r>
              <w:rPr>
                <w:spacing w:val="-2"/>
                <w:sz w:val="18"/>
              </w:rPr>
              <w:t>(important)</w:t>
            </w:r>
          </w:p>
        </w:tc>
        <w:tc>
          <w:tcPr>
            <w:tcW w:w="1207" w:type="dxa"/>
            <w:tcBorders>
              <w:top w:val="single" w:sz="4" w:space="0" w:color="000000"/>
              <w:left w:val="single" w:sz="4" w:space="0" w:color="000000"/>
              <w:bottom w:val="single" w:sz="4" w:space="0" w:color="000000"/>
              <w:right w:val="single" w:sz="4" w:space="0" w:color="000000"/>
            </w:tcBorders>
          </w:tcPr>
          <w:p>
            <w:pPr>
              <w:pStyle w:val="TableParagraph"/>
              <w:spacing w:before="155"/>
              <w:rPr>
                <w:sz w:val="18"/>
              </w:rPr>
            </w:pPr>
          </w:p>
          <w:p>
            <w:pPr>
              <w:pStyle w:val="TableParagraph"/>
              <w:spacing w:before="1"/>
              <w:ind w:left="50" w:right="36"/>
              <w:jc w:val="center"/>
              <w:rPr>
                <w:sz w:val="18"/>
              </w:rPr>
            </w:pPr>
            <w:r>
              <w:rPr>
                <w:spacing w:val="-10"/>
                <w:sz w:val="18"/>
              </w:rPr>
              <w:t>-</w:t>
            </w:r>
          </w:p>
        </w:tc>
        <w:tc>
          <w:tcPr>
            <w:tcW w:w="3180"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55"/>
              <w:rPr>
                <w:sz w:val="18"/>
              </w:rPr>
            </w:pPr>
          </w:p>
          <w:p>
            <w:pPr>
              <w:pStyle w:val="TableParagraph"/>
              <w:spacing w:before="1"/>
              <w:ind w:left="15"/>
              <w:jc w:val="center"/>
              <w:rPr>
                <w:sz w:val="18"/>
              </w:rPr>
            </w:pPr>
            <w:r>
              <w:rPr>
                <w:spacing w:val="-10"/>
                <w:sz w:val="18"/>
              </w:rPr>
              <w:t>-</w:t>
            </w:r>
          </w:p>
        </w:tc>
        <w:tc>
          <w:tcPr>
            <w:tcW w:w="1927" w:type="dxa"/>
            <w:tcBorders>
              <w:top w:val="single" w:sz="4" w:space="0" w:color="000000"/>
              <w:left w:val="single" w:sz="4" w:space="0" w:color="000000"/>
              <w:bottom w:val="single" w:sz="4" w:space="0" w:color="000000"/>
              <w:right w:val="single" w:sz="4" w:space="0" w:color="000000"/>
            </w:tcBorders>
          </w:tcPr>
          <w:p>
            <w:pPr>
              <w:pStyle w:val="TableParagraph"/>
              <w:spacing w:before="45"/>
              <w:rPr>
                <w:sz w:val="18"/>
              </w:rPr>
            </w:pPr>
          </w:p>
          <w:p>
            <w:pPr>
              <w:pStyle w:val="TableParagraph"/>
              <w:ind w:left="83" w:right="73"/>
              <w:jc w:val="center"/>
              <w:rPr>
                <w:b/>
                <w:sz w:val="18"/>
              </w:rPr>
            </w:pPr>
            <w:r>
              <w:rPr>
                <w:b/>
                <w:sz w:val="18"/>
              </w:rPr>
              <w:t>No</w:t>
            </w:r>
            <w:r>
              <w:rPr>
                <w:b/>
                <w:spacing w:val="-5"/>
                <w:sz w:val="18"/>
              </w:rPr>
              <w:t> </w:t>
            </w:r>
            <w:r>
              <w:rPr>
                <w:b/>
                <w:spacing w:val="-2"/>
                <w:sz w:val="18"/>
              </w:rPr>
              <w:t>GRADE</w:t>
            </w:r>
          </w:p>
          <w:p>
            <w:pPr>
              <w:pStyle w:val="TableParagraph"/>
              <w:spacing w:before="2"/>
              <w:ind w:left="14"/>
              <w:jc w:val="center"/>
              <w:rPr>
                <w:sz w:val="18"/>
              </w:rPr>
            </w:pPr>
            <w:r>
              <w:rPr>
                <w:sz w:val="18"/>
              </w:rPr>
              <w:t>(No</w:t>
            </w:r>
            <w:r>
              <w:rPr>
                <w:spacing w:val="-4"/>
                <w:sz w:val="18"/>
              </w:rPr>
              <w:t> </w:t>
            </w:r>
            <w:r>
              <w:rPr>
                <w:sz w:val="18"/>
              </w:rPr>
              <w:t>evidence</w:t>
            </w:r>
            <w:r>
              <w:rPr>
                <w:spacing w:val="-4"/>
                <w:sz w:val="18"/>
              </w:rPr>
              <w:t> </w:t>
            </w:r>
            <w:r>
              <w:rPr>
                <w:sz w:val="18"/>
              </w:rPr>
              <w:t>was</w:t>
            </w:r>
            <w:r>
              <w:rPr>
                <w:spacing w:val="-3"/>
                <w:sz w:val="18"/>
              </w:rPr>
              <w:t> </w:t>
            </w:r>
            <w:r>
              <w:rPr>
                <w:spacing w:val="-2"/>
                <w:sz w:val="18"/>
              </w:rPr>
              <w:t>found)</w:t>
            </w:r>
          </w:p>
        </w:tc>
        <w:tc>
          <w:tcPr>
            <w:tcW w:w="4368" w:type="dxa"/>
            <w:tcBorders>
              <w:top w:val="single" w:sz="4" w:space="0" w:color="000000"/>
              <w:left w:val="single" w:sz="4" w:space="0" w:color="000000"/>
              <w:bottom w:val="single" w:sz="4" w:space="0" w:color="000000"/>
            </w:tcBorders>
          </w:tcPr>
          <w:p>
            <w:pPr>
              <w:pStyle w:val="TableParagraph"/>
              <w:spacing w:before="47"/>
              <w:ind w:left="58" w:right="41" w:hanging="1"/>
              <w:jc w:val="center"/>
              <w:rPr>
                <w:sz w:val="18"/>
              </w:rPr>
            </w:pPr>
            <w:r>
              <w:rPr>
                <w:sz w:val="18"/>
              </w:rPr>
              <w:t>No evidence was found regarding the effect of thromboprophylaxis</w:t>
            </w:r>
            <w:r>
              <w:rPr>
                <w:spacing w:val="-9"/>
                <w:sz w:val="18"/>
              </w:rPr>
              <w:t> </w:t>
            </w:r>
            <w:r>
              <w:rPr>
                <w:sz w:val="18"/>
              </w:rPr>
              <w:t>on</w:t>
            </w:r>
            <w:r>
              <w:rPr>
                <w:spacing w:val="-9"/>
                <w:sz w:val="18"/>
              </w:rPr>
              <w:t> </w:t>
            </w:r>
            <w:r>
              <w:rPr>
                <w:sz w:val="18"/>
              </w:rPr>
              <w:t>hemorrhage</w:t>
            </w:r>
            <w:r>
              <w:rPr>
                <w:spacing w:val="-9"/>
                <w:sz w:val="18"/>
              </w:rPr>
              <w:t> </w:t>
            </w:r>
            <w:r>
              <w:rPr>
                <w:sz w:val="18"/>
              </w:rPr>
              <w:t>when</w:t>
            </w:r>
            <w:r>
              <w:rPr>
                <w:spacing w:val="-9"/>
                <w:sz w:val="18"/>
              </w:rPr>
              <w:t> </w:t>
            </w:r>
            <w:r>
              <w:rPr>
                <w:sz w:val="18"/>
              </w:rPr>
              <w:t>compared</w:t>
            </w:r>
            <w:r>
              <w:rPr>
                <w:spacing w:val="-9"/>
                <w:sz w:val="18"/>
              </w:rPr>
              <w:t> </w:t>
            </w:r>
            <w:r>
              <w:rPr>
                <w:sz w:val="18"/>
              </w:rPr>
              <w:t>with no thromboprophylaxis in children with an indication for SCPC/bidirectional Glenn shunt surgery</w:t>
            </w:r>
          </w:p>
        </w:tc>
      </w:tr>
      <w:tr>
        <w:trPr>
          <w:trHeight w:val="630" w:hRule="atLeast"/>
        </w:trPr>
        <w:tc>
          <w:tcPr>
            <w:tcW w:w="2494" w:type="dxa"/>
            <w:tcBorders>
              <w:top w:val="single" w:sz="4" w:space="0" w:color="000000"/>
              <w:right w:val="single" w:sz="4" w:space="0" w:color="000000"/>
            </w:tcBorders>
          </w:tcPr>
          <w:p>
            <w:pPr>
              <w:pStyle w:val="TableParagraph"/>
              <w:spacing w:before="205"/>
              <w:ind w:left="68" w:right="60"/>
              <w:jc w:val="center"/>
              <w:rPr>
                <w:sz w:val="18"/>
              </w:rPr>
            </w:pPr>
            <w:r>
              <w:rPr>
                <w:sz w:val="18"/>
              </w:rPr>
              <w:t>Mortality</w:t>
            </w:r>
            <w:r>
              <w:rPr>
                <w:spacing w:val="-3"/>
                <w:sz w:val="18"/>
              </w:rPr>
              <w:t> </w:t>
            </w:r>
            <w:r>
              <w:rPr>
                <w:spacing w:val="-2"/>
                <w:sz w:val="18"/>
              </w:rPr>
              <w:t>(important)</w:t>
            </w:r>
          </w:p>
        </w:tc>
        <w:tc>
          <w:tcPr>
            <w:tcW w:w="1207" w:type="dxa"/>
            <w:tcBorders>
              <w:top w:val="single" w:sz="4" w:space="0" w:color="000000"/>
              <w:left w:val="single" w:sz="4" w:space="0" w:color="000000"/>
              <w:right w:val="single" w:sz="4" w:space="0" w:color="000000"/>
            </w:tcBorders>
          </w:tcPr>
          <w:p>
            <w:pPr>
              <w:pStyle w:val="TableParagraph"/>
              <w:spacing w:before="205"/>
              <w:ind w:left="50" w:right="36"/>
              <w:jc w:val="center"/>
              <w:rPr>
                <w:sz w:val="18"/>
              </w:rPr>
            </w:pPr>
            <w:r>
              <w:rPr>
                <w:spacing w:val="-10"/>
                <w:sz w:val="18"/>
              </w:rPr>
              <w:t>-</w:t>
            </w:r>
          </w:p>
        </w:tc>
        <w:tc>
          <w:tcPr>
            <w:tcW w:w="3180" w:type="dxa"/>
            <w:gridSpan w:val="2"/>
            <w:tcBorders>
              <w:top w:val="single" w:sz="4" w:space="0" w:color="000000"/>
              <w:left w:val="single" w:sz="4" w:space="0" w:color="000000"/>
              <w:right w:val="single" w:sz="4" w:space="0" w:color="000000"/>
            </w:tcBorders>
          </w:tcPr>
          <w:p>
            <w:pPr>
              <w:pStyle w:val="TableParagraph"/>
              <w:spacing w:before="205"/>
              <w:ind w:left="15"/>
              <w:jc w:val="center"/>
              <w:rPr>
                <w:sz w:val="18"/>
              </w:rPr>
            </w:pPr>
            <w:r>
              <w:rPr>
                <w:spacing w:val="-10"/>
                <w:sz w:val="18"/>
              </w:rPr>
              <w:t>-</w:t>
            </w:r>
          </w:p>
        </w:tc>
        <w:tc>
          <w:tcPr>
            <w:tcW w:w="1927" w:type="dxa"/>
            <w:tcBorders>
              <w:top w:val="single" w:sz="4" w:space="0" w:color="000000"/>
              <w:left w:val="single" w:sz="4" w:space="0" w:color="000000"/>
              <w:right w:val="single" w:sz="4" w:space="0" w:color="000000"/>
            </w:tcBorders>
          </w:tcPr>
          <w:p>
            <w:pPr>
              <w:pStyle w:val="TableParagraph"/>
              <w:spacing w:before="95"/>
              <w:ind w:left="83" w:right="73"/>
              <w:jc w:val="center"/>
              <w:rPr>
                <w:b/>
                <w:sz w:val="18"/>
              </w:rPr>
            </w:pPr>
            <w:r>
              <w:rPr>
                <w:b/>
                <w:sz w:val="18"/>
              </w:rPr>
              <w:t>No</w:t>
            </w:r>
            <w:r>
              <w:rPr>
                <w:b/>
                <w:spacing w:val="-5"/>
                <w:sz w:val="18"/>
              </w:rPr>
              <w:t> </w:t>
            </w:r>
            <w:r>
              <w:rPr>
                <w:b/>
                <w:spacing w:val="-2"/>
                <w:sz w:val="18"/>
              </w:rPr>
              <w:t>GRADE</w:t>
            </w:r>
          </w:p>
          <w:p>
            <w:pPr>
              <w:pStyle w:val="TableParagraph"/>
              <w:spacing w:before="1"/>
              <w:ind w:left="14"/>
              <w:jc w:val="center"/>
              <w:rPr>
                <w:sz w:val="18"/>
              </w:rPr>
            </w:pPr>
            <w:r>
              <w:rPr>
                <w:sz w:val="18"/>
              </w:rPr>
              <w:t>(No</w:t>
            </w:r>
            <w:r>
              <w:rPr>
                <w:spacing w:val="-4"/>
                <w:sz w:val="18"/>
              </w:rPr>
              <w:t> </w:t>
            </w:r>
            <w:r>
              <w:rPr>
                <w:sz w:val="18"/>
              </w:rPr>
              <w:t>evidence</w:t>
            </w:r>
            <w:r>
              <w:rPr>
                <w:spacing w:val="-4"/>
                <w:sz w:val="18"/>
              </w:rPr>
              <w:t> </w:t>
            </w:r>
            <w:r>
              <w:rPr>
                <w:sz w:val="18"/>
              </w:rPr>
              <w:t>was</w:t>
            </w:r>
            <w:r>
              <w:rPr>
                <w:spacing w:val="-3"/>
                <w:sz w:val="18"/>
              </w:rPr>
              <w:t> </w:t>
            </w:r>
            <w:r>
              <w:rPr>
                <w:spacing w:val="-2"/>
                <w:sz w:val="18"/>
              </w:rPr>
              <w:t>found)</w:t>
            </w:r>
          </w:p>
        </w:tc>
        <w:tc>
          <w:tcPr>
            <w:tcW w:w="4368" w:type="dxa"/>
            <w:tcBorders>
              <w:top w:val="single" w:sz="4" w:space="0" w:color="000000"/>
              <w:left w:val="single" w:sz="4" w:space="0" w:color="000000"/>
            </w:tcBorders>
          </w:tcPr>
          <w:p>
            <w:pPr>
              <w:pStyle w:val="TableParagraph"/>
              <w:spacing w:before="95"/>
              <w:ind w:left="58" w:firstLine="432"/>
              <w:rPr>
                <w:sz w:val="18"/>
              </w:rPr>
            </w:pPr>
            <w:r>
              <w:rPr>
                <w:sz w:val="18"/>
              </w:rPr>
              <w:t>No evidence was found regarding the effect of thromboprophylaxis</w:t>
            </w:r>
            <w:r>
              <w:rPr>
                <w:spacing w:val="-8"/>
                <w:sz w:val="18"/>
              </w:rPr>
              <w:t> </w:t>
            </w:r>
            <w:r>
              <w:rPr>
                <w:sz w:val="18"/>
              </w:rPr>
              <w:t>on</w:t>
            </w:r>
            <w:r>
              <w:rPr>
                <w:spacing w:val="-8"/>
                <w:sz w:val="18"/>
              </w:rPr>
              <w:t> </w:t>
            </w:r>
            <w:r>
              <w:rPr>
                <w:sz w:val="18"/>
              </w:rPr>
              <w:t>mortality</w:t>
            </w:r>
            <w:r>
              <w:rPr>
                <w:spacing w:val="-6"/>
                <w:sz w:val="18"/>
              </w:rPr>
              <w:t> </w:t>
            </w:r>
            <w:r>
              <w:rPr>
                <w:sz w:val="18"/>
              </w:rPr>
              <w:t>when</w:t>
            </w:r>
            <w:r>
              <w:rPr>
                <w:spacing w:val="-8"/>
                <w:sz w:val="18"/>
              </w:rPr>
              <w:t> </w:t>
            </w:r>
            <w:r>
              <w:rPr>
                <w:sz w:val="18"/>
              </w:rPr>
              <w:t>compared</w:t>
            </w:r>
            <w:r>
              <w:rPr>
                <w:spacing w:val="-8"/>
                <w:sz w:val="18"/>
              </w:rPr>
              <w:t> </w:t>
            </w:r>
            <w:r>
              <w:rPr>
                <w:sz w:val="18"/>
              </w:rPr>
              <w:t>with</w:t>
            </w:r>
            <w:r>
              <w:rPr>
                <w:spacing w:val="-6"/>
                <w:sz w:val="18"/>
              </w:rPr>
              <w:t> </w:t>
            </w:r>
            <w:r>
              <w:rPr>
                <w:sz w:val="18"/>
              </w:rPr>
              <w:t>no</w:t>
            </w:r>
          </w:p>
        </w:tc>
      </w:tr>
    </w:tbl>
    <w:p>
      <w:pPr>
        <w:pStyle w:val="TableParagraph"/>
        <w:spacing w:after="0"/>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494"/>
        <w:gridCol w:w="1207"/>
        <w:gridCol w:w="3180"/>
        <w:gridCol w:w="1927"/>
        <w:gridCol w:w="4368"/>
      </w:tblGrid>
      <w:tr>
        <w:trPr>
          <w:trHeight w:val="630" w:hRule="atLeast"/>
        </w:trPr>
        <w:tc>
          <w:tcPr>
            <w:tcW w:w="2494" w:type="dxa"/>
            <w:tcBorders>
              <w:bottom w:val="single" w:sz="4" w:space="0" w:color="000000"/>
              <w:right w:val="single" w:sz="4" w:space="0" w:color="000000"/>
            </w:tcBorders>
          </w:tcPr>
          <w:p>
            <w:pPr>
              <w:pStyle w:val="TableParagraph"/>
              <w:rPr>
                <w:rFonts w:ascii="Times New Roman"/>
                <w:sz w:val="18"/>
              </w:rPr>
            </w:pPr>
          </w:p>
        </w:tc>
        <w:tc>
          <w:tcPr>
            <w:tcW w:w="1207"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3180"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1927"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4368" w:type="dxa"/>
            <w:tcBorders>
              <w:left w:val="single" w:sz="4" w:space="0" w:color="000000"/>
              <w:bottom w:val="single" w:sz="4" w:space="0" w:color="000000"/>
            </w:tcBorders>
          </w:tcPr>
          <w:p>
            <w:pPr>
              <w:pStyle w:val="TableParagraph"/>
              <w:spacing w:before="46"/>
              <w:ind w:left="750" w:hanging="516"/>
              <w:rPr>
                <w:sz w:val="18"/>
              </w:rPr>
            </w:pPr>
            <w:r>
              <w:rPr>
                <w:sz w:val="18"/>
              </w:rPr>
              <w:t>thromboprophylaxis</w:t>
            </w:r>
            <w:r>
              <w:rPr>
                <w:spacing w:val="-7"/>
                <w:sz w:val="18"/>
              </w:rPr>
              <w:t> </w:t>
            </w:r>
            <w:r>
              <w:rPr>
                <w:sz w:val="18"/>
              </w:rPr>
              <w:t>in</w:t>
            </w:r>
            <w:r>
              <w:rPr>
                <w:spacing w:val="-7"/>
                <w:sz w:val="18"/>
              </w:rPr>
              <w:t> </w:t>
            </w:r>
            <w:r>
              <w:rPr>
                <w:sz w:val="18"/>
              </w:rPr>
              <w:t>children</w:t>
            </w:r>
            <w:r>
              <w:rPr>
                <w:spacing w:val="-7"/>
                <w:sz w:val="18"/>
              </w:rPr>
              <w:t> </w:t>
            </w:r>
            <w:r>
              <w:rPr>
                <w:sz w:val="18"/>
              </w:rPr>
              <w:t>with</w:t>
            </w:r>
            <w:r>
              <w:rPr>
                <w:spacing w:val="-8"/>
                <w:sz w:val="18"/>
              </w:rPr>
              <w:t> </w:t>
            </w:r>
            <w:r>
              <w:rPr>
                <w:sz w:val="18"/>
              </w:rPr>
              <w:t>an</w:t>
            </w:r>
            <w:r>
              <w:rPr>
                <w:spacing w:val="-7"/>
                <w:sz w:val="18"/>
              </w:rPr>
              <w:t> </w:t>
            </w:r>
            <w:r>
              <w:rPr>
                <w:sz w:val="18"/>
              </w:rPr>
              <w:t>indication</w:t>
            </w:r>
            <w:r>
              <w:rPr>
                <w:spacing w:val="-7"/>
                <w:sz w:val="18"/>
              </w:rPr>
              <w:t> </w:t>
            </w:r>
            <w:r>
              <w:rPr>
                <w:sz w:val="18"/>
              </w:rPr>
              <w:t>for SCPC/bidirectional Glenn shunt surgery</w:t>
            </w:r>
          </w:p>
        </w:tc>
      </w:tr>
      <w:tr>
        <w:trPr>
          <w:trHeight w:val="969" w:hRule="atLeast"/>
        </w:trPr>
        <w:tc>
          <w:tcPr>
            <w:tcW w:w="2494" w:type="dxa"/>
            <w:tcBorders>
              <w:top w:val="single" w:sz="4" w:space="0" w:color="000000"/>
              <w:bottom w:val="single" w:sz="4" w:space="0" w:color="000000"/>
              <w:right w:val="single" w:sz="4" w:space="0" w:color="000000"/>
            </w:tcBorders>
          </w:tcPr>
          <w:p>
            <w:pPr>
              <w:pStyle w:val="TableParagraph"/>
              <w:spacing w:before="155"/>
              <w:rPr>
                <w:sz w:val="18"/>
              </w:rPr>
            </w:pPr>
          </w:p>
          <w:p>
            <w:pPr>
              <w:pStyle w:val="TableParagraph"/>
              <w:spacing w:before="1"/>
              <w:ind w:left="76"/>
              <w:rPr>
                <w:sz w:val="18"/>
              </w:rPr>
            </w:pPr>
            <w:r>
              <w:rPr>
                <w:sz w:val="18"/>
              </w:rPr>
              <w:t>Quality</w:t>
            </w:r>
            <w:r>
              <w:rPr>
                <w:spacing w:val="-1"/>
                <w:sz w:val="18"/>
              </w:rPr>
              <w:t> </w:t>
            </w:r>
            <w:r>
              <w:rPr>
                <w:sz w:val="18"/>
              </w:rPr>
              <w:t>of</w:t>
            </w:r>
            <w:r>
              <w:rPr>
                <w:spacing w:val="-2"/>
                <w:sz w:val="18"/>
              </w:rPr>
              <w:t> </w:t>
            </w:r>
            <w:r>
              <w:rPr>
                <w:sz w:val="18"/>
              </w:rPr>
              <w:t>life</w:t>
            </w:r>
            <w:r>
              <w:rPr>
                <w:spacing w:val="-1"/>
                <w:sz w:val="18"/>
              </w:rPr>
              <w:t> </w:t>
            </w:r>
            <w:r>
              <w:rPr>
                <w:sz w:val="18"/>
              </w:rPr>
              <w:t>(QOL) </w:t>
            </w:r>
            <w:r>
              <w:rPr>
                <w:spacing w:val="-2"/>
                <w:sz w:val="18"/>
              </w:rPr>
              <w:t>(important)</w:t>
            </w:r>
          </w:p>
        </w:tc>
        <w:tc>
          <w:tcPr>
            <w:tcW w:w="1207" w:type="dxa"/>
            <w:tcBorders>
              <w:top w:val="single" w:sz="4" w:space="0" w:color="000000"/>
              <w:left w:val="single" w:sz="4" w:space="0" w:color="000000"/>
              <w:bottom w:val="single" w:sz="4" w:space="0" w:color="000000"/>
              <w:right w:val="single" w:sz="4" w:space="0" w:color="000000"/>
            </w:tcBorders>
          </w:tcPr>
          <w:p>
            <w:pPr>
              <w:pStyle w:val="TableParagraph"/>
              <w:spacing w:before="155"/>
              <w:rPr>
                <w:sz w:val="18"/>
              </w:rPr>
            </w:pPr>
          </w:p>
          <w:p>
            <w:pPr>
              <w:pStyle w:val="TableParagraph"/>
              <w:spacing w:before="1"/>
              <w:ind w:left="50" w:right="36"/>
              <w:jc w:val="center"/>
              <w:rPr>
                <w:sz w:val="18"/>
              </w:rPr>
            </w:pPr>
            <w:r>
              <w:rPr>
                <w:spacing w:val="-10"/>
                <w:sz w:val="18"/>
              </w:rPr>
              <w:t>-</w:t>
            </w:r>
          </w:p>
        </w:tc>
        <w:tc>
          <w:tcPr>
            <w:tcW w:w="3180" w:type="dxa"/>
            <w:tcBorders>
              <w:top w:val="single" w:sz="4" w:space="0" w:color="000000"/>
              <w:left w:val="single" w:sz="4" w:space="0" w:color="000000"/>
              <w:bottom w:val="single" w:sz="4" w:space="0" w:color="000000"/>
              <w:right w:val="single" w:sz="4" w:space="0" w:color="000000"/>
            </w:tcBorders>
          </w:tcPr>
          <w:p>
            <w:pPr>
              <w:pStyle w:val="TableParagraph"/>
              <w:spacing w:before="155"/>
              <w:rPr>
                <w:sz w:val="18"/>
              </w:rPr>
            </w:pPr>
          </w:p>
          <w:p>
            <w:pPr>
              <w:pStyle w:val="TableParagraph"/>
              <w:spacing w:before="1"/>
              <w:ind w:left="15"/>
              <w:jc w:val="center"/>
              <w:rPr>
                <w:sz w:val="18"/>
              </w:rPr>
            </w:pPr>
            <w:r>
              <w:rPr>
                <w:spacing w:val="-10"/>
                <w:sz w:val="18"/>
              </w:rPr>
              <w:t>-</w:t>
            </w:r>
          </w:p>
        </w:tc>
        <w:tc>
          <w:tcPr>
            <w:tcW w:w="1927" w:type="dxa"/>
            <w:tcBorders>
              <w:top w:val="single" w:sz="4" w:space="0" w:color="000000"/>
              <w:left w:val="single" w:sz="4" w:space="0" w:color="000000"/>
              <w:bottom w:val="single" w:sz="4" w:space="0" w:color="000000"/>
              <w:right w:val="single" w:sz="4" w:space="0" w:color="000000"/>
            </w:tcBorders>
          </w:tcPr>
          <w:p>
            <w:pPr>
              <w:pStyle w:val="TableParagraph"/>
              <w:spacing w:before="45"/>
              <w:rPr>
                <w:sz w:val="18"/>
              </w:rPr>
            </w:pPr>
          </w:p>
          <w:p>
            <w:pPr>
              <w:pStyle w:val="TableParagraph"/>
              <w:spacing w:line="219" w:lineRule="exact"/>
              <w:ind w:left="83" w:right="73"/>
              <w:jc w:val="center"/>
              <w:rPr>
                <w:b/>
                <w:sz w:val="18"/>
              </w:rPr>
            </w:pPr>
            <w:r>
              <w:rPr>
                <w:b/>
                <w:sz w:val="18"/>
              </w:rPr>
              <w:t>No</w:t>
            </w:r>
            <w:r>
              <w:rPr>
                <w:b/>
                <w:spacing w:val="-5"/>
                <w:sz w:val="18"/>
              </w:rPr>
              <w:t> </w:t>
            </w:r>
            <w:r>
              <w:rPr>
                <w:b/>
                <w:spacing w:val="-2"/>
                <w:sz w:val="18"/>
              </w:rPr>
              <w:t>GRADE</w:t>
            </w:r>
          </w:p>
          <w:p>
            <w:pPr>
              <w:pStyle w:val="TableParagraph"/>
              <w:spacing w:line="219" w:lineRule="exact"/>
              <w:ind w:left="14"/>
              <w:jc w:val="center"/>
              <w:rPr>
                <w:sz w:val="18"/>
              </w:rPr>
            </w:pPr>
            <w:r>
              <w:rPr>
                <w:sz w:val="18"/>
              </w:rPr>
              <w:t>(No</w:t>
            </w:r>
            <w:r>
              <w:rPr>
                <w:spacing w:val="-4"/>
                <w:sz w:val="18"/>
              </w:rPr>
              <w:t> </w:t>
            </w:r>
            <w:r>
              <w:rPr>
                <w:sz w:val="18"/>
              </w:rPr>
              <w:t>evidence</w:t>
            </w:r>
            <w:r>
              <w:rPr>
                <w:spacing w:val="-4"/>
                <w:sz w:val="18"/>
              </w:rPr>
              <w:t> </w:t>
            </w:r>
            <w:r>
              <w:rPr>
                <w:sz w:val="18"/>
              </w:rPr>
              <w:t>was</w:t>
            </w:r>
            <w:r>
              <w:rPr>
                <w:spacing w:val="-3"/>
                <w:sz w:val="18"/>
              </w:rPr>
              <w:t> </w:t>
            </w:r>
            <w:r>
              <w:rPr>
                <w:spacing w:val="-2"/>
                <w:sz w:val="18"/>
              </w:rPr>
              <w:t>found)</w:t>
            </w:r>
          </w:p>
        </w:tc>
        <w:tc>
          <w:tcPr>
            <w:tcW w:w="4368" w:type="dxa"/>
            <w:tcBorders>
              <w:top w:val="single" w:sz="4" w:space="0" w:color="000000"/>
              <w:left w:val="single" w:sz="4" w:space="0" w:color="000000"/>
              <w:bottom w:val="single" w:sz="4" w:space="0" w:color="000000"/>
            </w:tcBorders>
          </w:tcPr>
          <w:p>
            <w:pPr>
              <w:pStyle w:val="TableParagraph"/>
              <w:spacing w:before="44"/>
              <w:ind w:left="54" w:right="39" w:firstLine="1"/>
              <w:jc w:val="center"/>
              <w:rPr>
                <w:sz w:val="18"/>
              </w:rPr>
            </w:pPr>
            <w:r>
              <w:rPr>
                <w:sz w:val="18"/>
              </w:rPr>
              <w:t>No evidence was found regarding the effect of thromboprophylaxis on quality of life (QOL) when compared</w:t>
            </w:r>
            <w:r>
              <w:rPr>
                <w:spacing w:val="-6"/>
                <w:sz w:val="18"/>
              </w:rPr>
              <w:t> </w:t>
            </w:r>
            <w:r>
              <w:rPr>
                <w:sz w:val="18"/>
              </w:rPr>
              <w:t>with</w:t>
            </w:r>
            <w:r>
              <w:rPr>
                <w:spacing w:val="-7"/>
                <w:sz w:val="18"/>
              </w:rPr>
              <w:t> </w:t>
            </w:r>
            <w:r>
              <w:rPr>
                <w:sz w:val="18"/>
              </w:rPr>
              <w:t>no</w:t>
            </w:r>
            <w:r>
              <w:rPr>
                <w:spacing w:val="-5"/>
                <w:sz w:val="18"/>
              </w:rPr>
              <w:t> </w:t>
            </w:r>
            <w:r>
              <w:rPr>
                <w:sz w:val="18"/>
              </w:rPr>
              <w:t>thromboprophylaxis</w:t>
            </w:r>
            <w:r>
              <w:rPr>
                <w:spacing w:val="-6"/>
                <w:sz w:val="18"/>
              </w:rPr>
              <w:t> </w:t>
            </w:r>
            <w:r>
              <w:rPr>
                <w:sz w:val="18"/>
              </w:rPr>
              <w:t>in</w:t>
            </w:r>
            <w:r>
              <w:rPr>
                <w:spacing w:val="-7"/>
                <w:sz w:val="18"/>
              </w:rPr>
              <w:t> </w:t>
            </w:r>
            <w:r>
              <w:rPr>
                <w:sz w:val="18"/>
              </w:rPr>
              <w:t>children</w:t>
            </w:r>
            <w:r>
              <w:rPr>
                <w:spacing w:val="-6"/>
                <w:sz w:val="18"/>
              </w:rPr>
              <w:t> </w:t>
            </w:r>
            <w:r>
              <w:rPr>
                <w:sz w:val="18"/>
              </w:rPr>
              <w:t>with</w:t>
            </w:r>
            <w:r>
              <w:rPr>
                <w:spacing w:val="-7"/>
                <w:sz w:val="18"/>
              </w:rPr>
              <w:t> </w:t>
            </w:r>
            <w:r>
              <w:rPr>
                <w:sz w:val="18"/>
              </w:rPr>
              <w:t>an indication for SCPC/bidirectional Glenn shunt surgery</w:t>
            </w:r>
          </w:p>
        </w:tc>
      </w:tr>
      <w:tr>
        <w:trPr>
          <w:trHeight w:val="1188" w:hRule="atLeast"/>
        </w:trPr>
        <w:tc>
          <w:tcPr>
            <w:tcW w:w="2494" w:type="dxa"/>
            <w:tcBorders>
              <w:top w:val="single" w:sz="4" w:space="0" w:color="000000"/>
              <w:right w:val="single" w:sz="4" w:space="0" w:color="000000"/>
            </w:tcBorders>
          </w:tcPr>
          <w:p>
            <w:pPr>
              <w:pStyle w:val="TableParagraph"/>
              <w:spacing w:before="153"/>
              <w:rPr>
                <w:sz w:val="18"/>
              </w:rPr>
            </w:pPr>
          </w:p>
          <w:p>
            <w:pPr>
              <w:pStyle w:val="TableParagraph"/>
              <w:ind w:left="275" w:right="113" w:hanging="152"/>
              <w:rPr>
                <w:sz w:val="18"/>
              </w:rPr>
            </w:pPr>
            <w:r>
              <w:rPr>
                <w:sz w:val="18"/>
              </w:rPr>
              <w:t>Adverse</w:t>
            </w:r>
            <w:r>
              <w:rPr>
                <w:spacing w:val="-11"/>
                <w:sz w:val="18"/>
              </w:rPr>
              <w:t> </w:t>
            </w:r>
            <w:r>
              <w:rPr>
                <w:sz w:val="18"/>
              </w:rPr>
              <w:t>effects</w:t>
            </w:r>
            <w:r>
              <w:rPr>
                <w:spacing w:val="-10"/>
                <w:sz w:val="18"/>
              </w:rPr>
              <w:t> </w:t>
            </w:r>
            <w:r>
              <w:rPr>
                <w:sz w:val="18"/>
              </w:rPr>
              <w:t>(including</w:t>
            </w:r>
            <w:r>
              <w:rPr>
                <w:spacing w:val="-10"/>
                <w:sz w:val="18"/>
              </w:rPr>
              <w:t> </w:t>
            </w:r>
            <w:r>
              <w:rPr>
                <w:sz w:val="18"/>
              </w:rPr>
              <w:t>pain post injection) (important)</w:t>
            </w:r>
          </w:p>
        </w:tc>
        <w:tc>
          <w:tcPr>
            <w:tcW w:w="1207" w:type="dxa"/>
            <w:tcBorders>
              <w:top w:val="single" w:sz="4" w:space="0" w:color="000000"/>
              <w:left w:val="single" w:sz="4" w:space="0" w:color="000000"/>
              <w:right w:val="single" w:sz="4" w:space="0" w:color="000000"/>
            </w:tcBorders>
          </w:tcPr>
          <w:p>
            <w:pPr>
              <w:pStyle w:val="TableParagraph"/>
              <w:rPr>
                <w:sz w:val="18"/>
              </w:rPr>
            </w:pPr>
          </w:p>
          <w:p>
            <w:pPr>
              <w:pStyle w:val="TableParagraph"/>
              <w:spacing w:before="44"/>
              <w:rPr>
                <w:sz w:val="18"/>
              </w:rPr>
            </w:pPr>
          </w:p>
          <w:p>
            <w:pPr>
              <w:pStyle w:val="TableParagraph"/>
              <w:ind w:left="50" w:right="36"/>
              <w:jc w:val="center"/>
              <w:rPr>
                <w:sz w:val="18"/>
              </w:rPr>
            </w:pPr>
            <w:r>
              <w:rPr>
                <w:spacing w:val="-10"/>
                <w:sz w:val="18"/>
              </w:rPr>
              <w:t>-</w:t>
            </w:r>
          </w:p>
        </w:tc>
        <w:tc>
          <w:tcPr>
            <w:tcW w:w="3180" w:type="dxa"/>
            <w:tcBorders>
              <w:top w:val="single" w:sz="4" w:space="0" w:color="000000"/>
              <w:left w:val="single" w:sz="4" w:space="0" w:color="000000"/>
              <w:right w:val="single" w:sz="4" w:space="0" w:color="000000"/>
            </w:tcBorders>
          </w:tcPr>
          <w:p>
            <w:pPr>
              <w:pStyle w:val="TableParagraph"/>
              <w:rPr>
                <w:sz w:val="18"/>
              </w:rPr>
            </w:pPr>
          </w:p>
          <w:p>
            <w:pPr>
              <w:pStyle w:val="TableParagraph"/>
              <w:spacing w:before="44"/>
              <w:rPr>
                <w:sz w:val="18"/>
              </w:rPr>
            </w:pPr>
          </w:p>
          <w:p>
            <w:pPr>
              <w:pStyle w:val="TableParagraph"/>
              <w:ind w:left="15"/>
              <w:jc w:val="center"/>
              <w:rPr>
                <w:sz w:val="18"/>
              </w:rPr>
            </w:pPr>
            <w:r>
              <w:rPr>
                <w:spacing w:val="-10"/>
                <w:sz w:val="18"/>
              </w:rPr>
              <w:t>-</w:t>
            </w:r>
          </w:p>
        </w:tc>
        <w:tc>
          <w:tcPr>
            <w:tcW w:w="1927" w:type="dxa"/>
            <w:tcBorders>
              <w:top w:val="single" w:sz="4" w:space="0" w:color="000000"/>
              <w:left w:val="single" w:sz="4" w:space="0" w:color="000000"/>
              <w:right w:val="single" w:sz="4" w:space="0" w:color="000000"/>
            </w:tcBorders>
          </w:tcPr>
          <w:p>
            <w:pPr>
              <w:pStyle w:val="TableParagraph"/>
              <w:spacing w:before="153"/>
              <w:rPr>
                <w:sz w:val="18"/>
              </w:rPr>
            </w:pPr>
          </w:p>
          <w:p>
            <w:pPr>
              <w:pStyle w:val="TableParagraph"/>
              <w:ind w:left="83" w:right="73"/>
              <w:jc w:val="center"/>
              <w:rPr>
                <w:b/>
                <w:sz w:val="18"/>
              </w:rPr>
            </w:pPr>
            <w:r>
              <w:rPr>
                <w:b/>
                <w:sz w:val="18"/>
              </w:rPr>
              <w:t>No</w:t>
            </w:r>
            <w:r>
              <w:rPr>
                <w:b/>
                <w:spacing w:val="-5"/>
                <w:sz w:val="18"/>
              </w:rPr>
              <w:t> </w:t>
            </w:r>
            <w:r>
              <w:rPr>
                <w:b/>
                <w:spacing w:val="-2"/>
                <w:sz w:val="18"/>
              </w:rPr>
              <w:t>GRADE</w:t>
            </w:r>
          </w:p>
          <w:p>
            <w:pPr>
              <w:pStyle w:val="TableParagraph"/>
              <w:spacing w:before="1"/>
              <w:ind w:left="14"/>
              <w:jc w:val="center"/>
              <w:rPr>
                <w:sz w:val="18"/>
              </w:rPr>
            </w:pPr>
            <w:r>
              <w:rPr>
                <w:sz w:val="18"/>
              </w:rPr>
              <w:t>(No</w:t>
            </w:r>
            <w:r>
              <w:rPr>
                <w:spacing w:val="-4"/>
                <w:sz w:val="18"/>
              </w:rPr>
              <w:t> </w:t>
            </w:r>
            <w:r>
              <w:rPr>
                <w:sz w:val="18"/>
              </w:rPr>
              <w:t>evidence</w:t>
            </w:r>
            <w:r>
              <w:rPr>
                <w:spacing w:val="-4"/>
                <w:sz w:val="18"/>
              </w:rPr>
              <w:t> </w:t>
            </w:r>
            <w:r>
              <w:rPr>
                <w:sz w:val="18"/>
              </w:rPr>
              <w:t>was</w:t>
            </w:r>
            <w:r>
              <w:rPr>
                <w:spacing w:val="-3"/>
                <w:sz w:val="18"/>
              </w:rPr>
              <w:t> </w:t>
            </w:r>
            <w:r>
              <w:rPr>
                <w:spacing w:val="-2"/>
                <w:sz w:val="18"/>
              </w:rPr>
              <w:t>found)</w:t>
            </w:r>
          </w:p>
        </w:tc>
        <w:tc>
          <w:tcPr>
            <w:tcW w:w="4368" w:type="dxa"/>
            <w:tcBorders>
              <w:top w:val="single" w:sz="4" w:space="0" w:color="000000"/>
              <w:left w:val="single" w:sz="4" w:space="0" w:color="000000"/>
            </w:tcBorders>
          </w:tcPr>
          <w:p>
            <w:pPr>
              <w:pStyle w:val="TableParagraph"/>
              <w:spacing w:before="44"/>
              <w:ind w:left="76" w:right="59"/>
              <w:jc w:val="center"/>
              <w:rPr>
                <w:sz w:val="18"/>
              </w:rPr>
            </w:pPr>
            <w:r>
              <w:rPr>
                <w:sz w:val="18"/>
              </w:rPr>
              <w:t>No evidence was found regarding the effect of thromboprophylaxis</w:t>
            </w:r>
            <w:r>
              <w:rPr>
                <w:spacing w:val="-9"/>
                <w:sz w:val="18"/>
              </w:rPr>
              <w:t> </w:t>
            </w:r>
            <w:r>
              <w:rPr>
                <w:sz w:val="18"/>
              </w:rPr>
              <w:t>on</w:t>
            </w:r>
            <w:r>
              <w:rPr>
                <w:spacing w:val="-9"/>
                <w:sz w:val="18"/>
              </w:rPr>
              <w:t> </w:t>
            </w:r>
            <w:r>
              <w:rPr>
                <w:sz w:val="18"/>
              </w:rPr>
              <w:t>adverse</w:t>
            </w:r>
            <w:r>
              <w:rPr>
                <w:spacing w:val="-7"/>
                <w:sz w:val="18"/>
              </w:rPr>
              <w:t> </w:t>
            </w:r>
            <w:r>
              <w:rPr>
                <w:sz w:val="18"/>
              </w:rPr>
              <w:t>effects</w:t>
            </w:r>
            <w:r>
              <w:rPr>
                <w:spacing w:val="-10"/>
                <w:sz w:val="18"/>
              </w:rPr>
              <w:t> </w:t>
            </w:r>
            <w:r>
              <w:rPr>
                <w:sz w:val="18"/>
              </w:rPr>
              <w:t>(including</w:t>
            </w:r>
            <w:r>
              <w:rPr>
                <w:spacing w:val="-9"/>
                <w:sz w:val="18"/>
              </w:rPr>
              <w:t> </w:t>
            </w:r>
            <w:r>
              <w:rPr>
                <w:sz w:val="18"/>
              </w:rPr>
              <w:t>pain post injection) when compared with no thromboprophylaxis in children with an indication for SCPC/bidirectional Glenn shunt surgery</w:t>
            </w:r>
          </w:p>
        </w:tc>
      </w:tr>
    </w:tbl>
    <w:p>
      <w:pPr>
        <w:pStyle w:val="TableParagraph"/>
        <w:spacing w:after="0"/>
        <w:jc w:val="center"/>
        <w:rPr>
          <w:sz w:val="18"/>
        </w:rPr>
        <w:sectPr>
          <w:pgSz w:w="16840" w:h="11910" w:orient="landscape"/>
          <w:pgMar w:top="1340" w:bottom="280" w:left="1417" w:right="992"/>
        </w:sectPr>
      </w:pPr>
    </w:p>
    <w:p>
      <w:pPr>
        <w:pStyle w:val="ListParagraph"/>
        <w:numPr>
          <w:ilvl w:val="0"/>
          <w:numId w:val="1"/>
        </w:numPr>
        <w:tabs>
          <w:tab w:pos="383" w:val="left" w:leader="none"/>
        </w:tabs>
        <w:spacing w:line="240" w:lineRule="auto" w:before="92" w:after="0"/>
        <w:ind w:left="383" w:right="0" w:hanging="360"/>
        <w:jc w:val="left"/>
        <w:rPr>
          <w:rFonts w:ascii="Rockwell"/>
          <w:i/>
          <w:sz w:val="24"/>
        </w:rPr>
      </w:pPr>
      <w:r>
        <w:rPr>
          <w:i/>
          <w:sz w:val="22"/>
        </w:rPr>
        <w:t>Clinical</w:t>
      </w:r>
      <w:r>
        <w:rPr>
          <w:i/>
          <w:spacing w:val="-8"/>
          <w:sz w:val="22"/>
        </w:rPr>
        <w:t> </w:t>
      </w:r>
      <w:r>
        <w:rPr>
          <w:i/>
          <w:sz w:val="22"/>
        </w:rPr>
        <w:t>question:</w:t>
      </w:r>
      <w:r>
        <w:rPr>
          <w:i/>
          <w:spacing w:val="-5"/>
          <w:sz w:val="22"/>
        </w:rPr>
        <w:t> </w:t>
      </w:r>
      <w:r>
        <w:rPr>
          <w:i/>
          <w:sz w:val="22"/>
        </w:rPr>
        <w:t>What</w:t>
      </w:r>
      <w:r>
        <w:rPr>
          <w:i/>
          <w:spacing w:val="-7"/>
          <w:sz w:val="22"/>
        </w:rPr>
        <w:t> </w:t>
      </w:r>
      <w:r>
        <w:rPr>
          <w:i/>
          <w:sz w:val="22"/>
        </w:rPr>
        <w:t>is</w:t>
      </w:r>
      <w:r>
        <w:rPr>
          <w:i/>
          <w:spacing w:val="-5"/>
          <w:sz w:val="22"/>
        </w:rPr>
        <w:t> </w:t>
      </w:r>
      <w:r>
        <w:rPr>
          <w:i/>
          <w:sz w:val="22"/>
        </w:rPr>
        <w:t>the</w:t>
      </w:r>
      <w:r>
        <w:rPr>
          <w:i/>
          <w:spacing w:val="-6"/>
          <w:sz w:val="22"/>
        </w:rPr>
        <w:t> </w:t>
      </w:r>
      <w:r>
        <w:rPr>
          <w:i/>
          <w:sz w:val="22"/>
        </w:rPr>
        <w:t>recommended</w:t>
      </w:r>
      <w:r>
        <w:rPr>
          <w:i/>
          <w:spacing w:val="-6"/>
          <w:sz w:val="22"/>
        </w:rPr>
        <w:t> </w:t>
      </w:r>
      <w:r>
        <w:rPr>
          <w:i/>
          <w:sz w:val="22"/>
        </w:rPr>
        <w:t>antithrombotic</w:t>
      </w:r>
      <w:r>
        <w:rPr>
          <w:i/>
          <w:spacing w:val="-7"/>
          <w:sz w:val="22"/>
        </w:rPr>
        <w:t> </w:t>
      </w:r>
      <w:r>
        <w:rPr>
          <w:i/>
          <w:sz w:val="22"/>
        </w:rPr>
        <w:t>strategy</w:t>
      </w:r>
      <w:r>
        <w:rPr>
          <w:i/>
          <w:spacing w:val="-6"/>
          <w:sz w:val="22"/>
        </w:rPr>
        <w:t> </w:t>
      </w:r>
      <w:r>
        <w:rPr>
          <w:i/>
          <w:sz w:val="22"/>
        </w:rPr>
        <w:t>for</w:t>
      </w:r>
      <w:r>
        <w:rPr>
          <w:i/>
          <w:spacing w:val="-5"/>
          <w:sz w:val="22"/>
        </w:rPr>
        <w:t> </w:t>
      </w:r>
      <w:r>
        <w:rPr>
          <w:i/>
          <w:sz w:val="22"/>
        </w:rPr>
        <w:t>primary</w:t>
      </w:r>
      <w:r>
        <w:rPr>
          <w:i/>
          <w:spacing w:val="-5"/>
          <w:sz w:val="22"/>
        </w:rPr>
        <w:t> </w:t>
      </w:r>
      <w:r>
        <w:rPr>
          <w:i/>
          <w:sz w:val="22"/>
        </w:rPr>
        <w:t>thrombosis</w:t>
      </w:r>
      <w:r>
        <w:rPr>
          <w:i/>
          <w:spacing w:val="-5"/>
          <w:sz w:val="22"/>
        </w:rPr>
        <w:t> </w:t>
      </w:r>
      <w:r>
        <w:rPr>
          <w:i/>
          <w:sz w:val="22"/>
        </w:rPr>
        <w:t>prevention</w:t>
      </w:r>
      <w:r>
        <w:rPr>
          <w:i/>
          <w:spacing w:val="-7"/>
          <w:sz w:val="22"/>
        </w:rPr>
        <w:t> </w:t>
      </w:r>
      <w:r>
        <w:rPr>
          <w:i/>
          <w:sz w:val="22"/>
        </w:rPr>
        <w:t>in</w:t>
      </w:r>
      <w:r>
        <w:rPr>
          <w:i/>
          <w:spacing w:val="-8"/>
          <w:sz w:val="22"/>
        </w:rPr>
        <w:t> </w:t>
      </w:r>
      <w:r>
        <w:rPr>
          <w:i/>
          <w:sz w:val="22"/>
        </w:rPr>
        <w:t>for</w:t>
      </w:r>
      <w:r>
        <w:rPr>
          <w:i/>
          <w:spacing w:val="-6"/>
          <w:sz w:val="22"/>
        </w:rPr>
        <w:t> </w:t>
      </w:r>
      <w:r>
        <w:rPr>
          <w:i/>
          <w:sz w:val="22"/>
        </w:rPr>
        <w:t>children</w:t>
      </w:r>
      <w:r>
        <w:rPr>
          <w:i/>
          <w:spacing w:val="-5"/>
          <w:sz w:val="22"/>
        </w:rPr>
        <w:t> </w:t>
      </w:r>
      <w:r>
        <w:rPr>
          <w:i/>
          <w:sz w:val="22"/>
        </w:rPr>
        <w:t>after</w:t>
      </w:r>
      <w:r>
        <w:rPr>
          <w:i/>
          <w:spacing w:val="-8"/>
          <w:sz w:val="22"/>
        </w:rPr>
        <w:t> </w:t>
      </w:r>
      <w:r>
        <w:rPr>
          <w:i/>
          <w:sz w:val="22"/>
        </w:rPr>
        <w:t>Fontan</w:t>
      </w:r>
      <w:r>
        <w:rPr>
          <w:i/>
          <w:spacing w:val="-6"/>
          <w:sz w:val="22"/>
        </w:rPr>
        <w:t> </w:t>
      </w:r>
      <w:r>
        <w:rPr>
          <w:i/>
          <w:spacing w:val="-2"/>
          <w:sz w:val="22"/>
        </w:rPr>
        <w:t>surgery?</w:t>
      </w:r>
    </w:p>
    <w:p>
      <w:pPr>
        <w:pStyle w:val="BodyText"/>
        <w:spacing w:before="243"/>
        <w:rPr>
          <w:i/>
        </w:rPr>
      </w:pPr>
    </w:p>
    <w:p>
      <w:pPr>
        <w:pStyle w:val="BodyText"/>
        <w:ind w:left="23"/>
      </w:pPr>
      <w:r>
        <w:rPr/>
        <w:t>A</w:t>
      </w:r>
      <w:r>
        <w:rPr>
          <w:spacing w:val="-5"/>
        </w:rPr>
        <w:t> </w:t>
      </w:r>
      <w:r>
        <w:rPr/>
        <w:t>systematic</w:t>
      </w:r>
      <w:r>
        <w:rPr>
          <w:spacing w:val="-3"/>
        </w:rPr>
        <w:t> </w:t>
      </w:r>
      <w:r>
        <w:rPr/>
        <w:t>review</w:t>
      </w:r>
      <w:r>
        <w:rPr>
          <w:spacing w:val="-5"/>
        </w:rPr>
        <w:t> </w:t>
      </w:r>
      <w:r>
        <w:rPr/>
        <w:t>of</w:t>
      </w:r>
      <w:r>
        <w:rPr>
          <w:spacing w:val="-5"/>
        </w:rPr>
        <w:t> </w:t>
      </w:r>
      <w:r>
        <w:rPr/>
        <w:t>the</w:t>
      </w:r>
      <w:r>
        <w:rPr>
          <w:spacing w:val="-5"/>
        </w:rPr>
        <w:t> </w:t>
      </w:r>
      <w:r>
        <w:rPr/>
        <w:t>literature</w:t>
      </w:r>
      <w:r>
        <w:rPr>
          <w:spacing w:val="-5"/>
        </w:rPr>
        <w:t> </w:t>
      </w:r>
      <w:r>
        <w:rPr/>
        <w:t>was</w:t>
      </w:r>
      <w:r>
        <w:rPr>
          <w:spacing w:val="-6"/>
        </w:rPr>
        <w:t> </w:t>
      </w:r>
      <w:r>
        <w:rPr/>
        <w:t>performed</w:t>
      </w:r>
      <w:r>
        <w:rPr>
          <w:spacing w:val="-3"/>
        </w:rPr>
        <w:t> </w:t>
      </w:r>
      <w:r>
        <w:rPr/>
        <w:t>to</w:t>
      </w:r>
      <w:r>
        <w:rPr>
          <w:spacing w:val="-2"/>
        </w:rPr>
        <w:t> </w:t>
      </w:r>
      <w:r>
        <w:rPr/>
        <w:t>answer</w:t>
      </w:r>
      <w:r>
        <w:rPr>
          <w:spacing w:val="-3"/>
        </w:rPr>
        <w:t> </w:t>
      </w:r>
      <w:r>
        <w:rPr/>
        <w:t>the</w:t>
      </w:r>
      <w:r>
        <w:rPr>
          <w:spacing w:val="-3"/>
        </w:rPr>
        <w:t> </w:t>
      </w:r>
      <w:r>
        <w:rPr/>
        <w:t>following</w:t>
      </w:r>
      <w:r>
        <w:rPr>
          <w:spacing w:val="-4"/>
        </w:rPr>
        <w:t> </w:t>
      </w:r>
      <w:r>
        <w:rPr>
          <w:spacing w:val="-2"/>
        </w:rPr>
        <w:t>question:</w:t>
      </w:r>
    </w:p>
    <w:p>
      <w:pPr>
        <w:pStyle w:val="BodyText"/>
        <w:spacing w:line="278" w:lineRule="auto" w:before="44"/>
        <w:ind w:left="23"/>
      </w:pPr>
      <w:r>
        <w:rPr/>
        <w:t>What</w:t>
      </w:r>
      <w:r>
        <w:rPr>
          <w:spacing w:val="-1"/>
        </w:rPr>
        <w:t> </w:t>
      </w:r>
      <w:r>
        <w:rPr/>
        <w:t>are</w:t>
      </w:r>
      <w:r>
        <w:rPr>
          <w:spacing w:val="-3"/>
        </w:rPr>
        <w:t> </w:t>
      </w:r>
      <w:r>
        <w:rPr/>
        <w:t>the</w:t>
      </w:r>
      <w:r>
        <w:rPr>
          <w:spacing w:val="-3"/>
        </w:rPr>
        <w:t> </w:t>
      </w:r>
      <w:r>
        <w:rPr/>
        <w:t>favorable</w:t>
      </w:r>
      <w:r>
        <w:rPr>
          <w:spacing w:val="-3"/>
        </w:rPr>
        <w:t> </w:t>
      </w:r>
      <w:r>
        <w:rPr/>
        <w:t>and</w:t>
      </w:r>
      <w:r>
        <w:rPr>
          <w:spacing w:val="-2"/>
        </w:rPr>
        <w:t> </w:t>
      </w:r>
      <w:r>
        <w:rPr/>
        <w:t>unfavorable</w:t>
      </w:r>
      <w:r>
        <w:rPr>
          <w:spacing w:val="-4"/>
        </w:rPr>
        <w:t> </w:t>
      </w:r>
      <w:r>
        <w:rPr/>
        <w:t>effects</w:t>
      </w:r>
      <w:r>
        <w:rPr>
          <w:spacing w:val="-3"/>
        </w:rPr>
        <w:t> </w:t>
      </w:r>
      <w:r>
        <w:rPr/>
        <w:t>of</w:t>
      </w:r>
      <w:r>
        <w:rPr>
          <w:spacing w:val="-3"/>
        </w:rPr>
        <w:t> </w:t>
      </w:r>
      <w:r>
        <w:rPr/>
        <w:t>the</w:t>
      </w:r>
      <w:r>
        <w:rPr>
          <w:spacing w:val="-1"/>
        </w:rPr>
        <w:t> </w:t>
      </w:r>
      <w:r>
        <w:rPr/>
        <w:t>use</w:t>
      </w:r>
      <w:r>
        <w:rPr>
          <w:spacing w:val="-3"/>
        </w:rPr>
        <w:t> </w:t>
      </w:r>
      <w:r>
        <w:rPr/>
        <w:t>of</w:t>
      </w:r>
      <w:r>
        <w:rPr>
          <w:spacing w:val="-3"/>
        </w:rPr>
        <w:t> </w:t>
      </w:r>
      <w:r>
        <w:rPr/>
        <w:t>thromboprophylaxis</w:t>
      </w:r>
      <w:r>
        <w:rPr>
          <w:spacing w:val="-1"/>
        </w:rPr>
        <w:t> </w:t>
      </w:r>
      <w:r>
        <w:rPr/>
        <w:t>A</w:t>
      </w:r>
      <w:r>
        <w:rPr>
          <w:spacing w:val="-1"/>
        </w:rPr>
        <w:t> </w:t>
      </w:r>
      <w:r>
        <w:rPr/>
        <w:t>compared</w:t>
      </w:r>
      <w:r>
        <w:rPr>
          <w:spacing w:val="-1"/>
        </w:rPr>
        <w:t> </w:t>
      </w:r>
      <w:r>
        <w:rPr/>
        <w:t>with</w:t>
      </w:r>
      <w:r>
        <w:rPr>
          <w:spacing w:val="-5"/>
        </w:rPr>
        <w:t> </w:t>
      </w:r>
      <w:r>
        <w:rPr/>
        <w:t>the</w:t>
      </w:r>
      <w:r>
        <w:rPr>
          <w:spacing w:val="-1"/>
        </w:rPr>
        <w:t> </w:t>
      </w:r>
      <w:r>
        <w:rPr/>
        <w:t>use</w:t>
      </w:r>
      <w:r>
        <w:rPr>
          <w:spacing w:val="-3"/>
        </w:rPr>
        <w:t> </w:t>
      </w:r>
      <w:r>
        <w:rPr/>
        <w:t>of</w:t>
      </w:r>
      <w:r>
        <w:rPr>
          <w:spacing w:val="-3"/>
        </w:rPr>
        <w:t> </w:t>
      </w:r>
      <w:r>
        <w:rPr/>
        <w:t>thromboprophylaxis B</w:t>
      </w:r>
      <w:r>
        <w:rPr>
          <w:spacing w:val="-1"/>
        </w:rPr>
        <w:t> </w:t>
      </w:r>
      <w:r>
        <w:rPr/>
        <w:t>for</w:t>
      </w:r>
      <w:r>
        <w:rPr>
          <w:spacing w:val="-1"/>
        </w:rPr>
        <w:t> </w:t>
      </w:r>
      <w:r>
        <w:rPr/>
        <w:t>children</w:t>
      </w:r>
      <w:r>
        <w:rPr>
          <w:spacing w:val="-4"/>
        </w:rPr>
        <w:t> </w:t>
      </w:r>
      <w:r>
        <w:rPr/>
        <w:t>with</w:t>
      </w:r>
      <w:r>
        <w:rPr>
          <w:spacing w:val="-1"/>
        </w:rPr>
        <w:t> </w:t>
      </w:r>
      <w:r>
        <w:rPr/>
        <w:t>an indication for the Fontan procedure?</w:t>
      </w:r>
    </w:p>
    <w:p>
      <w:pPr>
        <w:pStyle w:val="BodyText"/>
        <w:spacing w:before="161"/>
        <w:ind w:left="23"/>
      </w:pPr>
      <w:r>
        <w:rPr/>
        <w:t>PICO</w:t>
      </w:r>
      <w:r>
        <w:rPr>
          <w:spacing w:val="-3"/>
        </w:rPr>
        <w:t> </w:t>
      </w:r>
      <w:r>
        <w:rPr/>
        <w:t>used</w:t>
      </w:r>
      <w:r>
        <w:rPr>
          <w:spacing w:val="-2"/>
        </w:rPr>
        <w:t> </w:t>
      </w:r>
      <w:r>
        <w:rPr/>
        <w:t>for</w:t>
      </w:r>
      <w:r>
        <w:rPr>
          <w:spacing w:val="-5"/>
        </w:rPr>
        <w:t> </w:t>
      </w:r>
      <w:r>
        <w:rPr/>
        <w:t>this</w:t>
      </w:r>
      <w:r>
        <w:rPr>
          <w:spacing w:val="-2"/>
        </w:rPr>
        <w:t> question:</w:t>
      </w:r>
    </w:p>
    <w:p>
      <w:pPr>
        <w:pStyle w:val="BodyText"/>
        <w:spacing w:before="5"/>
        <w:rPr>
          <w:sz w:val="14"/>
        </w:rPr>
      </w:pPr>
      <w:r>
        <w:rPr>
          <w:sz w:val="14"/>
        </w:rPr>
        <mc:AlternateContent>
          <mc:Choice Requires="wps">
            <w:drawing>
              <wp:anchor distT="0" distB="0" distL="0" distR="0" allowOverlap="1" layoutInCell="1" locked="0" behindDoc="1" simplePos="0" relativeHeight="487592960">
                <wp:simplePos x="0" y="0"/>
                <wp:positionH relativeFrom="page">
                  <wp:posOffset>914400</wp:posOffset>
                </wp:positionH>
                <wp:positionV relativeFrom="paragraph">
                  <wp:posOffset>127517</wp:posOffset>
                </wp:positionV>
                <wp:extent cx="5648960" cy="952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5648960" cy="9525"/>
                        </a:xfrm>
                        <a:custGeom>
                          <a:avLst/>
                          <a:gdLst/>
                          <a:ahLst/>
                          <a:cxnLst/>
                          <a:rect l="l" t="t" r="r" b="b"/>
                          <a:pathLst>
                            <a:path w="5648960" h="9525">
                              <a:moveTo>
                                <a:pt x="5648820" y="0"/>
                              </a:moveTo>
                              <a:lnTo>
                                <a:pt x="1694942" y="0"/>
                              </a:lnTo>
                              <a:lnTo>
                                <a:pt x="1685798" y="0"/>
                              </a:lnTo>
                              <a:lnTo>
                                <a:pt x="0" y="0"/>
                              </a:lnTo>
                              <a:lnTo>
                                <a:pt x="0" y="9144"/>
                              </a:lnTo>
                              <a:lnTo>
                                <a:pt x="1685798" y="9144"/>
                              </a:lnTo>
                              <a:lnTo>
                                <a:pt x="1694942" y="9144"/>
                              </a:lnTo>
                              <a:lnTo>
                                <a:pt x="5648820" y="9144"/>
                              </a:lnTo>
                              <a:lnTo>
                                <a:pt x="5648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040723pt;width:444.8pt;height:.75pt;mso-position-horizontal-relative:page;mso-position-vertical-relative:paragraph;z-index:-15723520;mso-wrap-distance-left:0;mso-wrap-distance-right:0" id="docshape11" coordorigin="1440,201" coordsize="8896,15" path="m10336,201l4109,201,4095,201,1440,201,1440,215,4095,215,4109,215,10336,215,10336,201xe" filled="true" fillcolor="#000000" stroked="false">
                <v:path arrowok="t"/>
                <v:fill type="solid"/>
                <w10:wrap type="topAndBottom"/>
              </v:shape>
            </w:pict>
          </mc:Fallback>
        </mc:AlternateContent>
      </w:r>
    </w:p>
    <w:p>
      <w:pPr>
        <w:pStyle w:val="BodyText"/>
        <w:tabs>
          <w:tab w:pos="2783" w:val="left" w:leader="none"/>
        </w:tabs>
        <w:spacing w:before="2"/>
        <w:ind w:left="128"/>
      </w:pPr>
      <w:r>
        <w:rPr>
          <w:spacing w:val="-2"/>
        </w:rPr>
        <w:t>Patients</w:t>
      </w:r>
      <w:r>
        <w:rPr/>
        <w:tab/>
        <w:t>Children</w:t>
      </w:r>
      <w:r>
        <w:rPr>
          <w:spacing w:val="-6"/>
        </w:rPr>
        <w:t> </w:t>
      </w:r>
      <w:r>
        <w:rPr/>
        <w:t>with</w:t>
      </w:r>
      <w:r>
        <w:rPr>
          <w:spacing w:val="-4"/>
        </w:rPr>
        <w:t> </w:t>
      </w:r>
      <w:r>
        <w:rPr/>
        <w:t>an</w:t>
      </w:r>
      <w:r>
        <w:rPr>
          <w:spacing w:val="-4"/>
        </w:rPr>
        <w:t> </w:t>
      </w:r>
      <w:r>
        <w:rPr/>
        <w:t>indication</w:t>
      </w:r>
      <w:r>
        <w:rPr>
          <w:spacing w:val="-6"/>
        </w:rPr>
        <w:t> </w:t>
      </w:r>
      <w:r>
        <w:rPr/>
        <w:t>for</w:t>
      </w:r>
      <w:r>
        <w:rPr>
          <w:spacing w:val="-4"/>
        </w:rPr>
        <w:t> </w:t>
      </w:r>
      <w:r>
        <w:rPr/>
        <w:t>the</w:t>
      </w:r>
      <w:r>
        <w:rPr>
          <w:spacing w:val="-4"/>
        </w:rPr>
        <w:t> </w:t>
      </w:r>
      <w:r>
        <w:rPr/>
        <w:t>Fontan</w:t>
      </w:r>
      <w:r>
        <w:rPr>
          <w:spacing w:val="-4"/>
        </w:rPr>
        <w:t> </w:t>
      </w:r>
      <w:r>
        <w:rPr>
          <w:spacing w:val="-2"/>
        </w:rPr>
        <w:t>procedure</w:t>
      </w:r>
    </w:p>
    <w:p>
      <w:pPr>
        <w:pStyle w:val="BodyText"/>
        <w:spacing w:before="7"/>
        <w:rPr>
          <w:sz w:val="14"/>
        </w:rPr>
      </w:pPr>
      <w:r>
        <w:rPr>
          <w:sz w:val="14"/>
        </w:rPr>
        <mc:AlternateContent>
          <mc:Choice Requires="wps">
            <w:drawing>
              <wp:anchor distT="0" distB="0" distL="0" distR="0" allowOverlap="1" layoutInCell="1" locked="0" behindDoc="1" simplePos="0" relativeHeight="487593472">
                <wp:simplePos x="0" y="0"/>
                <wp:positionH relativeFrom="page">
                  <wp:posOffset>914400</wp:posOffset>
                </wp:positionH>
                <wp:positionV relativeFrom="paragraph">
                  <wp:posOffset>128806</wp:posOffset>
                </wp:positionV>
                <wp:extent cx="5648960" cy="9525"/>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5648960" cy="9525"/>
                        </a:xfrm>
                        <a:custGeom>
                          <a:avLst/>
                          <a:gdLst/>
                          <a:ahLst/>
                          <a:cxnLst/>
                          <a:rect l="l" t="t" r="r" b="b"/>
                          <a:pathLst>
                            <a:path w="5648960" h="9525">
                              <a:moveTo>
                                <a:pt x="5648820" y="0"/>
                              </a:moveTo>
                              <a:lnTo>
                                <a:pt x="1694942" y="0"/>
                              </a:lnTo>
                              <a:lnTo>
                                <a:pt x="1685798" y="0"/>
                              </a:lnTo>
                              <a:lnTo>
                                <a:pt x="0" y="0"/>
                              </a:lnTo>
                              <a:lnTo>
                                <a:pt x="0" y="9144"/>
                              </a:lnTo>
                              <a:lnTo>
                                <a:pt x="1685798" y="9144"/>
                              </a:lnTo>
                              <a:lnTo>
                                <a:pt x="1694942" y="9144"/>
                              </a:lnTo>
                              <a:lnTo>
                                <a:pt x="5648820" y="9144"/>
                              </a:lnTo>
                              <a:lnTo>
                                <a:pt x="5648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142247pt;width:444.8pt;height:.75pt;mso-position-horizontal-relative:page;mso-position-vertical-relative:paragraph;z-index:-15723008;mso-wrap-distance-left:0;mso-wrap-distance-right:0" id="docshape12" coordorigin="1440,203" coordsize="8896,15" path="m10336,203l4109,203,4095,203,1440,203,1440,217,4095,217,4109,217,10336,217,10336,203xe" filled="true" fillcolor="#000000" stroked="false">
                <v:path arrowok="t"/>
                <v:fill type="solid"/>
                <w10:wrap type="topAndBottom"/>
              </v:shape>
            </w:pict>
          </mc:Fallback>
        </mc:AlternateContent>
      </w:r>
    </w:p>
    <w:p>
      <w:pPr>
        <w:pStyle w:val="BodyText"/>
        <w:tabs>
          <w:tab w:pos="2783" w:val="left" w:leader="none"/>
        </w:tabs>
        <w:spacing w:before="1"/>
        <w:ind w:left="128"/>
      </w:pPr>
      <w:r>
        <w:rPr>
          <w:spacing w:val="-2"/>
        </w:rPr>
        <w:t>Intervention</w:t>
      </w:r>
      <w:r>
        <w:rPr/>
        <w:tab/>
      </w:r>
      <w:r>
        <w:rPr>
          <w:spacing w:val="-2"/>
        </w:rPr>
        <w:t>Thromboprophylaxis</w:t>
      </w:r>
      <w:r>
        <w:rPr>
          <w:spacing w:val="17"/>
        </w:rPr>
        <w:t> </w:t>
      </w:r>
      <w:r>
        <w:rPr>
          <w:spacing w:val="-10"/>
        </w:rPr>
        <w:t>A</w:t>
      </w:r>
    </w:p>
    <w:p>
      <w:pPr>
        <w:pStyle w:val="ListParagraph"/>
        <w:numPr>
          <w:ilvl w:val="1"/>
          <w:numId w:val="1"/>
        </w:numPr>
        <w:tabs>
          <w:tab w:pos="3503" w:val="left" w:leader="none"/>
        </w:tabs>
        <w:spacing w:line="240" w:lineRule="auto" w:before="203" w:after="0"/>
        <w:ind w:left="3503" w:right="0" w:hanging="360"/>
        <w:jc w:val="left"/>
        <w:rPr>
          <w:rFonts w:ascii="Symbol" w:hAnsi="Symbol"/>
          <w:sz w:val="22"/>
        </w:rPr>
      </w:pPr>
      <w:r>
        <w:rPr>
          <w:sz w:val="22"/>
        </w:rPr>
        <w:t>DOACs</w:t>
      </w:r>
      <w:r>
        <w:rPr>
          <w:spacing w:val="-11"/>
          <w:sz w:val="22"/>
        </w:rPr>
        <w:t> </w:t>
      </w:r>
      <w:r>
        <w:rPr>
          <w:sz w:val="22"/>
        </w:rPr>
        <w:t>(apixaban,</w:t>
      </w:r>
      <w:r>
        <w:rPr>
          <w:spacing w:val="-8"/>
          <w:sz w:val="22"/>
        </w:rPr>
        <w:t> </w:t>
      </w:r>
      <w:r>
        <w:rPr>
          <w:sz w:val="22"/>
        </w:rPr>
        <w:t>rivaroxaban,</w:t>
      </w:r>
      <w:r>
        <w:rPr>
          <w:spacing w:val="-7"/>
          <w:sz w:val="22"/>
        </w:rPr>
        <w:t> </w:t>
      </w:r>
      <w:r>
        <w:rPr>
          <w:spacing w:val="-2"/>
          <w:sz w:val="22"/>
        </w:rPr>
        <w:t>edoxaban)</w:t>
      </w:r>
    </w:p>
    <w:p>
      <w:pPr>
        <w:pStyle w:val="ListParagraph"/>
        <w:numPr>
          <w:ilvl w:val="1"/>
          <w:numId w:val="1"/>
        </w:numPr>
        <w:tabs>
          <w:tab w:pos="3503" w:val="left" w:leader="none"/>
        </w:tabs>
        <w:spacing w:line="240" w:lineRule="auto" w:before="43" w:after="0"/>
        <w:ind w:left="3503" w:right="0" w:hanging="360"/>
        <w:jc w:val="left"/>
        <w:rPr>
          <w:rFonts w:ascii="Symbol" w:hAnsi="Symbol"/>
          <w:sz w:val="22"/>
        </w:rPr>
      </w:pPr>
      <w:r>
        <w:rPr>
          <w:sz w:val="22"/>
        </w:rPr>
        <w:t>Antiplatelet</w:t>
      </w:r>
      <w:r>
        <w:rPr>
          <w:spacing w:val="-8"/>
          <w:sz w:val="22"/>
        </w:rPr>
        <w:t> </w:t>
      </w:r>
      <w:r>
        <w:rPr>
          <w:sz w:val="22"/>
        </w:rPr>
        <w:t>drugs</w:t>
      </w:r>
      <w:r>
        <w:rPr>
          <w:spacing w:val="-5"/>
          <w:sz w:val="22"/>
        </w:rPr>
        <w:t> </w:t>
      </w:r>
      <w:r>
        <w:rPr>
          <w:sz w:val="22"/>
        </w:rPr>
        <w:t>(aspirin,</w:t>
      </w:r>
      <w:r>
        <w:rPr>
          <w:spacing w:val="-7"/>
          <w:sz w:val="22"/>
        </w:rPr>
        <w:t> </w:t>
      </w:r>
      <w:r>
        <w:rPr>
          <w:sz w:val="22"/>
        </w:rPr>
        <w:t>carbasalate</w:t>
      </w:r>
      <w:r>
        <w:rPr>
          <w:spacing w:val="-7"/>
          <w:sz w:val="22"/>
        </w:rPr>
        <w:t> </w:t>
      </w:r>
      <w:r>
        <w:rPr>
          <w:spacing w:val="-2"/>
          <w:sz w:val="22"/>
        </w:rPr>
        <w:t>calcium)</w:t>
      </w:r>
    </w:p>
    <w:p>
      <w:pPr>
        <w:pStyle w:val="ListParagraph"/>
        <w:numPr>
          <w:ilvl w:val="1"/>
          <w:numId w:val="1"/>
        </w:numPr>
        <w:tabs>
          <w:tab w:pos="3503" w:val="left" w:leader="none"/>
        </w:tabs>
        <w:spacing w:line="278" w:lineRule="auto" w:before="44" w:after="0"/>
        <w:ind w:left="3503" w:right="6561" w:hanging="360"/>
        <w:jc w:val="left"/>
        <w:rPr>
          <w:rFonts w:ascii="Symbol" w:hAnsi="Symbol"/>
          <w:sz w:val="22"/>
        </w:rPr>
      </w:pPr>
      <w:r>
        <w:rPr>
          <w:sz w:val="22"/>
        </w:rPr>
        <w:t>Vitamin</w:t>
      </w:r>
      <w:r>
        <w:rPr>
          <w:spacing w:val="-11"/>
          <w:sz w:val="22"/>
        </w:rPr>
        <w:t> </w:t>
      </w:r>
      <w:r>
        <w:rPr>
          <w:sz w:val="22"/>
        </w:rPr>
        <w:t>K</w:t>
      </w:r>
      <w:r>
        <w:rPr>
          <w:spacing w:val="-8"/>
          <w:sz w:val="22"/>
        </w:rPr>
        <w:t> </w:t>
      </w:r>
      <w:r>
        <w:rPr>
          <w:sz w:val="22"/>
        </w:rPr>
        <w:t>antagonists</w:t>
      </w:r>
      <w:r>
        <w:rPr>
          <w:spacing w:val="-8"/>
          <w:sz w:val="22"/>
        </w:rPr>
        <w:t> </w:t>
      </w:r>
      <w:r>
        <w:rPr>
          <w:sz w:val="22"/>
        </w:rPr>
        <w:t>(warfarin,</w:t>
      </w:r>
      <w:r>
        <w:rPr>
          <w:spacing w:val="-8"/>
          <w:sz w:val="22"/>
        </w:rPr>
        <w:t> </w:t>
      </w:r>
      <w:r>
        <w:rPr>
          <w:sz w:val="22"/>
        </w:rPr>
        <w:t>acenocoumarol, </w:t>
      </w:r>
      <w:r>
        <w:rPr>
          <w:spacing w:val="-2"/>
          <w:sz w:val="22"/>
        </w:rPr>
        <w:t>fenprocoumon)</w:t>
      </w:r>
    </w:p>
    <w:p>
      <w:pPr>
        <w:pStyle w:val="ListParagraph"/>
        <w:numPr>
          <w:ilvl w:val="1"/>
          <w:numId w:val="1"/>
        </w:numPr>
        <w:tabs>
          <w:tab w:pos="3503" w:val="left" w:leader="none"/>
        </w:tabs>
        <w:spacing w:line="278" w:lineRule="auto" w:before="1" w:after="0"/>
        <w:ind w:left="3503" w:right="6355" w:hanging="360"/>
        <w:jc w:val="left"/>
        <w:rPr>
          <w:rFonts w:ascii="Symbol" w:hAnsi="Symbol"/>
          <w:sz w:val="22"/>
        </w:rPr>
      </w:pPr>
      <w:r>
        <w:rPr>
          <w:sz w:val="22"/>
        </w:rPr>
        <w:t>Low-molecular-weight</w:t>
      </w:r>
      <w:r>
        <w:rPr>
          <w:spacing w:val="-12"/>
          <w:sz w:val="22"/>
        </w:rPr>
        <w:t> </w:t>
      </w:r>
      <w:r>
        <w:rPr>
          <w:sz w:val="22"/>
        </w:rPr>
        <w:t>heparin</w:t>
      </w:r>
      <w:r>
        <w:rPr>
          <w:spacing w:val="-13"/>
          <w:sz w:val="22"/>
        </w:rPr>
        <w:t> </w:t>
      </w:r>
      <w:r>
        <w:rPr>
          <w:sz w:val="22"/>
        </w:rPr>
        <w:t>(LMWH)</w:t>
      </w:r>
      <w:r>
        <w:rPr>
          <w:spacing w:val="-12"/>
          <w:sz w:val="22"/>
        </w:rPr>
        <w:t> </w:t>
      </w:r>
      <w:r>
        <w:rPr>
          <w:sz w:val="22"/>
        </w:rPr>
        <w:t>(fraxiparin, tinzaparin, enoxaparin, dalteparin)</w:t>
      </w:r>
    </w:p>
    <w:p>
      <w:pPr>
        <w:pStyle w:val="BodyText"/>
        <w:spacing w:before="4"/>
        <w:rPr>
          <w:sz w:val="11"/>
        </w:rPr>
      </w:pPr>
      <w:r>
        <w:rPr>
          <w:sz w:val="11"/>
        </w:rPr>
        <mc:AlternateContent>
          <mc:Choice Requires="wps">
            <w:drawing>
              <wp:anchor distT="0" distB="0" distL="0" distR="0" allowOverlap="1" layoutInCell="1" locked="0" behindDoc="1" simplePos="0" relativeHeight="487593984">
                <wp:simplePos x="0" y="0"/>
                <wp:positionH relativeFrom="page">
                  <wp:posOffset>914400</wp:posOffset>
                </wp:positionH>
                <wp:positionV relativeFrom="paragraph">
                  <wp:posOffset>103579</wp:posOffset>
                </wp:positionV>
                <wp:extent cx="5648960" cy="9525"/>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5648960" cy="9525"/>
                        </a:xfrm>
                        <a:custGeom>
                          <a:avLst/>
                          <a:gdLst/>
                          <a:ahLst/>
                          <a:cxnLst/>
                          <a:rect l="l" t="t" r="r" b="b"/>
                          <a:pathLst>
                            <a:path w="5648960" h="9525">
                              <a:moveTo>
                                <a:pt x="5648820" y="0"/>
                              </a:moveTo>
                              <a:lnTo>
                                <a:pt x="1694942" y="0"/>
                              </a:lnTo>
                              <a:lnTo>
                                <a:pt x="1685798" y="0"/>
                              </a:lnTo>
                              <a:lnTo>
                                <a:pt x="0" y="0"/>
                              </a:lnTo>
                              <a:lnTo>
                                <a:pt x="0" y="9131"/>
                              </a:lnTo>
                              <a:lnTo>
                                <a:pt x="1685798" y="9131"/>
                              </a:lnTo>
                              <a:lnTo>
                                <a:pt x="1694942" y="9131"/>
                              </a:lnTo>
                              <a:lnTo>
                                <a:pt x="5648820" y="9131"/>
                              </a:lnTo>
                              <a:lnTo>
                                <a:pt x="5648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8.155831pt;width:444.8pt;height:.75pt;mso-position-horizontal-relative:page;mso-position-vertical-relative:paragraph;z-index:-15722496;mso-wrap-distance-left:0;mso-wrap-distance-right:0" id="docshape13" coordorigin="1440,163" coordsize="8896,15" path="m10336,163l4109,163,4095,163,1440,163,1440,177,4095,177,4109,177,10336,177,10336,163xe" filled="true" fillcolor="#000000" stroked="false">
                <v:path arrowok="t"/>
                <v:fill type="solid"/>
                <w10:wrap type="topAndBottom"/>
              </v:shape>
            </w:pict>
          </mc:Fallback>
        </mc:AlternateContent>
      </w:r>
    </w:p>
    <w:p>
      <w:pPr>
        <w:pStyle w:val="BodyText"/>
        <w:tabs>
          <w:tab w:pos="2783" w:val="left" w:leader="none"/>
        </w:tabs>
        <w:ind w:left="179"/>
      </w:pPr>
      <w:r>
        <w:rPr/>
        <w:t>The</w:t>
      </w:r>
      <w:r>
        <w:rPr>
          <w:spacing w:val="-2"/>
        </w:rPr>
        <w:t> Control</w:t>
      </w:r>
      <w:r>
        <w:rPr/>
        <w:tab/>
      </w:r>
      <w:r>
        <w:rPr>
          <w:spacing w:val="-2"/>
        </w:rPr>
        <w:t>Thromboprophylaxis</w:t>
      </w:r>
      <w:r>
        <w:rPr>
          <w:spacing w:val="17"/>
        </w:rPr>
        <w:t> </w:t>
      </w:r>
      <w:r>
        <w:rPr>
          <w:spacing w:val="-10"/>
        </w:rPr>
        <w:t>B</w:t>
      </w:r>
    </w:p>
    <w:p>
      <w:pPr>
        <w:pStyle w:val="BodyText"/>
        <w:spacing w:before="9"/>
        <w:rPr>
          <w:sz w:val="14"/>
        </w:rPr>
      </w:pPr>
      <w:r>
        <w:rPr>
          <w:sz w:val="14"/>
        </w:rPr>
        <mc:AlternateContent>
          <mc:Choice Requires="wps">
            <w:drawing>
              <wp:anchor distT="0" distB="0" distL="0" distR="0" allowOverlap="1" layoutInCell="1" locked="0" behindDoc="1" simplePos="0" relativeHeight="487594496">
                <wp:simplePos x="0" y="0"/>
                <wp:positionH relativeFrom="page">
                  <wp:posOffset>914400</wp:posOffset>
                </wp:positionH>
                <wp:positionV relativeFrom="paragraph">
                  <wp:posOffset>129695</wp:posOffset>
                </wp:positionV>
                <wp:extent cx="5648960" cy="9525"/>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5648960" cy="9525"/>
                        </a:xfrm>
                        <a:custGeom>
                          <a:avLst/>
                          <a:gdLst/>
                          <a:ahLst/>
                          <a:cxnLst/>
                          <a:rect l="l" t="t" r="r" b="b"/>
                          <a:pathLst>
                            <a:path w="5648960" h="9525">
                              <a:moveTo>
                                <a:pt x="5648820" y="0"/>
                              </a:moveTo>
                              <a:lnTo>
                                <a:pt x="1694942" y="0"/>
                              </a:lnTo>
                              <a:lnTo>
                                <a:pt x="1685798" y="0"/>
                              </a:lnTo>
                              <a:lnTo>
                                <a:pt x="0" y="0"/>
                              </a:lnTo>
                              <a:lnTo>
                                <a:pt x="0" y="9144"/>
                              </a:lnTo>
                              <a:lnTo>
                                <a:pt x="1685798" y="9144"/>
                              </a:lnTo>
                              <a:lnTo>
                                <a:pt x="1694942" y="9144"/>
                              </a:lnTo>
                              <a:lnTo>
                                <a:pt x="5648820" y="9144"/>
                              </a:lnTo>
                              <a:lnTo>
                                <a:pt x="5648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212255pt;width:444.8pt;height:.75pt;mso-position-horizontal-relative:page;mso-position-vertical-relative:paragraph;z-index:-15721984;mso-wrap-distance-left:0;mso-wrap-distance-right:0" id="docshape14" coordorigin="1440,204" coordsize="8896,15" path="m10336,204l4109,204,4095,204,1440,204,1440,219,4095,219,4109,219,10336,219,10336,204xe" filled="true" fillcolor="#000000" stroked="false">
                <v:path arrowok="t"/>
                <v:fill type="solid"/>
                <w10:wrap type="topAndBottom"/>
              </v:shape>
            </w:pict>
          </mc:Fallback>
        </mc:AlternateContent>
      </w:r>
    </w:p>
    <w:p>
      <w:pPr>
        <w:pStyle w:val="BodyText"/>
        <w:tabs>
          <w:tab w:pos="2783" w:val="left" w:leader="none"/>
        </w:tabs>
        <w:spacing w:line="278" w:lineRule="auto"/>
        <w:ind w:left="2783" w:right="5909" w:hanging="2655"/>
        <w:jc w:val="both"/>
      </w:pPr>
      <w:r>
        <w:rPr>
          <w:spacing w:val="-2"/>
        </w:rPr>
        <w:t>Outcomes</w:t>
      </w:r>
      <w:r>
        <w:rPr/>
        <w:tab/>
        <w:t>ischemic</w:t>
      </w:r>
      <w:r>
        <w:rPr>
          <w:spacing w:val="-7"/>
        </w:rPr>
        <w:t> </w:t>
      </w:r>
      <w:r>
        <w:rPr/>
        <w:t>stroke,</w:t>
      </w:r>
      <w:r>
        <w:rPr>
          <w:spacing w:val="-7"/>
        </w:rPr>
        <w:t> </w:t>
      </w:r>
      <w:r>
        <w:rPr/>
        <w:t>thrombotic</w:t>
      </w:r>
      <w:r>
        <w:rPr>
          <w:spacing w:val="-7"/>
        </w:rPr>
        <w:t> </w:t>
      </w:r>
      <w:r>
        <w:rPr/>
        <w:t>complications</w:t>
      </w:r>
      <w:r>
        <w:rPr>
          <w:spacing w:val="-9"/>
        </w:rPr>
        <w:t> </w:t>
      </w:r>
      <w:r>
        <w:rPr/>
        <w:t>(including</w:t>
      </w:r>
      <w:r>
        <w:rPr>
          <w:spacing w:val="-8"/>
        </w:rPr>
        <w:t> </w:t>
      </w:r>
      <w:r>
        <w:rPr/>
        <w:t>pulmonary embolism),</w:t>
      </w:r>
      <w:r>
        <w:rPr>
          <w:spacing w:val="-4"/>
        </w:rPr>
        <w:t> </w:t>
      </w:r>
      <w:r>
        <w:rPr/>
        <w:t>hemorrhage,</w:t>
      </w:r>
      <w:r>
        <w:rPr>
          <w:spacing w:val="-6"/>
        </w:rPr>
        <w:t> </w:t>
      </w:r>
      <w:r>
        <w:rPr/>
        <w:t>mortality,</w:t>
      </w:r>
      <w:r>
        <w:rPr>
          <w:spacing w:val="-4"/>
        </w:rPr>
        <w:t> </w:t>
      </w:r>
      <w:r>
        <w:rPr/>
        <w:t>quality</w:t>
      </w:r>
      <w:r>
        <w:rPr>
          <w:spacing w:val="-6"/>
        </w:rPr>
        <w:t> </w:t>
      </w:r>
      <w:r>
        <w:rPr/>
        <w:t>of</w:t>
      </w:r>
      <w:r>
        <w:rPr>
          <w:spacing w:val="-4"/>
        </w:rPr>
        <w:t> </w:t>
      </w:r>
      <w:r>
        <w:rPr/>
        <w:t>life</w:t>
      </w:r>
      <w:r>
        <w:rPr>
          <w:spacing w:val="-7"/>
        </w:rPr>
        <w:t> </w:t>
      </w:r>
      <w:r>
        <w:rPr/>
        <w:t>(QOL),</w:t>
      </w:r>
      <w:r>
        <w:rPr>
          <w:spacing w:val="-4"/>
        </w:rPr>
        <w:t> </w:t>
      </w:r>
      <w:r>
        <w:rPr/>
        <w:t>adverse </w:t>
      </w:r>
      <w:r>
        <w:rPr>
          <w:spacing w:val="-2"/>
        </w:rPr>
        <w:t>events</w:t>
      </w:r>
    </w:p>
    <w:p>
      <w:pPr>
        <w:pStyle w:val="BodyText"/>
        <w:spacing w:before="3"/>
        <w:rPr>
          <w:sz w:val="11"/>
        </w:rPr>
      </w:pPr>
      <w:r>
        <w:rPr>
          <w:sz w:val="11"/>
        </w:rPr>
        <mc:AlternateContent>
          <mc:Choice Requires="wps">
            <w:drawing>
              <wp:anchor distT="0" distB="0" distL="0" distR="0" allowOverlap="1" layoutInCell="1" locked="0" behindDoc="1" simplePos="0" relativeHeight="487595008">
                <wp:simplePos x="0" y="0"/>
                <wp:positionH relativeFrom="page">
                  <wp:posOffset>905256</wp:posOffset>
                </wp:positionH>
                <wp:positionV relativeFrom="paragraph">
                  <wp:posOffset>103015</wp:posOffset>
                </wp:positionV>
                <wp:extent cx="5658485" cy="9525"/>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5658485" cy="9525"/>
                        </a:xfrm>
                        <a:custGeom>
                          <a:avLst/>
                          <a:gdLst/>
                          <a:ahLst/>
                          <a:cxnLst/>
                          <a:rect l="l" t="t" r="r" b="b"/>
                          <a:pathLst>
                            <a:path w="5658485" h="9525">
                              <a:moveTo>
                                <a:pt x="5657964" y="0"/>
                              </a:moveTo>
                              <a:lnTo>
                                <a:pt x="1694942" y="0"/>
                              </a:lnTo>
                              <a:lnTo>
                                <a:pt x="1685798" y="0"/>
                              </a:lnTo>
                              <a:lnTo>
                                <a:pt x="0" y="0"/>
                              </a:lnTo>
                              <a:lnTo>
                                <a:pt x="0" y="9144"/>
                              </a:lnTo>
                              <a:lnTo>
                                <a:pt x="1685798" y="9144"/>
                              </a:lnTo>
                              <a:lnTo>
                                <a:pt x="1694942" y="9144"/>
                              </a:lnTo>
                              <a:lnTo>
                                <a:pt x="5657964" y="9144"/>
                              </a:lnTo>
                              <a:lnTo>
                                <a:pt x="5657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1.280006pt;margin-top:8.111476pt;width:445.55pt;height:.75pt;mso-position-horizontal-relative:page;mso-position-vertical-relative:paragraph;z-index:-15721472;mso-wrap-distance-left:0;mso-wrap-distance-right:0" id="docshape15" coordorigin="1426,162" coordsize="8911,15" path="m10336,162l4095,162,4080,162,1426,162,1426,177,4080,177,4095,177,10336,177,10336,162xe" filled="true" fillcolor="#000000" stroked="false">
                <v:path arrowok="t"/>
                <v:fill type="solid"/>
                <w10:wrap type="topAndBottom"/>
              </v:shape>
            </w:pict>
          </mc:Fallback>
        </mc:AlternateContent>
      </w:r>
    </w:p>
    <w:p>
      <w:pPr>
        <w:pStyle w:val="BodyText"/>
        <w:spacing w:before="232"/>
      </w:pPr>
    </w:p>
    <w:p>
      <w:pPr>
        <w:pStyle w:val="BodyText"/>
        <w:ind w:left="23"/>
        <w:jc w:val="both"/>
      </w:pPr>
      <w:r>
        <w:rPr>
          <w:u w:val="single"/>
        </w:rPr>
        <w:t>Relevant</w:t>
      </w:r>
      <w:r>
        <w:rPr>
          <w:spacing w:val="-6"/>
          <w:u w:val="single"/>
        </w:rPr>
        <w:t> </w:t>
      </w:r>
      <w:r>
        <w:rPr>
          <w:u w:val="single"/>
        </w:rPr>
        <w:t>outcome</w:t>
      </w:r>
      <w:r>
        <w:rPr>
          <w:spacing w:val="-5"/>
          <w:u w:val="single"/>
        </w:rPr>
        <w:t> </w:t>
      </w:r>
      <w:r>
        <w:rPr>
          <w:spacing w:val="-2"/>
          <w:u w:val="single"/>
        </w:rPr>
        <w:t>measures</w:t>
      </w:r>
    </w:p>
    <w:p>
      <w:pPr>
        <w:pStyle w:val="BodyText"/>
        <w:spacing w:before="42"/>
        <w:ind w:left="23" w:right="444"/>
        <w:jc w:val="both"/>
      </w:pPr>
      <w:r>
        <w:rPr/>
        <w:t>The guideline panel</w:t>
      </w:r>
      <w:r>
        <w:rPr>
          <w:spacing w:val="-2"/>
        </w:rPr>
        <w:t> </w:t>
      </w:r>
      <w:r>
        <w:rPr/>
        <w:t>considered thrombotic</w:t>
      </w:r>
      <w:r>
        <w:rPr>
          <w:spacing w:val="-3"/>
        </w:rPr>
        <w:t> </w:t>
      </w:r>
      <w:r>
        <w:rPr/>
        <w:t>complications (including</w:t>
      </w:r>
      <w:r>
        <w:rPr>
          <w:spacing w:val="-1"/>
        </w:rPr>
        <w:t> </w:t>
      </w:r>
      <w:r>
        <w:rPr/>
        <w:t>pulmonary</w:t>
      </w:r>
      <w:r>
        <w:rPr>
          <w:spacing w:val="-2"/>
        </w:rPr>
        <w:t> </w:t>
      </w:r>
      <w:r>
        <w:rPr/>
        <w:t>embolism) as a</w:t>
      </w:r>
      <w:r>
        <w:rPr>
          <w:spacing w:val="-2"/>
        </w:rPr>
        <w:t> </w:t>
      </w:r>
      <w:r>
        <w:rPr/>
        <w:t>critical</w:t>
      </w:r>
      <w:r>
        <w:rPr>
          <w:spacing w:val="-3"/>
        </w:rPr>
        <w:t> </w:t>
      </w:r>
      <w:r>
        <w:rPr/>
        <w:t>outcome</w:t>
      </w:r>
      <w:r>
        <w:rPr>
          <w:spacing w:val="-2"/>
        </w:rPr>
        <w:t> </w:t>
      </w:r>
      <w:r>
        <w:rPr/>
        <w:t>measure for decision</w:t>
      </w:r>
      <w:r>
        <w:rPr>
          <w:spacing w:val="-1"/>
        </w:rPr>
        <w:t> </w:t>
      </w:r>
      <w:r>
        <w:rPr/>
        <w:t>making; and</w:t>
      </w:r>
      <w:r>
        <w:rPr>
          <w:spacing w:val="-2"/>
        </w:rPr>
        <w:t> </w:t>
      </w:r>
      <w:r>
        <w:rPr/>
        <w:t>the</w:t>
      </w:r>
      <w:r>
        <w:rPr>
          <w:spacing w:val="-2"/>
        </w:rPr>
        <w:t> </w:t>
      </w:r>
      <w:r>
        <w:rPr/>
        <w:t>other outcomes</w:t>
      </w:r>
      <w:r>
        <w:rPr>
          <w:spacing w:val="-1"/>
        </w:rPr>
        <w:t> </w:t>
      </w:r>
      <w:r>
        <w:rPr/>
        <w:t>as</w:t>
      </w:r>
      <w:r>
        <w:rPr>
          <w:spacing w:val="-5"/>
        </w:rPr>
        <w:t> </w:t>
      </w:r>
      <w:r>
        <w:rPr/>
        <w:t>important</w:t>
      </w:r>
      <w:r>
        <w:rPr>
          <w:spacing w:val="-2"/>
        </w:rPr>
        <w:t> </w:t>
      </w:r>
      <w:r>
        <w:rPr/>
        <w:t>outcome</w:t>
      </w:r>
      <w:r>
        <w:rPr>
          <w:spacing w:val="-4"/>
        </w:rPr>
        <w:t> </w:t>
      </w:r>
      <w:r>
        <w:rPr/>
        <w:t>measures</w:t>
      </w:r>
      <w:r>
        <w:rPr>
          <w:spacing w:val="-2"/>
        </w:rPr>
        <w:t> </w:t>
      </w:r>
      <w:r>
        <w:rPr/>
        <w:t>for</w:t>
      </w:r>
      <w:r>
        <w:rPr>
          <w:spacing w:val="-2"/>
        </w:rPr>
        <w:t> </w:t>
      </w:r>
      <w:r>
        <w:rPr/>
        <w:t>decision</w:t>
      </w:r>
      <w:r>
        <w:rPr>
          <w:spacing w:val="-3"/>
        </w:rPr>
        <w:t> </w:t>
      </w:r>
      <w:r>
        <w:rPr/>
        <w:t>making.</w:t>
      </w:r>
      <w:r>
        <w:rPr>
          <w:spacing w:val="-2"/>
        </w:rPr>
        <w:t> </w:t>
      </w:r>
      <w:r>
        <w:rPr/>
        <w:t>A</w:t>
      </w:r>
      <w:r>
        <w:rPr>
          <w:spacing w:val="-2"/>
        </w:rPr>
        <w:t> </w:t>
      </w:r>
      <w:r>
        <w:rPr/>
        <w:t>priori,</w:t>
      </w:r>
      <w:r>
        <w:rPr>
          <w:spacing w:val="-2"/>
        </w:rPr>
        <w:t> </w:t>
      </w:r>
      <w:r>
        <w:rPr/>
        <w:t>the</w:t>
      </w:r>
      <w:r>
        <w:rPr>
          <w:spacing w:val="-2"/>
        </w:rPr>
        <w:t> </w:t>
      </w:r>
      <w:r>
        <w:rPr/>
        <w:t>guideline</w:t>
      </w:r>
      <w:r>
        <w:rPr>
          <w:spacing w:val="-2"/>
        </w:rPr>
        <w:t> </w:t>
      </w:r>
      <w:r>
        <w:rPr/>
        <w:t>panel</w:t>
      </w:r>
      <w:r>
        <w:rPr>
          <w:spacing w:val="-2"/>
        </w:rPr>
        <w:t> </w:t>
      </w:r>
      <w:r>
        <w:rPr/>
        <w:t>did</w:t>
      </w:r>
      <w:r>
        <w:rPr>
          <w:spacing w:val="-4"/>
        </w:rPr>
        <w:t> </w:t>
      </w:r>
      <w:r>
        <w:rPr/>
        <w:t>not</w:t>
      </w:r>
      <w:r>
        <w:rPr>
          <w:spacing w:val="-2"/>
        </w:rPr>
        <w:t> </w:t>
      </w:r>
      <w:r>
        <w:rPr/>
        <w:t>define</w:t>
      </w:r>
      <w:r>
        <w:rPr>
          <w:spacing w:val="-2"/>
        </w:rPr>
        <w:t> </w:t>
      </w:r>
      <w:r>
        <w:rPr/>
        <w:t>the</w:t>
      </w:r>
      <w:r>
        <w:rPr>
          <w:spacing w:val="-2"/>
        </w:rPr>
        <w:t> </w:t>
      </w:r>
      <w:r>
        <w:rPr/>
        <w:t>outcome</w:t>
      </w:r>
      <w:r>
        <w:rPr>
          <w:spacing w:val="-4"/>
        </w:rPr>
        <w:t> </w:t>
      </w:r>
      <w:r>
        <w:rPr/>
        <w:t>measures listed</w:t>
      </w:r>
      <w:r>
        <w:rPr>
          <w:spacing w:val="-3"/>
        </w:rPr>
        <w:t> </w:t>
      </w:r>
      <w:r>
        <w:rPr/>
        <w:t>above</w:t>
      </w:r>
      <w:r>
        <w:rPr>
          <w:spacing w:val="-2"/>
        </w:rPr>
        <w:t> </w:t>
      </w:r>
      <w:r>
        <w:rPr/>
        <w:t>but</w:t>
      </w:r>
      <w:r>
        <w:rPr>
          <w:spacing w:val="-2"/>
        </w:rPr>
        <w:t> </w:t>
      </w:r>
      <w:r>
        <w:rPr/>
        <w:t>used</w:t>
      </w:r>
      <w:r>
        <w:rPr>
          <w:spacing w:val="-2"/>
        </w:rPr>
        <w:t> </w:t>
      </w:r>
      <w:r>
        <w:rPr/>
        <w:t>the definitions used in the studies. The guideline panel defined a difference of 25% (0.8 ≥ RR ≥ 1.25) as minimal clinically (patient) important difference.</w:t>
      </w:r>
    </w:p>
    <w:p>
      <w:pPr>
        <w:pStyle w:val="BodyText"/>
        <w:spacing w:after="0"/>
        <w:jc w:val="both"/>
        <w:sectPr>
          <w:pgSz w:w="16840" w:h="11910" w:orient="landscape"/>
          <w:pgMar w:top="1340" w:bottom="280" w:left="1417" w:right="992"/>
        </w:sectPr>
      </w:pPr>
    </w:p>
    <w:p>
      <w:pPr>
        <w:pStyle w:val="BodyText"/>
        <w:spacing w:before="93"/>
        <w:ind w:left="23"/>
      </w:pPr>
      <w:r>
        <w:rPr>
          <w:u w:val="single"/>
        </w:rPr>
        <w:t>Search</w:t>
      </w:r>
      <w:r>
        <w:rPr>
          <w:spacing w:val="-6"/>
          <w:u w:val="single"/>
        </w:rPr>
        <w:t> </w:t>
      </w:r>
      <w:r>
        <w:rPr>
          <w:u w:val="single"/>
        </w:rPr>
        <w:t>and</w:t>
      </w:r>
      <w:r>
        <w:rPr>
          <w:spacing w:val="-5"/>
          <w:u w:val="single"/>
        </w:rPr>
        <w:t> </w:t>
      </w:r>
      <w:r>
        <w:rPr>
          <w:spacing w:val="-2"/>
          <w:u w:val="single"/>
        </w:rPr>
        <w:t>selection</w:t>
      </w:r>
    </w:p>
    <w:p>
      <w:pPr>
        <w:pStyle w:val="BodyText"/>
        <w:spacing w:line="276" w:lineRule="auto" w:before="41"/>
        <w:ind w:left="23" w:right="518"/>
      </w:pPr>
      <w:r>
        <w:rPr/>
        <w:t>The systematic literature search resulted in 479 hits. Initially, 24 studies were selected based on title and abstract screening. After reading the full text, 17 studies were excluded (table 3.1), and seven studies were included. In addition to the systematic literature search, we also screened the title and abstract</w:t>
      </w:r>
      <w:r>
        <w:rPr/>
        <w:t> of</w:t>
      </w:r>
      <w:r>
        <w:rPr>
          <w:spacing w:val="-1"/>
        </w:rPr>
        <w:t> </w:t>
      </w:r>
      <w:r>
        <w:rPr/>
        <w:t>four</w:t>
      </w:r>
      <w:r>
        <w:rPr>
          <w:spacing w:val="-1"/>
        </w:rPr>
        <w:t> </w:t>
      </w:r>
      <w:r>
        <w:rPr/>
        <w:t>additional</w:t>
      </w:r>
      <w:r>
        <w:rPr>
          <w:spacing w:val="-4"/>
        </w:rPr>
        <w:t> </w:t>
      </w:r>
      <w:r>
        <w:rPr/>
        <w:t>studies</w:t>
      </w:r>
      <w:r>
        <w:rPr>
          <w:spacing w:val="-3"/>
        </w:rPr>
        <w:t> </w:t>
      </w:r>
      <w:r>
        <w:rPr/>
        <w:t>that</w:t>
      </w:r>
      <w:r>
        <w:rPr>
          <w:spacing w:val="-1"/>
        </w:rPr>
        <w:t> </w:t>
      </w:r>
      <w:r>
        <w:rPr/>
        <w:t>were</w:t>
      </w:r>
      <w:r>
        <w:rPr>
          <w:spacing w:val="-1"/>
        </w:rPr>
        <w:t> </w:t>
      </w:r>
      <w:r>
        <w:rPr/>
        <w:t>included</w:t>
      </w:r>
      <w:r>
        <w:rPr>
          <w:spacing w:val="-1"/>
        </w:rPr>
        <w:t> </w:t>
      </w:r>
      <w:r>
        <w:rPr/>
        <w:t>in</w:t>
      </w:r>
      <w:r>
        <w:rPr>
          <w:spacing w:val="-4"/>
        </w:rPr>
        <w:t> </w:t>
      </w:r>
      <w:r>
        <w:rPr/>
        <w:t>the</w:t>
      </w:r>
      <w:r>
        <w:rPr>
          <w:spacing w:val="-1"/>
        </w:rPr>
        <w:t> </w:t>
      </w:r>
      <w:r>
        <w:rPr/>
        <w:t>conclusions</w:t>
      </w:r>
      <w:r>
        <w:rPr>
          <w:spacing w:val="-3"/>
        </w:rPr>
        <w:t> </w:t>
      </w:r>
      <w:r>
        <w:rPr/>
        <w:t>of</w:t>
      </w:r>
      <w:r>
        <w:rPr>
          <w:spacing w:val="-1"/>
        </w:rPr>
        <w:t> </w:t>
      </w:r>
      <w:r>
        <w:rPr/>
        <w:t>the</w:t>
      </w:r>
      <w:r>
        <w:rPr>
          <w:spacing w:val="-3"/>
        </w:rPr>
        <w:t> </w:t>
      </w:r>
      <w:r>
        <w:rPr/>
        <w:t>module</w:t>
      </w:r>
      <w:r>
        <w:rPr>
          <w:spacing w:val="-3"/>
        </w:rPr>
        <w:t> </w:t>
      </w:r>
      <w:r>
        <w:rPr/>
        <w:t>on</w:t>
      </w:r>
      <w:r>
        <w:rPr>
          <w:spacing w:val="-5"/>
        </w:rPr>
        <w:t> </w:t>
      </w:r>
      <w:r>
        <w:rPr/>
        <w:t>Fontan</w:t>
      </w:r>
      <w:r>
        <w:rPr>
          <w:spacing w:val="-1"/>
        </w:rPr>
        <w:t> </w:t>
      </w:r>
      <w:r>
        <w:rPr/>
        <w:t>in</w:t>
      </w:r>
      <w:r>
        <w:rPr>
          <w:spacing w:val="-5"/>
        </w:rPr>
        <w:t> </w:t>
      </w:r>
      <w:r>
        <w:rPr/>
        <w:t>the</w:t>
      </w:r>
      <w:r>
        <w:rPr>
          <w:spacing w:val="-1"/>
        </w:rPr>
        <w:t> </w:t>
      </w:r>
      <w:r>
        <w:rPr/>
        <w:t>former</w:t>
      </w:r>
      <w:r>
        <w:rPr>
          <w:spacing w:val="-3"/>
        </w:rPr>
        <w:t> </w:t>
      </w:r>
      <w:r>
        <w:rPr/>
        <w:t>Dutch</w:t>
      </w:r>
      <w:r>
        <w:rPr>
          <w:spacing w:val="-2"/>
        </w:rPr>
        <w:t> </w:t>
      </w:r>
      <w:r>
        <w:rPr/>
        <w:t>guideline).</w:t>
      </w:r>
      <w:r>
        <w:rPr>
          <w:spacing w:val="-1"/>
        </w:rPr>
        <w:t> </w:t>
      </w:r>
      <w:r>
        <w:rPr/>
        <w:t>One study</w:t>
      </w:r>
      <w:r>
        <w:rPr>
          <w:spacing w:val="-1"/>
        </w:rPr>
        <w:t> </w:t>
      </w:r>
      <w:r>
        <w:rPr/>
        <w:t>(Khairy,</w:t>
      </w:r>
      <w:r>
        <w:rPr>
          <w:spacing w:val="-3"/>
        </w:rPr>
        <w:t> </w:t>
      </w:r>
      <w:r>
        <w:rPr/>
        <w:t>2008)</w:t>
      </w:r>
      <w:r>
        <w:rPr>
          <w:spacing w:val="-4"/>
        </w:rPr>
        <w:t> </w:t>
      </w:r>
      <w:r>
        <w:rPr/>
        <w:t>did</w:t>
      </w:r>
      <w:r>
        <w:rPr>
          <w:spacing w:val="-3"/>
        </w:rPr>
        <w:t> </w:t>
      </w:r>
      <w:r>
        <w:rPr/>
        <w:t>not</w:t>
      </w:r>
      <w:r>
        <w:rPr>
          <w:spacing w:val="-3"/>
        </w:rPr>
        <w:t> </w:t>
      </w:r>
      <w:r>
        <w:rPr/>
        <w:t>fit the PICO (no comparison between thromboprophylactic strategies was made). After reading the full text, three studies were included in this summary of literature (Seipelt, 2002; McCrindle, 2013; Potter, 2013).</w:t>
      </w:r>
    </w:p>
    <w:p>
      <w:pPr>
        <w:pStyle w:val="BodyText"/>
        <w:spacing w:before="198"/>
        <w:ind w:left="23"/>
      </w:pPr>
      <w:r>
        <w:rPr>
          <w:u w:val="single"/>
        </w:rPr>
        <w:t>Summary</w:t>
      </w:r>
      <w:r>
        <w:rPr>
          <w:spacing w:val="-5"/>
          <w:u w:val="single"/>
        </w:rPr>
        <w:t> </w:t>
      </w:r>
      <w:r>
        <w:rPr>
          <w:u w:val="single"/>
        </w:rPr>
        <w:t>of</w:t>
      </w:r>
      <w:r>
        <w:rPr>
          <w:spacing w:val="-2"/>
          <w:u w:val="single"/>
        </w:rPr>
        <w:t> literature</w:t>
      </w:r>
    </w:p>
    <w:p>
      <w:pPr>
        <w:spacing w:before="42"/>
        <w:ind w:left="23" w:right="0" w:firstLine="0"/>
        <w:jc w:val="left"/>
        <w:rPr>
          <w:i/>
          <w:sz w:val="22"/>
        </w:rPr>
      </w:pPr>
      <w:r>
        <w:rPr>
          <w:i/>
          <w:sz w:val="22"/>
        </w:rPr>
        <w:t>Description</w:t>
      </w:r>
      <w:r>
        <w:rPr>
          <w:i/>
          <w:spacing w:val="-6"/>
          <w:sz w:val="22"/>
        </w:rPr>
        <w:t> </w:t>
      </w:r>
      <w:r>
        <w:rPr>
          <w:i/>
          <w:sz w:val="22"/>
        </w:rPr>
        <w:t>of</w:t>
      </w:r>
      <w:r>
        <w:rPr>
          <w:i/>
          <w:spacing w:val="-5"/>
          <w:sz w:val="22"/>
        </w:rPr>
        <w:t> </w:t>
      </w:r>
      <w:r>
        <w:rPr>
          <w:i/>
          <w:spacing w:val="-2"/>
          <w:sz w:val="22"/>
        </w:rPr>
        <w:t>studies</w:t>
      </w:r>
    </w:p>
    <w:p>
      <w:pPr>
        <w:pStyle w:val="BodyText"/>
        <w:spacing w:line="276" w:lineRule="auto" w:before="41"/>
        <w:ind w:left="23" w:right="335"/>
      </w:pPr>
      <w:r>
        <w:rPr/>
        <w:t>A</w:t>
      </w:r>
      <w:r>
        <w:rPr>
          <w:spacing w:val="-1"/>
        </w:rPr>
        <w:t> </w:t>
      </w:r>
      <w:r>
        <w:rPr/>
        <w:t>total</w:t>
      </w:r>
      <w:r>
        <w:rPr>
          <w:spacing w:val="-1"/>
        </w:rPr>
        <w:t> </w:t>
      </w:r>
      <w:r>
        <w:rPr/>
        <w:t>of</w:t>
      </w:r>
      <w:r>
        <w:rPr>
          <w:spacing w:val="-3"/>
        </w:rPr>
        <w:t> </w:t>
      </w:r>
      <w:r>
        <w:rPr/>
        <w:t>ten</w:t>
      </w:r>
      <w:r>
        <w:rPr>
          <w:spacing w:val="-5"/>
        </w:rPr>
        <w:t> </w:t>
      </w:r>
      <w:r>
        <w:rPr/>
        <w:t>studies</w:t>
      </w:r>
      <w:r>
        <w:rPr>
          <w:spacing w:val="-3"/>
        </w:rPr>
        <w:t> </w:t>
      </w:r>
      <w:r>
        <w:rPr/>
        <w:t>were</w:t>
      </w:r>
      <w:r>
        <w:rPr>
          <w:spacing w:val="-3"/>
        </w:rPr>
        <w:t> </w:t>
      </w:r>
      <w:r>
        <w:rPr/>
        <w:t>included</w:t>
      </w:r>
      <w:r>
        <w:rPr>
          <w:spacing w:val="-1"/>
        </w:rPr>
        <w:t> </w:t>
      </w:r>
      <w:r>
        <w:rPr/>
        <w:t>in</w:t>
      </w:r>
      <w:r>
        <w:rPr>
          <w:spacing w:val="-2"/>
        </w:rPr>
        <w:t> </w:t>
      </w:r>
      <w:r>
        <w:rPr/>
        <w:t>the</w:t>
      </w:r>
      <w:r>
        <w:rPr>
          <w:spacing w:val="-1"/>
        </w:rPr>
        <w:t> </w:t>
      </w:r>
      <w:r>
        <w:rPr/>
        <w:t>analysis</w:t>
      </w:r>
      <w:r>
        <w:rPr>
          <w:spacing w:val="-4"/>
        </w:rPr>
        <w:t> </w:t>
      </w:r>
      <w:r>
        <w:rPr/>
        <w:t>of</w:t>
      </w:r>
      <w:r>
        <w:rPr>
          <w:spacing w:val="-1"/>
        </w:rPr>
        <w:t> </w:t>
      </w:r>
      <w:r>
        <w:rPr/>
        <w:t>the</w:t>
      </w:r>
      <w:r>
        <w:rPr>
          <w:spacing w:val="-1"/>
        </w:rPr>
        <w:t> </w:t>
      </w:r>
      <w:r>
        <w:rPr/>
        <w:t>literature.</w:t>
      </w:r>
      <w:r>
        <w:rPr>
          <w:spacing w:val="-1"/>
        </w:rPr>
        <w:t> </w:t>
      </w:r>
      <w:r>
        <w:rPr/>
        <w:t>Important</w:t>
      </w:r>
      <w:r>
        <w:rPr>
          <w:spacing w:val="-1"/>
        </w:rPr>
        <w:t> </w:t>
      </w:r>
      <w:r>
        <w:rPr/>
        <w:t>study characteristics</w:t>
      </w:r>
      <w:r>
        <w:rPr>
          <w:spacing w:val="-1"/>
        </w:rPr>
        <w:t> </w:t>
      </w:r>
      <w:r>
        <w:rPr/>
        <w:t>and</w:t>
      </w:r>
      <w:r>
        <w:rPr>
          <w:spacing w:val="-3"/>
        </w:rPr>
        <w:t> </w:t>
      </w:r>
      <w:r>
        <w:rPr/>
        <w:t>results are</w:t>
      </w:r>
      <w:r>
        <w:rPr>
          <w:spacing w:val="-2"/>
        </w:rPr>
        <w:t> </w:t>
      </w:r>
      <w:r>
        <w:rPr/>
        <w:t>summarized</w:t>
      </w:r>
      <w:r>
        <w:rPr>
          <w:spacing w:val="-1"/>
        </w:rPr>
        <w:t> </w:t>
      </w:r>
      <w:r>
        <w:rPr/>
        <w:t>in</w:t>
      </w:r>
      <w:r>
        <w:rPr>
          <w:spacing w:val="-4"/>
        </w:rPr>
        <w:t> </w:t>
      </w:r>
      <w:r>
        <w:rPr/>
        <w:t>table</w:t>
      </w:r>
      <w:r>
        <w:rPr>
          <w:spacing w:val="-2"/>
        </w:rPr>
        <w:t> </w:t>
      </w:r>
      <w:r>
        <w:rPr/>
        <w:t>3.2.</w:t>
      </w:r>
      <w:r>
        <w:rPr>
          <w:spacing w:val="-1"/>
        </w:rPr>
        <w:t> </w:t>
      </w:r>
      <w:r>
        <w:rPr/>
        <w:t>The</w:t>
      </w:r>
      <w:r>
        <w:rPr>
          <w:spacing w:val="-1"/>
        </w:rPr>
        <w:t> </w:t>
      </w:r>
      <w:r>
        <w:rPr/>
        <w:t>assessment of the risk of bias is summarized in the risk of bias tables (tables 3.3.1 and 3.3.2). Two studies had a follow-up less than one year (Ankola 2021; McCrindle 2021) and eight studies had a follow-up of more than 1 year (Egbe, 2017; Kawamatsu, 2021; Al-Jazairi, 2019; Iyengar, 2016; Pessotti, 2014; Seipelt,</w:t>
      </w:r>
    </w:p>
    <w:p>
      <w:pPr>
        <w:pStyle w:val="BodyText"/>
        <w:ind w:left="23"/>
      </w:pPr>
      <w:r>
        <w:rPr/>
        <w:t>2002;</w:t>
      </w:r>
      <w:r>
        <w:rPr>
          <w:spacing w:val="-5"/>
        </w:rPr>
        <w:t> </w:t>
      </w:r>
      <w:r>
        <w:rPr/>
        <w:t>McCrindle,</w:t>
      </w:r>
      <w:r>
        <w:rPr>
          <w:spacing w:val="-7"/>
        </w:rPr>
        <w:t> </w:t>
      </w:r>
      <w:r>
        <w:rPr/>
        <w:t>2013;</w:t>
      </w:r>
      <w:r>
        <w:rPr>
          <w:spacing w:val="-7"/>
        </w:rPr>
        <w:t> </w:t>
      </w:r>
      <w:r>
        <w:rPr/>
        <w:t>Potter,</w:t>
      </w:r>
      <w:r>
        <w:rPr>
          <w:spacing w:val="-6"/>
        </w:rPr>
        <w:t> </w:t>
      </w:r>
      <w:r>
        <w:rPr>
          <w:spacing w:val="-2"/>
        </w:rPr>
        <w:t>2013).</w:t>
      </w:r>
    </w:p>
    <w:p>
      <w:pPr>
        <w:spacing w:before="199"/>
        <w:ind w:left="23" w:right="0" w:firstLine="0"/>
        <w:jc w:val="left"/>
        <w:rPr>
          <w:b/>
          <w:sz w:val="22"/>
        </w:rPr>
      </w:pPr>
      <w:r>
        <w:rPr>
          <w:b/>
          <w:sz w:val="22"/>
        </w:rPr>
        <w:t>Studies</w:t>
      </w:r>
      <w:r>
        <w:rPr>
          <w:b/>
          <w:spacing w:val="-4"/>
          <w:sz w:val="22"/>
        </w:rPr>
        <w:t> </w:t>
      </w:r>
      <w:r>
        <w:rPr>
          <w:b/>
          <w:sz w:val="22"/>
        </w:rPr>
        <w:t>with</w:t>
      </w:r>
      <w:r>
        <w:rPr>
          <w:b/>
          <w:spacing w:val="-3"/>
          <w:sz w:val="22"/>
        </w:rPr>
        <w:t> </w:t>
      </w:r>
      <w:r>
        <w:rPr>
          <w:b/>
          <w:sz w:val="22"/>
        </w:rPr>
        <w:t>follow-up</w:t>
      </w:r>
      <w:r>
        <w:rPr>
          <w:b/>
          <w:spacing w:val="-3"/>
          <w:sz w:val="22"/>
        </w:rPr>
        <w:t> </w:t>
      </w:r>
      <w:r>
        <w:rPr>
          <w:b/>
          <w:sz w:val="22"/>
        </w:rPr>
        <w:t>≤</w:t>
      </w:r>
      <w:r>
        <w:rPr>
          <w:b/>
          <w:spacing w:val="-4"/>
          <w:sz w:val="22"/>
        </w:rPr>
        <w:t> </w:t>
      </w:r>
      <w:r>
        <w:rPr>
          <w:b/>
          <w:sz w:val="22"/>
        </w:rPr>
        <w:t>1</w:t>
      </w:r>
      <w:r>
        <w:rPr>
          <w:b/>
          <w:spacing w:val="-2"/>
          <w:sz w:val="22"/>
        </w:rPr>
        <w:t> </w:t>
      </w:r>
      <w:r>
        <w:rPr>
          <w:b/>
          <w:spacing w:val="-4"/>
          <w:sz w:val="22"/>
        </w:rPr>
        <w:t>year</w:t>
      </w:r>
    </w:p>
    <w:p>
      <w:pPr>
        <w:pStyle w:val="BodyText"/>
        <w:spacing w:line="273" w:lineRule="auto" w:before="202"/>
        <w:ind w:left="23" w:right="466"/>
      </w:pPr>
      <w:r>
        <w:rPr/>
        <w:t>Ankola</w:t>
      </w:r>
      <w:r>
        <w:rPr>
          <w:spacing w:val="-1"/>
        </w:rPr>
        <w:t> </w:t>
      </w:r>
      <w:r>
        <w:rPr/>
        <w:t>(2021)</w:t>
      </w:r>
      <w:r>
        <w:rPr>
          <w:spacing w:val="-1"/>
        </w:rPr>
        <w:t> </w:t>
      </w:r>
      <w:r>
        <w:rPr/>
        <w:t>conducted</w:t>
      </w:r>
      <w:r>
        <w:rPr>
          <w:spacing w:val="-2"/>
        </w:rPr>
        <w:t> </w:t>
      </w:r>
      <w:r>
        <w:rPr/>
        <w:t>a</w:t>
      </w:r>
      <w:r>
        <w:rPr>
          <w:spacing w:val="-5"/>
        </w:rPr>
        <w:t> </w:t>
      </w:r>
      <w:r>
        <w:rPr/>
        <w:t>single-center</w:t>
      </w:r>
      <w:r>
        <w:rPr>
          <w:spacing w:val="-4"/>
        </w:rPr>
        <w:t> </w:t>
      </w:r>
      <w:r>
        <w:rPr/>
        <w:t>retrospective</w:t>
      </w:r>
      <w:r>
        <w:rPr>
          <w:spacing w:val="-3"/>
        </w:rPr>
        <w:t> </w:t>
      </w:r>
      <w:r>
        <w:rPr/>
        <w:t>cohort</w:t>
      </w:r>
      <w:r>
        <w:rPr>
          <w:spacing w:val="-2"/>
        </w:rPr>
        <w:t> </w:t>
      </w:r>
      <w:r>
        <w:rPr/>
        <w:t>study</w:t>
      </w:r>
      <w:r>
        <w:rPr>
          <w:spacing w:val="-2"/>
        </w:rPr>
        <w:t> </w:t>
      </w:r>
      <w:r>
        <w:rPr/>
        <w:t>in</w:t>
      </w:r>
      <w:r>
        <w:rPr>
          <w:spacing w:val="-2"/>
        </w:rPr>
        <w:t> </w:t>
      </w:r>
      <w:r>
        <w:rPr/>
        <w:t>patients</w:t>
      </w:r>
      <w:r>
        <w:rPr>
          <w:spacing w:val="-3"/>
        </w:rPr>
        <w:t> </w:t>
      </w:r>
      <w:r>
        <w:rPr/>
        <w:t>who</w:t>
      </w:r>
      <w:r>
        <w:rPr>
          <w:spacing w:val="-2"/>
        </w:rPr>
        <w:t> </w:t>
      </w:r>
      <w:r>
        <w:rPr/>
        <w:t>underwent</w:t>
      </w:r>
      <w:r>
        <w:rPr>
          <w:spacing w:val="-2"/>
        </w:rPr>
        <w:t> </w:t>
      </w:r>
      <w:r>
        <w:rPr/>
        <w:t>the</w:t>
      </w:r>
      <w:r>
        <w:rPr>
          <w:spacing w:val="-2"/>
        </w:rPr>
        <w:t> </w:t>
      </w:r>
      <w:r>
        <w:rPr/>
        <w:t>Fontan</w:t>
      </w:r>
      <w:r>
        <w:rPr>
          <w:spacing w:val="-2"/>
        </w:rPr>
        <w:t> </w:t>
      </w:r>
      <w:r>
        <w:rPr/>
        <w:t>procedure</w:t>
      </w:r>
      <w:r>
        <w:rPr>
          <w:spacing w:val="-3"/>
        </w:rPr>
        <w:t> </w:t>
      </w:r>
      <w:r>
        <w:rPr/>
        <w:t>between</w:t>
      </w:r>
      <w:r>
        <w:rPr>
          <w:spacing w:val="-4"/>
        </w:rPr>
        <w:t> </w:t>
      </w:r>
      <w:r>
        <w:rPr/>
        <w:t>January</w:t>
      </w:r>
      <w:r>
        <w:rPr>
          <w:spacing w:val="-3"/>
        </w:rPr>
        <w:t> </w:t>
      </w:r>
      <w:r>
        <w:rPr/>
        <w:t>1, 2006</w:t>
      </w:r>
      <w:r>
        <w:rPr>
          <w:spacing w:val="-1"/>
        </w:rPr>
        <w:t> </w:t>
      </w:r>
      <w:r>
        <w:rPr/>
        <w:t>and December 31, 2016. No further inclusion and exclusion criteria were defined.</w:t>
      </w:r>
    </w:p>
    <w:p>
      <w:pPr>
        <w:pStyle w:val="BodyText"/>
        <w:spacing w:line="276" w:lineRule="auto" w:before="166"/>
        <w:ind w:left="23" w:right="466"/>
      </w:pPr>
      <w:r>
        <w:rPr/>
        <w:t>McCrindle (2021) conducted an RCT in children with single-ventricle physiology who had the Fontan procedure within four months before enrollment. Further</w:t>
      </w:r>
      <w:r>
        <w:rPr>
          <w:spacing w:val="-1"/>
        </w:rPr>
        <w:t> </w:t>
      </w:r>
      <w:r>
        <w:rPr/>
        <w:t>inclusion</w:t>
      </w:r>
      <w:r>
        <w:rPr>
          <w:spacing w:val="-4"/>
        </w:rPr>
        <w:t> </w:t>
      </w:r>
      <w:r>
        <w:rPr/>
        <w:t>criteria</w:t>
      </w:r>
      <w:r>
        <w:rPr>
          <w:spacing w:val="-4"/>
        </w:rPr>
        <w:t> </w:t>
      </w:r>
      <w:r>
        <w:rPr/>
        <w:t>were age</w:t>
      </w:r>
      <w:r>
        <w:rPr>
          <w:spacing w:val="-3"/>
        </w:rPr>
        <w:t> </w:t>
      </w:r>
      <w:r>
        <w:rPr/>
        <w:t>between</w:t>
      </w:r>
      <w:r>
        <w:rPr>
          <w:spacing w:val="-4"/>
        </w:rPr>
        <w:t> </w:t>
      </w:r>
      <w:r>
        <w:rPr/>
        <w:t>2 and</w:t>
      </w:r>
      <w:r>
        <w:rPr>
          <w:spacing w:val="-5"/>
        </w:rPr>
        <w:t> </w:t>
      </w:r>
      <w:r>
        <w:rPr/>
        <w:t>8</w:t>
      </w:r>
      <w:r>
        <w:rPr>
          <w:spacing w:val="-3"/>
        </w:rPr>
        <w:t> </w:t>
      </w:r>
      <w:r>
        <w:rPr/>
        <w:t>years</w:t>
      </w:r>
      <w:r>
        <w:rPr>
          <w:spacing w:val="-3"/>
        </w:rPr>
        <w:t> </w:t>
      </w:r>
      <w:r>
        <w:rPr/>
        <w:t>of</w:t>
      </w:r>
      <w:r>
        <w:rPr>
          <w:spacing w:val="-1"/>
        </w:rPr>
        <w:t> </w:t>
      </w:r>
      <w:r>
        <w:rPr/>
        <w:t>age</w:t>
      </w:r>
      <w:r>
        <w:rPr>
          <w:spacing w:val="-3"/>
        </w:rPr>
        <w:t> </w:t>
      </w:r>
      <w:r>
        <w:rPr/>
        <w:t>and</w:t>
      </w:r>
      <w:r>
        <w:rPr>
          <w:spacing w:val="-2"/>
        </w:rPr>
        <w:t> </w:t>
      </w:r>
      <w:r>
        <w:rPr/>
        <w:t>being</w:t>
      </w:r>
      <w:r>
        <w:rPr>
          <w:spacing w:val="-2"/>
        </w:rPr>
        <w:t> </w:t>
      </w:r>
      <w:r>
        <w:rPr/>
        <w:t>clinically</w:t>
      </w:r>
      <w:r>
        <w:rPr>
          <w:spacing w:val="-1"/>
        </w:rPr>
        <w:t> </w:t>
      </w:r>
      <w:r>
        <w:rPr/>
        <w:t>stable</w:t>
      </w:r>
      <w:r>
        <w:rPr>
          <w:spacing w:val="-1"/>
        </w:rPr>
        <w:t> </w:t>
      </w:r>
      <w:r>
        <w:rPr/>
        <w:t>and</w:t>
      </w:r>
      <w:r>
        <w:rPr>
          <w:spacing w:val="-2"/>
        </w:rPr>
        <w:t> </w:t>
      </w:r>
      <w:r>
        <w:rPr/>
        <w:t>able to</w:t>
      </w:r>
      <w:r>
        <w:rPr>
          <w:spacing w:val="-2"/>
        </w:rPr>
        <w:t> </w:t>
      </w:r>
      <w:r>
        <w:rPr/>
        <w:t>tolerate</w:t>
      </w:r>
      <w:r>
        <w:rPr>
          <w:spacing w:val="-3"/>
        </w:rPr>
        <w:t> </w:t>
      </w:r>
      <w:r>
        <w:rPr/>
        <w:t>or</w:t>
      </w:r>
      <w:r>
        <w:rPr>
          <w:spacing w:val="-1"/>
        </w:rPr>
        <w:t> </w:t>
      </w:r>
      <w:r>
        <w:rPr/>
        <w:t>nasogastric</w:t>
      </w:r>
      <w:r>
        <w:rPr>
          <w:spacing w:val="-4"/>
        </w:rPr>
        <w:t> </w:t>
      </w:r>
      <w:r>
        <w:rPr/>
        <w:t>feedings.</w:t>
      </w:r>
      <w:r>
        <w:rPr>
          <w:spacing w:val="-4"/>
        </w:rPr>
        <w:t> </w:t>
      </w:r>
      <w:r>
        <w:rPr/>
        <w:t>Exclusion</w:t>
      </w:r>
      <w:r>
        <w:rPr>
          <w:spacing w:val="-2"/>
        </w:rPr>
        <w:t> </w:t>
      </w:r>
      <w:r>
        <w:rPr/>
        <w:t>criteria were having thrombosis, a history of gastrointestinal disease or surgery associated with impaired absorption, active bleeding or high risk of bleeding contraindicating antiplatelet or anticoagulant therapy, including history of intracranial hemorrhage, or contraindications to aspirin or rivaroxaban.</w:t>
      </w:r>
    </w:p>
    <w:p>
      <w:pPr>
        <w:spacing w:before="159"/>
        <w:ind w:left="23" w:right="0" w:firstLine="0"/>
        <w:jc w:val="left"/>
        <w:rPr>
          <w:b/>
          <w:sz w:val="22"/>
        </w:rPr>
      </w:pPr>
      <w:r>
        <w:rPr>
          <w:b/>
          <w:sz w:val="22"/>
        </w:rPr>
        <w:t>Studies</w:t>
      </w:r>
      <w:r>
        <w:rPr>
          <w:b/>
          <w:spacing w:val="-4"/>
          <w:sz w:val="22"/>
        </w:rPr>
        <w:t> </w:t>
      </w:r>
      <w:r>
        <w:rPr>
          <w:b/>
          <w:sz w:val="22"/>
        </w:rPr>
        <w:t>with</w:t>
      </w:r>
      <w:r>
        <w:rPr>
          <w:b/>
          <w:spacing w:val="-3"/>
          <w:sz w:val="22"/>
        </w:rPr>
        <w:t> </w:t>
      </w:r>
      <w:r>
        <w:rPr>
          <w:b/>
          <w:sz w:val="22"/>
        </w:rPr>
        <w:t>follow-up</w:t>
      </w:r>
      <w:r>
        <w:rPr>
          <w:b/>
          <w:spacing w:val="-3"/>
          <w:sz w:val="22"/>
        </w:rPr>
        <w:t> </w:t>
      </w:r>
      <w:r>
        <w:rPr>
          <w:b/>
          <w:sz w:val="22"/>
        </w:rPr>
        <w:t>&gt;</w:t>
      </w:r>
      <w:r>
        <w:rPr>
          <w:b/>
          <w:spacing w:val="-4"/>
          <w:sz w:val="22"/>
        </w:rPr>
        <w:t> </w:t>
      </w:r>
      <w:r>
        <w:rPr>
          <w:b/>
          <w:sz w:val="22"/>
        </w:rPr>
        <w:t>1</w:t>
      </w:r>
      <w:r>
        <w:rPr>
          <w:b/>
          <w:spacing w:val="-2"/>
          <w:sz w:val="22"/>
        </w:rPr>
        <w:t> </w:t>
      </w:r>
      <w:r>
        <w:rPr>
          <w:b/>
          <w:spacing w:val="-4"/>
          <w:sz w:val="22"/>
        </w:rPr>
        <w:t>year</w:t>
      </w:r>
    </w:p>
    <w:p>
      <w:pPr>
        <w:pStyle w:val="BodyText"/>
        <w:spacing w:line="276" w:lineRule="auto" w:before="199"/>
        <w:ind w:left="23" w:right="466"/>
      </w:pPr>
      <w:r>
        <w:rPr/>
        <w:t>Egbe</w:t>
      </w:r>
      <w:r>
        <w:rPr>
          <w:spacing w:val="-1"/>
        </w:rPr>
        <w:t> </w:t>
      </w:r>
      <w:r>
        <w:rPr/>
        <w:t>(2017)</w:t>
      </w:r>
      <w:r>
        <w:rPr>
          <w:spacing w:val="-2"/>
        </w:rPr>
        <w:t> </w:t>
      </w:r>
      <w:r>
        <w:rPr/>
        <w:t>conducted</w:t>
      </w:r>
      <w:r>
        <w:rPr>
          <w:spacing w:val="-1"/>
        </w:rPr>
        <w:t> </w:t>
      </w:r>
      <w:r>
        <w:rPr/>
        <w:t>a</w:t>
      </w:r>
      <w:r>
        <w:rPr>
          <w:spacing w:val="-1"/>
        </w:rPr>
        <w:t> </w:t>
      </w:r>
      <w:r>
        <w:rPr/>
        <w:t>retrospective</w:t>
      </w:r>
      <w:r>
        <w:rPr>
          <w:spacing w:val="-1"/>
        </w:rPr>
        <w:t> </w:t>
      </w:r>
      <w:r>
        <w:rPr/>
        <w:t>cohort</w:t>
      </w:r>
      <w:r>
        <w:rPr>
          <w:spacing w:val="-1"/>
        </w:rPr>
        <w:t> </w:t>
      </w:r>
      <w:r>
        <w:rPr/>
        <w:t>study</w:t>
      </w:r>
      <w:r>
        <w:rPr>
          <w:spacing w:val="-1"/>
        </w:rPr>
        <w:t> </w:t>
      </w:r>
      <w:r>
        <w:rPr/>
        <w:t>in</w:t>
      </w:r>
      <w:r>
        <w:rPr>
          <w:spacing w:val="-4"/>
        </w:rPr>
        <w:t> </w:t>
      </w:r>
      <w:r>
        <w:rPr/>
        <w:t>adult</w:t>
      </w:r>
      <w:r>
        <w:rPr>
          <w:spacing w:val="-1"/>
        </w:rPr>
        <w:t> </w:t>
      </w:r>
      <w:r>
        <w:rPr/>
        <w:t>patients</w:t>
      </w:r>
      <w:r>
        <w:rPr>
          <w:spacing w:val="-3"/>
        </w:rPr>
        <w:t> </w:t>
      </w:r>
      <w:r>
        <w:rPr/>
        <w:t>(&gt;</w:t>
      </w:r>
      <w:r>
        <w:rPr>
          <w:spacing w:val="-3"/>
        </w:rPr>
        <w:t> </w:t>
      </w:r>
      <w:r>
        <w:rPr/>
        <w:t>18</w:t>
      </w:r>
      <w:r>
        <w:rPr>
          <w:spacing w:val="-3"/>
        </w:rPr>
        <w:t> </w:t>
      </w:r>
      <w:r>
        <w:rPr/>
        <w:t>years)</w:t>
      </w:r>
      <w:r>
        <w:rPr>
          <w:spacing w:val="-3"/>
        </w:rPr>
        <w:t> </w:t>
      </w:r>
      <w:r>
        <w:rPr/>
        <w:t>with</w:t>
      </w:r>
      <w:r>
        <w:rPr>
          <w:spacing w:val="-1"/>
        </w:rPr>
        <w:t> </w:t>
      </w:r>
      <w:r>
        <w:rPr/>
        <w:t>a</w:t>
      </w:r>
      <w:r>
        <w:rPr>
          <w:spacing w:val="-1"/>
        </w:rPr>
        <w:t> </w:t>
      </w:r>
      <w:r>
        <w:rPr/>
        <w:t>history</w:t>
      </w:r>
      <w:r>
        <w:rPr>
          <w:spacing w:val="-3"/>
        </w:rPr>
        <w:t> </w:t>
      </w:r>
      <w:r>
        <w:rPr/>
        <w:t>of</w:t>
      </w:r>
      <w:r>
        <w:rPr>
          <w:spacing w:val="-1"/>
        </w:rPr>
        <w:t> </w:t>
      </w:r>
      <w:r>
        <w:rPr/>
        <w:t>a</w:t>
      </w:r>
      <w:r>
        <w:rPr>
          <w:spacing w:val="-1"/>
        </w:rPr>
        <w:t> </w:t>
      </w:r>
      <w:r>
        <w:rPr/>
        <w:t>Fontan</w:t>
      </w:r>
      <w:r>
        <w:rPr>
          <w:spacing w:val="-4"/>
        </w:rPr>
        <w:t> </w:t>
      </w:r>
      <w:r>
        <w:rPr/>
        <w:t>operation</w:t>
      </w:r>
      <w:r>
        <w:rPr>
          <w:spacing w:val="-2"/>
        </w:rPr>
        <w:t> </w:t>
      </w:r>
      <w:r>
        <w:rPr/>
        <w:t>at</w:t>
      </w:r>
      <w:r>
        <w:rPr>
          <w:spacing w:val="-3"/>
        </w:rPr>
        <w:t> </w:t>
      </w:r>
      <w:r>
        <w:rPr/>
        <w:t>Mayi</w:t>
      </w:r>
      <w:r>
        <w:rPr>
          <w:spacing w:val="-3"/>
        </w:rPr>
        <w:t> </w:t>
      </w:r>
      <w:r>
        <w:rPr/>
        <w:t>Clinic,</w:t>
      </w:r>
      <w:r>
        <w:rPr>
          <w:spacing w:val="-1"/>
        </w:rPr>
        <w:t> </w:t>
      </w:r>
      <w:r>
        <w:rPr/>
        <w:t>Rochester,</w:t>
      </w:r>
      <w:r>
        <w:rPr>
          <w:spacing w:val="-3"/>
        </w:rPr>
        <w:t> </w:t>
      </w:r>
      <w:r>
        <w:rPr/>
        <w:t>Minnesota, from January 1994 to June 2014 who were identified from the hospital’s patient database using free-text search software. Patients with fewer than 12 months’ follow-up after the beginning of the study period were excluded.</w:t>
      </w:r>
    </w:p>
    <w:p>
      <w:pPr>
        <w:pStyle w:val="BodyText"/>
        <w:spacing w:after="0" w:line="276" w:lineRule="auto"/>
        <w:sectPr>
          <w:pgSz w:w="16840" w:h="11910" w:orient="landscape"/>
          <w:pgMar w:top="1340" w:bottom="280" w:left="1417" w:right="992"/>
        </w:sectPr>
      </w:pPr>
    </w:p>
    <w:p>
      <w:pPr>
        <w:pStyle w:val="BodyText"/>
        <w:spacing w:line="276" w:lineRule="auto" w:before="93"/>
        <w:ind w:left="23" w:right="466"/>
      </w:pPr>
      <w:r>
        <w:rPr/>
        <w:t>Kawamatsu</w:t>
      </w:r>
      <w:r>
        <w:rPr>
          <w:spacing w:val="-2"/>
        </w:rPr>
        <w:t> </w:t>
      </w:r>
      <w:r>
        <w:rPr/>
        <w:t>(2021) conducted</w:t>
      </w:r>
      <w:r>
        <w:rPr>
          <w:spacing w:val="-1"/>
        </w:rPr>
        <w:t> </w:t>
      </w:r>
      <w:r>
        <w:rPr/>
        <w:t>a</w:t>
      </w:r>
      <w:r>
        <w:rPr>
          <w:spacing w:val="-1"/>
        </w:rPr>
        <w:t> </w:t>
      </w:r>
      <w:r>
        <w:rPr/>
        <w:t>retrospective</w:t>
      </w:r>
      <w:r>
        <w:rPr>
          <w:spacing w:val="-3"/>
        </w:rPr>
        <w:t> </w:t>
      </w:r>
      <w:r>
        <w:rPr/>
        <w:t>cohort</w:t>
      </w:r>
      <w:r>
        <w:rPr>
          <w:spacing w:val="-3"/>
        </w:rPr>
        <w:t> </w:t>
      </w:r>
      <w:r>
        <w:rPr/>
        <w:t>study</w:t>
      </w:r>
      <w:r>
        <w:rPr>
          <w:spacing w:val="-1"/>
        </w:rPr>
        <w:t> </w:t>
      </w:r>
      <w:r>
        <w:rPr/>
        <w:t>at</w:t>
      </w:r>
      <w:r>
        <w:rPr>
          <w:spacing w:val="-3"/>
        </w:rPr>
        <w:t> </w:t>
      </w:r>
      <w:r>
        <w:rPr/>
        <w:t>three</w:t>
      </w:r>
      <w:r>
        <w:rPr>
          <w:spacing w:val="-3"/>
        </w:rPr>
        <w:t> </w:t>
      </w:r>
      <w:r>
        <w:rPr/>
        <w:t>centers</w:t>
      </w:r>
      <w:r>
        <w:rPr>
          <w:spacing w:val="-1"/>
        </w:rPr>
        <w:t> </w:t>
      </w:r>
      <w:r>
        <w:rPr/>
        <w:t>specializing</w:t>
      </w:r>
      <w:r>
        <w:rPr>
          <w:spacing w:val="-2"/>
        </w:rPr>
        <w:t> </w:t>
      </w:r>
      <w:r>
        <w:rPr/>
        <w:t>in</w:t>
      </w:r>
      <w:r>
        <w:rPr>
          <w:spacing w:val="-1"/>
        </w:rPr>
        <w:t> </w:t>
      </w:r>
      <w:r>
        <w:rPr/>
        <w:t>the</w:t>
      </w:r>
      <w:r>
        <w:rPr>
          <w:spacing w:val="-1"/>
        </w:rPr>
        <w:t> </w:t>
      </w:r>
      <w:r>
        <w:rPr/>
        <w:t>care</w:t>
      </w:r>
      <w:r>
        <w:rPr>
          <w:spacing w:val="-4"/>
        </w:rPr>
        <w:t> </w:t>
      </w:r>
      <w:r>
        <w:rPr/>
        <w:t>of</w:t>
      </w:r>
      <w:r>
        <w:rPr>
          <w:spacing w:val="-4"/>
        </w:rPr>
        <w:t> </w:t>
      </w:r>
      <w:r>
        <w:rPr/>
        <w:t>adult</w:t>
      </w:r>
      <w:r>
        <w:rPr>
          <w:spacing w:val="-3"/>
        </w:rPr>
        <w:t> </w:t>
      </w:r>
      <w:r>
        <w:rPr/>
        <w:t>patients</w:t>
      </w:r>
      <w:r>
        <w:rPr>
          <w:spacing w:val="-3"/>
        </w:rPr>
        <w:t> </w:t>
      </w:r>
      <w:r>
        <w:rPr/>
        <w:t>with</w:t>
      </w:r>
      <w:r>
        <w:rPr>
          <w:spacing w:val="-1"/>
        </w:rPr>
        <w:t> </w:t>
      </w:r>
      <w:r>
        <w:rPr/>
        <w:t>congenital</w:t>
      </w:r>
      <w:r>
        <w:rPr>
          <w:spacing w:val="-1"/>
        </w:rPr>
        <w:t> </w:t>
      </w:r>
      <w:r>
        <w:rPr/>
        <w:t>heart</w:t>
      </w:r>
      <w:r>
        <w:rPr>
          <w:spacing w:val="-1"/>
        </w:rPr>
        <w:t> </w:t>
      </w:r>
      <w:r>
        <w:rPr/>
        <w:t>disease</w:t>
      </w:r>
      <w:r>
        <w:rPr>
          <w:spacing w:val="-1"/>
        </w:rPr>
        <w:t> </w:t>
      </w:r>
      <w:r>
        <w:rPr/>
        <w:t>in</w:t>
      </w:r>
      <w:r>
        <w:rPr>
          <w:spacing w:val="-3"/>
        </w:rPr>
        <w:t> </w:t>
      </w:r>
      <w:r>
        <w:rPr/>
        <w:t>Japan: St. Luke’s International Hospital, Chiba Prefectural Cardiovascular Center, and Tsukuba University Hospital. Patients over 15 years of age with Fontan circulation who visited any of the three institutions from April 2015 to March 2018 were included. No exclusion criteria were defined.</w:t>
      </w:r>
    </w:p>
    <w:p>
      <w:pPr>
        <w:pStyle w:val="BodyText"/>
        <w:spacing w:line="276" w:lineRule="auto" w:before="161"/>
        <w:ind w:left="23" w:right="466"/>
      </w:pPr>
      <w:r>
        <w:rPr/>
        <w:t>Al-Jazairi (2019) conducted a retrospective cohort study in patients who underwent Fontan procedures and were identified from the Congenital Heart Defects Registry of the King Faisal Specialist Hospital and Research Centre. Included patients underwent Fontan procedures that took place at King Faisal Specialist Hospital</w:t>
      </w:r>
      <w:r>
        <w:rPr>
          <w:spacing w:val="-1"/>
        </w:rPr>
        <w:t> </w:t>
      </w:r>
      <w:r>
        <w:rPr/>
        <w:t>and</w:t>
      </w:r>
      <w:r>
        <w:rPr>
          <w:spacing w:val="-3"/>
        </w:rPr>
        <w:t> </w:t>
      </w:r>
      <w:r>
        <w:rPr/>
        <w:t>Research</w:t>
      </w:r>
      <w:r>
        <w:rPr>
          <w:spacing w:val="-1"/>
        </w:rPr>
        <w:t> </w:t>
      </w:r>
      <w:r>
        <w:rPr/>
        <w:t>Centre,</w:t>
      </w:r>
      <w:r>
        <w:rPr>
          <w:spacing w:val="-3"/>
        </w:rPr>
        <w:t> </w:t>
      </w:r>
      <w:r>
        <w:rPr/>
        <w:t>Riyadh,</w:t>
      </w:r>
      <w:r>
        <w:rPr>
          <w:spacing w:val="-1"/>
        </w:rPr>
        <w:t> </w:t>
      </w:r>
      <w:r>
        <w:rPr/>
        <w:t>between</w:t>
      </w:r>
      <w:r>
        <w:rPr>
          <w:spacing w:val="-2"/>
        </w:rPr>
        <w:t> </w:t>
      </w:r>
      <w:r>
        <w:rPr/>
        <w:t>1985</w:t>
      </w:r>
      <w:r>
        <w:rPr>
          <w:spacing w:val="-1"/>
        </w:rPr>
        <w:t> </w:t>
      </w:r>
      <w:r>
        <w:rPr/>
        <w:t>and</w:t>
      </w:r>
      <w:r>
        <w:rPr>
          <w:spacing w:val="-5"/>
        </w:rPr>
        <w:t> </w:t>
      </w:r>
      <w:r>
        <w:rPr/>
        <w:t>2010.</w:t>
      </w:r>
      <w:r>
        <w:rPr>
          <w:spacing w:val="-4"/>
        </w:rPr>
        <w:t> </w:t>
      </w:r>
      <w:r>
        <w:rPr/>
        <w:t>Exclusion</w:t>
      </w:r>
      <w:r>
        <w:rPr>
          <w:spacing w:val="-2"/>
        </w:rPr>
        <w:t> </w:t>
      </w:r>
      <w:r>
        <w:rPr/>
        <w:t>criteria</w:t>
      </w:r>
      <w:r>
        <w:rPr>
          <w:spacing w:val="-4"/>
        </w:rPr>
        <w:t> </w:t>
      </w:r>
      <w:r>
        <w:rPr/>
        <w:t>were</w:t>
      </w:r>
      <w:r>
        <w:rPr>
          <w:spacing w:val="-3"/>
        </w:rPr>
        <w:t> </w:t>
      </w:r>
      <w:r>
        <w:rPr/>
        <w:t>patients</w:t>
      </w:r>
      <w:r>
        <w:rPr>
          <w:spacing w:val="-4"/>
        </w:rPr>
        <w:t> </w:t>
      </w:r>
      <w:r>
        <w:rPr/>
        <w:t>who died,</w:t>
      </w:r>
      <w:r>
        <w:rPr>
          <w:spacing w:val="-3"/>
        </w:rPr>
        <w:t> </w:t>
      </w:r>
      <w:r>
        <w:rPr/>
        <w:t>were</w:t>
      </w:r>
      <w:r>
        <w:rPr>
          <w:spacing w:val="-3"/>
        </w:rPr>
        <w:t> </w:t>
      </w:r>
      <w:r>
        <w:rPr/>
        <w:t>lost to follow-up,</w:t>
      </w:r>
      <w:r>
        <w:rPr>
          <w:spacing w:val="-1"/>
        </w:rPr>
        <w:t> </w:t>
      </w:r>
      <w:r>
        <w:rPr/>
        <w:t>or</w:t>
      </w:r>
      <w:r>
        <w:rPr>
          <w:spacing w:val="-1"/>
        </w:rPr>
        <w:t> </w:t>
      </w:r>
      <w:r>
        <w:rPr/>
        <w:t>had</w:t>
      </w:r>
      <w:r>
        <w:rPr>
          <w:spacing w:val="-3"/>
        </w:rPr>
        <w:t> </w:t>
      </w:r>
      <w:r>
        <w:rPr/>
        <w:t>a</w:t>
      </w:r>
      <w:r>
        <w:rPr>
          <w:spacing w:val="-1"/>
        </w:rPr>
        <w:t> </w:t>
      </w:r>
      <w:r>
        <w:rPr/>
        <w:t>Fontan redo within one year of the first Fontan procedure.</w:t>
      </w:r>
    </w:p>
    <w:p>
      <w:pPr>
        <w:pStyle w:val="BodyText"/>
        <w:spacing w:line="276" w:lineRule="auto" w:before="159"/>
        <w:ind w:left="23" w:right="466"/>
      </w:pPr>
      <w:r>
        <w:rPr/>
        <w:t>Iyengar (2016) conducted a cohort study in children who underwent the Fontan procedure, (specifically the extracardiac conduit procedure) and were registered in the Australia and New Zealand Fontan registry. Exclusion criteria were death prior to discharge, patients referred from outside Australia or New</w:t>
      </w:r>
      <w:r>
        <w:rPr>
          <w:spacing w:val="-1"/>
        </w:rPr>
        <w:t> </w:t>
      </w:r>
      <w:r>
        <w:rPr/>
        <w:t>Zealand,</w:t>
      </w:r>
      <w:r>
        <w:rPr>
          <w:spacing w:val="-1"/>
        </w:rPr>
        <w:t> </w:t>
      </w:r>
      <w:r>
        <w:rPr/>
        <w:t>having</w:t>
      </w:r>
      <w:r>
        <w:rPr>
          <w:spacing w:val="-5"/>
        </w:rPr>
        <w:t> </w:t>
      </w:r>
      <w:r>
        <w:rPr/>
        <w:t>mechanical</w:t>
      </w:r>
      <w:r>
        <w:rPr>
          <w:spacing w:val="-2"/>
        </w:rPr>
        <w:t> </w:t>
      </w:r>
      <w:r>
        <w:rPr/>
        <w:t>prosthetic</w:t>
      </w:r>
      <w:r>
        <w:rPr>
          <w:spacing w:val="-3"/>
        </w:rPr>
        <w:t> </w:t>
      </w:r>
      <w:r>
        <w:rPr/>
        <w:t>valves,</w:t>
      </w:r>
      <w:r>
        <w:rPr>
          <w:spacing w:val="-3"/>
        </w:rPr>
        <w:t> </w:t>
      </w:r>
      <w:r>
        <w:rPr/>
        <w:t>patients</w:t>
      </w:r>
      <w:r>
        <w:rPr>
          <w:spacing w:val="-3"/>
        </w:rPr>
        <w:t> </w:t>
      </w:r>
      <w:r>
        <w:rPr/>
        <w:t>who</w:t>
      </w:r>
      <w:r>
        <w:rPr>
          <w:spacing w:val="-3"/>
        </w:rPr>
        <w:t> </w:t>
      </w:r>
      <w:r>
        <w:rPr/>
        <w:t>were</w:t>
      </w:r>
      <w:r>
        <w:rPr>
          <w:spacing w:val="-1"/>
        </w:rPr>
        <w:t> </w:t>
      </w:r>
      <w:r>
        <w:rPr/>
        <w:t>transplanted</w:t>
      </w:r>
      <w:r>
        <w:rPr>
          <w:spacing w:val="-1"/>
        </w:rPr>
        <w:t> </w:t>
      </w:r>
      <w:r>
        <w:rPr/>
        <w:t>or</w:t>
      </w:r>
      <w:r>
        <w:rPr>
          <w:spacing w:val="-1"/>
        </w:rPr>
        <w:t> </w:t>
      </w:r>
      <w:r>
        <w:rPr/>
        <w:t>died</w:t>
      </w:r>
      <w:r>
        <w:rPr>
          <w:spacing w:val="-1"/>
        </w:rPr>
        <w:t> </w:t>
      </w:r>
      <w:r>
        <w:rPr/>
        <w:t>during</w:t>
      </w:r>
      <w:r>
        <w:rPr>
          <w:spacing w:val="-2"/>
        </w:rPr>
        <w:t> </w:t>
      </w:r>
      <w:r>
        <w:rPr/>
        <w:t>the</w:t>
      </w:r>
      <w:r>
        <w:rPr>
          <w:spacing w:val="-1"/>
        </w:rPr>
        <w:t> </w:t>
      </w:r>
      <w:r>
        <w:rPr/>
        <w:t>first</w:t>
      </w:r>
      <w:r>
        <w:rPr>
          <w:spacing w:val="-1"/>
        </w:rPr>
        <w:t> </w:t>
      </w:r>
      <w:r>
        <w:rPr/>
        <w:t>year</w:t>
      </w:r>
      <w:r>
        <w:rPr>
          <w:spacing w:val="-1"/>
        </w:rPr>
        <w:t> </w:t>
      </w:r>
      <w:r>
        <w:rPr/>
        <w:t>after</w:t>
      </w:r>
      <w:r>
        <w:rPr>
          <w:spacing w:val="-1"/>
        </w:rPr>
        <w:t> </w:t>
      </w:r>
      <w:r>
        <w:rPr/>
        <w:t>the</w:t>
      </w:r>
      <w:r>
        <w:rPr>
          <w:spacing w:val="-3"/>
        </w:rPr>
        <w:t> </w:t>
      </w:r>
      <w:r>
        <w:rPr/>
        <w:t>Fontan</w:t>
      </w:r>
      <w:r>
        <w:rPr>
          <w:spacing w:val="-5"/>
        </w:rPr>
        <w:t> </w:t>
      </w:r>
      <w:r>
        <w:rPr/>
        <w:t>procedure,</w:t>
      </w:r>
      <w:r>
        <w:rPr>
          <w:spacing w:val="-1"/>
        </w:rPr>
        <w:t> </w:t>
      </w:r>
      <w:r>
        <w:rPr/>
        <w:t>patients</w:t>
      </w:r>
      <w:r>
        <w:rPr>
          <w:spacing w:val="-4"/>
        </w:rPr>
        <w:t> </w:t>
      </w:r>
      <w:r>
        <w:rPr/>
        <w:t>who were lost to follow-up for any period of more than five years, and patients with &lt; 1 year of follow-up available.</w:t>
      </w:r>
    </w:p>
    <w:p>
      <w:pPr>
        <w:pStyle w:val="BodyText"/>
        <w:spacing w:line="276" w:lineRule="auto" w:before="162"/>
        <w:ind w:left="23" w:right="518"/>
      </w:pPr>
      <w:r>
        <w:rPr/>
        <w:t>Pessotti (2014) conducted a single-center RCT in children who underwent total cavopulmonary operation with extracardiac conduit in the period between 2008 and 2011. Inclusion criteria were (1) children with heart with univentricular morphology in staged programming, for total cavopulmonary shunt operation. Exclusion criteria were (1) some aspect of anatomical or angiographic features that contraindicated the cavopulmonary operation, including a) main ventricular ejection fraction less than 60%, or significant impairment of atrioventricular valve related to the predominant ventricle, (b) serious anatomical alteration of the pulmonary venous return (untreatable), (c) anatomy of severely unfavorable pulmonary tree, (2) Inability to perform outpatient</w:t>
      </w:r>
      <w:r>
        <w:rPr>
          <w:spacing w:val="-3"/>
        </w:rPr>
        <w:t> </w:t>
      </w:r>
      <w:r>
        <w:rPr/>
        <w:t>treatment,</w:t>
      </w:r>
      <w:r>
        <w:rPr>
          <w:spacing w:val="-3"/>
        </w:rPr>
        <w:t> </w:t>
      </w:r>
      <w:r>
        <w:rPr/>
        <w:t>(3)</w:t>
      </w:r>
      <w:r>
        <w:rPr>
          <w:spacing w:val="-4"/>
        </w:rPr>
        <w:t> </w:t>
      </w:r>
      <w:r>
        <w:rPr/>
        <w:t>any</w:t>
      </w:r>
      <w:r>
        <w:rPr>
          <w:spacing w:val="-1"/>
        </w:rPr>
        <w:t> </w:t>
      </w:r>
      <w:r>
        <w:rPr/>
        <w:t>medical</w:t>
      </w:r>
      <w:r>
        <w:rPr>
          <w:spacing w:val="-1"/>
        </w:rPr>
        <w:t> </w:t>
      </w:r>
      <w:r>
        <w:rPr/>
        <w:t>condition</w:t>
      </w:r>
      <w:r>
        <w:rPr>
          <w:spacing w:val="-2"/>
        </w:rPr>
        <w:t> </w:t>
      </w:r>
      <w:r>
        <w:rPr/>
        <w:t>that</w:t>
      </w:r>
      <w:r>
        <w:rPr>
          <w:spacing w:val="-1"/>
        </w:rPr>
        <w:t> </w:t>
      </w:r>
      <w:r>
        <w:rPr/>
        <w:t>prevented</w:t>
      </w:r>
      <w:r>
        <w:rPr>
          <w:spacing w:val="-2"/>
        </w:rPr>
        <w:t> </w:t>
      </w:r>
      <w:r>
        <w:rPr/>
        <w:t>the</w:t>
      </w:r>
      <w:r>
        <w:rPr>
          <w:spacing w:val="-1"/>
        </w:rPr>
        <w:t> </w:t>
      </w:r>
      <w:r>
        <w:rPr/>
        <w:t>randomization,</w:t>
      </w:r>
      <w:r>
        <w:rPr>
          <w:spacing w:val="-1"/>
        </w:rPr>
        <w:t> </w:t>
      </w:r>
      <w:r>
        <w:rPr/>
        <w:t>for</w:t>
      </w:r>
      <w:r>
        <w:rPr>
          <w:spacing w:val="-3"/>
        </w:rPr>
        <w:t> </w:t>
      </w:r>
      <w:r>
        <w:rPr/>
        <w:t>example,</w:t>
      </w:r>
      <w:r>
        <w:rPr>
          <w:spacing w:val="-1"/>
        </w:rPr>
        <w:t> </w:t>
      </w:r>
      <w:r>
        <w:rPr/>
        <w:t>any</w:t>
      </w:r>
      <w:r>
        <w:rPr>
          <w:spacing w:val="-1"/>
        </w:rPr>
        <w:t> </w:t>
      </w:r>
      <w:r>
        <w:rPr/>
        <w:t>indication</w:t>
      </w:r>
      <w:r>
        <w:rPr>
          <w:spacing w:val="-2"/>
        </w:rPr>
        <w:t> </w:t>
      </w:r>
      <w:r>
        <w:rPr/>
        <w:t>that</w:t>
      </w:r>
      <w:r>
        <w:rPr>
          <w:spacing w:val="-4"/>
        </w:rPr>
        <w:t> </w:t>
      </w:r>
      <w:r>
        <w:rPr/>
        <w:t>the</w:t>
      </w:r>
      <w:r>
        <w:rPr>
          <w:spacing w:val="-1"/>
        </w:rPr>
        <w:t> </w:t>
      </w:r>
      <w:r>
        <w:rPr/>
        <w:t>patient</w:t>
      </w:r>
      <w:r>
        <w:rPr>
          <w:spacing w:val="-1"/>
        </w:rPr>
        <w:t> </w:t>
      </w:r>
      <w:r>
        <w:rPr/>
        <w:t>used</w:t>
      </w:r>
      <w:r>
        <w:rPr>
          <w:spacing w:val="-1"/>
        </w:rPr>
        <w:t> </w:t>
      </w:r>
      <w:r>
        <w:rPr/>
        <w:t>necessarily</w:t>
      </w:r>
      <w:r>
        <w:rPr>
          <w:spacing w:val="-3"/>
        </w:rPr>
        <w:t> </w:t>
      </w:r>
      <w:r>
        <w:rPr/>
        <w:t>one</w:t>
      </w:r>
      <w:r>
        <w:rPr>
          <w:spacing w:val="-3"/>
        </w:rPr>
        <w:t> </w:t>
      </w:r>
      <w:r>
        <w:rPr/>
        <w:t>of</w:t>
      </w:r>
      <w:r>
        <w:rPr>
          <w:spacing w:val="-1"/>
        </w:rPr>
        <w:t> </w:t>
      </w:r>
      <w:r>
        <w:rPr/>
        <w:t>the two drugs evaluated, or contraindication to the use of them, (4) refusal of legal guardian to sign the Post-information Consent.</w:t>
      </w:r>
    </w:p>
    <w:p>
      <w:pPr>
        <w:pStyle w:val="BodyText"/>
        <w:spacing w:line="276" w:lineRule="auto" w:before="159"/>
        <w:ind w:left="23" w:right="466"/>
      </w:pPr>
      <w:r>
        <w:rPr/>
        <w:t>Seipelt (2002)</w:t>
      </w:r>
      <w:r>
        <w:rPr>
          <w:spacing w:val="-1"/>
        </w:rPr>
        <w:t> </w:t>
      </w:r>
      <w:r>
        <w:rPr/>
        <w:t>conducted</w:t>
      </w:r>
      <w:r>
        <w:rPr>
          <w:spacing w:val="-3"/>
        </w:rPr>
        <w:t> </w:t>
      </w:r>
      <w:r>
        <w:rPr/>
        <w:t>a</w:t>
      </w:r>
      <w:r>
        <w:rPr>
          <w:spacing w:val="-6"/>
        </w:rPr>
        <w:t> </w:t>
      </w:r>
      <w:r>
        <w:rPr/>
        <w:t>cohort</w:t>
      </w:r>
      <w:r>
        <w:rPr>
          <w:spacing w:val="-2"/>
        </w:rPr>
        <w:t> </w:t>
      </w:r>
      <w:r>
        <w:rPr/>
        <w:t>study</w:t>
      </w:r>
      <w:r>
        <w:rPr>
          <w:spacing w:val="-2"/>
        </w:rPr>
        <w:t> </w:t>
      </w:r>
      <w:r>
        <w:rPr/>
        <w:t>in</w:t>
      </w:r>
      <w:r>
        <w:rPr>
          <w:spacing w:val="-2"/>
        </w:rPr>
        <w:t> </w:t>
      </w:r>
      <w:r>
        <w:rPr/>
        <w:t>patients</w:t>
      </w:r>
      <w:r>
        <w:rPr>
          <w:spacing w:val="-4"/>
        </w:rPr>
        <w:t> </w:t>
      </w:r>
      <w:r>
        <w:rPr/>
        <w:t>who</w:t>
      </w:r>
      <w:r>
        <w:rPr>
          <w:spacing w:val="-2"/>
        </w:rPr>
        <w:t> </w:t>
      </w:r>
      <w:r>
        <w:rPr/>
        <w:t>underwent</w:t>
      </w:r>
      <w:r>
        <w:rPr>
          <w:spacing w:val="-4"/>
        </w:rPr>
        <w:t> </w:t>
      </w:r>
      <w:r>
        <w:rPr/>
        <w:t>modified</w:t>
      </w:r>
      <w:r>
        <w:rPr>
          <w:spacing w:val="-2"/>
        </w:rPr>
        <w:t> </w:t>
      </w:r>
      <w:r>
        <w:rPr/>
        <w:t>Fontan procedure for</w:t>
      </w:r>
      <w:r>
        <w:rPr>
          <w:spacing w:val="-4"/>
        </w:rPr>
        <w:t> </w:t>
      </w:r>
      <w:r>
        <w:rPr/>
        <w:t>various</w:t>
      </w:r>
      <w:r>
        <w:rPr>
          <w:spacing w:val="-5"/>
        </w:rPr>
        <w:t> </w:t>
      </w:r>
      <w:r>
        <w:rPr/>
        <w:t>types</w:t>
      </w:r>
      <w:r>
        <w:rPr>
          <w:spacing w:val="-3"/>
        </w:rPr>
        <w:t> </w:t>
      </w:r>
      <w:r>
        <w:rPr/>
        <w:t>of</w:t>
      </w:r>
      <w:r>
        <w:rPr>
          <w:spacing w:val="-2"/>
        </w:rPr>
        <w:t> </w:t>
      </w:r>
      <w:r>
        <w:rPr/>
        <w:t>univentricular</w:t>
      </w:r>
      <w:r>
        <w:rPr>
          <w:spacing w:val="-3"/>
        </w:rPr>
        <w:t> </w:t>
      </w:r>
      <w:r>
        <w:rPr/>
        <w:t>heart</w:t>
      </w:r>
      <w:r>
        <w:rPr>
          <w:spacing w:val="-2"/>
        </w:rPr>
        <w:t> </w:t>
      </w:r>
      <w:r>
        <w:rPr/>
        <w:t>conditions.</w:t>
      </w:r>
      <w:r>
        <w:rPr>
          <w:spacing w:val="-2"/>
        </w:rPr>
        <w:t> </w:t>
      </w:r>
      <w:r>
        <w:rPr/>
        <w:t>No further inclusion and exclusion criteria were defined.</w:t>
      </w:r>
    </w:p>
    <w:p>
      <w:pPr>
        <w:pStyle w:val="BodyText"/>
        <w:spacing w:line="276" w:lineRule="auto" w:before="160"/>
        <w:ind w:left="23" w:right="518"/>
      </w:pPr>
      <w:r>
        <w:rPr/>
        <w:t>McCrindle (2013</w:t>
      </w:r>
      <w:r>
        <w:rPr>
          <w:b/>
        </w:rPr>
        <w:t>) </w:t>
      </w:r>
      <w:r>
        <w:rPr/>
        <w:t>performed</w:t>
      </w:r>
      <w:r>
        <w:rPr>
          <w:spacing w:val="-1"/>
        </w:rPr>
        <w:t> </w:t>
      </w:r>
      <w:r>
        <w:rPr/>
        <w:t>a secondary</w:t>
      </w:r>
      <w:r>
        <w:rPr>
          <w:spacing w:val="-2"/>
        </w:rPr>
        <w:t> </w:t>
      </w:r>
      <w:r>
        <w:rPr/>
        <w:t>analysis</w:t>
      </w:r>
      <w:r>
        <w:rPr>
          <w:spacing w:val="-2"/>
        </w:rPr>
        <w:t> </w:t>
      </w:r>
      <w:r>
        <w:rPr/>
        <w:t>of</w:t>
      </w:r>
      <w:r>
        <w:rPr>
          <w:spacing w:val="-2"/>
        </w:rPr>
        <w:t> </w:t>
      </w:r>
      <w:r>
        <w:rPr/>
        <w:t>an</w:t>
      </w:r>
      <w:r>
        <w:rPr>
          <w:spacing w:val="-1"/>
        </w:rPr>
        <w:t> </w:t>
      </w:r>
      <w:r>
        <w:rPr/>
        <w:t>RCT conducted</w:t>
      </w:r>
      <w:r>
        <w:rPr>
          <w:spacing w:val="-3"/>
        </w:rPr>
        <w:t> </w:t>
      </w:r>
      <w:r>
        <w:rPr/>
        <w:t>at</w:t>
      </w:r>
      <w:r>
        <w:rPr>
          <w:spacing w:val="-2"/>
        </w:rPr>
        <w:t> </w:t>
      </w:r>
      <w:r>
        <w:rPr/>
        <w:t>6 centers in</w:t>
      </w:r>
      <w:r>
        <w:rPr>
          <w:spacing w:val="-1"/>
        </w:rPr>
        <w:t> </w:t>
      </w:r>
      <w:r>
        <w:rPr/>
        <w:t>patients</w:t>
      </w:r>
      <w:r>
        <w:rPr>
          <w:spacing w:val="-3"/>
        </w:rPr>
        <w:t> </w:t>
      </w:r>
      <w:r>
        <w:rPr/>
        <w:t>who underwent the Fontan procedure.</w:t>
      </w:r>
      <w:r>
        <w:rPr>
          <w:spacing w:val="-3"/>
        </w:rPr>
        <w:t> </w:t>
      </w:r>
      <w:r>
        <w:rPr/>
        <w:t>Exclusion</w:t>
      </w:r>
      <w:r>
        <w:rPr>
          <w:spacing w:val="-1"/>
        </w:rPr>
        <w:t> </w:t>
      </w:r>
      <w:r>
        <w:rPr/>
        <w:t>criteria were a recognized indication for long-term anticoagulation; patient characteristics increasing the risk of hemorrhagic complications; known contraindication</w:t>
      </w:r>
      <w:r>
        <w:rPr>
          <w:spacing w:val="-2"/>
        </w:rPr>
        <w:t> </w:t>
      </w:r>
      <w:r>
        <w:rPr/>
        <w:t>for</w:t>
      </w:r>
      <w:r>
        <w:rPr>
          <w:spacing w:val="-1"/>
        </w:rPr>
        <w:t> </w:t>
      </w:r>
      <w:r>
        <w:rPr/>
        <w:t>heparin,</w:t>
      </w:r>
      <w:r>
        <w:rPr>
          <w:spacing w:val="-1"/>
        </w:rPr>
        <w:t> </w:t>
      </w:r>
      <w:r>
        <w:rPr/>
        <w:t>warfarin,</w:t>
      </w:r>
      <w:r>
        <w:rPr>
          <w:spacing w:val="-3"/>
        </w:rPr>
        <w:t> </w:t>
      </w:r>
      <w:r>
        <w:rPr/>
        <w:t>or</w:t>
      </w:r>
      <w:r>
        <w:rPr>
          <w:spacing w:val="-1"/>
        </w:rPr>
        <w:t> </w:t>
      </w:r>
      <w:r>
        <w:rPr/>
        <w:t>acetylsalicylic</w:t>
      </w:r>
      <w:r>
        <w:rPr>
          <w:spacing w:val="-1"/>
        </w:rPr>
        <w:t> </w:t>
      </w:r>
      <w:r>
        <w:rPr/>
        <w:t>acid</w:t>
      </w:r>
      <w:r>
        <w:rPr>
          <w:spacing w:val="-3"/>
        </w:rPr>
        <w:t> </w:t>
      </w:r>
      <w:r>
        <w:rPr/>
        <w:t>(ASA);</w:t>
      </w:r>
      <w:r>
        <w:rPr>
          <w:spacing w:val="-1"/>
        </w:rPr>
        <w:t> </w:t>
      </w:r>
      <w:r>
        <w:rPr/>
        <w:t>and</w:t>
      </w:r>
      <w:r>
        <w:rPr>
          <w:spacing w:val="-3"/>
        </w:rPr>
        <w:t> </w:t>
      </w:r>
      <w:r>
        <w:rPr/>
        <w:t>the</w:t>
      </w:r>
      <w:r>
        <w:rPr>
          <w:spacing w:val="-3"/>
        </w:rPr>
        <w:t> </w:t>
      </w:r>
      <w:r>
        <w:rPr/>
        <w:t>inability</w:t>
      </w:r>
      <w:r>
        <w:rPr>
          <w:spacing w:val="-1"/>
        </w:rPr>
        <w:t> </w:t>
      </w:r>
      <w:r>
        <w:rPr/>
        <w:t>to supervise</w:t>
      </w:r>
      <w:r>
        <w:rPr>
          <w:spacing w:val="-1"/>
        </w:rPr>
        <w:t> </w:t>
      </w:r>
      <w:r>
        <w:rPr/>
        <w:t>therapy</w:t>
      </w:r>
      <w:r>
        <w:rPr>
          <w:spacing w:val="-1"/>
        </w:rPr>
        <w:t> </w:t>
      </w:r>
      <w:r>
        <w:rPr/>
        <w:t>because of</w:t>
      </w:r>
      <w:r>
        <w:rPr>
          <w:spacing w:val="-4"/>
        </w:rPr>
        <w:t> </w:t>
      </w:r>
      <w:r>
        <w:rPr/>
        <w:t>social</w:t>
      </w:r>
      <w:r>
        <w:rPr>
          <w:spacing w:val="-4"/>
        </w:rPr>
        <w:t> </w:t>
      </w:r>
      <w:r>
        <w:rPr/>
        <w:t>or</w:t>
      </w:r>
      <w:r>
        <w:rPr>
          <w:spacing w:val="-1"/>
        </w:rPr>
        <w:t> </w:t>
      </w:r>
      <w:r>
        <w:rPr/>
        <w:t>geographic</w:t>
      </w:r>
      <w:r>
        <w:rPr>
          <w:spacing w:val="-1"/>
        </w:rPr>
        <w:t> </w:t>
      </w:r>
      <w:r>
        <w:rPr/>
        <w:t>circumstances.</w:t>
      </w:r>
    </w:p>
    <w:p>
      <w:pPr>
        <w:pStyle w:val="BodyText"/>
        <w:spacing w:line="276" w:lineRule="auto" w:before="161"/>
        <w:ind w:left="23" w:right="466"/>
      </w:pPr>
      <w:r>
        <w:rPr/>
        <w:t>Potter</w:t>
      </w:r>
      <w:r>
        <w:rPr>
          <w:spacing w:val="-4"/>
        </w:rPr>
        <w:t> </w:t>
      </w:r>
      <w:r>
        <w:rPr/>
        <w:t>(2013)</w:t>
      </w:r>
      <w:r>
        <w:rPr>
          <w:spacing w:val="-3"/>
        </w:rPr>
        <w:t> </w:t>
      </w:r>
      <w:r>
        <w:rPr/>
        <w:t>conducted</w:t>
      </w:r>
      <w:r>
        <w:rPr>
          <w:spacing w:val="-2"/>
        </w:rPr>
        <w:t> </w:t>
      </w:r>
      <w:r>
        <w:rPr/>
        <w:t>a</w:t>
      </w:r>
      <w:r>
        <w:rPr>
          <w:spacing w:val="-4"/>
        </w:rPr>
        <w:t> </w:t>
      </w:r>
      <w:r>
        <w:rPr/>
        <w:t>cohort</w:t>
      </w:r>
      <w:r>
        <w:rPr>
          <w:spacing w:val="-2"/>
        </w:rPr>
        <w:t> </w:t>
      </w:r>
      <w:r>
        <w:rPr/>
        <w:t>study</w:t>
      </w:r>
      <w:r>
        <w:rPr>
          <w:spacing w:val="-2"/>
        </w:rPr>
        <w:t> </w:t>
      </w:r>
      <w:r>
        <w:rPr/>
        <w:t>in</w:t>
      </w:r>
      <w:r>
        <w:rPr>
          <w:spacing w:val="-2"/>
        </w:rPr>
        <w:t> </w:t>
      </w:r>
      <w:r>
        <w:rPr/>
        <w:t>children</w:t>
      </w:r>
      <w:r>
        <w:rPr>
          <w:spacing w:val="-4"/>
        </w:rPr>
        <w:t> </w:t>
      </w:r>
      <w:r>
        <w:rPr/>
        <w:t>who</w:t>
      </w:r>
      <w:r>
        <w:rPr>
          <w:spacing w:val="-1"/>
        </w:rPr>
        <w:t> </w:t>
      </w:r>
      <w:r>
        <w:rPr/>
        <w:t>underwent</w:t>
      </w:r>
      <w:r>
        <w:rPr>
          <w:spacing w:val="-2"/>
        </w:rPr>
        <w:t> </w:t>
      </w:r>
      <w:r>
        <w:rPr/>
        <w:t>the</w:t>
      </w:r>
      <w:r>
        <w:rPr>
          <w:spacing w:val="-2"/>
        </w:rPr>
        <w:t> </w:t>
      </w:r>
      <w:r>
        <w:rPr/>
        <w:t>Fontan</w:t>
      </w:r>
      <w:r>
        <w:rPr>
          <w:spacing w:val="-2"/>
        </w:rPr>
        <w:t> </w:t>
      </w:r>
      <w:r>
        <w:rPr/>
        <w:t>procedure</w:t>
      </w:r>
      <w:r>
        <w:rPr>
          <w:spacing w:val="-4"/>
        </w:rPr>
        <w:t> </w:t>
      </w:r>
      <w:r>
        <w:rPr/>
        <w:t>and</w:t>
      </w:r>
      <w:r>
        <w:rPr>
          <w:spacing w:val="-4"/>
        </w:rPr>
        <w:t> </w:t>
      </w:r>
      <w:r>
        <w:rPr/>
        <w:t>were identified</w:t>
      </w:r>
      <w:r>
        <w:rPr>
          <w:spacing w:val="-2"/>
        </w:rPr>
        <w:t> </w:t>
      </w:r>
      <w:r>
        <w:rPr/>
        <w:t>from</w:t>
      </w:r>
      <w:r>
        <w:rPr>
          <w:spacing w:val="-1"/>
        </w:rPr>
        <w:t> </w:t>
      </w:r>
      <w:r>
        <w:rPr/>
        <w:t>the</w:t>
      </w:r>
      <w:r>
        <w:rPr>
          <w:spacing w:val="-4"/>
        </w:rPr>
        <w:t> </w:t>
      </w:r>
      <w:r>
        <w:rPr/>
        <w:t>New</w:t>
      </w:r>
      <w:r>
        <w:rPr>
          <w:spacing w:val="-4"/>
        </w:rPr>
        <w:t> </w:t>
      </w:r>
      <w:r>
        <w:rPr/>
        <w:t>England</w:t>
      </w:r>
      <w:r>
        <w:rPr>
          <w:spacing w:val="-3"/>
        </w:rPr>
        <w:t> </w:t>
      </w:r>
      <w:r>
        <w:rPr/>
        <w:t>Fontan</w:t>
      </w:r>
      <w:r>
        <w:rPr>
          <w:spacing w:val="-2"/>
        </w:rPr>
        <w:t> </w:t>
      </w:r>
      <w:r>
        <w:rPr/>
        <w:t>registry,</w:t>
      </w:r>
      <w:r>
        <w:rPr>
          <w:spacing w:val="-2"/>
        </w:rPr>
        <w:t> </w:t>
      </w:r>
      <w:r>
        <w:rPr/>
        <w:t>which included all patients who lived in the New England area, were born before 1985, and had Fontan surgery between April 1973 and July 1991 at Boston Children's Hospital. Exclusion criteria were surgery limited to cavopulmonary shunts, including those patients with an interrupted inferior vena cava and</w:t>
      </w:r>
    </w:p>
    <w:p>
      <w:pPr>
        <w:pStyle w:val="BodyText"/>
        <w:spacing w:after="0" w:line="276" w:lineRule="auto"/>
        <w:sectPr>
          <w:pgSz w:w="16840" w:h="11910" w:orient="landscape"/>
          <w:pgMar w:top="1340" w:bottom="280" w:left="1417" w:right="992"/>
        </w:sectPr>
      </w:pPr>
    </w:p>
    <w:p>
      <w:pPr>
        <w:pStyle w:val="BodyText"/>
        <w:spacing w:line="276" w:lineRule="auto" w:before="93"/>
        <w:ind w:left="23"/>
      </w:pPr>
      <w:r>
        <w:rPr/>
        <w:t>azygos</w:t>
      </w:r>
      <w:r>
        <w:rPr>
          <w:spacing w:val="-3"/>
        </w:rPr>
        <w:t> </w:t>
      </w:r>
      <w:r>
        <w:rPr/>
        <w:t>extension</w:t>
      </w:r>
      <w:r>
        <w:rPr>
          <w:spacing w:val="-3"/>
        </w:rPr>
        <w:t> </w:t>
      </w:r>
      <w:r>
        <w:rPr/>
        <w:t>to asuperior</w:t>
      </w:r>
      <w:r>
        <w:rPr>
          <w:spacing w:val="-3"/>
        </w:rPr>
        <w:t> </w:t>
      </w:r>
      <w:r>
        <w:rPr/>
        <w:t>vena</w:t>
      </w:r>
      <w:r>
        <w:rPr>
          <w:spacing w:val="-1"/>
        </w:rPr>
        <w:t> </w:t>
      </w:r>
      <w:r>
        <w:rPr/>
        <w:t>cava</w:t>
      </w:r>
      <w:r>
        <w:rPr>
          <w:spacing w:val="-3"/>
        </w:rPr>
        <w:t> </w:t>
      </w:r>
      <w:r>
        <w:rPr/>
        <w:t>who</w:t>
      </w:r>
      <w:r>
        <w:rPr>
          <w:spacing w:val="-3"/>
        </w:rPr>
        <w:t> </w:t>
      </w:r>
      <w:r>
        <w:rPr/>
        <w:t>underwent</w:t>
      </w:r>
      <w:r>
        <w:rPr>
          <w:spacing w:val="-1"/>
        </w:rPr>
        <w:t> </w:t>
      </w:r>
      <w:r>
        <w:rPr/>
        <w:t>a</w:t>
      </w:r>
      <w:r>
        <w:rPr>
          <w:spacing w:val="-1"/>
        </w:rPr>
        <w:t> </w:t>
      </w:r>
      <w:r>
        <w:rPr/>
        <w:t>bidirectional</w:t>
      </w:r>
      <w:r>
        <w:rPr>
          <w:spacing w:val="-2"/>
        </w:rPr>
        <w:t> </w:t>
      </w:r>
      <w:r>
        <w:rPr/>
        <w:t>cavopulmonary shunt,</w:t>
      </w:r>
      <w:r>
        <w:rPr>
          <w:spacing w:val="-3"/>
        </w:rPr>
        <w:t> </w:t>
      </w:r>
      <w:r>
        <w:rPr/>
        <w:t>and</w:t>
      </w:r>
      <w:r>
        <w:rPr>
          <w:spacing w:val="-3"/>
        </w:rPr>
        <w:t> </w:t>
      </w:r>
      <w:r>
        <w:rPr/>
        <w:t>patients</w:t>
      </w:r>
      <w:r>
        <w:rPr>
          <w:spacing w:val="-1"/>
        </w:rPr>
        <w:t> </w:t>
      </w:r>
      <w:r>
        <w:rPr/>
        <w:t>with</w:t>
      </w:r>
      <w:r>
        <w:rPr>
          <w:spacing w:val="-4"/>
        </w:rPr>
        <w:t> </w:t>
      </w:r>
      <w:r>
        <w:rPr/>
        <w:t>early</w:t>
      </w:r>
      <w:r>
        <w:rPr>
          <w:spacing w:val="-3"/>
        </w:rPr>
        <w:t> </w:t>
      </w:r>
      <w:r>
        <w:rPr/>
        <w:t>post-operative</w:t>
      </w:r>
      <w:r>
        <w:rPr>
          <w:spacing w:val="-3"/>
        </w:rPr>
        <w:t> </w:t>
      </w:r>
      <w:r>
        <w:rPr/>
        <w:t>death</w:t>
      </w:r>
      <w:r>
        <w:rPr>
          <w:spacing w:val="-2"/>
        </w:rPr>
        <w:t> </w:t>
      </w:r>
      <w:r>
        <w:rPr/>
        <w:t>(&lt;</w:t>
      </w:r>
      <w:r>
        <w:rPr>
          <w:spacing w:val="-3"/>
        </w:rPr>
        <w:t> </w:t>
      </w:r>
      <w:r>
        <w:rPr/>
        <w:t>30</w:t>
      </w:r>
      <w:r>
        <w:rPr>
          <w:spacing w:val="-1"/>
        </w:rPr>
        <w:t> </w:t>
      </w:r>
      <w:r>
        <w:rPr/>
        <w:t>days)</w:t>
      </w:r>
      <w:r>
        <w:rPr>
          <w:spacing w:val="-3"/>
        </w:rPr>
        <w:t> </w:t>
      </w:r>
      <w:r>
        <w:rPr/>
        <w:t>or</w:t>
      </w:r>
      <w:r>
        <w:rPr>
          <w:spacing w:val="-1"/>
        </w:rPr>
        <w:t> </w:t>
      </w:r>
      <w:r>
        <w:rPr/>
        <w:t>a thromboembolic event within the first 14 days of Fontan surgery.</w:t>
      </w:r>
    </w:p>
    <w:p>
      <w:pPr>
        <w:spacing w:before="160"/>
        <w:ind w:left="23" w:right="0" w:firstLine="0"/>
        <w:jc w:val="left"/>
        <w:rPr>
          <w:i/>
          <w:sz w:val="22"/>
        </w:rPr>
      </w:pPr>
      <w:r>
        <w:rPr>
          <w:i/>
          <w:spacing w:val="-2"/>
          <w:sz w:val="22"/>
        </w:rPr>
        <w:t>Results</w:t>
      </w:r>
    </w:p>
    <w:p>
      <w:pPr>
        <w:pStyle w:val="BodyText"/>
        <w:spacing w:before="204"/>
        <w:ind w:left="23"/>
      </w:pPr>
      <w:r>
        <w:rPr/>
        <w:t>A</w:t>
      </w:r>
      <w:r>
        <w:rPr>
          <w:spacing w:val="-3"/>
        </w:rPr>
        <w:t> </w:t>
      </w:r>
      <w:r>
        <w:rPr/>
        <w:t>summary</w:t>
      </w:r>
      <w:r>
        <w:rPr>
          <w:spacing w:val="-4"/>
        </w:rPr>
        <w:t> </w:t>
      </w:r>
      <w:r>
        <w:rPr/>
        <w:t>of</w:t>
      </w:r>
      <w:r>
        <w:rPr>
          <w:spacing w:val="-5"/>
        </w:rPr>
        <w:t> </w:t>
      </w:r>
      <w:r>
        <w:rPr/>
        <w:t>the</w:t>
      </w:r>
      <w:r>
        <w:rPr>
          <w:spacing w:val="-3"/>
        </w:rPr>
        <w:t> </w:t>
      </w:r>
      <w:r>
        <w:rPr/>
        <w:t>findings</w:t>
      </w:r>
      <w:r>
        <w:rPr>
          <w:spacing w:val="-4"/>
        </w:rPr>
        <w:t> </w:t>
      </w:r>
      <w:r>
        <w:rPr/>
        <w:t>and</w:t>
      </w:r>
      <w:r>
        <w:rPr>
          <w:spacing w:val="-3"/>
        </w:rPr>
        <w:t> </w:t>
      </w:r>
      <w:r>
        <w:rPr/>
        <w:t>levels</w:t>
      </w:r>
      <w:r>
        <w:rPr>
          <w:spacing w:val="-5"/>
        </w:rPr>
        <w:t> </w:t>
      </w:r>
      <w:r>
        <w:rPr/>
        <w:t>of</w:t>
      </w:r>
      <w:r>
        <w:rPr>
          <w:spacing w:val="-5"/>
        </w:rPr>
        <w:t> </w:t>
      </w:r>
      <w:r>
        <w:rPr/>
        <w:t>evidence</w:t>
      </w:r>
      <w:r>
        <w:rPr>
          <w:spacing w:val="-5"/>
        </w:rPr>
        <w:t> </w:t>
      </w:r>
      <w:r>
        <w:rPr/>
        <w:t>is</w:t>
      </w:r>
      <w:r>
        <w:rPr>
          <w:spacing w:val="-2"/>
        </w:rPr>
        <w:t> </w:t>
      </w:r>
      <w:r>
        <w:rPr/>
        <w:t>shown</w:t>
      </w:r>
      <w:r>
        <w:rPr>
          <w:spacing w:val="-2"/>
        </w:rPr>
        <w:t> </w:t>
      </w:r>
      <w:r>
        <w:rPr/>
        <w:t>in</w:t>
      </w:r>
      <w:r>
        <w:rPr>
          <w:spacing w:val="-5"/>
        </w:rPr>
        <w:t> </w:t>
      </w:r>
      <w:r>
        <w:rPr/>
        <w:t>table 3.4.1</w:t>
      </w:r>
      <w:r>
        <w:rPr>
          <w:spacing w:val="-4"/>
        </w:rPr>
        <w:t> </w:t>
      </w:r>
      <w:r>
        <w:rPr/>
        <w:t>(studies</w:t>
      </w:r>
      <w:r>
        <w:rPr>
          <w:spacing w:val="-4"/>
        </w:rPr>
        <w:t> </w:t>
      </w:r>
      <w:r>
        <w:rPr/>
        <w:t>with</w:t>
      </w:r>
      <w:r>
        <w:rPr>
          <w:spacing w:val="-3"/>
        </w:rPr>
        <w:t> </w:t>
      </w:r>
      <w:r>
        <w:rPr/>
        <w:t>follow</w:t>
      </w:r>
      <w:r>
        <w:rPr>
          <w:spacing w:val="-1"/>
        </w:rPr>
        <w:t> </w:t>
      </w:r>
      <w:r>
        <w:rPr/>
        <w:t>up</w:t>
      </w:r>
      <w:r>
        <w:rPr>
          <w:spacing w:val="-3"/>
        </w:rPr>
        <w:t> </w:t>
      </w:r>
      <w:r>
        <w:rPr/>
        <w:t>≤</w:t>
      </w:r>
      <w:r>
        <w:rPr>
          <w:spacing w:val="-4"/>
        </w:rPr>
        <w:t> </w:t>
      </w:r>
      <w:r>
        <w:rPr/>
        <w:t>1</w:t>
      </w:r>
      <w:r>
        <w:rPr>
          <w:spacing w:val="-5"/>
        </w:rPr>
        <w:t> </w:t>
      </w:r>
      <w:r>
        <w:rPr/>
        <w:t>year)</w:t>
      </w:r>
      <w:r>
        <w:rPr>
          <w:spacing w:val="-4"/>
        </w:rPr>
        <w:t> </w:t>
      </w:r>
      <w:r>
        <w:rPr/>
        <w:t>and</w:t>
      </w:r>
      <w:r>
        <w:rPr>
          <w:spacing w:val="-3"/>
        </w:rPr>
        <w:t> </w:t>
      </w:r>
      <w:r>
        <w:rPr/>
        <w:t>table</w:t>
      </w:r>
      <w:r>
        <w:rPr>
          <w:spacing w:val="-2"/>
        </w:rPr>
        <w:t> </w:t>
      </w:r>
      <w:r>
        <w:rPr/>
        <w:t>3.4.2</w:t>
      </w:r>
      <w:r>
        <w:rPr>
          <w:spacing w:val="-4"/>
        </w:rPr>
        <w:t> </w:t>
      </w:r>
      <w:r>
        <w:rPr/>
        <w:t>(studies</w:t>
      </w:r>
      <w:r>
        <w:rPr>
          <w:spacing w:val="-4"/>
        </w:rPr>
        <w:t> </w:t>
      </w:r>
      <w:r>
        <w:rPr/>
        <w:t>with</w:t>
      </w:r>
      <w:r>
        <w:rPr>
          <w:spacing w:val="-2"/>
        </w:rPr>
        <w:t> </w:t>
      </w:r>
      <w:r>
        <w:rPr/>
        <w:t>follow</w:t>
      </w:r>
      <w:r>
        <w:rPr>
          <w:spacing w:val="-1"/>
        </w:rPr>
        <w:t> </w:t>
      </w:r>
      <w:r>
        <w:rPr/>
        <w:t>up</w:t>
      </w:r>
      <w:r>
        <w:rPr>
          <w:spacing w:val="-3"/>
        </w:rPr>
        <w:t> </w:t>
      </w:r>
      <w:r>
        <w:rPr/>
        <w:t>&gt;</w:t>
      </w:r>
      <w:r>
        <w:rPr>
          <w:spacing w:val="-4"/>
        </w:rPr>
        <w:t> </w:t>
      </w:r>
      <w:r>
        <w:rPr/>
        <w:t>1</w:t>
      </w:r>
      <w:r>
        <w:rPr>
          <w:spacing w:val="-3"/>
        </w:rPr>
        <w:t> </w:t>
      </w:r>
      <w:r>
        <w:rPr>
          <w:spacing w:val="-2"/>
        </w:rPr>
        <w:t>year).</w:t>
      </w:r>
    </w:p>
    <w:p>
      <w:pPr>
        <w:pStyle w:val="BodyText"/>
        <w:spacing w:line="273" w:lineRule="auto" w:before="204"/>
        <w:ind w:left="23"/>
      </w:pPr>
      <w:r>
        <w:rPr/>
        <w:t>For studies</w:t>
      </w:r>
      <w:r>
        <w:rPr>
          <w:spacing w:val="-3"/>
        </w:rPr>
        <w:t> </w:t>
      </w:r>
      <w:r>
        <w:rPr/>
        <w:t>with</w:t>
      </w:r>
      <w:r>
        <w:rPr>
          <w:spacing w:val="-4"/>
        </w:rPr>
        <w:t> </w:t>
      </w:r>
      <w:r>
        <w:rPr/>
        <w:t>follow-up</w:t>
      </w:r>
      <w:r>
        <w:rPr>
          <w:spacing w:val="-3"/>
        </w:rPr>
        <w:t> </w:t>
      </w:r>
      <w:r>
        <w:rPr/>
        <w:t>&gt; 1</w:t>
      </w:r>
      <w:r>
        <w:rPr>
          <w:spacing w:val="-2"/>
        </w:rPr>
        <w:t> </w:t>
      </w:r>
      <w:r>
        <w:rPr/>
        <w:t>year</w:t>
      </w:r>
      <w:r>
        <w:rPr>
          <w:spacing w:val="-3"/>
        </w:rPr>
        <w:t> </w:t>
      </w:r>
      <w:r>
        <w:rPr/>
        <w:t>comparing</w:t>
      </w:r>
      <w:r>
        <w:rPr>
          <w:spacing w:val="-1"/>
        </w:rPr>
        <w:t> </w:t>
      </w:r>
      <w:r>
        <w:rPr/>
        <w:t>aspirin</w:t>
      </w:r>
      <w:r>
        <w:rPr>
          <w:spacing w:val="-4"/>
        </w:rPr>
        <w:t> </w:t>
      </w:r>
      <w:r>
        <w:rPr/>
        <w:t>versus</w:t>
      </w:r>
      <w:r>
        <w:rPr>
          <w:spacing w:val="-3"/>
        </w:rPr>
        <w:t> </w:t>
      </w:r>
      <w:r>
        <w:rPr/>
        <w:t>warfarin a</w:t>
      </w:r>
      <w:r>
        <w:rPr>
          <w:spacing w:val="-3"/>
        </w:rPr>
        <w:t> </w:t>
      </w:r>
      <w:r>
        <w:rPr/>
        <w:t>forest plots were</w:t>
      </w:r>
      <w:r>
        <w:rPr>
          <w:spacing w:val="-1"/>
        </w:rPr>
        <w:t> </w:t>
      </w:r>
      <w:r>
        <w:rPr/>
        <w:t>made</w:t>
      </w:r>
      <w:r>
        <w:rPr>
          <w:spacing w:val="-1"/>
        </w:rPr>
        <w:t> </w:t>
      </w:r>
      <w:r>
        <w:rPr/>
        <w:t>for</w:t>
      </w:r>
      <w:r>
        <w:rPr>
          <w:spacing w:val="-3"/>
        </w:rPr>
        <w:t> </w:t>
      </w:r>
      <w:r>
        <w:rPr/>
        <w:t>outcome</w:t>
      </w:r>
      <w:r>
        <w:rPr>
          <w:spacing w:val="-4"/>
        </w:rPr>
        <w:t> </w:t>
      </w:r>
      <w:r>
        <w:rPr/>
        <w:t>thrombotic events,</w:t>
      </w:r>
      <w:r>
        <w:rPr>
          <w:spacing w:val="-2"/>
        </w:rPr>
        <w:t> </w:t>
      </w:r>
      <w:r>
        <w:rPr/>
        <w:t>major bleeding and</w:t>
      </w:r>
      <w:r>
        <w:rPr>
          <w:spacing w:val="-1"/>
        </w:rPr>
        <w:t> </w:t>
      </w:r>
      <w:r>
        <w:rPr/>
        <w:t>minor bleeding. (Figure 1, 2, and 3)</w:t>
      </w:r>
    </w:p>
    <w:p>
      <w:pPr>
        <w:pStyle w:val="BodyText"/>
      </w:pPr>
    </w:p>
    <w:p>
      <w:pPr>
        <w:pStyle w:val="BodyText"/>
        <w:spacing w:before="97"/>
      </w:pPr>
    </w:p>
    <w:p>
      <w:pPr>
        <w:pStyle w:val="BodyText"/>
        <w:ind w:left="23"/>
      </w:pPr>
      <w:r>
        <w:rPr/>
        <w:t>Figure</w:t>
      </w:r>
      <w:r>
        <w:rPr>
          <w:spacing w:val="-5"/>
        </w:rPr>
        <w:t> </w:t>
      </w:r>
      <w:r>
        <w:rPr/>
        <w:t>1.</w:t>
      </w:r>
      <w:r>
        <w:rPr>
          <w:spacing w:val="-2"/>
        </w:rPr>
        <w:t> </w:t>
      </w:r>
      <w:r>
        <w:rPr/>
        <w:t>Forest</w:t>
      </w:r>
      <w:r>
        <w:rPr>
          <w:spacing w:val="-5"/>
        </w:rPr>
        <w:t> </w:t>
      </w:r>
      <w:r>
        <w:rPr/>
        <w:t>plot</w:t>
      </w:r>
      <w:r>
        <w:rPr>
          <w:spacing w:val="-4"/>
        </w:rPr>
        <w:t> </w:t>
      </w:r>
      <w:r>
        <w:rPr/>
        <w:t>of</w:t>
      </w:r>
      <w:r>
        <w:rPr>
          <w:spacing w:val="-6"/>
        </w:rPr>
        <w:t> </w:t>
      </w:r>
      <w:r>
        <w:rPr/>
        <w:t>aspirin</w:t>
      </w:r>
      <w:r>
        <w:rPr>
          <w:spacing w:val="-4"/>
        </w:rPr>
        <w:t> </w:t>
      </w:r>
      <w:r>
        <w:rPr/>
        <w:t>versus</w:t>
      </w:r>
      <w:r>
        <w:rPr>
          <w:spacing w:val="-5"/>
        </w:rPr>
        <w:t> </w:t>
      </w:r>
      <w:r>
        <w:rPr/>
        <w:t>warfarin</w:t>
      </w:r>
      <w:r>
        <w:rPr>
          <w:spacing w:val="-5"/>
        </w:rPr>
        <w:t> </w:t>
      </w:r>
      <w:r>
        <w:rPr/>
        <w:t>for</w:t>
      </w:r>
      <w:r>
        <w:rPr>
          <w:spacing w:val="-4"/>
        </w:rPr>
        <w:t> </w:t>
      </w:r>
      <w:r>
        <w:rPr/>
        <w:t>the</w:t>
      </w:r>
      <w:r>
        <w:rPr>
          <w:spacing w:val="-5"/>
        </w:rPr>
        <w:t> </w:t>
      </w:r>
      <w:r>
        <w:rPr/>
        <w:t>outcome</w:t>
      </w:r>
      <w:r>
        <w:rPr>
          <w:spacing w:val="-2"/>
        </w:rPr>
        <w:t> </w:t>
      </w:r>
      <w:r>
        <w:rPr/>
        <w:t>thrombotic</w:t>
      </w:r>
      <w:r>
        <w:rPr>
          <w:spacing w:val="-2"/>
        </w:rPr>
        <w:t> complications</w:t>
      </w:r>
    </w:p>
    <w:p>
      <w:pPr>
        <w:pStyle w:val="BodyText"/>
        <w:spacing w:before="143"/>
        <w:rPr>
          <w:sz w:val="20"/>
        </w:rPr>
      </w:pPr>
      <w:r>
        <w:rPr>
          <w:sz w:val="20"/>
        </w:rPr>
        <mc:AlternateContent>
          <mc:Choice Requires="wps">
            <w:drawing>
              <wp:anchor distT="0" distB="0" distL="0" distR="0" allowOverlap="1" layoutInCell="1" locked="0" behindDoc="1" simplePos="0" relativeHeight="487595520">
                <wp:simplePos x="0" y="0"/>
                <wp:positionH relativeFrom="page">
                  <wp:posOffset>923925</wp:posOffset>
                </wp:positionH>
                <wp:positionV relativeFrom="paragraph">
                  <wp:posOffset>261391</wp:posOffset>
                </wp:positionV>
                <wp:extent cx="4591050" cy="2286000"/>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4591050" cy="2286000"/>
                          <a:chExt cx="4591050" cy="2286000"/>
                        </a:xfrm>
                      </wpg:grpSpPr>
                      <pic:pic>
                        <pic:nvPicPr>
                          <pic:cNvPr id="17" name="Image 17" descr="Afbeelding met tekst, schermopname, Lettertype, nummer  Automatisch gegenereerde beschrijving (Rectangle)"/>
                          <pic:cNvPicPr/>
                        </pic:nvPicPr>
                        <pic:blipFill>
                          <a:blip r:embed="rId5" cstate="print"/>
                          <a:stretch>
                            <a:fillRect/>
                          </a:stretch>
                        </pic:blipFill>
                        <pic:spPr>
                          <a:xfrm>
                            <a:off x="53975" y="72961"/>
                            <a:ext cx="4495800" cy="2133600"/>
                          </a:xfrm>
                          <a:prstGeom prst="rect">
                            <a:avLst/>
                          </a:prstGeom>
                        </pic:spPr>
                      </pic:pic>
                      <wps:wsp>
                        <wps:cNvPr id="18" name="Graphic 18"/>
                        <wps:cNvSpPr/>
                        <wps:spPr>
                          <a:xfrm>
                            <a:off x="4762" y="4762"/>
                            <a:ext cx="4581525" cy="2276475"/>
                          </a:xfrm>
                          <a:custGeom>
                            <a:avLst/>
                            <a:gdLst/>
                            <a:ahLst/>
                            <a:cxnLst/>
                            <a:rect l="l" t="t" r="r" b="b"/>
                            <a:pathLst>
                              <a:path w="4581525" h="2276475">
                                <a:moveTo>
                                  <a:pt x="0" y="2276475"/>
                                </a:moveTo>
                                <a:lnTo>
                                  <a:pt x="4581525" y="2276475"/>
                                </a:lnTo>
                                <a:lnTo>
                                  <a:pt x="4581525" y="0"/>
                                </a:lnTo>
                                <a:lnTo>
                                  <a:pt x="0" y="0"/>
                                </a:lnTo>
                                <a:lnTo>
                                  <a:pt x="0" y="2276475"/>
                                </a:lnTo>
                                <a:close/>
                              </a:path>
                            </a:pathLst>
                          </a:custGeom>
                          <a:ln w="9525">
                            <a:solidFill>
                              <a:srgbClr val="155F82"/>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2.75pt;margin-top:20.582031pt;width:361.5pt;height:180pt;mso-position-horizontal-relative:page;mso-position-vertical-relative:paragraph;z-index:-15720960;mso-wrap-distance-left:0;mso-wrap-distance-right:0" id="docshapegroup16" coordorigin="1455,412" coordsize="7230,3600">
                <v:shape style="position:absolute;left:1540;top:526;width:7080;height:3360" type="#_x0000_t75" id="docshape17" alt="Afbeelding met tekst, schermopname, Lettertype, nummer  Automatisch gegenereerde beschrijving (Rectangle)" stroked="false">
                  <v:imagedata r:id="rId5" o:title=""/>
                </v:shape>
                <v:rect style="position:absolute;left:1462;top:419;width:7215;height:3585" id="docshape18" filled="false" stroked="true" strokeweight=".75pt" strokecolor="#155f82">
                  <v:stroke dashstyle="solid"/>
                </v:rect>
                <w10:wrap type="topAndBottom"/>
              </v:group>
            </w:pict>
          </mc:Fallback>
        </mc:AlternateContent>
      </w:r>
    </w:p>
    <w:p>
      <w:pPr>
        <w:pStyle w:val="BodyText"/>
        <w:spacing w:after="0"/>
        <w:rPr>
          <w:sz w:val="20"/>
        </w:rPr>
        <w:sectPr>
          <w:pgSz w:w="16840" w:h="11910" w:orient="landscape"/>
          <w:pgMar w:top="1340" w:bottom="280" w:left="1417" w:right="992"/>
        </w:sectPr>
      </w:pPr>
    </w:p>
    <w:p>
      <w:pPr>
        <w:pStyle w:val="BodyText"/>
        <w:spacing w:before="93"/>
        <w:ind w:left="23"/>
      </w:pPr>
      <w:r>
        <w:rPr/>
        <w:t>Figure</w:t>
      </w:r>
      <w:r>
        <w:rPr>
          <w:spacing w:val="-4"/>
        </w:rPr>
        <w:t> </w:t>
      </w:r>
      <w:r>
        <w:rPr/>
        <w:t>2.</w:t>
      </w:r>
      <w:r>
        <w:rPr>
          <w:spacing w:val="-2"/>
        </w:rPr>
        <w:t> </w:t>
      </w:r>
      <w:r>
        <w:rPr/>
        <w:t>Forest</w:t>
      </w:r>
      <w:r>
        <w:rPr>
          <w:spacing w:val="-4"/>
        </w:rPr>
        <w:t> </w:t>
      </w:r>
      <w:r>
        <w:rPr/>
        <w:t>plot</w:t>
      </w:r>
      <w:r>
        <w:rPr>
          <w:spacing w:val="-2"/>
        </w:rPr>
        <w:t> </w:t>
      </w:r>
      <w:r>
        <w:rPr/>
        <w:t>of</w:t>
      </w:r>
      <w:r>
        <w:rPr>
          <w:spacing w:val="-5"/>
        </w:rPr>
        <w:t> </w:t>
      </w:r>
      <w:r>
        <w:rPr/>
        <w:t>aspirin</w:t>
      </w:r>
      <w:r>
        <w:rPr>
          <w:spacing w:val="-4"/>
        </w:rPr>
        <w:t> </w:t>
      </w:r>
      <w:r>
        <w:rPr/>
        <w:t>versus</w:t>
      </w:r>
      <w:r>
        <w:rPr>
          <w:spacing w:val="-4"/>
        </w:rPr>
        <w:t> </w:t>
      </w:r>
      <w:r>
        <w:rPr/>
        <w:t>warfarin</w:t>
      </w:r>
      <w:r>
        <w:rPr>
          <w:spacing w:val="-3"/>
        </w:rPr>
        <w:t> </w:t>
      </w:r>
      <w:r>
        <w:rPr/>
        <w:t>for</w:t>
      </w:r>
      <w:r>
        <w:rPr>
          <w:spacing w:val="-4"/>
        </w:rPr>
        <w:t> </w:t>
      </w:r>
      <w:r>
        <w:rPr/>
        <w:t>the</w:t>
      </w:r>
      <w:r>
        <w:rPr>
          <w:spacing w:val="-4"/>
        </w:rPr>
        <w:t> </w:t>
      </w:r>
      <w:r>
        <w:rPr/>
        <w:t>outcome</w:t>
      </w:r>
      <w:r>
        <w:rPr>
          <w:spacing w:val="-4"/>
        </w:rPr>
        <w:t> </w:t>
      </w:r>
      <w:r>
        <w:rPr/>
        <w:t>major</w:t>
      </w:r>
      <w:r>
        <w:rPr>
          <w:spacing w:val="-1"/>
        </w:rPr>
        <w:t> </w:t>
      </w:r>
      <w:r>
        <w:rPr>
          <w:spacing w:val="-2"/>
        </w:rPr>
        <w:t>bleeding</w:t>
      </w:r>
    </w:p>
    <w:p>
      <w:pPr>
        <w:pStyle w:val="BodyText"/>
        <w:spacing w:before="11"/>
        <w:rPr>
          <w:sz w:val="15"/>
        </w:rPr>
      </w:pPr>
      <w:r>
        <w:rPr>
          <w:sz w:val="15"/>
        </w:rPr>
        <mc:AlternateContent>
          <mc:Choice Requires="wps">
            <w:drawing>
              <wp:anchor distT="0" distB="0" distL="0" distR="0" allowOverlap="1" layoutInCell="1" locked="0" behindDoc="1" simplePos="0" relativeHeight="487596032">
                <wp:simplePos x="0" y="0"/>
                <wp:positionH relativeFrom="page">
                  <wp:posOffset>923925</wp:posOffset>
                </wp:positionH>
                <wp:positionV relativeFrom="paragraph">
                  <wp:posOffset>139157</wp:posOffset>
                </wp:positionV>
                <wp:extent cx="5295900" cy="2019300"/>
                <wp:effectExtent l="0" t="0" r="0" b="0"/>
                <wp:wrapTopAndBottom/>
                <wp:docPr id="19" name="Group 19"/>
                <wp:cNvGraphicFramePr>
                  <a:graphicFrameLocks/>
                </wp:cNvGraphicFramePr>
                <a:graphic>
                  <a:graphicData uri="http://schemas.microsoft.com/office/word/2010/wordprocessingGroup">
                    <wpg:wgp>
                      <wpg:cNvPr id="19" name="Group 19"/>
                      <wpg:cNvGrpSpPr/>
                      <wpg:grpSpPr>
                        <a:xfrm>
                          <a:off x="0" y="0"/>
                          <a:ext cx="5295900" cy="2019300"/>
                          <a:chExt cx="5295900" cy="2019300"/>
                        </a:xfrm>
                      </wpg:grpSpPr>
                      <pic:pic>
                        <pic:nvPicPr>
                          <pic:cNvPr id="20" name="Image 20" descr="Afbeelding met tekst, schermopname, Lettertype, lijn  Automatisch gegenereerde beschrijving (Rectangle)"/>
                          <pic:cNvPicPr/>
                        </pic:nvPicPr>
                        <pic:blipFill>
                          <a:blip r:embed="rId6" cstate="print"/>
                          <a:stretch>
                            <a:fillRect/>
                          </a:stretch>
                        </pic:blipFill>
                        <pic:spPr>
                          <a:xfrm>
                            <a:off x="60325" y="79438"/>
                            <a:ext cx="5168900" cy="1835150"/>
                          </a:xfrm>
                          <a:prstGeom prst="rect">
                            <a:avLst/>
                          </a:prstGeom>
                        </pic:spPr>
                      </pic:pic>
                      <wps:wsp>
                        <wps:cNvPr id="21" name="Graphic 21"/>
                        <wps:cNvSpPr/>
                        <wps:spPr>
                          <a:xfrm>
                            <a:off x="4762" y="4762"/>
                            <a:ext cx="5286375" cy="2009775"/>
                          </a:xfrm>
                          <a:custGeom>
                            <a:avLst/>
                            <a:gdLst/>
                            <a:ahLst/>
                            <a:cxnLst/>
                            <a:rect l="l" t="t" r="r" b="b"/>
                            <a:pathLst>
                              <a:path w="5286375" h="2009775">
                                <a:moveTo>
                                  <a:pt x="0" y="2009775"/>
                                </a:moveTo>
                                <a:lnTo>
                                  <a:pt x="5286375" y="2009775"/>
                                </a:lnTo>
                                <a:lnTo>
                                  <a:pt x="5286375" y="0"/>
                                </a:lnTo>
                                <a:lnTo>
                                  <a:pt x="0" y="0"/>
                                </a:lnTo>
                                <a:lnTo>
                                  <a:pt x="0" y="2009775"/>
                                </a:lnTo>
                                <a:close/>
                              </a:path>
                            </a:pathLst>
                          </a:custGeom>
                          <a:ln w="9525">
                            <a:solidFill>
                              <a:srgbClr val="155F82"/>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2.75pt;margin-top:10.957266pt;width:417pt;height:159pt;mso-position-horizontal-relative:page;mso-position-vertical-relative:paragraph;z-index:-15720448;mso-wrap-distance-left:0;mso-wrap-distance-right:0" id="docshapegroup19" coordorigin="1455,219" coordsize="8340,3180">
                <v:shape style="position:absolute;left:1550;top:344;width:8140;height:2890" type="#_x0000_t75" id="docshape20" alt="Afbeelding met tekst, schermopname, Lettertype, lijn  Automatisch gegenereerde beschrijving (Rectangle)" stroked="false">
                  <v:imagedata r:id="rId6" o:title=""/>
                </v:shape>
                <v:rect style="position:absolute;left:1462;top:226;width:8325;height:3165" id="docshape21" filled="false" stroked="true" strokeweight=".75pt" strokecolor="#155f82">
                  <v:stroke dashstyle="solid"/>
                </v:rect>
                <w10:wrap type="topAndBottom"/>
              </v:group>
            </w:pict>
          </mc:Fallback>
        </mc:AlternateContent>
      </w:r>
    </w:p>
    <w:p>
      <w:pPr>
        <w:pStyle w:val="BodyText"/>
        <w:spacing w:before="223"/>
        <w:ind w:left="23"/>
      </w:pPr>
      <w:r>
        <w:rPr/>
        <w:t>Figure</w:t>
      </w:r>
      <w:r>
        <w:rPr>
          <w:spacing w:val="-5"/>
        </w:rPr>
        <w:t> </w:t>
      </w:r>
      <w:r>
        <w:rPr/>
        <w:t>3.</w:t>
      </w:r>
      <w:r>
        <w:rPr>
          <w:spacing w:val="-2"/>
        </w:rPr>
        <w:t> </w:t>
      </w:r>
      <w:r>
        <w:rPr/>
        <w:t>Forest</w:t>
      </w:r>
      <w:r>
        <w:rPr>
          <w:spacing w:val="-4"/>
        </w:rPr>
        <w:t> </w:t>
      </w:r>
      <w:r>
        <w:rPr/>
        <w:t>plot</w:t>
      </w:r>
      <w:r>
        <w:rPr>
          <w:spacing w:val="-4"/>
        </w:rPr>
        <w:t> </w:t>
      </w:r>
      <w:r>
        <w:rPr/>
        <w:t>of</w:t>
      </w:r>
      <w:r>
        <w:rPr>
          <w:spacing w:val="-5"/>
        </w:rPr>
        <w:t> </w:t>
      </w:r>
      <w:r>
        <w:rPr/>
        <w:t>aspirin</w:t>
      </w:r>
      <w:r>
        <w:rPr>
          <w:spacing w:val="-4"/>
        </w:rPr>
        <w:t> </w:t>
      </w:r>
      <w:r>
        <w:rPr/>
        <w:t>versus</w:t>
      </w:r>
      <w:r>
        <w:rPr>
          <w:spacing w:val="-5"/>
        </w:rPr>
        <w:t> </w:t>
      </w:r>
      <w:r>
        <w:rPr/>
        <w:t>warfarin</w:t>
      </w:r>
      <w:r>
        <w:rPr>
          <w:spacing w:val="-4"/>
        </w:rPr>
        <w:t> </w:t>
      </w:r>
      <w:r>
        <w:rPr/>
        <w:t>for</w:t>
      </w:r>
      <w:r>
        <w:rPr>
          <w:spacing w:val="-4"/>
        </w:rPr>
        <w:t> </w:t>
      </w:r>
      <w:r>
        <w:rPr/>
        <w:t>the</w:t>
      </w:r>
      <w:r>
        <w:rPr>
          <w:spacing w:val="-4"/>
        </w:rPr>
        <w:t> </w:t>
      </w:r>
      <w:r>
        <w:rPr/>
        <w:t>outcome</w:t>
      </w:r>
      <w:r>
        <w:rPr>
          <w:spacing w:val="-4"/>
        </w:rPr>
        <w:t> </w:t>
      </w:r>
      <w:r>
        <w:rPr/>
        <w:t>minor</w:t>
      </w:r>
      <w:r>
        <w:rPr>
          <w:spacing w:val="-4"/>
        </w:rPr>
        <w:t> </w:t>
      </w:r>
      <w:r>
        <w:rPr>
          <w:spacing w:val="-2"/>
        </w:rPr>
        <w:t>bleeding</w:t>
      </w:r>
    </w:p>
    <w:p>
      <w:pPr>
        <w:pStyle w:val="BodyText"/>
        <w:spacing w:before="10"/>
        <w:rPr>
          <w:sz w:val="15"/>
        </w:rPr>
      </w:pPr>
      <w:r>
        <w:rPr>
          <w:sz w:val="15"/>
        </w:rPr>
        <mc:AlternateContent>
          <mc:Choice Requires="wps">
            <w:drawing>
              <wp:anchor distT="0" distB="0" distL="0" distR="0" allowOverlap="1" layoutInCell="1" locked="0" behindDoc="1" simplePos="0" relativeHeight="487596544">
                <wp:simplePos x="0" y="0"/>
                <wp:positionH relativeFrom="page">
                  <wp:posOffset>923925</wp:posOffset>
                </wp:positionH>
                <wp:positionV relativeFrom="paragraph">
                  <wp:posOffset>138712</wp:posOffset>
                </wp:positionV>
                <wp:extent cx="5295900" cy="2019300"/>
                <wp:effectExtent l="0" t="0" r="0" b="0"/>
                <wp:wrapTopAndBottom/>
                <wp:docPr id="22" name="Group 22"/>
                <wp:cNvGraphicFramePr>
                  <a:graphicFrameLocks/>
                </wp:cNvGraphicFramePr>
                <a:graphic>
                  <a:graphicData uri="http://schemas.microsoft.com/office/word/2010/wordprocessingGroup">
                    <wpg:wgp>
                      <wpg:cNvPr id="22" name="Group 22"/>
                      <wpg:cNvGrpSpPr/>
                      <wpg:grpSpPr>
                        <a:xfrm>
                          <a:off x="0" y="0"/>
                          <a:ext cx="5295900" cy="2019300"/>
                          <a:chExt cx="5295900" cy="2019300"/>
                        </a:xfrm>
                      </wpg:grpSpPr>
                      <pic:pic>
                        <pic:nvPicPr>
                          <pic:cNvPr id="23" name="Image 23" descr="Afbeelding met tekst, schermopname, Lettertype, lijn  Automatisch gegenereerde beschrijving (Rectangle)"/>
                          <pic:cNvPicPr/>
                        </pic:nvPicPr>
                        <pic:blipFill>
                          <a:blip r:embed="rId7" cstate="print"/>
                          <a:stretch>
                            <a:fillRect/>
                          </a:stretch>
                        </pic:blipFill>
                        <pic:spPr>
                          <a:xfrm>
                            <a:off x="60325" y="79311"/>
                            <a:ext cx="5168900" cy="1835150"/>
                          </a:xfrm>
                          <a:prstGeom prst="rect">
                            <a:avLst/>
                          </a:prstGeom>
                        </pic:spPr>
                      </pic:pic>
                      <wps:wsp>
                        <wps:cNvPr id="24" name="Graphic 24"/>
                        <wps:cNvSpPr/>
                        <wps:spPr>
                          <a:xfrm>
                            <a:off x="4762" y="4762"/>
                            <a:ext cx="5286375" cy="2009775"/>
                          </a:xfrm>
                          <a:custGeom>
                            <a:avLst/>
                            <a:gdLst/>
                            <a:ahLst/>
                            <a:cxnLst/>
                            <a:rect l="l" t="t" r="r" b="b"/>
                            <a:pathLst>
                              <a:path w="5286375" h="2009775">
                                <a:moveTo>
                                  <a:pt x="0" y="2009775"/>
                                </a:moveTo>
                                <a:lnTo>
                                  <a:pt x="5286375" y="2009775"/>
                                </a:lnTo>
                                <a:lnTo>
                                  <a:pt x="5286375" y="0"/>
                                </a:lnTo>
                                <a:lnTo>
                                  <a:pt x="0" y="0"/>
                                </a:lnTo>
                                <a:lnTo>
                                  <a:pt x="0" y="2009775"/>
                                </a:lnTo>
                                <a:close/>
                              </a:path>
                            </a:pathLst>
                          </a:custGeom>
                          <a:ln w="9525">
                            <a:solidFill>
                              <a:srgbClr val="155F82"/>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72.75pt;margin-top:10.922266pt;width:417pt;height:159pt;mso-position-horizontal-relative:page;mso-position-vertical-relative:paragraph;z-index:-15719936;mso-wrap-distance-left:0;mso-wrap-distance-right:0" id="docshapegroup22" coordorigin="1455,218" coordsize="8340,3180">
                <v:shape style="position:absolute;left:1550;top:343;width:8140;height:2890" type="#_x0000_t75" id="docshape23" alt="Afbeelding met tekst, schermopname, Lettertype, lijn  Automatisch gegenereerde beschrijving (Rectangle)" stroked="false">
                  <v:imagedata r:id="rId7" o:title=""/>
                </v:shape>
                <v:rect style="position:absolute;left:1462;top:225;width:8325;height:3165" id="docshape24" filled="false" stroked="true" strokeweight=".75pt" strokecolor="#155f82">
                  <v:stroke dashstyle="solid"/>
                </v:rect>
                <w10:wrap type="topAndBottom"/>
              </v:group>
            </w:pict>
          </mc:Fallback>
        </mc:AlternateContent>
      </w:r>
    </w:p>
    <w:p>
      <w:pPr>
        <w:pStyle w:val="BodyText"/>
      </w:pPr>
    </w:p>
    <w:p>
      <w:pPr>
        <w:pStyle w:val="BodyText"/>
        <w:spacing w:before="158"/>
      </w:pPr>
    </w:p>
    <w:p>
      <w:pPr>
        <w:pStyle w:val="BodyText"/>
        <w:ind w:left="23"/>
      </w:pPr>
      <w:r>
        <w:rPr/>
        <w:t>Table</w:t>
      </w:r>
      <w:r>
        <w:rPr>
          <w:spacing w:val="-4"/>
        </w:rPr>
        <w:t> </w:t>
      </w:r>
      <w:r>
        <w:rPr/>
        <w:t>3.1.</w:t>
      </w:r>
      <w:r>
        <w:rPr>
          <w:spacing w:val="-4"/>
        </w:rPr>
        <w:t> </w:t>
      </w:r>
      <w:r>
        <w:rPr/>
        <w:t>Excluded</w:t>
      </w:r>
      <w:r>
        <w:rPr>
          <w:spacing w:val="-4"/>
        </w:rPr>
        <w:t> </w:t>
      </w:r>
      <w:r>
        <w:rPr>
          <w:spacing w:val="-2"/>
        </w:rPr>
        <w:t>studies</w:t>
      </w:r>
    </w:p>
    <w:p>
      <w:pPr>
        <w:pStyle w:val="BodyText"/>
        <w:spacing w:after="0"/>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358"/>
        <w:gridCol w:w="5811"/>
      </w:tblGrid>
      <w:tr>
        <w:trPr>
          <w:trHeight w:val="414" w:hRule="atLeast"/>
        </w:trPr>
        <w:tc>
          <w:tcPr>
            <w:tcW w:w="8358" w:type="dxa"/>
            <w:shd w:val="clear" w:color="auto" w:fill="D9D9D9"/>
          </w:tcPr>
          <w:p>
            <w:pPr>
              <w:pStyle w:val="TableParagraph"/>
              <w:spacing w:line="218" w:lineRule="exact"/>
              <w:ind w:left="105"/>
              <w:rPr>
                <w:b/>
                <w:sz w:val="18"/>
              </w:rPr>
            </w:pPr>
            <w:r>
              <w:rPr>
                <w:b/>
                <w:spacing w:val="-2"/>
                <w:sz w:val="18"/>
              </w:rPr>
              <w:t>Reference</w:t>
            </w:r>
          </w:p>
        </w:tc>
        <w:tc>
          <w:tcPr>
            <w:tcW w:w="5811" w:type="dxa"/>
            <w:shd w:val="clear" w:color="auto" w:fill="D9D9D9"/>
          </w:tcPr>
          <w:p>
            <w:pPr>
              <w:pStyle w:val="TableParagraph"/>
              <w:spacing w:line="218" w:lineRule="exact"/>
              <w:ind w:left="105"/>
              <w:rPr>
                <w:b/>
                <w:sz w:val="18"/>
              </w:rPr>
            </w:pPr>
            <w:r>
              <w:rPr>
                <w:b/>
                <w:sz w:val="18"/>
              </w:rPr>
              <w:t>Reason</w:t>
            </w:r>
            <w:r>
              <w:rPr>
                <w:b/>
                <w:spacing w:val="-3"/>
                <w:sz w:val="18"/>
              </w:rPr>
              <w:t> </w:t>
            </w:r>
            <w:r>
              <w:rPr>
                <w:b/>
                <w:sz w:val="18"/>
              </w:rPr>
              <w:t>for</w:t>
            </w:r>
            <w:r>
              <w:rPr>
                <w:b/>
                <w:spacing w:val="-1"/>
                <w:sz w:val="18"/>
              </w:rPr>
              <w:t> </w:t>
            </w:r>
            <w:r>
              <w:rPr>
                <w:b/>
                <w:spacing w:val="-2"/>
                <w:sz w:val="18"/>
              </w:rPr>
              <w:t>exclusion</w:t>
            </w:r>
          </w:p>
        </w:tc>
      </w:tr>
      <w:tr>
        <w:trPr>
          <w:trHeight w:val="1854" w:hRule="atLeast"/>
        </w:trPr>
        <w:tc>
          <w:tcPr>
            <w:tcW w:w="8358" w:type="dxa"/>
            <w:shd w:val="clear" w:color="auto" w:fill="D9D9D9"/>
          </w:tcPr>
          <w:p>
            <w:pPr>
              <w:pStyle w:val="TableParagraph"/>
              <w:spacing w:line="278" w:lineRule="auto" w:before="1"/>
              <w:ind w:left="105" w:right="98"/>
              <w:rPr>
                <w:sz w:val="18"/>
              </w:rPr>
            </w:pPr>
            <w:r>
              <w:rPr>
                <w:sz w:val="18"/>
              </w:rPr>
              <w:t>Kazerouninia A, Georgekutty J, Kendsersky P, Byrne RD, Seto B, Chu PY, Wang Y, Rodriguez FH 3rd, Smith C, Saraf</w:t>
            </w:r>
            <w:r>
              <w:rPr>
                <w:spacing w:val="-3"/>
                <w:sz w:val="18"/>
              </w:rPr>
              <w:t> </w:t>
            </w:r>
            <w:r>
              <w:rPr>
                <w:sz w:val="18"/>
              </w:rPr>
              <w:t>A,</w:t>
            </w:r>
            <w:r>
              <w:rPr>
                <w:spacing w:val="-3"/>
                <w:sz w:val="18"/>
              </w:rPr>
              <w:t> </w:t>
            </w:r>
            <w:r>
              <w:rPr>
                <w:sz w:val="18"/>
              </w:rPr>
              <w:t>Lloyd</w:t>
            </w:r>
            <w:r>
              <w:rPr>
                <w:spacing w:val="-3"/>
                <w:sz w:val="18"/>
              </w:rPr>
              <w:t> </w:t>
            </w:r>
            <w:r>
              <w:rPr>
                <w:sz w:val="18"/>
              </w:rPr>
              <w:t>MS,</w:t>
            </w:r>
            <w:r>
              <w:rPr>
                <w:spacing w:val="-3"/>
                <w:sz w:val="18"/>
              </w:rPr>
              <w:t> </w:t>
            </w:r>
            <w:r>
              <w:rPr>
                <w:sz w:val="18"/>
              </w:rPr>
              <w:t>Frischhertz</w:t>
            </w:r>
            <w:r>
              <w:rPr>
                <w:spacing w:val="-3"/>
                <w:sz w:val="18"/>
              </w:rPr>
              <w:t> </w:t>
            </w:r>
            <w:r>
              <w:rPr>
                <w:sz w:val="18"/>
              </w:rPr>
              <w:t>BP,</w:t>
            </w:r>
            <w:r>
              <w:rPr>
                <w:spacing w:val="-4"/>
                <w:sz w:val="18"/>
              </w:rPr>
              <w:t> </w:t>
            </w:r>
            <w:r>
              <w:rPr>
                <w:sz w:val="18"/>
              </w:rPr>
              <w:t>Parekh</w:t>
            </w:r>
            <w:r>
              <w:rPr>
                <w:spacing w:val="-4"/>
                <w:sz w:val="18"/>
              </w:rPr>
              <w:t> </w:t>
            </w:r>
            <w:r>
              <w:rPr>
                <w:sz w:val="18"/>
              </w:rPr>
              <w:t>DR,</w:t>
            </w:r>
            <w:r>
              <w:rPr>
                <w:spacing w:val="-3"/>
                <w:sz w:val="18"/>
              </w:rPr>
              <w:t> </w:t>
            </w:r>
            <w:r>
              <w:rPr>
                <w:sz w:val="18"/>
              </w:rPr>
              <w:t>Ermis</w:t>
            </w:r>
            <w:r>
              <w:rPr>
                <w:spacing w:val="-3"/>
                <w:sz w:val="18"/>
              </w:rPr>
              <w:t> </w:t>
            </w:r>
            <w:r>
              <w:rPr>
                <w:sz w:val="18"/>
              </w:rPr>
              <w:t>PR,</w:t>
            </w:r>
            <w:r>
              <w:rPr>
                <w:spacing w:val="-3"/>
                <w:sz w:val="18"/>
              </w:rPr>
              <w:t> </w:t>
            </w:r>
            <w:r>
              <w:rPr>
                <w:sz w:val="18"/>
              </w:rPr>
              <w:t>Franklin</w:t>
            </w:r>
            <w:r>
              <w:rPr>
                <w:spacing w:val="-3"/>
                <w:sz w:val="18"/>
              </w:rPr>
              <w:t> </w:t>
            </w:r>
            <w:r>
              <w:rPr>
                <w:sz w:val="18"/>
              </w:rPr>
              <w:t>WJ,</w:t>
            </w:r>
            <w:r>
              <w:rPr>
                <w:spacing w:val="-3"/>
                <w:sz w:val="18"/>
              </w:rPr>
              <w:t> </w:t>
            </w:r>
            <w:r>
              <w:rPr>
                <w:sz w:val="18"/>
              </w:rPr>
              <w:t>Lam</w:t>
            </w:r>
            <w:r>
              <w:rPr>
                <w:spacing w:val="-3"/>
                <w:sz w:val="18"/>
              </w:rPr>
              <w:t> </w:t>
            </w:r>
            <w:r>
              <w:rPr>
                <w:sz w:val="18"/>
              </w:rPr>
              <w:t>WW. A</w:t>
            </w:r>
            <w:r>
              <w:rPr>
                <w:spacing w:val="-4"/>
                <w:sz w:val="18"/>
              </w:rPr>
              <w:t> </w:t>
            </w:r>
            <w:r>
              <w:rPr>
                <w:sz w:val="18"/>
              </w:rPr>
              <w:t>Multisite</w:t>
            </w:r>
            <w:r>
              <w:rPr>
                <w:spacing w:val="-3"/>
                <w:sz w:val="18"/>
              </w:rPr>
              <w:t> </w:t>
            </w:r>
            <w:r>
              <w:rPr>
                <w:sz w:val="18"/>
              </w:rPr>
              <w:t>Retrospective</w:t>
            </w:r>
            <w:r>
              <w:rPr>
                <w:spacing w:val="-3"/>
                <w:sz w:val="18"/>
              </w:rPr>
              <w:t> </w:t>
            </w:r>
            <w:r>
              <w:rPr>
                <w:sz w:val="18"/>
              </w:rPr>
              <w:t>Review of Direct Oral Anticoagulants Compared to Warfarin in Adult Fontan Patients. Cardiovasc Drugs Ther. 2023 Jun;37(3):519-527. doi: 10.1007/s10557-021-07298-5. Epub 2022 Jan 13. PMID: 35022950; PMCID: </w:t>
            </w:r>
            <w:r>
              <w:rPr>
                <w:spacing w:val="-2"/>
                <w:sz w:val="18"/>
              </w:rPr>
              <w:t>PMC11040449.</w:t>
            </w:r>
          </w:p>
        </w:tc>
        <w:tc>
          <w:tcPr>
            <w:tcW w:w="5811" w:type="dxa"/>
          </w:tcPr>
          <w:p>
            <w:pPr>
              <w:pStyle w:val="TableParagraph"/>
              <w:spacing w:before="1"/>
              <w:ind w:left="105"/>
              <w:rPr>
                <w:sz w:val="18"/>
              </w:rPr>
            </w:pPr>
            <w:r>
              <w:rPr>
                <w:sz w:val="18"/>
              </w:rPr>
              <w:t>Adult</w:t>
            </w:r>
            <w:r>
              <w:rPr>
                <w:spacing w:val="-1"/>
                <w:sz w:val="18"/>
              </w:rPr>
              <w:t> </w:t>
            </w:r>
            <w:r>
              <w:rPr>
                <w:sz w:val="18"/>
              </w:rPr>
              <w:t>age</w:t>
            </w:r>
            <w:r>
              <w:rPr>
                <w:spacing w:val="-2"/>
                <w:sz w:val="18"/>
              </w:rPr>
              <w:t> </w:t>
            </w:r>
            <w:r>
              <w:rPr>
                <w:sz w:val="18"/>
              </w:rPr>
              <w:t>at</w:t>
            </w:r>
            <w:r>
              <w:rPr>
                <w:spacing w:val="-1"/>
                <w:sz w:val="18"/>
              </w:rPr>
              <w:t> </w:t>
            </w:r>
            <w:r>
              <w:rPr>
                <w:sz w:val="18"/>
              </w:rPr>
              <w:t>start</w:t>
            </w:r>
            <w:r>
              <w:rPr>
                <w:spacing w:val="-1"/>
                <w:sz w:val="18"/>
              </w:rPr>
              <w:t> </w:t>
            </w:r>
            <w:r>
              <w:rPr>
                <w:spacing w:val="-2"/>
                <w:sz w:val="18"/>
              </w:rPr>
              <w:t>treatment</w:t>
            </w:r>
          </w:p>
        </w:tc>
      </w:tr>
      <w:tr>
        <w:trPr>
          <w:trHeight w:val="926" w:hRule="atLeast"/>
        </w:trPr>
        <w:tc>
          <w:tcPr>
            <w:tcW w:w="8358" w:type="dxa"/>
            <w:shd w:val="clear" w:color="auto" w:fill="D9D9D9"/>
          </w:tcPr>
          <w:p>
            <w:pPr>
              <w:pStyle w:val="TableParagraph"/>
              <w:spacing w:line="278" w:lineRule="auto"/>
              <w:ind w:left="105"/>
              <w:rPr>
                <w:sz w:val="18"/>
              </w:rPr>
            </w:pPr>
            <w:r>
              <w:rPr>
                <w:sz w:val="18"/>
              </w:rPr>
              <w:t>Pujol C, Müssigmann M, Schiele S, Nagdyman N, Niesert AC, Kaemmerer H, Ewert P, Tutarel O. Direct oral anticoagulants</w:t>
            </w:r>
            <w:r>
              <w:rPr>
                <w:spacing w:val="-3"/>
                <w:sz w:val="18"/>
              </w:rPr>
              <w:t> </w:t>
            </w:r>
            <w:r>
              <w:rPr>
                <w:sz w:val="18"/>
              </w:rPr>
              <w:t>in</w:t>
            </w:r>
            <w:r>
              <w:rPr>
                <w:spacing w:val="-4"/>
                <w:sz w:val="18"/>
              </w:rPr>
              <w:t> </w:t>
            </w:r>
            <w:r>
              <w:rPr>
                <w:sz w:val="18"/>
              </w:rPr>
              <w:t>adults</w:t>
            </w:r>
            <w:r>
              <w:rPr>
                <w:spacing w:val="-3"/>
                <w:sz w:val="18"/>
              </w:rPr>
              <w:t> </w:t>
            </w:r>
            <w:r>
              <w:rPr>
                <w:sz w:val="18"/>
              </w:rPr>
              <w:t>with</w:t>
            </w:r>
            <w:r>
              <w:rPr>
                <w:spacing w:val="-4"/>
                <w:sz w:val="18"/>
              </w:rPr>
              <w:t> </w:t>
            </w:r>
            <w:r>
              <w:rPr>
                <w:sz w:val="18"/>
              </w:rPr>
              <w:t>congenital</w:t>
            </w:r>
            <w:r>
              <w:rPr>
                <w:spacing w:val="-3"/>
                <w:sz w:val="18"/>
              </w:rPr>
              <w:t> </w:t>
            </w:r>
            <w:r>
              <w:rPr>
                <w:sz w:val="18"/>
              </w:rPr>
              <w:t>heart</w:t>
            </w:r>
            <w:r>
              <w:rPr>
                <w:spacing w:val="-1"/>
                <w:sz w:val="18"/>
              </w:rPr>
              <w:t> </w:t>
            </w:r>
            <w:r>
              <w:rPr>
                <w:sz w:val="18"/>
              </w:rPr>
              <w:t>disease</w:t>
            </w:r>
            <w:r>
              <w:rPr>
                <w:spacing w:val="-1"/>
                <w:sz w:val="18"/>
              </w:rPr>
              <w:t> </w:t>
            </w:r>
            <w:r>
              <w:rPr>
                <w:sz w:val="18"/>
              </w:rPr>
              <w:t>-</w:t>
            </w:r>
            <w:r>
              <w:rPr>
                <w:spacing w:val="-2"/>
                <w:sz w:val="18"/>
              </w:rPr>
              <w:t> </w:t>
            </w:r>
            <w:r>
              <w:rPr>
                <w:sz w:val="18"/>
              </w:rPr>
              <w:t>a</w:t>
            </w:r>
            <w:r>
              <w:rPr>
                <w:spacing w:val="-3"/>
                <w:sz w:val="18"/>
              </w:rPr>
              <w:t> </w:t>
            </w:r>
            <w:r>
              <w:rPr>
                <w:sz w:val="18"/>
              </w:rPr>
              <w:t>single</w:t>
            </w:r>
            <w:r>
              <w:rPr>
                <w:spacing w:val="-3"/>
                <w:sz w:val="18"/>
              </w:rPr>
              <w:t> </w:t>
            </w:r>
            <w:r>
              <w:rPr>
                <w:sz w:val="18"/>
              </w:rPr>
              <w:t>centre</w:t>
            </w:r>
            <w:r>
              <w:rPr>
                <w:spacing w:val="-3"/>
                <w:sz w:val="18"/>
              </w:rPr>
              <w:t> </w:t>
            </w:r>
            <w:r>
              <w:rPr>
                <w:sz w:val="18"/>
              </w:rPr>
              <w:t>study.</w:t>
            </w:r>
            <w:r>
              <w:rPr>
                <w:spacing w:val="-3"/>
                <w:sz w:val="18"/>
              </w:rPr>
              <w:t> </w:t>
            </w:r>
            <w:r>
              <w:rPr>
                <w:sz w:val="18"/>
              </w:rPr>
              <w:t>Int</w:t>
            </w:r>
            <w:r>
              <w:rPr>
                <w:spacing w:val="-2"/>
                <w:sz w:val="18"/>
              </w:rPr>
              <w:t> </w:t>
            </w:r>
            <w:r>
              <w:rPr>
                <w:sz w:val="18"/>
              </w:rPr>
              <w:t>J</w:t>
            </w:r>
            <w:r>
              <w:rPr>
                <w:spacing w:val="-2"/>
                <w:sz w:val="18"/>
              </w:rPr>
              <w:t> </w:t>
            </w:r>
            <w:r>
              <w:rPr>
                <w:sz w:val="18"/>
              </w:rPr>
              <w:t>Cardiol.</w:t>
            </w:r>
            <w:r>
              <w:rPr>
                <w:spacing w:val="-3"/>
                <w:sz w:val="18"/>
              </w:rPr>
              <w:t> </w:t>
            </w:r>
            <w:r>
              <w:rPr>
                <w:sz w:val="18"/>
              </w:rPr>
              <w:t>2020</w:t>
            </w:r>
            <w:r>
              <w:rPr>
                <w:spacing w:val="-2"/>
                <w:sz w:val="18"/>
              </w:rPr>
              <w:t> </w:t>
            </w:r>
            <w:r>
              <w:rPr>
                <w:sz w:val="18"/>
              </w:rPr>
              <w:t>Feb</w:t>
            </w:r>
            <w:r>
              <w:rPr>
                <w:spacing w:val="-1"/>
                <w:sz w:val="18"/>
              </w:rPr>
              <w:t> </w:t>
            </w:r>
            <w:r>
              <w:rPr>
                <w:sz w:val="18"/>
              </w:rPr>
              <w:t>1;300:127-</w:t>
            </w:r>
          </w:p>
          <w:p>
            <w:pPr>
              <w:pStyle w:val="TableParagraph"/>
              <w:ind w:left="105"/>
              <w:rPr>
                <w:sz w:val="18"/>
              </w:rPr>
            </w:pPr>
            <w:r>
              <w:rPr>
                <w:sz w:val="18"/>
              </w:rPr>
              <w:t>131.</w:t>
            </w:r>
            <w:r>
              <w:rPr>
                <w:spacing w:val="-6"/>
                <w:sz w:val="18"/>
              </w:rPr>
              <w:t> </w:t>
            </w:r>
            <w:r>
              <w:rPr>
                <w:sz w:val="18"/>
              </w:rPr>
              <w:t>doi:</w:t>
            </w:r>
            <w:r>
              <w:rPr>
                <w:spacing w:val="-3"/>
                <w:sz w:val="18"/>
              </w:rPr>
              <w:t> </w:t>
            </w:r>
            <w:r>
              <w:rPr>
                <w:sz w:val="18"/>
              </w:rPr>
              <w:t>10.1016/j.ijcard.2019.09.077.</w:t>
            </w:r>
            <w:r>
              <w:rPr>
                <w:spacing w:val="-4"/>
                <w:sz w:val="18"/>
              </w:rPr>
              <w:t> </w:t>
            </w:r>
            <w:r>
              <w:rPr>
                <w:sz w:val="18"/>
              </w:rPr>
              <w:t>Epub</w:t>
            </w:r>
            <w:r>
              <w:rPr>
                <w:spacing w:val="-4"/>
                <w:sz w:val="18"/>
              </w:rPr>
              <w:t> </w:t>
            </w:r>
            <w:r>
              <w:rPr>
                <w:sz w:val="18"/>
              </w:rPr>
              <w:t>2019</w:t>
            </w:r>
            <w:r>
              <w:rPr>
                <w:spacing w:val="-3"/>
                <w:sz w:val="18"/>
              </w:rPr>
              <w:t> </w:t>
            </w:r>
            <w:r>
              <w:rPr>
                <w:sz w:val="18"/>
              </w:rPr>
              <w:t>Oct</w:t>
            </w:r>
            <w:r>
              <w:rPr>
                <w:spacing w:val="-3"/>
                <w:sz w:val="18"/>
              </w:rPr>
              <w:t> </w:t>
            </w:r>
            <w:r>
              <w:rPr>
                <w:sz w:val="18"/>
              </w:rPr>
              <w:t>11.</w:t>
            </w:r>
            <w:r>
              <w:rPr>
                <w:spacing w:val="-4"/>
                <w:sz w:val="18"/>
              </w:rPr>
              <w:t> </w:t>
            </w:r>
            <w:r>
              <w:rPr>
                <w:sz w:val="18"/>
              </w:rPr>
              <w:t>PMID:</w:t>
            </w:r>
            <w:r>
              <w:rPr>
                <w:spacing w:val="-3"/>
                <w:sz w:val="18"/>
              </w:rPr>
              <w:t> </w:t>
            </w:r>
            <w:r>
              <w:rPr>
                <w:spacing w:val="-2"/>
                <w:sz w:val="18"/>
              </w:rPr>
              <w:t>31668654.</w:t>
            </w:r>
          </w:p>
        </w:tc>
        <w:tc>
          <w:tcPr>
            <w:tcW w:w="5811" w:type="dxa"/>
          </w:tcPr>
          <w:p>
            <w:pPr>
              <w:pStyle w:val="TableParagraph"/>
              <w:spacing w:line="278" w:lineRule="auto"/>
              <w:ind w:left="105"/>
              <w:rPr>
                <w:sz w:val="18"/>
              </w:rPr>
            </w:pPr>
            <w:r>
              <w:rPr>
                <w:sz w:val="18"/>
              </w:rPr>
              <w:t>Results</w:t>
            </w:r>
            <w:r>
              <w:rPr>
                <w:spacing w:val="-5"/>
                <w:sz w:val="18"/>
              </w:rPr>
              <w:t> </w:t>
            </w:r>
            <w:r>
              <w:rPr>
                <w:sz w:val="18"/>
              </w:rPr>
              <w:t>not</w:t>
            </w:r>
            <w:r>
              <w:rPr>
                <w:spacing w:val="-5"/>
                <w:sz w:val="18"/>
              </w:rPr>
              <w:t> </w:t>
            </w:r>
            <w:r>
              <w:rPr>
                <w:sz w:val="18"/>
              </w:rPr>
              <w:t>described</w:t>
            </w:r>
            <w:r>
              <w:rPr>
                <w:spacing w:val="-6"/>
                <w:sz w:val="18"/>
              </w:rPr>
              <w:t> </w:t>
            </w:r>
            <w:r>
              <w:rPr>
                <w:sz w:val="18"/>
              </w:rPr>
              <w:t>separately</w:t>
            </w:r>
            <w:r>
              <w:rPr>
                <w:spacing w:val="-4"/>
                <w:sz w:val="18"/>
              </w:rPr>
              <w:t> </w:t>
            </w:r>
            <w:r>
              <w:rPr>
                <w:sz w:val="18"/>
              </w:rPr>
              <w:t>for</w:t>
            </w:r>
            <w:r>
              <w:rPr>
                <w:spacing w:val="-5"/>
                <w:sz w:val="18"/>
              </w:rPr>
              <w:t> </w:t>
            </w:r>
            <w:r>
              <w:rPr>
                <w:sz w:val="18"/>
              </w:rPr>
              <w:t>patients</w:t>
            </w:r>
            <w:r>
              <w:rPr>
                <w:spacing w:val="-7"/>
                <w:sz w:val="18"/>
              </w:rPr>
              <w:t> </w:t>
            </w:r>
            <w:r>
              <w:rPr>
                <w:sz w:val="18"/>
              </w:rPr>
              <w:t>who</w:t>
            </w:r>
            <w:r>
              <w:rPr>
                <w:spacing w:val="-5"/>
                <w:sz w:val="18"/>
              </w:rPr>
              <w:t> </w:t>
            </w:r>
            <w:r>
              <w:rPr>
                <w:sz w:val="18"/>
              </w:rPr>
              <w:t>underwent</w:t>
            </w:r>
            <w:r>
              <w:rPr>
                <w:spacing w:val="-5"/>
                <w:sz w:val="18"/>
              </w:rPr>
              <w:t> </w:t>
            </w:r>
            <w:r>
              <w:rPr>
                <w:sz w:val="18"/>
              </w:rPr>
              <w:t>Fontan </w:t>
            </w:r>
            <w:r>
              <w:rPr>
                <w:spacing w:val="-2"/>
                <w:sz w:val="18"/>
              </w:rPr>
              <w:t>procedure</w:t>
            </w:r>
          </w:p>
        </w:tc>
      </w:tr>
      <w:tr>
        <w:trPr>
          <w:trHeight w:val="925" w:hRule="atLeast"/>
        </w:trPr>
        <w:tc>
          <w:tcPr>
            <w:tcW w:w="8358" w:type="dxa"/>
            <w:shd w:val="clear" w:color="auto" w:fill="D9D9D9"/>
          </w:tcPr>
          <w:p>
            <w:pPr>
              <w:pStyle w:val="TableParagraph"/>
              <w:spacing w:line="278" w:lineRule="auto"/>
              <w:ind w:left="105"/>
              <w:rPr>
                <w:sz w:val="18"/>
              </w:rPr>
            </w:pPr>
            <w:r>
              <w:rPr>
                <w:sz w:val="18"/>
              </w:rPr>
              <w:t>Singh D, Jerrom T, Issitt R, Saxena R. Early thromboembolic complications after total cavopulmonary connection/Fontan</w:t>
            </w:r>
            <w:r>
              <w:rPr>
                <w:spacing w:val="-5"/>
                <w:sz w:val="18"/>
              </w:rPr>
              <w:t> </w:t>
            </w:r>
            <w:r>
              <w:rPr>
                <w:sz w:val="18"/>
              </w:rPr>
              <w:t>operation</w:t>
            </w:r>
            <w:r>
              <w:rPr>
                <w:spacing w:val="-4"/>
                <w:sz w:val="18"/>
              </w:rPr>
              <w:t> </w:t>
            </w:r>
            <w:r>
              <w:rPr>
                <w:sz w:val="18"/>
              </w:rPr>
              <w:t>in</w:t>
            </w:r>
            <w:r>
              <w:rPr>
                <w:spacing w:val="-5"/>
                <w:sz w:val="18"/>
              </w:rPr>
              <w:t> </w:t>
            </w:r>
            <w:r>
              <w:rPr>
                <w:sz w:val="18"/>
              </w:rPr>
              <w:t>children:</w:t>
            </w:r>
            <w:r>
              <w:rPr>
                <w:spacing w:val="-1"/>
                <w:sz w:val="18"/>
              </w:rPr>
              <w:t> </w:t>
            </w:r>
            <w:r>
              <w:rPr>
                <w:sz w:val="18"/>
              </w:rPr>
              <w:t>A</w:t>
            </w:r>
            <w:r>
              <w:rPr>
                <w:spacing w:val="-5"/>
                <w:sz w:val="18"/>
              </w:rPr>
              <w:t> </w:t>
            </w:r>
            <w:r>
              <w:rPr>
                <w:sz w:val="18"/>
              </w:rPr>
              <w:t>five</w:t>
            </w:r>
            <w:r>
              <w:rPr>
                <w:spacing w:val="-4"/>
                <w:sz w:val="18"/>
              </w:rPr>
              <w:t> </w:t>
            </w:r>
            <w:r>
              <w:rPr>
                <w:sz w:val="18"/>
              </w:rPr>
              <w:t>year</w:t>
            </w:r>
            <w:r>
              <w:rPr>
                <w:spacing w:val="-3"/>
                <w:sz w:val="18"/>
              </w:rPr>
              <w:t> </w:t>
            </w:r>
            <w:r>
              <w:rPr>
                <w:sz w:val="18"/>
              </w:rPr>
              <w:t>single</w:t>
            </w:r>
            <w:r>
              <w:rPr>
                <w:spacing w:val="-4"/>
                <w:sz w:val="18"/>
              </w:rPr>
              <w:t> </w:t>
            </w:r>
            <w:r>
              <w:rPr>
                <w:sz w:val="18"/>
              </w:rPr>
              <w:t>centre</w:t>
            </w:r>
            <w:r>
              <w:rPr>
                <w:spacing w:val="-2"/>
                <w:sz w:val="18"/>
              </w:rPr>
              <w:t> </w:t>
            </w:r>
            <w:r>
              <w:rPr>
                <w:sz w:val="18"/>
              </w:rPr>
              <w:t>review.</w:t>
            </w:r>
            <w:r>
              <w:rPr>
                <w:spacing w:val="-4"/>
                <w:sz w:val="18"/>
              </w:rPr>
              <w:t> </w:t>
            </w:r>
            <w:r>
              <w:rPr>
                <w:sz w:val="18"/>
              </w:rPr>
              <w:t>Progress</w:t>
            </w:r>
            <w:r>
              <w:rPr>
                <w:spacing w:val="-4"/>
                <w:sz w:val="18"/>
              </w:rPr>
              <w:t> </w:t>
            </w:r>
            <w:r>
              <w:rPr>
                <w:sz w:val="18"/>
              </w:rPr>
              <w:t>in</w:t>
            </w:r>
            <w:r>
              <w:rPr>
                <w:spacing w:val="-4"/>
                <w:sz w:val="18"/>
              </w:rPr>
              <w:t> </w:t>
            </w:r>
            <w:r>
              <w:rPr>
                <w:sz w:val="18"/>
              </w:rPr>
              <w:t>Pediatric</w:t>
            </w:r>
            <w:r>
              <w:rPr>
                <w:spacing w:val="-3"/>
                <w:sz w:val="18"/>
              </w:rPr>
              <w:t> </w:t>
            </w:r>
            <w:r>
              <w:rPr>
                <w:sz w:val="18"/>
              </w:rPr>
              <w:t>Cardiology [Internet]. 2021 Jan 22;63:101344. Available from: </w:t>
            </w:r>
            <w:hyperlink r:id="rId8">
              <w:r>
                <w:rPr>
                  <w:color w:val="467885"/>
                  <w:sz w:val="18"/>
                  <w:u w:val="single" w:color="467885"/>
                </w:rPr>
                <w:t>https://doi.org/10.1016/j.ppedcard.2021.101344</w:t>
              </w:r>
            </w:hyperlink>
          </w:p>
        </w:tc>
        <w:tc>
          <w:tcPr>
            <w:tcW w:w="5811" w:type="dxa"/>
          </w:tcPr>
          <w:p>
            <w:pPr>
              <w:pStyle w:val="TableParagraph"/>
              <w:spacing w:line="218" w:lineRule="exact"/>
              <w:ind w:left="105"/>
              <w:rPr>
                <w:sz w:val="18"/>
              </w:rPr>
            </w:pPr>
            <w:r>
              <w:rPr>
                <w:sz w:val="18"/>
              </w:rPr>
              <w:t>Combination</w:t>
            </w:r>
            <w:r>
              <w:rPr>
                <w:spacing w:val="-3"/>
                <w:sz w:val="18"/>
              </w:rPr>
              <w:t> </w:t>
            </w:r>
            <w:r>
              <w:rPr>
                <w:sz w:val="18"/>
              </w:rPr>
              <w:t>of</w:t>
            </w:r>
            <w:r>
              <w:rPr>
                <w:spacing w:val="-3"/>
                <w:sz w:val="18"/>
              </w:rPr>
              <w:t> </w:t>
            </w:r>
            <w:r>
              <w:rPr>
                <w:sz w:val="18"/>
              </w:rPr>
              <w:t>treatments</w:t>
            </w:r>
            <w:r>
              <w:rPr>
                <w:spacing w:val="-2"/>
                <w:sz w:val="18"/>
              </w:rPr>
              <w:t> </w:t>
            </w:r>
            <w:r>
              <w:rPr>
                <w:sz w:val="18"/>
              </w:rPr>
              <w:t>received</w:t>
            </w:r>
            <w:r>
              <w:rPr>
                <w:spacing w:val="-3"/>
                <w:sz w:val="18"/>
              </w:rPr>
              <w:t> </w:t>
            </w:r>
            <w:r>
              <w:rPr>
                <w:sz w:val="18"/>
              </w:rPr>
              <w:t>by</w:t>
            </w:r>
            <w:r>
              <w:rPr>
                <w:spacing w:val="-1"/>
                <w:sz w:val="18"/>
              </w:rPr>
              <w:t> </w:t>
            </w:r>
            <w:r>
              <w:rPr>
                <w:sz w:val="18"/>
              </w:rPr>
              <w:t>children</w:t>
            </w:r>
            <w:r>
              <w:rPr>
                <w:spacing w:val="-3"/>
                <w:sz w:val="18"/>
              </w:rPr>
              <w:t> </w:t>
            </w:r>
            <w:r>
              <w:rPr>
                <w:sz w:val="18"/>
              </w:rPr>
              <w:t>without</w:t>
            </w:r>
            <w:r>
              <w:rPr>
                <w:spacing w:val="-1"/>
                <w:sz w:val="18"/>
              </w:rPr>
              <w:t> </w:t>
            </w:r>
            <w:r>
              <w:rPr>
                <w:sz w:val="18"/>
              </w:rPr>
              <w:t>event</w:t>
            </w:r>
            <w:r>
              <w:rPr>
                <w:spacing w:val="-2"/>
                <w:sz w:val="18"/>
              </w:rPr>
              <w:t> </w:t>
            </w:r>
            <w:r>
              <w:rPr>
                <w:sz w:val="18"/>
              </w:rPr>
              <w:t>is </w:t>
            </w:r>
            <w:r>
              <w:rPr>
                <w:spacing w:val="-2"/>
                <w:sz w:val="18"/>
              </w:rPr>
              <w:t>unclear</w:t>
            </w:r>
          </w:p>
        </w:tc>
      </w:tr>
      <w:tr>
        <w:trPr>
          <w:trHeight w:val="925" w:hRule="atLeast"/>
        </w:trPr>
        <w:tc>
          <w:tcPr>
            <w:tcW w:w="8358" w:type="dxa"/>
            <w:shd w:val="clear" w:color="auto" w:fill="D9D9D9"/>
          </w:tcPr>
          <w:p>
            <w:pPr>
              <w:pStyle w:val="TableParagraph"/>
              <w:spacing w:line="278" w:lineRule="auto"/>
              <w:ind w:left="105" w:right="98"/>
              <w:rPr>
                <w:sz w:val="18"/>
              </w:rPr>
            </w:pPr>
            <w:r>
              <w:rPr>
                <w:sz w:val="18"/>
              </w:rPr>
              <w:t>Alsaied T, Alsidawi S, Allen CC, Faircloth J, Palumbo JS, Veldtman GR. Strategies for thromboprophylaxis in Fontan</w:t>
            </w:r>
            <w:r>
              <w:rPr>
                <w:spacing w:val="-6"/>
                <w:sz w:val="18"/>
              </w:rPr>
              <w:t> </w:t>
            </w:r>
            <w:r>
              <w:rPr>
                <w:sz w:val="18"/>
              </w:rPr>
              <w:t>circulation:</w:t>
            </w:r>
            <w:r>
              <w:rPr>
                <w:spacing w:val="-4"/>
                <w:sz w:val="18"/>
              </w:rPr>
              <w:t> </w:t>
            </w:r>
            <w:r>
              <w:rPr>
                <w:sz w:val="18"/>
              </w:rPr>
              <w:t>a</w:t>
            </w:r>
            <w:r>
              <w:rPr>
                <w:spacing w:val="-5"/>
                <w:sz w:val="18"/>
              </w:rPr>
              <w:t> </w:t>
            </w:r>
            <w:r>
              <w:rPr>
                <w:sz w:val="18"/>
              </w:rPr>
              <w:t>meta-analysis.</w:t>
            </w:r>
            <w:r>
              <w:rPr>
                <w:spacing w:val="-5"/>
                <w:sz w:val="18"/>
              </w:rPr>
              <w:t> </w:t>
            </w:r>
            <w:r>
              <w:rPr>
                <w:sz w:val="18"/>
              </w:rPr>
              <w:t>Heart.</w:t>
            </w:r>
            <w:r>
              <w:rPr>
                <w:spacing w:val="-5"/>
                <w:sz w:val="18"/>
              </w:rPr>
              <w:t> </w:t>
            </w:r>
            <w:r>
              <w:rPr>
                <w:sz w:val="18"/>
              </w:rPr>
              <w:t>2015</w:t>
            </w:r>
            <w:r>
              <w:rPr>
                <w:spacing w:val="-4"/>
                <w:sz w:val="18"/>
              </w:rPr>
              <w:t> </w:t>
            </w:r>
            <w:r>
              <w:rPr>
                <w:sz w:val="18"/>
              </w:rPr>
              <w:t>Nov;101(21):1731-7.</w:t>
            </w:r>
            <w:r>
              <w:rPr>
                <w:spacing w:val="-5"/>
                <w:sz w:val="18"/>
              </w:rPr>
              <w:t> </w:t>
            </w:r>
            <w:r>
              <w:rPr>
                <w:sz w:val="18"/>
              </w:rPr>
              <w:t>doi:</w:t>
            </w:r>
            <w:r>
              <w:rPr>
                <w:spacing w:val="-4"/>
                <w:sz w:val="18"/>
              </w:rPr>
              <w:t> </w:t>
            </w:r>
            <w:r>
              <w:rPr>
                <w:sz w:val="18"/>
              </w:rPr>
              <w:t>10.1136/heartjnl-2015-307930.</w:t>
            </w:r>
            <w:r>
              <w:rPr>
                <w:spacing w:val="-5"/>
                <w:sz w:val="18"/>
              </w:rPr>
              <w:t> </w:t>
            </w:r>
            <w:r>
              <w:rPr>
                <w:sz w:val="18"/>
              </w:rPr>
              <w:t>Epub 2015 Aug 28. PMID: 26319122.</w:t>
            </w:r>
          </w:p>
        </w:tc>
        <w:tc>
          <w:tcPr>
            <w:tcW w:w="5811" w:type="dxa"/>
          </w:tcPr>
          <w:p>
            <w:pPr>
              <w:pStyle w:val="TableParagraph"/>
              <w:spacing w:line="280" w:lineRule="auto"/>
              <w:ind w:left="105"/>
              <w:rPr>
                <w:sz w:val="18"/>
              </w:rPr>
            </w:pPr>
            <w:r>
              <w:rPr>
                <w:sz w:val="18"/>
              </w:rPr>
              <w:t>No</w:t>
            </w:r>
            <w:r>
              <w:rPr>
                <w:spacing w:val="-5"/>
                <w:sz w:val="18"/>
              </w:rPr>
              <w:t> </w:t>
            </w:r>
            <w:r>
              <w:rPr>
                <w:sz w:val="18"/>
              </w:rPr>
              <w:t>quality</w:t>
            </w:r>
            <w:r>
              <w:rPr>
                <w:spacing w:val="-5"/>
                <w:sz w:val="18"/>
              </w:rPr>
              <w:t> </w:t>
            </w:r>
            <w:r>
              <w:rPr>
                <w:sz w:val="18"/>
              </w:rPr>
              <w:t>assessment</w:t>
            </w:r>
            <w:r>
              <w:rPr>
                <w:spacing w:val="-5"/>
                <w:sz w:val="18"/>
              </w:rPr>
              <w:t> </w:t>
            </w:r>
            <w:r>
              <w:rPr>
                <w:sz w:val="18"/>
              </w:rPr>
              <w:t>was</w:t>
            </w:r>
            <w:r>
              <w:rPr>
                <w:spacing w:val="-6"/>
                <w:sz w:val="18"/>
              </w:rPr>
              <w:t> </w:t>
            </w:r>
            <w:r>
              <w:rPr>
                <w:sz w:val="18"/>
              </w:rPr>
              <w:t>conducted,</w:t>
            </w:r>
            <w:r>
              <w:rPr>
                <w:spacing w:val="-5"/>
                <w:sz w:val="18"/>
              </w:rPr>
              <w:t> </w:t>
            </w:r>
            <w:r>
              <w:rPr>
                <w:sz w:val="18"/>
              </w:rPr>
              <w:t>Embase</w:t>
            </w:r>
            <w:r>
              <w:rPr>
                <w:spacing w:val="-6"/>
                <w:sz w:val="18"/>
              </w:rPr>
              <w:t> </w:t>
            </w:r>
            <w:r>
              <w:rPr>
                <w:sz w:val="18"/>
              </w:rPr>
              <w:t>was</w:t>
            </w:r>
            <w:r>
              <w:rPr>
                <w:spacing w:val="-6"/>
                <w:sz w:val="18"/>
              </w:rPr>
              <w:t> </w:t>
            </w:r>
            <w:r>
              <w:rPr>
                <w:sz w:val="18"/>
              </w:rPr>
              <w:t>not</w:t>
            </w:r>
            <w:r>
              <w:rPr>
                <w:spacing w:val="-5"/>
                <w:sz w:val="18"/>
              </w:rPr>
              <w:t> </w:t>
            </w:r>
            <w:r>
              <w:rPr>
                <w:sz w:val="18"/>
              </w:rPr>
              <w:t>searched,</w:t>
            </w:r>
            <w:r>
              <w:rPr>
                <w:spacing w:val="-5"/>
                <w:sz w:val="18"/>
              </w:rPr>
              <w:t> </w:t>
            </w:r>
            <w:r>
              <w:rPr>
                <w:sz w:val="18"/>
              </w:rPr>
              <w:t>available comparisons are limited (only aspirin vs. warfarin)</w:t>
            </w:r>
          </w:p>
        </w:tc>
      </w:tr>
      <w:tr>
        <w:trPr>
          <w:trHeight w:val="1183" w:hRule="atLeast"/>
        </w:trPr>
        <w:tc>
          <w:tcPr>
            <w:tcW w:w="8358" w:type="dxa"/>
            <w:shd w:val="clear" w:color="auto" w:fill="D9D9D9"/>
          </w:tcPr>
          <w:p>
            <w:pPr>
              <w:pStyle w:val="TableParagraph"/>
              <w:spacing w:line="280" w:lineRule="auto"/>
              <w:ind w:left="105" w:right="149"/>
              <w:rPr>
                <w:sz w:val="18"/>
              </w:rPr>
            </w:pPr>
            <w:r>
              <w:rPr>
                <w:sz w:val="18"/>
              </w:rPr>
              <w:t>Attard</w:t>
            </w:r>
            <w:r>
              <w:rPr>
                <w:spacing w:val="-4"/>
                <w:sz w:val="18"/>
              </w:rPr>
              <w:t> </w:t>
            </w:r>
            <w:r>
              <w:rPr>
                <w:sz w:val="18"/>
              </w:rPr>
              <w:t>C,</w:t>
            </w:r>
            <w:r>
              <w:rPr>
                <w:spacing w:val="-2"/>
                <w:sz w:val="18"/>
              </w:rPr>
              <w:t> </w:t>
            </w:r>
            <w:r>
              <w:rPr>
                <w:sz w:val="18"/>
              </w:rPr>
              <w:t>Monagle</w:t>
            </w:r>
            <w:r>
              <w:rPr>
                <w:spacing w:val="-3"/>
                <w:sz w:val="18"/>
              </w:rPr>
              <w:t> </w:t>
            </w:r>
            <w:r>
              <w:rPr>
                <w:sz w:val="18"/>
              </w:rPr>
              <w:t>PT,</w:t>
            </w:r>
            <w:r>
              <w:rPr>
                <w:spacing w:val="-2"/>
                <w:sz w:val="18"/>
              </w:rPr>
              <w:t> </w:t>
            </w:r>
            <w:r>
              <w:rPr>
                <w:sz w:val="18"/>
              </w:rPr>
              <w:t>d'Udekem Y,</w:t>
            </w:r>
            <w:r>
              <w:rPr>
                <w:spacing w:val="-2"/>
                <w:sz w:val="18"/>
              </w:rPr>
              <w:t> </w:t>
            </w:r>
            <w:r>
              <w:rPr>
                <w:sz w:val="18"/>
              </w:rPr>
              <w:t>Mackay</w:t>
            </w:r>
            <w:r>
              <w:rPr>
                <w:spacing w:val="-2"/>
                <w:sz w:val="18"/>
              </w:rPr>
              <w:t> </w:t>
            </w:r>
            <w:r>
              <w:rPr>
                <w:sz w:val="18"/>
              </w:rPr>
              <w:t>MT,</w:t>
            </w:r>
            <w:r>
              <w:rPr>
                <w:spacing w:val="-2"/>
                <w:sz w:val="18"/>
              </w:rPr>
              <w:t> </w:t>
            </w:r>
            <w:r>
              <w:rPr>
                <w:sz w:val="18"/>
              </w:rPr>
              <w:t>Briody</w:t>
            </w:r>
            <w:r>
              <w:rPr>
                <w:spacing w:val="-2"/>
                <w:sz w:val="18"/>
              </w:rPr>
              <w:t> </w:t>
            </w:r>
            <w:r>
              <w:rPr>
                <w:sz w:val="18"/>
              </w:rPr>
              <w:t>J,</w:t>
            </w:r>
            <w:r>
              <w:rPr>
                <w:spacing w:val="-2"/>
                <w:sz w:val="18"/>
              </w:rPr>
              <w:t> </w:t>
            </w:r>
            <w:r>
              <w:rPr>
                <w:sz w:val="18"/>
              </w:rPr>
              <w:t>Cordina R,</w:t>
            </w:r>
            <w:r>
              <w:rPr>
                <w:spacing w:val="-2"/>
                <w:sz w:val="18"/>
              </w:rPr>
              <w:t> </w:t>
            </w:r>
            <w:r>
              <w:rPr>
                <w:sz w:val="18"/>
              </w:rPr>
              <w:t>Hassan</w:t>
            </w:r>
            <w:r>
              <w:rPr>
                <w:spacing w:val="-3"/>
                <w:sz w:val="18"/>
              </w:rPr>
              <w:t> </w:t>
            </w:r>
            <w:r>
              <w:rPr>
                <w:sz w:val="18"/>
              </w:rPr>
              <w:t>EB,</w:t>
            </w:r>
            <w:r>
              <w:rPr>
                <w:spacing w:val="-2"/>
                <w:sz w:val="18"/>
              </w:rPr>
              <w:t> </w:t>
            </w:r>
            <w:r>
              <w:rPr>
                <w:sz w:val="18"/>
              </w:rPr>
              <w:t>Simm</w:t>
            </w:r>
            <w:r>
              <w:rPr>
                <w:spacing w:val="-2"/>
                <w:sz w:val="18"/>
              </w:rPr>
              <w:t> </w:t>
            </w:r>
            <w:r>
              <w:rPr>
                <w:sz w:val="18"/>
              </w:rPr>
              <w:t>P,</w:t>
            </w:r>
            <w:r>
              <w:rPr>
                <w:spacing w:val="-2"/>
                <w:sz w:val="18"/>
              </w:rPr>
              <w:t> </w:t>
            </w:r>
            <w:r>
              <w:rPr>
                <w:sz w:val="18"/>
              </w:rPr>
              <w:t>Rice</w:t>
            </w:r>
            <w:r>
              <w:rPr>
                <w:spacing w:val="-3"/>
                <w:sz w:val="18"/>
              </w:rPr>
              <w:t> </w:t>
            </w:r>
            <w:r>
              <w:rPr>
                <w:sz w:val="18"/>
              </w:rPr>
              <w:t>K,</w:t>
            </w:r>
            <w:r>
              <w:rPr>
                <w:spacing w:val="-4"/>
                <w:sz w:val="18"/>
              </w:rPr>
              <w:t> </w:t>
            </w:r>
            <w:r>
              <w:rPr>
                <w:sz w:val="18"/>
              </w:rPr>
              <w:t>Ignjatovic</w:t>
            </w:r>
            <w:r>
              <w:rPr>
                <w:spacing w:val="-2"/>
                <w:sz w:val="18"/>
              </w:rPr>
              <w:t> </w:t>
            </w:r>
            <w:r>
              <w:rPr>
                <w:sz w:val="18"/>
              </w:rPr>
              <w:t>V; ANZ</w:t>
            </w:r>
            <w:r>
              <w:rPr>
                <w:spacing w:val="-1"/>
                <w:sz w:val="18"/>
              </w:rPr>
              <w:t> </w:t>
            </w:r>
            <w:r>
              <w:rPr>
                <w:sz w:val="18"/>
              </w:rPr>
              <w:t>Fontan</w:t>
            </w:r>
            <w:r>
              <w:rPr>
                <w:spacing w:val="-1"/>
                <w:sz w:val="18"/>
              </w:rPr>
              <w:t> </w:t>
            </w:r>
            <w:r>
              <w:rPr>
                <w:sz w:val="18"/>
              </w:rPr>
              <w:t>Registry Research</w:t>
            </w:r>
            <w:r>
              <w:rPr>
                <w:spacing w:val="-1"/>
                <w:sz w:val="18"/>
              </w:rPr>
              <w:t> </w:t>
            </w:r>
            <w:r>
              <w:rPr>
                <w:sz w:val="18"/>
              </w:rPr>
              <w:t>group.</w:t>
            </w:r>
            <w:r>
              <w:rPr>
                <w:spacing w:val="-1"/>
                <w:sz w:val="18"/>
              </w:rPr>
              <w:t> </w:t>
            </w:r>
            <w:r>
              <w:rPr>
                <w:sz w:val="18"/>
              </w:rPr>
              <w:t>Long-term outcomes</w:t>
            </w:r>
            <w:r>
              <w:rPr>
                <w:spacing w:val="-1"/>
                <w:sz w:val="18"/>
              </w:rPr>
              <w:t> </w:t>
            </w:r>
            <w:r>
              <w:rPr>
                <w:sz w:val="18"/>
              </w:rPr>
              <w:t>of</w:t>
            </w:r>
            <w:r>
              <w:rPr>
                <w:spacing w:val="-1"/>
                <w:sz w:val="18"/>
              </w:rPr>
              <w:t> </w:t>
            </w:r>
            <w:r>
              <w:rPr>
                <w:sz w:val="18"/>
              </w:rPr>
              <w:t>warfarin</w:t>
            </w:r>
            <w:r>
              <w:rPr>
                <w:spacing w:val="-1"/>
                <w:sz w:val="18"/>
              </w:rPr>
              <w:t> </w:t>
            </w:r>
            <w:r>
              <w:rPr>
                <w:sz w:val="18"/>
              </w:rPr>
              <w:t>versus</w:t>
            </w:r>
            <w:r>
              <w:rPr>
                <w:spacing w:val="-1"/>
                <w:sz w:val="18"/>
              </w:rPr>
              <w:t> </w:t>
            </w:r>
            <w:r>
              <w:rPr>
                <w:sz w:val="18"/>
              </w:rPr>
              <w:t>aspirin</w:t>
            </w:r>
            <w:r>
              <w:rPr>
                <w:spacing w:val="-1"/>
                <w:sz w:val="18"/>
              </w:rPr>
              <w:t> </w:t>
            </w:r>
            <w:r>
              <w:rPr>
                <w:sz w:val="18"/>
              </w:rPr>
              <w:t>after Fontan</w:t>
            </w:r>
            <w:r>
              <w:rPr>
                <w:spacing w:val="-1"/>
                <w:sz w:val="18"/>
              </w:rPr>
              <w:t> </w:t>
            </w:r>
            <w:r>
              <w:rPr>
                <w:sz w:val="18"/>
              </w:rPr>
              <w:t>surgery.</w:t>
            </w:r>
            <w:r>
              <w:rPr>
                <w:spacing w:val="-1"/>
                <w:sz w:val="18"/>
              </w:rPr>
              <w:t> </w:t>
            </w:r>
            <w:r>
              <w:rPr>
                <w:sz w:val="18"/>
              </w:rPr>
              <w:t>J Thorac Cardiovasc Surg. 2021 Oct;162(4):1218-1228.e3. doi: 10.1016/j.jtcvs.2020.12.102. Epub 2021 Jan 5. PMID: 33563422.</w:t>
            </w:r>
          </w:p>
        </w:tc>
        <w:tc>
          <w:tcPr>
            <w:tcW w:w="5811" w:type="dxa"/>
          </w:tcPr>
          <w:p>
            <w:pPr>
              <w:pStyle w:val="TableParagraph"/>
              <w:spacing w:line="219" w:lineRule="exact"/>
              <w:ind w:left="105"/>
              <w:rPr>
                <w:sz w:val="18"/>
              </w:rPr>
            </w:pPr>
            <w:r>
              <w:rPr>
                <w:sz w:val="18"/>
              </w:rPr>
              <w:t>Cross-sectional</w:t>
            </w:r>
            <w:r>
              <w:rPr>
                <w:spacing w:val="-4"/>
                <w:sz w:val="18"/>
              </w:rPr>
              <w:t> </w:t>
            </w:r>
            <w:r>
              <w:rPr>
                <w:sz w:val="18"/>
              </w:rPr>
              <w:t>study,</w:t>
            </w:r>
            <w:r>
              <w:rPr>
                <w:spacing w:val="-4"/>
                <w:sz w:val="18"/>
              </w:rPr>
              <w:t> </w:t>
            </w:r>
            <w:r>
              <w:rPr>
                <w:sz w:val="18"/>
              </w:rPr>
              <w:t>no</w:t>
            </w:r>
            <w:r>
              <w:rPr>
                <w:spacing w:val="-4"/>
                <w:sz w:val="18"/>
              </w:rPr>
              <w:t> </w:t>
            </w:r>
            <w:r>
              <w:rPr>
                <w:sz w:val="18"/>
              </w:rPr>
              <w:t>follow-</w:t>
            </w:r>
            <w:r>
              <w:rPr>
                <w:spacing w:val="-5"/>
                <w:sz w:val="18"/>
              </w:rPr>
              <w:t>up</w:t>
            </w:r>
          </w:p>
        </w:tc>
      </w:tr>
      <w:tr>
        <w:trPr>
          <w:trHeight w:val="1437" w:hRule="atLeast"/>
        </w:trPr>
        <w:tc>
          <w:tcPr>
            <w:tcW w:w="8358" w:type="dxa"/>
            <w:shd w:val="clear" w:color="auto" w:fill="D9D9D9"/>
          </w:tcPr>
          <w:p>
            <w:pPr>
              <w:pStyle w:val="TableParagraph"/>
              <w:spacing w:line="278" w:lineRule="auto"/>
              <w:ind w:left="105"/>
              <w:rPr>
                <w:sz w:val="18"/>
              </w:rPr>
            </w:pPr>
            <w:r>
              <w:rPr>
                <w:sz w:val="18"/>
              </w:rPr>
              <w:t>Deshaies C, Hamilton RM, Shohoudi A, Trottier H, Poirier N, Aboulhosn J, Broberg</w:t>
            </w:r>
            <w:r>
              <w:rPr>
                <w:spacing w:val="-1"/>
                <w:sz w:val="18"/>
              </w:rPr>
              <w:t> </w:t>
            </w:r>
            <w:r>
              <w:rPr>
                <w:sz w:val="18"/>
              </w:rPr>
              <w:t>CS, Cohen S, Cook S, Dore</w:t>
            </w:r>
            <w:r>
              <w:rPr>
                <w:spacing w:val="-1"/>
                <w:sz w:val="18"/>
              </w:rPr>
              <w:t> </w:t>
            </w:r>
            <w:r>
              <w:rPr>
                <w:sz w:val="18"/>
              </w:rPr>
              <w:t>A, Fernandes</w:t>
            </w:r>
            <w:r>
              <w:rPr>
                <w:spacing w:val="-4"/>
                <w:sz w:val="18"/>
              </w:rPr>
              <w:t> </w:t>
            </w:r>
            <w:r>
              <w:rPr>
                <w:sz w:val="18"/>
              </w:rPr>
              <w:t>SM,</w:t>
            </w:r>
            <w:r>
              <w:rPr>
                <w:spacing w:val="-3"/>
                <w:sz w:val="18"/>
              </w:rPr>
              <w:t> </w:t>
            </w:r>
            <w:r>
              <w:rPr>
                <w:sz w:val="18"/>
              </w:rPr>
              <w:t>Fournier</w:t>
            </w:r>
            <w:r>
              <w:rPr>
                <w:spacing w:val="-3"/>
                <w:sz w:val="18"/>
              </w:rPr>
              <w:t> </w:t>
            </w:r>
            <w:r>
              <w:rPr>
                <w:sz w:val="18"/>
              </w:rPr>
              <w:t>A,</w:t>
            </w:r>
            <w:r>
              <w:rPr>
                <w:spacing w:val="-3"/>
                <w:sz w:val="18"/>
              </w:rPr>
              <w:t> </w:t>
            </w:r>
            <w:r>
              <w:rPr>
                <w:sz w:val="18"/>
              </w:rPr>
              <w:t>Kay</w:t>
            </w:r>
            <w:r>
              <w:rPr>
                <w:spacing w:val="-3"/>
                <w:sz w:val="18"/>
              </w:rPr>
              <w:t> </w:t>
            </w:r>
            <w:r>
              <w:rPr>
                <w:sz w:val="18"/>
              </w:rPr>
              <w:t>J,</w:t>
            </w:r>
            <w:r>
              <w:rPr>
                <w:spacing w:val="-3"/>
                <w:sz w:val="18"/>
              </w:rPr>
              <w:t> </w:t>
            </w:r>
            <w:r>
              <w:rPr>
                <w:sz w:val="18"/>
              </w:rPr>
              <w:t>Mondésert</w:t>
            </w:r>
            <w:r>
              <w:rPr>
                <w:spacing w:val="-4"/>
                <w:sz w:val="18"/>
              </w:rPr>
              <w:t> </w:t>
            </w:r>
            <w:r>
              <w:rPr>
                <w:sz w:val="18"/>
              </w:rPr>
              <w:t>B,</w:t>
            </w:r>
            <w:r>
              <w:rPr>
                <w:spacing w:val="-3"/>
                <w:sz w:val="18"/>
              </w:rPr>
              <w:t> </w:t>
            </w:r>
            <w:r>
              <w:rPr>
                <w:sz w:val="18"/>
              </w:rPr>
              <w:t>Mongeon</w:t>
            </w:r>
            <w:r>
              <w:rPr>
                <w:spacing w:val="-4"/>
                <w:sz w:val="18"/>
              </w:rPr>
              <w:t> </w:t>
            </w:r>
            <w:r>
              <w:rPr>
                <w:sz w:val="18"/>
              </w:rPr>
              <w:t>FP,</w:t>
            </w:r>
            <w:r>
              <w:rPr>
                <w:spacing w:val="-3"/>
                <w:sz w:val="18"/>
              </w:rPr>
              <w:t> </w:t>
            </w:r>
            <w:r>
              <w:rPr>
                <w:sz w:val="18"/>
              </w:rPr>
              <w:t>Opotowsky</w:t>
            </w:r>
            <w:r>
              <w:rPr>
                <w:spacing w:val="-3"/>
                <w:sz w:val="18"/>
              </w:rPr>
              <w:t> </w:t>
            </w:r>
            <w:r>
              <w:rPr>
                <w:sz w:val="18"/>
              </w:rPr>
              <w:t>AR,</w:t>
            </w:r>
            <w:r>
              <w:rPr>
                <w:spacing w:val="-3"/>
                <w:sz w:val="18"/>
              </w:rPr>
              <w:t> </w:t>
            </w:r>
            <w:r>
              <w:rPr>
                <w:sz w:val="18"/>
              </w:rPr>
              <w:t>Proietti</w:t>
            </w:r>
            <w:r>
              <w:rPr>
                <w:spacing w:val="-4"/>
                <w:sz w:val="18"/>
              </w:rPr>
              <w:t> </w:t>
            </w:r>
            <w:r>
              <w:rPr>
                <w:sz w:val="18"/>
              </w:rPr>
              <w:t>A,</w:t>
            </w:r>
            <w:r>
              <w:rPr>
                <w:spacing w:val="-3"/>
                <w:sz w:val="18"/>
              </w:rPr>
              <w:t> </w:t>
            </w:r>
            <w:r>
              <w:rPr>
                <w:sz w:val="18"/>
              </w:rPr>
              <w:t>Ting</w:t>
            </w:r>
            <w:r>
              <w:rPr>
                <w:spacing w:val="-4"/>
                <w:sz w:val="18"/>
              </w:rPr>
              <w:t> </w:t>
            </w:r>
            <w:r>
              <w:rPr>
                <w:sz w:val="18"/>
              </w:rPr>
              <w:t>J,</w:t>
            </w:r>
            <w:r>
              <w:rPr>
                <w:spacing w:val="-3"/>
                <w:sz w:val="18"/>
              </w:rPr>
              <w:t> </w:t>
            </w:r>
            <w:r>
              <w:rPr>
                <w:sz w:val="18"/>
              </w:rPr>
              <w:t>Zaidi</w:t>
            </w:r>
            <w:r>
              <w:rPr>
                <w:spacing w:val="-2"/>
                <w:sz w:val="18"/>
              </w:rPr>
              <w:t> </w:t>
            </w:r>
            <w:r>
              <w:rPr>
                <w:sz w:val="18"/>
              </w:rPr>
              <w:t>A,</w:t>
            </w:r>
            <w:r>
              <w:rPr>
                <w:spacing w:val="-3"/>
                <w:sz w:val="18"/>
              </w:rPr>
              <w:t> </w:t>
            </w:r>
            <w:r>
              <w:rPr>
                <w:sz w:val="18"/>
              </w:rPr>
              <w:t>Khairy</w:t>
            </w:r>
            <w:r>
              <w:rPr>
                <w:spacing w:val="-3"/>
                <w:sz w:val="18"/>
              </w:rPr>
              <w:t> </w:t>
            </w:r>
            <w:r>
              <w:rPr>
                <w:sz w:val="18"/>
              </w:rPr>
              <w:t>P; Alliance for Adult Research in Congenital Cardiology (AARCC). Thromboembolic Risk After Atriopulmonary, Lateral Tunnel, and Extracardiac Conduit Fontan Surgery. J Am Coll Cardiol. 2019 Aug 27;74(8):1071-1081. doi: 10.1016/j.jacc.2019.06.051. PMID: 31439217.</w:t>
            </w:r>
          </w:p>
        </w:tc>
        <w:tc>
          <w:tcPr>
            <w:tcW w:w="5811" w:type="dxa"/>
          </w:tcPr>
          <w:p>
            <w:pPr>
              <w:pStyle w:val="TableParagraph"/>
              <w:spacing w:line="218" w:lineRule="exact"/>
              <w:ind w:left="105"/>
              <w:rPr>
                <w:sz w:val="18"/>
              </w:rPr>
            </w:pPr>
            <w:r>
              <w:rPr>
                <w:sz w:val="18"/>
              </w:rPr>
              <w:t>Wrong</w:t>
            </w:r>
            <w:r>
              <w:rPr>
                <w:spacing w:val="-3"/>
                <w:sz w:val="18"/>
              </w:rPr>
              <w:t> </w:t>
            </w:r>
            <w:r>
              <w:rPr>
                <w:spacing w:val="-2"/>
                <w:sz w:val="18"/>
              </w:rPr>
              <w:t>design</w:t>
            </w:r>
          </w:p>
        </w:tc>
      </w:tr>
      <w:tr>
        <w:trPr>
          <w:trHeight w:val="926" w:hRule="atLeast"/>
        </w:trPr>
        <w:tc>
          <w:tcPr>
            <w:tcW w:w="8358" w:type="dxa"/>
            <w:shd w:val="clear" w:color="auto" w:fill="D9D9D9"/>
          </w:tcPr>
          <w:p>
            <w:pPr>
              <w:pStyle w:val="TableParagraph"/>
              <w:spacing w:line="278" w:lineRule="auto"/>
              <w:ind w:left="105" w:right="149"/>
              <w:rPr>
                <w:sz w:val="18"/>
              </w:rPr>
            </w:pPr>
            <w:r>
              <w:rPr>
                <w:sz w:val="18"/>
              </w:rPr>
              <w:t>Firdouse</w:t>
            </w:r>
            <w:r>
              <w:rPr>
                <w:spacing w:val="-4"/>
                <w:sz w:val="18"/>
              </w:rPr>
              <w:t> </w:t>
            </w:r>
            <w:r>
              <w:rPr>
                <w:sz w:val="18"/>
              </w:rPr>
              <w:t>M,</w:t>
            </w:r>
            <w:r>
              <w:rPr>
                <w:spacing w:val="-3"/>
                <w:sz w:val="18"/>
              </w:rPr>
              <w:t> </w:t>
            </w:r>
            <w:r>
              <w:rPr>
                <w:sz w:val="18"/>
              </w:rPr>
              <w:t>Agarwal</w:t>
            </w:r>
            <w:r>
              <w:rPr>
                <w:spacing w:val="-2"/>
                <w:sz w:val="18"/>
              </w:rPr>
              <w:t> </w:t>
            </w:r>
            <w:r>
              <w:rPr>
                <w:sz w:val="18"/>
              </w:rPr>
              <w:t>A,</w:t>
            </w:r>
            <w:r>
              <w:rPr>
                <w:spacing w:val="-3"/>
                <w:sz w:val="18"/>
              </w:rPr>
              <w:t> </w:t>
            </w:r>
            <w:r>
              <w:rPr>
                <w:sz w:val="18"/>
              </w:rPr>
              <w:t>Chan</w:t>
            </w:r>
            <w:r>
              <w:rPr>
                <w:spacing w:val="-4"/>
                <w:sz w:val="18"/>
              </w:rPr>
              <w:t> </w:t>
            </w:r>
            <w:r>
              <w:rPr>
                <w:sz w:val="18"/>
              </w:rPr>
              <w:t>AK,</w:t>
            </w:r>
            <w:r>
              <w:rPr>
                <w:spacing w:val="-2"/>
                <w:sz w:val="18"/>
              </w:rPr>
              <w:t> </w:t>
            </w:r>
            <w:r>
              <w:rPr>
                <w:sz w:val="18"/>
              </w:rPr>
              <w:t>Mondal</w:t>
            </w:r>
            <w:r>
              <w:rPr>
                <w:spacing w:val="-3"/>
                <w:sz w:val="18"/>
              </w:rPr>
              <w:t> </w:t>
            </w:r>
            <w:r>
              <w:rPr>
                <w:sz w:val="18"/>
              </w:rPr>
              <w:t>T.</w:t>
            </w:r>
            <w:r>
              <w:rPr>
                <w:spacing w:val="-4"/>
                <w:sz w:val="18"/>
              </w:rPr>
              <w:t> </w:t>
            </w:r>
            <w:r>
              <w:rPr>
                <w:sz w:val="18"/>
              </w:rPr>
              <w:t>Thrombosis</w:t>
            </w:r>
            <w:r>
              <w:rPr>
                <w:spacing w:val="-4"/>
                <w:sz w:val="18"/>
              </w:rPr>
              <w:t> </w:t>
            </w:r>
            <w:r>
              <w:rPr>
                <w:sz w:val="18"/>
              </w:rPr>
              <w:t>and</w:t>
            </w:r>
            <w:r>
              <w:rPr>
                <w:spacing w:val="-4"/>
                <w:sz w:val="18"/>
              </w:rPr>
              <w:t> </w:t>
            </w:r>
            <w:r>
              <w:rPr>
                <w:sz w:val="18"/>
              </w:rPr>
              <w:t>thromboembolic</w:t>
            </w:r>
            <w:r>
              <w:rPr>
                <w:spacing w:val="-3"/>
                <w:sz w:val="18"/>
              </w:rPr>
              <w:t> </w:t>
            </w:r>
            <w:r>
              <w:rPr>
                <w:sz w:val="18"/>
              </w:rPr>
              <w:t>complications</w:t>
            </w:r>
            <w:r>
              <w:rPr>
                <w:spacing w:val="-4"/>
                <w:sz w:val="18"/>
              </w:rPr>
              <w:t> </w:t>
            </w:r>
            <w:r>
              <w:rPr>
                <w:sz w:val="18"/>
              </w:rPr>
              <w:t>in</w:t>
            </w:r>
            <w:r>
              <w:rPr>
                <w:spacing w:val="-5"/>
                <w:sz w:val="18"/>
              </w:rPr>
              <w:t> </w:t>
            </w:r>
            <w:r>
              <w:rPr>
                <w:sz w:val="18"/>
              </w:rPr>
              <w:t>fontan</w:t>
            </w:r>
            <w:r>
              <w:rPr>
                <w:spacing w:val="-4"/>
                <w:sz w:val="18"/>
              </w:rPr>
              <w:t> </w:t>
            </w:r>
            <w:r>
              <w:rPr>
                <w:sz w:val="18"/>
              </w:rPr>
              <w:t>patients: a literature review. Clin Appl Thromb Hemost. 2014 Jul;20(5):484-92. doi: 10.1177/1076029613520464. Epub 2014 Jan 24. PMID: 24463598.</w:t>
            </w:r>
          </w:p>
        </w:tc>
        <w:tc>
          <w:tcPr>
            <w:tcW w:w="5811" w:type="dxa"/>
          </w:tcPr>
          <w:p>
            <w:pPr>
              <w:pStyle w:val="TableParagraph"/>
              <w:spacing w:line="280" w:lineRule="auto"/>
              <w:ind w:left="105"/>
              <w:rPr>
                <w:sz w:val="18"/>
              </w:rPr>
            </w:pPr>
            <w:r>
              <w:rPr>
                <w:sz w:val="18"/>
              </w:rPr>
              <w:t>No</w:t>
            </w:r>
            <w:r>
              <w:rPr>
                <w:spacing w:val="-6"/>
                <w:sz w:val="18"/>
              </w:rPr>
              <w:t> </w:t>
            </w:r>
            <w:r>
              <w:rPr>
                <w:sz w:val="18"/>
              </w:rPr>
              <w:t>comparison</w:t>
            </w:r>
            <w:r>
              <w:rPr>
                <w:spacing w:val="-7"/>
                <w:sz w:val="18"/>
              </w:rPr>
              <w:t> </w:t>
            </w:r>
            <w:r>
              <w:rPr>
                <w:sz w:val="18"/>
              </w:rPr>
              <w:t>between</w:t>
            </w:r>
            <w:r>
              <w:rPr>
                <w:spacing w:val="-7"/>
                <w:sz w:val="18"/>
              </w:rPr>
              <w:t> </w:t>
            </w:r>
            <w:r>
              <w:rPr>
                <w:sz w:val="18"/>
              </w:rPr>
              <w:t>outcomes</w:t>
            </w:r>
            <w:r>
              <w:rPr>
                <w:spacing w:val="-7"/>
                <w:sz w:val="18"/>
              </w:rPr>
              <w:t> </w:t>
            </w:r>
            <w:r>
              <w:rPr>
                <w:sz w:val="18"/>
              </w:rPr>
              <w:t>for</w:t>
            </w:r>
            <w:r>
              <w:rPr>
                <w:spacing w:val="-6"/>
                <w:sz w:val="18"/>
              </w:rPr>
              <w:t> </w:t>
            </w:r>
            <w:r>
              <w:rPr>
                <w:sz w:val="18"/>
              </w:rPr>
              <w:t>thromboprophylaxis</w:t>
            </w:r>
            <w:r>
              <w:rPr>
                <w:spacing w:val="-5"/>
                <w:sz w:val="18"/>
              </w:rPr>
              <w:t> </w:t>
            </w:r>
            <w:r>
              <w:rPr>
                <w:sz w:val="18"/>
              </w:rPr>
              <w:t>A</w:t>
            </w:r>
            <w:r>
              <w:rPr>
                <w:spacing w:val="-8"/>
                <w:sz w:val="18"/>
              </w:rPr>
              <w:t> </w:t>
            </w:r>
            <w:r>
              <w:rPr>
                <w:sz w:val="18"/>
              </w:rPr>
              <w:t>versus thromboprophylaxis</w:t>
            </w:r>
            <w:r>
              <w:rPr>
                <w:spacing w:val="-2"/>
                <w:sz w:val="18"/>
              </w:rPr>
              <w:t> </w:t>
            </w:r>
            <w:r>
              <w:rPr>
                <w:sz w:val="18"/>
              </w:rPr>
              <w:t>B</w:t>
            </w:r>
          </w:p>
        </w:tc>
      </w:tr>
    </w:tbl>
    <w:p>
      <w:pPr>
        <w:pStyle w:val="TableParagraph"/>
        <w:spacing w:after="0" w:line="280" w:lineRule="auto"/>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358"/>
        <w:gridCol w:w="5811"/>
      </w:tblGrid>
      <w:tr>
        <w:trPr>
          <w:trHeight w:val="1182" w:hRule="atLeast"/>
        </w:trPr>
        <w:tc>
          <w:tcPr>
            <w:tcW w:w="8358" w:type="dxa"/>
            <w:shd w:val="clear" w:color="auto" w:fill="D9D9D9"/>
          </w:tcPr>
          <w:p>
            <w:pPr>
              <w:pStyle w:val="TableParagraph"/>
              <w:spacing w:line="280" w:lineRule="auto"/>
              <w:ind w:left="105"/>
              <w:rPr>
                <w:sz w:val="18"/>
              </w:rPr>
            </w:pPr>
            <w:r>
              <w:rPr>
                <w:sz w:val="18"/>
              </w:rPr>
              <w:t>Heidendael JF, Engele LJ, Bouma BJ, Dipchand AI, Thorne SA, McCrindle BW, Mulder BJM. Coagulation and Anticoagulation</w:t>
            </w:r>
            <w:r>
              <w:rPr>
                <w:spacing w:val="-4"/>
                <w:sz w:val="18"/>
              </w:rPr>
              <w:t> </w:t>
            </w:r>
            <w:r>
              <w:rPr>
                <w:sz w:val="18"/>
              </w:rPr>
              <w:t>in</w:t>
            </w:r>
            <w:r>
              <w:rPr>
                <w:spacing w:val="-5"/>
                <w:sz w:val="18"/>
              </w:rPr>
              <w:t> </w:t>
            </w:r>
            <w:r>
              <w:rPr>
                <w:sz w:val="18"/>
              </w:rPr>
              <w:t>Fontan</w:t>
            </w:r>
            <w:r>
              <w:rPr>
                <w:spacing w:val="-5"/>
                <w:sz w:val="18"/>
              </w:rPr>
              <w:t> </w:t>
            </w:r>
            <w:r>
              <w:rPr>
                <w:sz w:val="18"/>
              </w:rPr>
              <w:t>Patients.</w:t>
            </w:r>
            <w:r>
              <w:rPr>
                <w:spacing w:val="-4"/>
                <w:sz w:val="18"/>
              </w:rPr>
              <w:t> </w:t>
            </w:r>
            <w:r>
              <w:rPr>
                <w:sz w:val="18"/>
              </w:rPr>
              <w:t>Can</w:t>
            </w:r>
            <w:r>
              <w:rPr>
                <w:spacing w:val="-4"/>
                <w:sz w:val="18"/>
              </w:rPr>
              <w:t> </w:t>
            </w:r>
            <w:r>
              <w:rPr>
                <w:sz w:val="18"/>
              </w:rPr>
              <w:t>J</w:t>
            </w:r>
            <w:r>
              <w:rPr>
                <w:spacing w:val="-3"/>
                <w:sz w:val="18"/>
              </w:rPr>
              <w:t> </w:t>
            </w:r>
            <w:r>
              <w:rPr>
                <w:sz w:val="18"/>
              </w:rPr>
              <w:t>Cardiol.</w:t>
            </w:r>
            <w:r>
              <w:rPr>
                <w:spacing w:val="-4"/>
                <w:sz w:val="18"/>
              </w:rPr>
              <w:t> </w:t>
            </w:r>
            <w:r>
              <w:rPr>
                <w:sz w:val="18"/>
              </w:rPr>
              <w:t>2022</w:t>
            </w:r>
            <w:r>
              <w:rPr>
                <w:spacing w:val="-3"/>
                <w:sz w:val="18"/>
              </w:rPr>
              <w:t> </w:t>
            </w:r>
            <w:r>
              <w:rPr>
                <w:sz w:val="18"/>
              </w:rPr>
              <w:t>Jul;38(7):1024-1035.</w:t>
            </w:r>
            <w:r>
              <w:rPr>
                <w:spacing w:val="-4"/>
                <w:sz w:val="18"/>
              </w:rPr>
              <w:t> </w:t>
            </w:r>
            <w:r>
              <w:rPr>
                <w:sz w:val="18"/>
              </w:rPr>
              <w:t>doi:</w:t>
            </w:r>
            <w:r>
              <w:rPr>
                <w:spacing w:val="-3"/>
                <w:sz w:val="18"/>
              </w:rPr>
              <w:t> </w:t>
            </w:r>
            <w:r>
              <w:rPr>
                <w:sz w:val="18"/>
              </w:rPr>
              <w:t>10.1016/j.cjca.2022.01.028. Epub 2022 Feb 3. Erratum in: Can J Cardiol. 2023 Nov;39(11):1731. doi: 10.1016/j.cjca.2023.09.001. PMID: </w:t>
            </w:r>
            <w:r>
              <w:rPr>
                <w:spacing w:val="-2"/>
                <w:sz w:val="18"/>
              </w:rPr>
              <w:t>35122939.</w:t>
            </w:r>
          </w:p>
        </w:tc>
        <w:tc>
          <w:tcPr>
            <w:tcW w:w="5811" w:type="dxa"/>
          </w:tcPr>
          <w:p>
            <w:pPr>
              <w:pStyle w:val="TableParagraph"/>
              <w:spacing w:line="280" w:lineRule="auto"/>
              <w:ind w:left="105"/>
              <w:rPr>
                <w:sz w:val="18"/>
              </w:rPr>
            </w:pPr>
            <w:r>
              <w:rPr>
                <w:sz w:val="18"/>
              </w:rPr>
              <w:t>Descriptive</w:t>
            </w:r>
            <w:r>
              <w:rPr>
                <w:spacing w:val="-4"/>
                <w:sz w:val="18"/>
              </w:rPr>
              <w:t> </w:t>
            </w:r>
            <w:r>
              <w:rPr>
                <w:sz w:val="18"/>
              </w:rPr>
              <w:t>review</w:t>
            </w:r>
            <w:r>
              <w:rPr>
                <w:spacing w:val="-3"/>
                <w:sz w:val="18"/>
              </w:rPr>
              <w:t> </w:t>
            </w:r>
            <w:r>
              <w:rPr>
                <w:sz w:val="18"/>
              </w:rPr>
              <w:t>of</w:t>
            </w:r>
            <w:r>
              <w:rPr>
                <w:spacing w:val="-4"/>
                <w:sz w:val="18"/>
              </w:rPr>
              <w:t> </w:t>
            </w:r>
            <w:r>
              <w:rPr>
                <w:sz w:val="18"/>
              </w:rPr>
              <w:t>studies.</w:t>
            </w:r>
            <w:r>
              <w:rPr>
                <w:spacing w:val="-4"/>
                <w:sz w:val="18"/>
              </w:rPr>
              <w:t> </w:t>
            </w:r>
            <w:r>
              <w:rPr>
                <w:sz w:val="18"/>
              </w:rPr>
              <w:t>The</w:t>
            </w:r>
            <w:r>
              <w:rPr>
                <w:spacing w:val="-4"/>
                <w:sz w:val="18"/>
              </w:rPr>
              <w:t> </w:t>
            </w:r>
            <w:r>
              <w:rPr>
                <w:sz w:val="18"/>
              </w:rPr>
              <w:t>relevant</w:t>
            </w:r>
            <w:r>
              <w:rPr>
                <w:spacing w:val="-3"/>
                <w:sz w:val="18"/>
              </w:rPr>
              <w:t> </w:t>
            </w:r>
            <w:r>
              <w:rPr>
                <w:sz w:val="18"/>
              </w:rPr>
              <w:t>studies</w:t>
            </w:r>
            <w:r>
              <w:rPr>
                <w:spacing w:val="-4"/>
                <w:sz w:val="18"/>
              </w:rPr>
              <w:t> </w:t>
            </w:r>
            <w:r>
              <w:rPr>
                <w:sz w:val="18"/>
              </w:rPr>
              <w:t>that</w:t>
            </w:r>
            <w:r>
              <w:rPr>
                <w:spacing w:val="-3"/>
                <w:sz w:val="18"/>
              </w:rPr>
              <w:t> </w:t>
            </w:r>
            <w:r>
              <w:rPr>
                <w:sz w:val="18"/>
              </w:rPr>
              <w:t>are</w:t>
            </w:r>
            <w:r>
              <w:rPr>
                <w:spacing w:val="-4"/>
                <w:sz w:val="18"/>
              </w:rPr>
              <w:t> </w:t>
            </w:r>
            <w:r>
              <w:rPr>
                <w:sz w:val="18"/>
              </w:rPr>
              <w:t>described</w:t>
            </w:r>
            <w:r>
              <w:rPr>
                <w:spacing w:val="-4"/>
                <w:sz w:val="18"/>
              </w:rPr>
              <w:t> </w:t>
            </w:r>
            <w:r>
              <w:rPr>
                <w:sz w:val="18"/>
              </w:rPr>
              <w:t>in</w:t>
            </w:r>
            <w:r>
              <w:rPr>
                <w:spacing w:val="-4"/>
                <w:sz w:val="18"/>
              </w:rPr>
              <w:t> </w:t>
            </w:r>
            <w:r>
              <w:rPr>
                <w:sz w:val="18"/>
              </w:rPr>
              <w:t>this review were also found with the current literature search.</w:t>
            </w:r>
          </w:p>
        </w:tc>
      </w:tr>
      <w:tr>
        <w:trPr>
          <w:trHeight w:val="1180" w:hRule="atLeast"/>
        </w:trPr>
        <w:tc>
          <w:tcPr>
            <w:tcW w:w="8358" w:type="dxa"/>
            <w:shd w:val="clear" w:color="auto" w:fill="D9D9D9"/>
          </w:tcPr>
          <w:p>
            <w:pPr>
              <w:pStyle w:val="TableParagraph"/>
              <w:spacing w:line="278" w:lineRule="auto"/>
              <w:ind w:left="105" w:right="149"/>
              <w:rPr>
                <w:sz w:val="18"/>
              </w:rPr>
            </w:pPr>
            <w:r>
              <w:rPr>
                <w:sz w:val="18"/>
              </w:rPr>
              <w:t>Hosoi M, Ohbayashi M, Miyahara Y, Fujii T, Kise H, Kogo M. Risk Factors for Thromboembolic and Bleeding Events</w:t>
            </w:r>
            <w:r>
              <w:rPr>
                <w:spacing w:val="-4"/>
                <w:sz w:val="18"/>
              </w:rPr>
              <w:t> </w:t>
            </w:r>
            <w:r>
              <w:rPr>
                <w:sz w:val="18"/>
              </w:rPr>
              <w:t>in</w:t>
            </w:r>
            <w:r>
              <w:rPr>
                <w:spacing w:val="-4"/>
                <w:sz w:val="18"/>
              </w:rPr>
              <w:t> </w:t>
            </w:r>
            <w:r>
              <w:rPr>
                <w:sz w:val="18"/>
              </w:rPr>
              <w:t>Patients</w:t>
            </w:r>
            <w:r>
              <w:rPr>
                <w:spacing w:val="-2"/>
                <w:sz w:val="18"/>
              </w:rPr>
              <w:t> </w:t>
            </w:r>
            <w:r>
              <w:rPr>
                <w:sz w:val="18"/>
              </w:rPr>
              <w:t>After</w:t>
            </w:r>
            <w:r>
              <w:rPr>
                <w:spacing w:val="-2"/>
                <w:sz w:val="18"/>
              </w:rPr>
              <w:t> </w:t>
            </w:r>
            <w:r>
              <w:rPr>
                <w:sz w:val="18"/>
              </w:rPr>
              <w:t>the</w:t>
            </w:r>
            <w:r>
              <w:rPr>
                <w:spacing w:val="-3"/>
                <w:sz w:val="18"/>
              </w:rPr>
              <w:t> </w:t>
            </w:r>
            <w:r>
              <w:rPr>
                <w:sz w:val="18"/>
              </w:rPr>
              <w:t>Fontan</w:t>
            </w:r>
            <w:r>
              <w:rPr>
                <w:spacing w:val="-3"/>
                <w:sz w:val="18"/>
              </w:rPr>
              <w:t> </w:t>
            </w:r>
            <w:r>
              <w:rPr>
                <w:sz w:val="18"/>
              </w:rPr>
              <w:t>Operation</w:t>
            </w:r>
            <w:r>
              <w:rPr>
                <w:spacing w:val="-3"/>
                <w:sz w:val="18"/>
              </w:rPr>
              <w:t> </w:t>
            </w:r>
            <w:r>
              <w:rPr>
                <w:sz w:val="18"/>
              </w:rPr>
              <w:t>(Insights</w:t>
            </w:r>
            <w:r>
              <w:rPr>
                <w:spacing w:val="-4"/>
                <w:sz w:val="18"/>
              </w:rPr>
              <w:t> </w:t>
            </w:r>
            <w:r>
              <w:rPr>
                <w:sz w:val="18"/>
              </w:rPr>
              <w:t>from</w:t>
            </w:r>
            <w:r>
              <w:rPr>
                <w:spacing w:val="-2"/>
                <w:sz w:val="18"/>
              </w:rPr>
              <w:t> </w:t>
            </w:r>
            <w:r>
              <w:rPr>
                <w:sz w:val="18"/>
              </w:rPr>
              <w:t>the</w:t>
            </w:r>
            <w:r>
              <w:rPr>
                <w:spacing w:val="-2"/>
                <w:sz w:val="18"/>
              </w:rPr>
              <w:t> </w:t>
            </w:r>
            <w:r>
              <w:rPr>
                <w:sz w:val="18"/>
              </w:rPr>
              <w:t>National</w:t>
            </w:r>
            <w:r>
              <w:rPr>
                <w:spacing w:val="-2"/>
                <w:sz w:val="18"/>
              </w:rPr>
              <w:t> </w:t>
            </w:r>
            <w:r>
              <w:rPr>
                <w:sz w:val="18"/>
              </w:rPr>
              <w:t>Database</w:t>
            </w:r>
            <w:r>
              <w:rPr>
                <w:spacing w:val="-3"/>
                <w:sz w:val="18"/>
              </w:rPr>
              <w:t> </w:t>
            </w:r>
            <w:r>
              <w:rPr>
                <w:sz w:val="18"/>
              </w:rPr>
              <w:t>of</w:t>
            </w:r>
            <w:r>
              <w:rPr>
                <w:spacing w:val="-3"/>
                <w:sz w:val="18"/>
              </w:rPr>
              <w:t> </w:t>
            </w:r>
            <w:r>
              <w:rPr>
                <w:sz w:val="18"/>
              </w:rPr>
              <w:t>Health</w:t>
            </w:r>
            <w:r>
              <w:rPr>
                <w:spacing w:val="-3"/>
                <w:sz w:val="18"/>
              </w:rPr>
              <w:t> </w:t>
            </w:r>
            <w:r>
              <w:rPr>
                <w:sz w:val="18"/>
              </w:rPr>
              <w:t>Insurance</w:t>
            </w:r>
            <w:r>
              <w:rPr>
                <w:spacing w:val="-3"/>
                <w:sz w:val="18"/>
              </w:rPr>
              <w:t> </w:t>
            </w:r>
            <w:r>
              <w:rPr>
                <w:sz w:val="18"/>
              </w:rPr>
              <w:t>Claims of Japan). Am J Cardiol. 2023 Nov 15;207:399-406. doi: 10.1016/j.amjcard.2023.08.153. Epub 2023 Sep 30.</w:t>
            </w:r>
          </w:p>
          <w:p>
            <w:pPr>
              <w:pStyle w:val="TableParagraph"/>
              <w:ind w:left="105"/>
              <w:rPr>
                <w:sz w:val="18"/>
              </w:rPr>
            </w:pPr>
            <w:r>
              <w:rPr>
                <w:sz w:val="18"/>
              </w:rPr>
              <w:t>PMID: </w:t>
            </w:r>
            <w:r>
              <w:rPr>
                <w:spacing w:val="-2"/>
                <w:sz w:val="18"/>
              </w:rPr>
              <w:t>37782971.</w:t>
            </w:r>
          </w:p>
        </w:tc>
        <w:tc>
          <w:tcPr>
            <w:tcW w:w="5811" w:type="dxa"/>
          </w:tcPr>
          <w:p>
            <w:pPr>
              <w:pStyle w:val="TableParagraph"/>
              <w:spacing w:line="278" w:lineRule="auto"/>
              <w:ind w:left="105"/>
              <w:rPr>
                <w:sz w:val="18"/>
              </w:rPr>
            </w:pPr>
            <w:r>
              <w:rPr>
                <w:sz w:val="18"/>
              </w:rPr>
              <w:t>Some</w:t>
            </w:r>
            <w:r>
              <w:rPr>
                <w:spacing w:val="-5"/>
                <w:sz w:val="18"/>
              </w:rPr>
              <w:t> </w:t>
            </w:r>
            <w:r>
              <w:rPr>
                <w:sz w:val="18"/>
              </w:rPr>
              <w:t>patients</w:t>
            </w:r>
            <w:r>
              <w:rPr>
                <w:spacing w:val="-6"/>
                <w:sz w:val="18"/>
              </w:rPr>
              <w:t> </w:t>
            </w:r>
            <w:r>
              <w:rPr>
                <w:sz w:val="18"/>
              </w:rPr>
              <w:t>were</w:t>
            </w:r>
            <w:r>
              <w:rPr>
                <w:spacing w:val="-6"/>
                <w:sz w:val="18"/>
              </w:rPr>
              <w:t> </w:t>
            </w:r>
            <w:r>
              <w:rPr>
                <w:sz w:val="18"/>
              </w:rPr>
              <w:t>adult</w:t>
            </w:r>
            <w:r>
              <w:rPr>
                <w:spacing w:val="-4"/>
                <w:sz w:val="18"/>
              </w:rPr>
              <w:t> </w:t>
            </w:r>
            <w:r>
              <w:rPr>
                <w:sz w:val="18"/>
              </w:rPr>
              <w:t>at</w:t>
            </w:r>
            <w:r>
              <w:rPr>
                <w:spacing w:val="-3"/>
                <w:sz w:val="18"/>
              </w:rPr>
              <w:t> </w:t>
            </w:r>
            <w:r>
              <w:rPr>
                <w:sz w:val="18"/>
              </w:rPr>
              <w:t>time</w:t>
            </w:r>
            <w:r>
              <w:rPr>
                <w:spacing w:val="-3"/>
                <w:sz w:val="18"/>
              </w:rPr>
              <w:t> </w:t>
            </w:r>
            <w:r>
              <w:rPr>
                <w:sz w:val="18"/>
              </w:rPr>
              <w:t>of</w:t>
            </w:r>
            <w:r>
              <w:rPr>
                <w:spacing w:val="-5"/>
                <w:sz w:val="18"/>
              </w:rPr>
              <w:t> </w:t>
            </w:r>
            <w:r>
              <w:rPr>
                <w:sz w:val="18"/>
              </w:rPr>
              <w:t>Fontan</w:t>
            </w:r>
            <w:r>
              <w:rPr>
                <w:spacing w:val="-6"/>
                <w:sz w:val="18"/>
              </w:rPr>
              <w:t> </w:t>
            </w:r>
            <w:r>
              <w:rPr>
                <w:sz w:val="18"/>
              </w:rPr>
              <w:t>procedure,</w:t>
            </w:r>
            <w:r>
              <w:rPr>
                <w:spacing w:val="-4"/>
                <w:sz w:val="18"/>
              </w:rPr>
              <w:t> </w:t>
            </w:r>
            <w:r>
              <w:rPr>
                <w:sz w:val="18"/>
              </w:rPr>
              <w:t>no</w:t>
            </w:r>
            <w:r>
              <w:rPr>
                <w:spacing w:val="-4"/>
                <w:sz w:val="18"/>
              </w:rPr>
              <w:t> </w:t>
            </w:r>
            <w:r>
              <w:rPr>
                <w:sz w:val="18"/>
              </w:rPr>
              <w:t>separate description of results</w:t>
            </w:r>
          </w:p>
        </w:tc>
      </w:tr>
      <w:tr>
        <w:trPr>
          <w:trHeight w:val="1183" w:hRule="atLeast"/>
        </w:trPr>
        <w:tc>
          <w:tcPr>
            <w:tcW w:w="8358" w:type="dxa"/>
            <w:shd w:val="clear" w:color="auto" w:fill="D9D9D9"/>
          </w:tcPr>
          <w:p>
            <w:pPr>
              <w:pStyle w:val="TableParagraph"/>
              <w:spacing w:line="278" w:lineRule="auto" w:before="1"/>
              <w:ind w:left="105" w:right="149"/>
              <w:rPr>
                <w:sz w:val="18"/>
              </w:rPr>
            </w:pPr>
            <w:r>
              <w:rPr>
                <w:sz w:val="18"/>
              </w:rPr>
              <w:t>Kleitsioti P, Theodoridis X, Papanastasiou CΑ, Karvounis H, Giannopoulos A, Giannakoulas G. Antiplatelet Versus</w:t>
            </w:r>
            <w:r>
              <w:rPr>
                <w:spacing w:val="-4"/>
                <w:sz w:val="18"/>
              </w:rPr>
              <w:t> </w:t>
            </w:r>
            <w:r>
              <w:rPr>
                <w:sz w:val="18"/>
              </w:rPr>
              <w:t>Anticoagulation</w:t>
            </w:r>
            <w:r>
              <w:rPr>
                <w:spacing w:val="-4"/>
                <w:sz w:val="18"/>
              </w:rPr>
              <w:t> </w:t>
            </w:r>
            <w:r>
              <w:rPr>
                <w:sz w:val="18"/>
              </w:rPr>
              <w:t>Treatment</w:t>
            </w:r>
            <w:r>
              <w:rPr>
                <w:spacing w:val="-3"/>
                <w:sz w:val="18"/>
              </w:rPr>
              <w:t> </w:t>
            </w:r>
            <w:r>
              <w:rPr>
                <w:sz w:val="18"/>
              </w:rPr>
              <w:t>in</w:t>
            </w:r>
            <w:r>
              <w:rPr>
                <w:spacing w:val="-4"/>
                <w:sz w:val="18"/>
              </w:rPr>
              <w:t> </w:t>
            </w:r>
            <w:r>
              <w:rPr>
                <w:sz w:val="18"/>
              </w:rPr>
              <w:t>Patients</w:t>
            </w:r>
            <w:r>
              <w:rPr>
                <w:spacing w:val="-5"/>
                <w:sz w:val="18"/>
              </w:rPr>
              <w:t> </w:t>
            </w:r>
            <w:r>
              <w:rPr>
                <w:sz w:val="18"/>
              </w:rPr>
              <w:t>With</w:t>
            </w:r>
            <w:r>
              <w:rPr>
                <w:spacing w:val="-2"/>
                <w:sz w:val="18"/>
              </w:rPr>
              <w:t> </w:t>
            </w:r>
            <w:r>
              <w:rPr>
                <w:sz w:val="18"/>
              </w:rPr>
              <w:t>Fontan</w:t>
            </w:r>
            <w:r>
              <w:rPr>
                <w:spacing w:val="-5"/>
                <w:sz w:val="18"/>
              </w:rPr>
              <w:t> </w:t>
            </w:r>
            <w:r>
              <w:rPr>
                <w:sz w:val="18"/>
              </w:rPr>
              <w:t>Operation:</w:t>
            </w:r>
            <w:r>
              <w:rPr>
                <w:spacing w:val="-3"/>
                <w:sz w:val="18"/>
              </w:rPr>
              <w:t> </w:t>
            </w:r>
            <w:r>
              <w:rPr>
                <w:sz w:val="18"/>
              </w:rPr>
              <w:t>A</w:t>
            </w:r>
            <w:r>
              <w:rPr>
                <w:spacing w:val="-5"/>
                <w:sz w:val="18"/>
              </w:rPr>
              <w:t> </w:t>
            </w:r>
            <w:r>
              <w:rPr>
                <w:sz w:val="18"/>
              </w:rPr>
              <w:t>Systematic</w:t>
            </w:r>
            <w:r>
              <w:rPr>
                <w:spacing w:val="-3"/>
                <w:sz w:val="18"/>
              </w:rPr>
              <w:t> </w:t>
            </w:r>
            <w:r>
              <w:rPr>
                <w:sz w:val="18"/>
              </w:rPr>
              <w:t>Review</w:t>
            </w:r>
            <w:r>
              <w:rPr>
                <w:spacing w:val="-3"/>
                <w:sz w:val="18"/>
              </w:rPr>
              <w:t> </w:t>
            </w:r>
            <w:r>
              <w:rPr>
                <w:sz w:val="18"/>
              </w:rPr>
              <w:t>and</w:t>
            </w:r>
            <w:r>
              <w:rPr>
                <w:spacing w:val="-4"/>
                <w:sz w:val="18"/>
              </w:rPr>
              <w:t> </w:t>
            </w:r>
            <w:r>
              <w:rPr>
                <w:sz w:val="18"/>
              </w:rPr>
              <w:t>Meta-Analysis. Cardiol Rev. 2025 Jan-Feb 01;33(1):17-21. doi: 10.1097/CRD.0000000000000550. Epub 2023 May 19. PMID:</w:t>
            </w:r>
          </w:p>
          <w:p>
            <w:pPr>
              <w:pStyle w:val="TableParagraph"/>
              <w:spacing w:before="1"/>
              <w:ind w:left="105"/>
              <w:rPr>
                <w:sz w:val="18"/>
              </w:rPr>
            </w:pPr>
            <w:r>
              <w:rPr>
                <w:spacing w:val="-2"/>
                <w:sz w:val="18"/>
              </w:rPr>
              <w:t>37233451.</w:t>
            </w:r>
          </w:p>
        </w:tc>
        <w:tc>
          <w:tcPr>
            <w:tcW w:w="5811" w:type="dxa"/>
          </w:tcPr>
          <w:p>
            <w:pPr>
              <w:pStyle w:val="TableParagraph"/>
              <w:spacing w:line="278" w:lineRule="auto" w:before="1"/>
              <w:ind w:left="105" w:right="116"/>
              <w:rPr>
                <w:sz w:val="18"/>
              </w:rPr>
            </w:pPr>
            <w:r>
              <w:rPr>
                <w:sz w:val="18"/>
              </w:rPr>
              <w:t>Only</w:t>
            </w:r>
            <w:r>
              <w:rPr>
                <w:spacing w:val="-5"/>
                <w:sz w:val="18"/>
              </w:rPr>
              <w:t> </w:t>
            </w:r>
            <w:r>
              <w:rPr>
                <w:sz w:val="18"/>
              </w:rPr>
              <w:t>the</w:t>
            </w:r>
            <w:r>
              <w:rPr>
                <w:spacing w:val="-6"/>
                <w:sz w:val="18"/>
              </w:rPr>
              <w:t> </w:t>
            </w:r>
            <w:r>
              <w:rPr>
                <w:sz w:val="18"/>
              </w:rPr>
              <w:t>comparison</w:t>
            </w:r>
            <w:r>
              <w:rPr>
                <w:spacing w:val="-6"/>
                <w:sz w:val="18"/>
              </w:rPr>
              <w:t> </w:t>
            </w:r>
            <w:r>
              <w:rPr>
                <w:sz w:val="18"/>
              </w:rPr>
              <w:t>antiplatelet</w:t>
            </w:r>
            <w:r>
              <w:rPr>
                <w:spacing w:val="-5"/>
                <w:sz w:val="18"/>
              </w:rPr>
              <w:t> </w:t>
            </w:r>
            <w:r>
              <w:rPr>
                <w:sz w:val="18"/>
              </w:rPr>
              <w:t>therapy</w:t>
            </w:r>
            <w:r>
              <w:rPr>
                <w:spacing w:val="-5"/>
                <w:sz w:val="18"/>
              </w:rPr>
              <w:t> </w:t>
            </w:r>
            <w:r>
              <w:rPr>
                <w:sz w:val="18"/>
              </w:rPr>
              <w:t>versus</w:t>
            </w:r>
            <w:r>
              <w:rPr>
                <w:spacing w:val="-6"/>
                <w:sz w:val="18"/>
              </w:rPr>
              <w:t> </w:t>
            </w:r>
            <w:r>
              <w:rPr>
                <w:sz w:val="18"/>
              </w:rPr>
              <w:t>anticoagulants</w:t>
            </w:r>
            <w:r>
              <w:rPr>
                <w:spacing w:val="-7"/>
                <w:sz w:val="18"/>
              </w:rPr>
              <w:t> </w:t>
            </w:r>
            <w:r>
              <w:rPr>
                <w:sz w:val="18"/>
              </w:rPr>
              <w:t>is</w:t>
            </w:r>
            <w:r>
              <w:rPr>
                <w:spacing w:val="-5"/>
                <w:sz w:val="18"/>
              </w:rPr>
              <w:t> </w:t>
            </w:r>
            <w:r>
              <w:rPr>
                <w:sz w:val="18"/>
              </w:rPr>
              <w:t>available, Embase was not searched as part of the systematic literature search, reasons for exclusion of excluded studies not reported (per study)</w:t>
            </w:r>
          </w:p>
        </w:tc>
      </w:tr>
      <w:tr>
        <w:trPr>
          <w:trHeight w:val="1340" w:hRule="atLeast"/>
        </w:trPr>
        <w:tc>
          <w:tcPr>
            <w:tcW w:w="8358" w:type="dxa"/>
            <w:shd w:val="clear" w:color="auto" w:fill="D9D9D9"/>
          </w:tcPr>
          <w:p>
            <w:pPr>
              <w:pStyle w:val="TableParagraph"/>
              <w:spacing w:line="278" w:lineRule="auto"/>
              <w:ind w:left="105" w:right="98"/>
              <w:rPr>
                <w:sz w:val="18"/>
              </w:rPr>
            </w:pPr>
            <w:r>
              <w:rPr>
                <w:sz w:val="18"/>
              </w:rPr>
              <w:t>Maloku NA, Bejiqi NR, Mustafa NA, Tasic NV, Krasniqi NS. Anticoagulation therapy and thromboembolic complications</w:t>
            </w:r>
            <w:r>
              <w:rPr>
                <w:spacing w:val="-5"/>
                <w:sz w:val="18"/>
              </w:rPr>
              <w:t> </w:t>
            </w:r>
            <w:r>
              <w:rPr>
                <w:sz w:val="18"/>
              </w:rPr>
              <w:t>in</w:t>
            </w:r>
            <w:r>
              <w:rPr>
                <w:spacing w:val="-6"/>
                <w:sz w:val="18"/>
              </w:rPr>
              <w:t> </w:t>
            </w:r>
            <w:r>
              <w:rPr>
                <w:sz w:val="18"/>
              </w:rPr>
              <w:t>pediatric</w:t>
            </w:r>
            <w:r>
              <w:rPr>
                <w:spacing w:val="-4"/>
                <w:sz w:val="18"/>
              </w:rPr>
              <w:t> </w:t>
            </w:r>
            <w:r>
              <w:rPr>
                <w:sz w:val="18"/>
              </w:rPr>
              <w:t>patients</w:t>
            </w:r>
            <w:r>
              <w:rPr>
                <w:spacing w:val="-5"/>
                <w:sz w:val="18"/>
              </w:rPr>
              <w:t> </w:t>
            </w:r>
            <w:r>
              <w:rPr>
                <w:sz w:val="18"/>
              </w:rPr>
              <w:t>undergoing</w:t>
            </w:r>
            <w:r>
              <w:rPr>
                <w:spacing w:val="-5"/>
                <w:sz w:val="18"/>
              </w:rPr>
              <w:t> </w:t>
            </w:r>
            <w:r>
              <w:rPr>
                <w:sz w:val="18"/>
              </w:rPr>
              <w:t>the</w:t>
            </w:r>
            <w:r>
              <w:rPr>
                <w:spacing w:val="-5"/>
                <w:sz w:val="18"/>
              </w:rPr>
              <w:t> </w:t>
            </w:r>
            <w:r>
              <w:rPr>
                <w:sz w:val="18"/>
              </w:rPr>
              <w:t>Fontan</w:t>
            </w:r>
            <w:r>
              <w:rPr>
                <w:spacing w:val="-3"/>
                <w:sz w:val="18"/>
              </w:rPr>
              <w:t> </w:t>
            </w:r>
            <w:r>
              <w:rPr>
                <w:sz w:val="18"/>
              </w:rPr>
              <w:t>procedure.</w:t>
            </w:r>
            <w:r>
              <w:rPr>
                <w:spacing w:val="-5"/>
                <w:sz w:val="18"/>
              </w:rPr>
              <w:t> </w:t>
            </w:r>
            <w:r>
              <w:rPr>
                <w:sz w:val="18"/>
              </w:rPr>
              <w:t>Journal</w:t>
            </w:r>
            <w:r>
              <w:rPr>
                <w:spacing w:val="-4"/>
                <w:sz w:val="18"/>
              </w:rPr>
              <w:t> </w:t>
            </w:r>
            <w:r>
              <w:rPr>
                <w:sz w:val="18"/>
              </w:rPr>
              <w:t>of</w:t>
            </w:r>
            <w:r>
              <w:rPr>
                <w:spacing w:val="-5"/>
                <w:sz w:val="18"/>
              </w:rPr>
              <w:t> </w:t>
            </w:r>
            <w:r>
              <w:rPr>
                <w:sz w:val="18"/>
              </w:rPr>
              <w:t>Pharmaceutical</w:t>
            </w:r>
            <w:r>
              <w:rPr>
                <w:spacing w:val="-4"/>
                <w:sz w:val="18"/>
              </w:rPr>
              <w:t> </w:t>
            </w:r>
            <w:r>
              <w:rPr>
                <w:sz w:val="18"/>
              </w:rPr>
              <w:t>Negative Results [Internet]. 2022 Nov 7;335–340. Available from: </w:t>
            </w:r>
            <w:hyperlink r:id="rId9">
              <w:r>
                <w:rPr>
                  <w:color w:val="467885"/>
                  <w:sz w:val="18"/>
                  <w:u w:val="single" w:color="467885"/>
                </w:rPr>
                <w:t>https://doi.org/10.47750/pnr.2022.13.s09.039</w:t>
              </w:r>
            </w:hyperlink>
          </w:p>
        </w:tc>
        <w:tc>
          <w:tcPr>
            <w:tcW w:w="5811" w:type="dxa"/>
          </w:tcPr>
          <w:p>
            <w:pPr>
              <w:pStyle w:val="TableParagraph"/>
              <w:spacing w:line="218" w:lineRule="exact"/>
              <w:ind w:left="105"/>
              <w:rPr>
                <w:sz w:val="18"/>
              </w:rPr>
            </w:pPr>
            <w:r>
              <w:rPr>
                <w:sz w:val="18"/>
              </w:rPr>
              <w:t>Wrong</w:t>
            </w:r>
            <w:r>
              <w:rPr>
                <w:spacing w:val="-3"/>
                <w:sz w:val="18"/>
              </w:rPr>
              <w:t> </w:t>
            </w:r>
            <w:r>
              <w:rPr>
                <w:spacing w:val="-2"/>
                <w:sz w:val="18"/>
              </w:rPr>
              <w:t>outcomes</w:t>
            </w:r>
          </w:p>
        </w:tc>
      </w:tr>
      <w:tr>
        <w:trPr>
          <w:trHeight w:val="671" w:hRule="atLeast"/>
        </w:trPr>
        <w:tc>
          <w:tcPr>
            <w:tcW w:w="8358" w:type="dxa"/>
            <w:shd w:val="clear" w:color="auto" w:fill="D9D9D9"/>
          </w:tcPr>
          <w:p>
            <w:pPr>
              <w:pStyle w:val="TableParagraph"/>
              <w:spacing w:line="280" w:lineRule="auto"/>
              <w:ind w:left="105" w:right="604"/>
              <w:rPr>
                <w:sz w:val="18"/>
              </w:rPr>
            </w:pPr>
            <w:r>
              <w:rPr>
                <w:sz w:val="18"/>
              </w:rPr>
              <w:t>Miwa</w:t>
            </w:r>
            <w:r>
              <w:rPr>
                <w:spacing w:val="-4"/>
                <w:sz w:val="18"/>
              </w:rPr>
              <w:t> </w:t>
            </w:r>
            <w:r>
              <w:rPr>
                <w:sz w:val="18"/>
              </w:rPr>
              <w:t>K,</w:t>
            </w:r>
            <w:r>
              <w:rPr>
                <w:spacing w:val="-3"/>
                <w:sz w:val="18"/>
              </w:rPr>
              <w:t> </w:t>
            </w:r>
            <w:r>
              <w:rPr>
                <w:sz w:val="18"/>
              </w:rPr>
              <w:t>Iwai</w:t>
            </w:r>
            <w:r>
              <w:rPr>
                <w:spacing w:val="-3"/>
                <w:sz w:val="18"/>
              </w:rPr>
              <w:t> </w:t>
            </w:r>
            <w:r>
              <w:rPr>
                <w:sz w:val="18"/>
              </w:rPr>
              <w:t>S,</w:t>
            </w:r>
            <w:r>
              <w:rPr>
                <w:spacing w:val="-3"/>
                <w:sz w:val="18"/>
              </w:rPr>
              <w:t> </w:t>
            </w:r>
            <w:r>
              <w:rPr>
                <w:sz w:val="18"/>
              </w:rPr>
              <w:t>Nagashima</w:t>
            </w:r>
            <w:r>
              <w:rPr>
                <w:spacing w:val="-4"/>
                <w:sz w:val="18"/>
              </w:rPr>
              <w:t> </w:t>
            </w:r>
            <w:r>
              <w:rPr>
                <w:sz w:val="18"/>
              </w:rPr>
              <w:t>T.</w:t>
            </w:r>
            <w:r>
              <w:rPr>
                <w:spacing w:val="-4"/>
                <w:sz w:val="18"/>
              </w:rPr>
              <w:t> </w:t>
            </w:r>
            <w:r>
              <w:rPr>
                <w:sz w:val="18"/>
              </w:rPr>
              <w:t>Anticoagulation</w:t>
            </w:r>
            <w:r>
              <w:rPr>
                <w:spacing w:val="-4"/>
                <w:sz w:val="18"/>
              </w:rPr>
              <w:t> </w:t>
            </w:r>
            <w:r>
              <w:rPr>
                <w:sz w:val="18"/>
              </w:rPr>
              <w:t>Therapy</w:t>
            </w:r>
            <w:r>
              <w:rPr>
                <w:spacing w:val="-1"/>
                <w:sz w:val="18"/>
              </w:rPr>
              <w:t> </w:t>
            </w:r>
            <w:r>
              <w:rPr>
                <w:sz w:val="18"/>
              </w:rPr>
              <w:t>After</w:t>
            </w:r>
            <w:r>
              <w:rPr>
                <w:spacing w:val="-3"/>
                <w:sz w:val="18"/>
              </w:rPr>
              <w:t> </w:t>
            </w:r>
            <w:r>
              <w:rPr>
                <w:sz w:val="18"/>
              </w:rPr>
              <w:t>the</w:t>
            </w:r>
            <w:r>
              <w:rPr>
                <w:spacing w:val="-4"/>
                <w:sz w:val="18"/>
              </w:rPr>
              <w:t> </w:t>
            </w:r>
            <w:r>
              <w:rPr>
                <w:sz w:val="18"/>
              </w:rPr>
              <w:t>Fontan</w:t>
            </w:r>
            <w:r>
              <w:rPr>
                <w:spacing w:val="-5"/>
                <w:sz w:val="18"/>
              </w:rPr>
              <w:t> </w:t>
            </w:r>
            <w:r>
              <w:rPr>
                <w:sz w:val="18"/>
              </w:rPr>
              <w:t>Procedure. Pediatr</w:t>
            </w:r>
            <w:r>
              <w:rPr>
                <w:spacing w:val="-4"/>
                <w:sz w:val="18"/>
              </w:rPr>
              <w:t> </w:t>
            </w:r>
            <w:r>
              <w:rPr>
                <w:sz w:val="18"/>
              </w:rPr>
              <w:t>Cardiol.</w:t>
            </w:r>
            <w:r>
              <w:rPr>
                <w:spacing w:val="-1"/>
                <w:sz w:val="18"/>
              </w:rPr>
              <w:t> </w:t>
            </w:r>
            <w:r>
              <w:rPr>
                <w:sz w:val="18"/>
              </w:rPr>
              <w:t>2022 Aug;43(6):1271-1276. doi: 10.1007/s00246-022-02848-6. Epub 2022 Feb 25. PMID: 35217887.</w:t>
            </w:r>
          </w:p>
        </w:tc>
        <w:tc>
          <w:tcPr>
            <w:tcW w:w="5811" w:type="dxa"/>
          </w:tcPr>
          <w:p>
            <w:pPr>
              <w:pStyle w:val="TableParagraph"/>
              <w:spacing w:line="280" w:lineRule="auto"/>
              <w:ind w:left="105" w:right="116"/>
              <w:rPr>
                <w:sz w:val="18"/>
              </w:rPr>
            </w:pPr>
            <w:r>
              <w:rPr>
                <w:sz w:val="18"/>
              </w:rPr>
              <w:t>Descriptive</w:t>
            </w:r>
            <w:r>
              <w:rPr>
                <w:spacing w:val="-5"/>
                <w:sz w:val="18"/>
              </w:rPr>
              <w:t> </w:t>
            </w:r>
            <w:r>
              <w:rPr>
                <w:sz w:val="18"/>
              </w:rPr>
              <w:t>study,</w:t>
            </w:r>
            <w:r>
              <w:rPr>
                <w:spacing w:val="-4"/>
                <w:sz w:val="18"/>
              </w:rPr>
              <w:t> </w:t>
            </w:r>
            <w:r>
              <w:rPr>
                <w:sz w:val="18"/>
              </w:rPr>
              <w:t>no</w:t>
            </w:r>
            <w:r>
              <w:rPr>
                <w:spacing w:val="-4"/>
                <w:sz w:val="18"/>
              </w:rPr>
              <w:t> </w:t>
            </w:r>
            <w:r>
              <w:rPr>
                <w:sz w:val="18"/>
              </w:rPr>
              <w:t>clear</w:t>
            </w:r>
            <w:r>
              <w:rPr>
                <w:spacing w:val="-4"/>
                <w:sz w:val="18"/>
              </w:rPr>
              <w:t> </w:t>
            </w:r>
            <w:r>
              <w:rPr>
                <w:sz w:val="18"/>
              </w:rPr>
              <w:t>comparison</w:t>
            </w:r>
            <w:r>
              <w:rPr>
                <w:spacing w:val="-5"/>
                <w:sz w:val="18"/>
              </w:rPr>
              <w:t> </w:t>
            </w:r>
            <w:r>
              <w:rPr>
                <w:sz w:val="18"/>
              </w:rPr>
              <w:t>for</w:t>
            </w:r>
            <w:r>
              <w:rPr>
                <w:spacing w:val="-4"/>
                <w:sz w:val="18"/>
              </w:rPr>
              <w:t> </w:t>
            </w:r>
            <w:r>
              <w:rPr>
                <w:sz w:val="18"/>
              </w:rPr>
              <w:t>the</w:t>
            </w:r>
            <w:r>
              <w:rPr>
                <w:spacing w:val="-5"/>
                <w:sz w:val="18"/>
              </w:rPr>
              <w:t> </w:t>
            </w:r>
            <w:r>
              <w:rPr>
                <w:sz w:val="18"/>
              </w:rPr>
              <w:t>outcome</w:t>
            </w:r>
            <w:r>
              <w:rPr>
                <w:spacing w:val="-5"/>
                <w:sz w:val="18"/>
              </w:rPr>
              <w:t> </w:t>
            </w:r>
            <w:r>
              <w:rPr>
                <w:sz w:val="18"/>
              </w:rPr>
              <w:t>measures</w:t>
            </w:r>
            <w:r>
              <w:rPr>
                <w:spacing w:val="-3"/>
                <w:sz w:val="18"/>
              </w:rPr>
              <w:t> </w:t>
            </w:r>
            <w:r>
              <w:rPr>
                <w:sz w:val="18"/>
              </w:rPr>
              <w:t>for</w:t>
            </w:r>
            <w:r>
              <w:rPr>
                <w:spacing w:val="-4"/>
                <w:sz w:val="18"/>
              </w:rPr>
              <w:t> </w:t>
            </w:r>
            <w:r>
              <w:rPr>
                <w:sz w:val="18"/>
              </w:rPr>
              <w:t>group A versus group B (anticoagulation A versus B)</w:t>
            </w:r>
          </w:p>
        </w:tc>
      </w:tr>
      <w:tr>
        <w:trPr>
          <w:trHeight w:val="1437" w:hRule="atLeast"/>
        </w:trPr>
        <w:tc>
          <w:tcPr>
            <w:tcW w:w="8358" w:type="dxa"/>
            <w:shd w:val="clear" w:color="auto" w:fill="D9D9D9"/>
          </w:tcPr>
          <w:p>
            <w:pPr>
              <w:pStyle w:val="TableParagraph"/>
              <w:spacing w:line="278" w:lineRule="auto"/>
              <w:ind w:left="105" w:right="98"/>
              <w:rPr>
                <w:sz w:val="18"/>
              </w:rPr>
            </w:pPr>
            <w:r>
              <w:rPr>
                <w:sz w:val="18"/>
              </w:rPr>
              <w:t>Payne RM, Burns KM, Glatz AC, Male C, Donti A, Brandão LR, Balling G, VanderPluym CJ, Bu'Lock F,</w:t>
            </w:r>
            <w:r>
              <w:rPr>
                <w:spacing w:val="-1"/>
                <w:sz w:val="18"/>
              </w:rPr>
              <w:t> </w:t>
            </w:r>
            <w:r>
              <w:rPr>
                <w:sz w:val="18"/>
              </w:rPr>
              <w:t>Kochilas LK, Stiller B, Cnota JF 2nd, Rahkonen O, Khan A, Adorisio R, Stoica S, May L, Burns JC, Saraiva JFK, McHugh KE, Kim JS,</w:t>
            </w:r>
            <w:r>
              <w:rPr>
                <w:spacing w:val="-3"/>
                <w:sz w:val="18"/>
              </w:rPr>
              <w:t> </w:t>
            </w:r>
            <w:r>
              <w:rPr>
                <w:sz w:val="18"/>
              </w:rPr>
              <w:t>Rubio</w:t>
            </w:r>
            <w:r>
              <w:rPr>
                <w:spacing w:val="-3"/>
                <w:sz w:val="18"/>
              </w:rPr>
              <w:t> </w:t>
            </w:r>
            <w:r>
              <w:rPr>
                <w:sz w:val="18"/>
              </w:rPr>
              <w:t>A,</w:t>
            </w:r>
            <w:r>
              <w:rPr>
                <w:spacing w:val="-3"/>
                <w:sz w:val="18"/>
              </w:rPr>
              <w:t> </w:t>
            </w:r>
            <w:r>
              <w:rPr>
                <w:sz w:val="18"/>
              </w:rPr>
              <w:t>Chía-Vazquez</w:t>
            </w:r>
            <w:r>
              <w:rPr>
                <w:spacing w:val="-3"/>
                <w:sz w:val="18"/>
              </w:rPr>
              <w:t> </w:t>
            </w:r>
            <w:r>
              <w:rPr>
                <w:sz w:val="18"/>
              </w:rPr>
              <w:t>NG,</w:t>
            </w:r>
            <w:r>
              <w:rPr>
                <w:spacing w:val="-3"/>
                <w:sz w:val="18"/>
              </w:rPr>
              <w:t> </w:t>
            </w:r>
            <w:r>
              <w:rPr>
                <w:sz w:val="18"/>
              </w:rPr>
              <w:t>Meador</w:t>
            </w:r>
            <w:r>
              <w:rPr>
                <w:spacing w:val="-3"/>
                <w:sz w:val="18"/>
              </w:rPr>
              <w:t> </w:t>
            </w:r>
            <w:r>
              <w:rPr>
                <w:sz w:val="18"/>
              </w:rPr>
              <w:t>MR,</w:t>
            </w:r>
            <w:r>
              <w:rPr>
                <w:spacing w:val="-3"/>
                <w:sz w:val="18"/>
              </w:rPr>
              <w:t> </w:t>
            </w:r>
            <w:r>
              <w:rPr>
                <w:sz w:val="18"/>
              </w:rPr>
              <w:t>Dyme</w:t>
            </w:r>
            <w:r>
              <w:rPr>
                <w:spacing w:val="-4"/>
                <w:sz w:val="18"/>
              </w:rPr>
              <w:t> </w:t>
            </w:r>
            <w:r>
              <w:rPr>
                <w:sz w:val="18"/>
              </w:rPr>
              <w:t>JL,</w:t>
            </w:r>
            <w:r>
              <w:rPr>
                <w:spacing w:val="-3"/>
                <w:sz w:val="18"/>
              </w:rPr>
              <w:t> </w:t>
            </w:r>
            <w:r>
              <w:rPr>
                <w:sz w:val="18"/>
              </w:rPr>
              <w:t>Reedy</w:t>
            </w:r>
            <w:r>
              <w:rPr>
                <w:spacing w:val="-3"/>
                <w:sz w:val="18"/>
              </w:rPr>
              <w:t> </w:t>
            </w:r>
            <w:r>
              <w:rPr>
                <w:sz w:val="18"/>
              </w:rPr>
              <w:t>AM,</w:t>
            </w:r>
            <w:r>
              <w:rPr>
                <w:spacing w:val="-3"/>
                <w:sz w:val="18"/>
              </w:rPr>
              <w:t> </w:t>
            </w:r>
            <w:r>
              <w:rPr>
                <w:sz w:val="18"/>
              </w:rPr>
              <w:t>Ajavon-Hartmann</w:t>
            </w:r>
            <w:r>
              <w:rPr>
                <w:spacing w:val="-4"/>
                <w:sz w:val="18"/>
              </w:rPr>
              <w:t> </w:t>
            </w:r>
            <w:r>
              <w:rPr>
                <w:sz w:val="18"/>
              </w:rPr>
              <w:t>T,</w:t>
            </w:r>
            <w:r>
              <w:rPr>
                <w:spacing w:val="-3"/>
                <w:sz w:val="18"/>
              </w:rPr>
              <w:t> </w:t>
            </w:r>
            <w:r>
              <w:rPr>
                <w:sz w:val="18"/>
              </w:rPr>
              <w:t>Jarugula</w:t>
            </w:r>
            <w:r>
              <w:rPr>
                <w:spacing w:val="-4"/>
                <w:sz w:val="18"/>
              </w:rPr>
              <w:t> </w:t>
            </w:r>
            <w:r>
              <w:rPr>
                <w:sz w:val="18"/>
              </w:rPr>
              <w:t>P,</w:t>
            </w:r>
            <w:r>
              <w:rPr>
                <w:spacing w:val="-3"/>
                <w:sz w:val="18"/>
              </w:rPr>
              <w:t> </w:t>
            </w:r>
            <w:r>
              <w:rPr>
                <w:sz w:val="18"/>
              </w:rPr>
              <w:t>Carlson-Taneja LE, Mills</w:t>
            </w:r>
            <w:r>
              <w:rPr>
                <w:spacing w:val="-1"/>
                <w:sz w:val="18"/>
              </w:rPr>
              <w:t> </w:t>
            </w:r>
            <w:r>
              <w:rPr>
                <w:sz w:val="18"/>
              </w:rPr>
              <w:t>D, Wheaton</w:t>
            </w:r>
            <w:r>
              <w:rPr>
                <w:spacing w:val="-1"/>
                <w:sz w:val="18"/>
              </w:rPr>
              <w:t> </w:t>
            </w:r>
            <w:r>
              <w:rPr>
                <w:sz w:val="18"/>
              </w:rPr>
              <w:t>O, Monagle</w:t>
            </w:r>
            <w:r>
              <w:rPr>
                <w:spacing w:val="-1"/>
                <w:sz w:val="18"/>
              </w:rPr>
              <w:t> </w:t>
            </w:r>
            <w:r>
              <w:rPr>
                <w:sz w:val="18"/>
              </w:rPr>
              <w:t>P.</w:t>
            </w:r>
            <w:r>
              <w:rPr>
                <w:spacing w:val="-1"/>
                <w:sz w:val="18"/>
              </w:rPr>
              <w:t> </w:t>
            </w:r>
            <w:r>
              <w:rPr>
                <w:sz w:val="18"/>
              </w:rPr>
              <w:t>Apixaban</w:t>
            </w:r>
            <w:r>
              <w:rPr>
                <w:spacing w:val="-1"/>
                <w:sz w:val="18"/>
              </w:rPr>
              <w:t> </w:t>
            </w:r>
            <w:r>
              <w:rPr>
                <w:sz w:val="18"/>
              </w:rPr>
              <w:t>for Prevention</w:t>
            </w:r>
            <w:r>
              <w:rPr>
                <w:spacing w:val="-1"/>
                <w:sz w:val="18"/>
              </w:rPr>
              <w:t> </w:t>
            </w:r>
            <w:r>
              <w:rPr>
                <w:sz w:val="18"/>
              </w:rPr>
              <w:t>of</w:t>
            </w:r>
            <w:r>
              <w:rPr>
                <w:spacing w:val="-1"/>
                <w:sz w:val="18"/>
              </w:rPr>
              <w:t> </w:t>
            </w:r>
            <w:r>
              <w:rPr>
                <w:sz w:val="18"/>
              </w:rPr>
              <w:t>Thromboembolism in</w:t>
            </w:r>
            <w:r>
              <w:rPr>
                <w:spacing w:val="-2"/>
                <w:sz w:val="18"/>
              </w:rPr>
              <w:t> </w:t>
            </w:r>
            <w:r>
              <w:rPr>
                <w:sz w:val="18"/>
              </w:rPr>
              <w:t>Pediatric Heart Disease. J Am Coll Cardiol. 2023 Dec 12;82(24):2296-2309. doi: 10.1016/j.jacc.2023.10.010. PMID: 38057072.</w:t>
            </w:r>
          </w:p>
        </w:tc>
        <w:tc>
          <w:tcPr>
            <w:tcW w:w="5811" w:type="dxa"/>
          </w:tcPr>
          <w:p>
            <w:pPr>
              <w:pStyle w:val="TableParagraph"/>
              <w:spacing w:line="280" w:lineRule="auto"/>
              <w:ind w:left="105"/>
              <w:rPr>
                <w:sz w:val="18"/>
              </w:rPr>
            </w:pPr>
            <w:r>
              <w:rPr>
                <w:sz w:val="18"/>
              </w:rPr>
              <w:t>Wrong</w:t>
            </w:r>
            <w:r>
              <w:rPr>
                <w:spacing w:val="-5"/>
                <w:sz w:val="18"/>
              </w:rPr>
              <w:t> </w:t>
            </w:r>
            <w:r>
              <w:rPr>
                <w:sz w:val="18"/>
              </w:rPr>
              <w:t>P,</w:t>
            </w:r>
            <w:r>
              <w:rPr>
                <w:spacing w:val="-4"/>
                <w:sz w:val="18"/>
              </w:rPr>
              <w:t> </w:t>
            </w:r>
            <w:r>
              <w:rPr>
                <w:sz w:val="18"/>
              </w:rPr>
              <w:t>only</w:t>
            </w:r>
            <w:r>
              <w:rPr>
                <w:spacing w:val="-4"/>
                <w:sz w:val="18"/>
              </w:rPr>
              <w:t> </w:t>
            </w:r>
            <w:r>
              <w:rPr>
                <w:sz w:val="18"/>
              </w:rPr>
              <w:t>part</w:t>
            </w:r>
            <w:r>
              <w:rPr>
                <w:spacing w:val="-5"/>
                <w:sz w:val="18"/>
              </w:rPr>
              <w:t> </w:t>
            </w:r>
            <w:r>
              <w:rPr>
                <w:sz w:val="18"/>
              </w:rPr>
              <w:t>of</w:t>
            </w:r>
            <w:r>
              <w:rPr>
                <w:spacing w:val="-5"/>
                <w:sz w:val="18"/>
              </w:rPr>
              <w:t> </w:t>
            </w:r>
            <w:r>
              <w:rPr>
                <w:sz w:val="18"/>
              </w:rPr>
              <w:t>the</w:t>
            </w:r>
            <w:r>
              <w:rPr>
                <w:spacing w:val="-5"/>
                <w:sz w:val="18"/>
              </w:rPr>
              <w:t> </w:t>
            </w:r>
            <w:r>
              <w:rPr>
                <w:sz w:val="18"/>
              </w:rPr>
              <w:t>population</w:t>
            </w:r>
            <w:r>
              <w:rPr>
                <w:spacing w:val="-5"/>
                <w:sz w:val="18"/>
              </w:rPr>
              <w:t> </w:t>
            </w:r>
            <w:r>
              <w:rPr>
                <w:sz w:val="18"/>
              </w:rPr>
              <w:t>underwent</w:t>
            </w:r>
            <w:r>
              <w:rPr>
                <w:spacing w:val="-3"/>
                <w:sz w:val="18"/>
              </w:rPr>
              <w:t> </w:t>
            </w:r>
            <w:r>
              <w:rPr>
                <w:sz w:val="18"/>
              </w:rPr>
              <w:t>Fontan</w:t>
            </w:r>
            <w:r>
              <w:rPr>
                <w:spacing w:val="-6"/>
                <w:sz w:val="18"/>
              </w:rPr>
              <w:t> </w:t>
            </w:r>
            <w:r>
              <w:rPr>
                <w:sz w:val="18"/>
              </w:rPr>
              <w:t>procedures</w:t>
            </w:r>
            <w:r>
              <w:rPr>
                <w:spacing w:val="-5"/>
                <w:sz w:val="18"/>
              </w:rPr>
              <w:t> </w:t>
            </w:r>
            <w:r>
              <w:rPr>
                <w:sz w:val="18"/>
              </w:rPr>
              <w:t>and outcomes are not described separately for this subgroup of patients</w:t>
            </w:r>
          </w:p>
        </w:tc>
      </w:tr>
      <w:tr>
        <w:trPr>
          <w:trHeight w:val="1183" w:hRule="atLeast"/>
        </w:trPr>
        <w:tc>
          <w:tcPr>
            <w:tcW w:w="8358" w:type="dxa"/>
            <w:shd w:val="clear" w:color="auto" w:fill="D9D9D9"/>
          </w:tcPr>
          <w:p>
            <w:pPr>
              <w:pStyle w:val="TableParagraph"/>
              <w:spacing w:line="278" w:lineRule="auto"/>
              <w:ind w:left="105"/>
              <w:rPr>
                <w:sz w:val="18"/>
              </w:rPr>
            </w:pPr>
            <w:r>
              <w:rPr>
                <w:sz w:val="18"/>
              </w:rPr>
              <w:t>Portman MA, Jacobs JP, Newburger JW, Berger F, Grosso MA, Duggal A, Tao B, Goldenberg NA; ENNOBLE-ATE Trial</w:t>
            </w:r>
            <w:r>
              <w:rPr>
                <w:spacing w:val="-3"/>
                <w:sz w:val="18"/>
              </w:rPr>
              <w:t> </w:t>
            </w:r>
            <w:r>
              <w:rPr>
                <w:sz w:val="18"/>
              </w:rPr>
              <w:t>Investigators.</w:t>
            </w:r>
            <w:r>
              <w:rPr>
                <w:spacing w:val="-4"/>
                <w:sz w:val="18"/>
              </w:rPr>
              <w:t> </w:t>
            </w:r>
            <w:r>
              <w:rPr>
                <w:sz w:val="18"/>
              </w:rPr>
              <w:t>Edoxaban</w:t>
            </w:r>
            <w:r>
              <w:rPr>
                <w:spacing w:val="-4"/>
                <w:sz w:val="18"/>
              </w:rPr>
              <w:t> </w:t>
            </w:r>
            <w:r>
              <w:rPr>
                <w:sz w:val="18"/>
              </w:rPr>
              <w:t>for</w:t>
            </w:r>
            <w:r>
              <w:rPr>
                <w:spacing w:val="-3"/>
                <w:sz w:val="18"/>
              </w:rPr>
              <w:t> </w:t>
            </w:r>
            <w:r>
              <w:rPr>
                <w:sz w:val="18"/>
              </w:rPr>
              <w:t>Thromboembolism</w:t>
            </w:r>
            <w:r>
              <w:rPr>
                <w:spacing w:val="-3"/>
                <w:sz w:val="18"/>
              </w:rPr>
              <w:t> </w:t>
            </w:r>
            <w:r>
              <w:rPr>
                <w:sz w:val="18"/>
              </w:rPr>
              <w:t>Prevention</w:t>
            </w:r>
            <w:r>
              <w:rPr>
                <w:spacing w:val="-4"/>
                <w:sz w:val="18"/>
              </w:rPr>
              <w:t> </w:t>
            </w:r>
            <w:r>
              <w:rPr>
                <w:sz w:val="18"/>
              </w:rPr>
              <w:t>in</w:t>
            </w:r>
            <w:r>
              <w:rPr>
                <w:spacing w:val="-3"/>
                <w:sz w:val="18"/>
              </w:rPr>
              <w:t> </w:t>
            </w:r>
            <w:r>
              <w:rPr>
                <w:sz w:val="18"/>
              </w:rPr>
              <w:t>Pediatric</w:t>
            </w:r>
            <w:r>
              <w:rPr>
                <w:spacing w:val="-3"/>
                <w:sz w:val="18"/>
              </w:rPr>
              <w:t> </w:t>
            </w:r>
            <w:r>
              <w:rPr>
                <w:sz w:val="18"/>
              </w:rPr>
              <w:t>Patients</w:t>
            </w:r>
            <w:r>
              <w:rPr>
                <w:spacing w:val="-5"/>
                <w:sz w:val="18"/>
              </w:rPr>
              <w:t> </w:t>
            </w:r>
            <w:r>
              <w:rPr>
                <w:sz w:val="18"/>
              </w:rPr>
              <w:t>With</w:t>
            </w:r>
            <w:r>
              <w:rPr>
                <w:spacing w:val="-5"/>
                <w:sz w:val="18"/>
              </w:rPr>
              <w:t> </w:t>
            </w:r>
            <w:r>
              <w:rPr>
                <w:sz w:val="18"/>
              </w:rPr>
              <w:t>Cardiac</w:t>
            </w:r>
            <w:r>
              <w:rPr>
                <w:spacing w:val="-3"/>
                <w:sz w:val="18"/>
              </w:rPr>
              <w:t> </w:t>
            </w:r>
            <w:r>
              <w:rPr>
                <w:sz w:val="18"/>
              </w:rPr>
              <w:t>Disease.</w:t>
            </w:r>
            <w:r>
              <w:rPr>
                <w:spacing w:val="-4"/>
                <w:sz w:val="18"/>
              </w:rPr>
              <w:t> </w:t>
            </w:r>
            <w:r>
              <w:rPr>
                <w:sz w:val="18"/>
              </w:rPr>
              <w:t>J</w:t>
            </w:r>
            <w:r>
              <w:rPr>
                <w:spacing w:val="-3"/>
                <w:sz w:val="18"/>
              </w:rPr>
              <w:t> </w:t>
            </w:r>
            <w:r>
              <w:rPr>
                <w:sz w:val="18"/>
              </w:rPr>
              <w:t>Am Coll Cardiol. 2022 Dec 13;80(24):2301-2310. doi: 10.1016/j.jacc.2022.09.031. Epub 2022 Oct 31. PMID:</w:t>
            </w:r>
          </w:p>
          <w:p>
            <w:pPr>
              <w:pStyle w:val="TableParagraph"/>
              <w:spacing w:before="2"/>
              <w:ind w:left="105"/>
              <w:rPr>
                <w:sz w:val="18"/>
              </w:rPr>
            </w:pPr>
            <w:r>
              <w:rPr>
                <w:spacing w:val="-2"/>
                <w:sz w:val="18"/>
              </w:rPr>
              <w:t>36328157.</w:t>
            </w:r>
          </w:p>
        </w:tc>
        <w:tc>
          <w:tcPr>
            <w:tcW w:w="5811" w:type="dxa"/>
          </w:tcPr>
          <w:p>
            <w:pPr>
              <w:pStyle w:val="TableParagraph"/>
              <w:spacing w:line="280" w:lineRule="auto"/>
              <w:ind w:left="105"/>
              <w:rPr>
                <w:sz w:val="18"/>
              </w:rPr>
            </w:pPr>
            <w:r>
              <w:rPr>
                <w:sz w:val="18"/>
              </w:rPr>
              <w:t>Wrong</w:t>
            </w:r>
            <w:r>
              <w:rPr>
                <w:spacing w:val="-5"/>
                <w:sz w:val="18"/>
              </w:rPr>
              <w:t> </w:t>
            </w:r>
            <w:r>
              <w:rPr>
                <w:sz w:val="18"/>
              </w:rPr>
              <w:t>P,</w:t>
            </w:r>
            <w:r>
              <w:rPr>
                <w:spacing w:val="-4"/>
                <w:sz w:val="18"/>
              </w:rPr>
              <w:t> </w:t>
            </w:r>
            <w:r>
              <w:rPr>
                <w:sz w:val="18"/>
              </w:rPr>
              <w:t>only</w:t>
            </w:r>
            <w:r>
              <w:rPr>
                <w:spacing w:val="-4"/>
                <w:sz w:val="18"/>
              </w:rPr>
              <w:t> </w:t>
            </w:r>
            <w:r>
              <w:rPr>
                <w:sz w:val="18"/>
              </w:rPr>
              <w:t>part</w:t>
            </w:r>
            <w:r>
              <w:rPr>
                <w:spacing w:val="-5"/>
                <w:sz w:val="18"/>
              </w:rPr>
              <w:t> </w:t>
            </w:r>
            <w:r>
              <w:rPr>
                <w:sz w:val="18"/>
              </w:rPr>
              <w:t>of</w:t>
            </w:r>
            <w:r>
              <w:rPr>
                <w:spacing w:val="-5"/>
                <w:sz w:val="18"/>
              </w:rPr>
              <w:t> </w:t>
            </w:r>
            <w:r>
              <w:rPr>
                <w:sz w:val="18"/>
              </w:rPr>
              <w:t>the</w:t>
            </w:r>
            <w:r>
              <w:rPr>
                <w:spacing w:val="-5"/>
                <w:sz w:val="18"/>
              </w:rPr>
              <w:t> </w:t>
            </w:r>
            <w:r>
              <w:rPr>
                <w:sz w:val="18"/>
              </w:rPr>
              <w:t>population</w:t>
            </w:r>
            <w:r>
              <w:rPr>
                <w:spacing w:val="-5"/>
                <w:sz w:val="18"/>
              </w:rPr>
              <w:t> </w:t>
            </w:r>
            <w:r>
              <w:rPr>
                <w:sz w:val="18"/>
              </w:rPr>
              <w:t>underwent</w:t>
            </w:r>
            <w:r>
              <w:rPr>
                <w:spacing w:val="-3"/>
                <w:sz w:val="18"/>
              </w:rPr>
              <w:t> </w:t>
            </w:r>
            <w:r>
              <w:rPr>
                <w:sz w:val="18"/>
              </w:rPr>
              <w:t>Fontan</w:t>
            </w:r>
            <w:r>
              <w:rPr>
                <w:spacing w:val="-6"/>
                <w:sz w:val="18"/>
              </w:rPr>
              <w:t> </w:t>
            </w:r>
            <w:r>
              <w:rPr>
                <w:sz w:val="18"/>
              </w:rPr>
              <w:t>procedures</w:t>
            </w:r>
            <w:r>
              <w:rPr>
                <w:spacing w:val="-5"/>
                <w:sz w:val="18"/>
              </w:rPr>
              <w:t> </w:t>
            </w:r>
            <w:r>
              <w:rPr>
                <w:sz w:val="18"/>
              </w:rPr>
              <w:t>and outcomes are not described separately for this subgroup of patients</w:t>
            </w:r>
          </w:p>
        </w:tc>
      </w:tr>
    </w:tbl>
    <w:p>
      <w:pPr>
        <w:pStyle w:val="TableParagraph"/>
        <w:spacing w:after="0" w:line="280" w:lineRule="auto"/>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358"/>
        <w:gridCol w:w="5811"/>
      </w:tblGrid>
      <w:tr>
        <w:trPr>
          <w:trHeight w:val="925" w:hRule="atLeast"/>
        </w:trPr>
        <w:tc>
          <w:tcPr>
            <w:tcW w:w="8358" w:type="dxa"/>
            <w:shd w:val="clear" w:color="auto" w:fill="D9D9D9"/>
          </w:tcPr>
          <w:p>
            <w:pPr>
              <w:pStyle w:val="TableParagraph"/>
              <w:spacing w:line="280" w:lineRule="auto"/>
              <w:ind w:left="105" w:right="98"/>
              <w:rPr>
                <w:sz w:val="18"/>
              </w:rPr>
            </w:pPr>
            <w:r>
              <w:rPr>
                <w:sz w:val="18"/>
              </w:rPr>
              <w:t>Van</w:t>
            </w:r>
            <w:r>
              <w:rPr>
                <w:spacing w:val="-4"/>
                <w:sz w:val="18"/>
              </w:rPr>
              <w:t> </w:t>
            </w:r>
            <w:r>
              <w:rPr>
                <w:sz w:val="18"/>
              </w:rPr>
              <w:t>den</w:t>
            </w:r>
            <w:r>
              <w:rPr>
                <w:spacing w:val="-4"/>
                <w:sz w:val="18"/>
              </w:rPr>
              <w:t> </w:t>
            </w:r>
            <w:r>
              <w:rPr>
                <w:sz w:val="18"/>
              </w:rPr>
              <w:t>Eynde</w:t>
            </w:r>
            <w:r>
              <w:rPr>
                <w:spacing w:val="-4"/>
                <w:sz w:val="18"/>
              </w:rPr>
              <w:t> </w:t>
            </w:r>
            <w:r>
              <w:rPr>
                <w:sz w:val="18"/>
              </w:rPr>
              <w:t>J,</w:t>
            </w:r>
            <w:r>
              <w:rPr>
                <w:spacing w:val="-3"/>
                <w:sz w:val="18"/>
              </w:rPr>
              <w:t> </w:t>
            </w:r>
            <w:r>
              <w:rPr>
                <w:sz w:val="18"/>
              </w:rPr>
              <w:t>Possner</w:t>
            </w:r>
            <w:r>
              <w:rPr>
                <w:spacing w:val="-3"/>
                <w:sz w:val="18"/>
              </w:rPr>
              <w:t> </w:t>
            </w:r>
            <w:r>
              <w:rPr>
                <w:sz w:val="18"/>
              </w:rPr>
              <w:t>M,</w:t>
            </w:r>
            <w:r>
              <w:rPr>
                <w:spacing w:val="-3"/>
                <w:sz w:val="18"/>
              </w:rPr>
              <w:t> </w:t>
            </w:r>
            <w:r>
              <w:rPr>
                <w:sz w:val="18"/>
              </w:rPr>
              <w:t>Alahdab</w:t>
            </w:r>
            <w:r>
              <w:rPr>
                <w:spacing w:val="-2"/>
                <w:sz w:val="18"/>
              </w:rPr>
              <w:t> </w:t>
            </w:r>
            <w:r>
              <w:rPr>
                <w:sz w:val="18"/>
              </w:rPr>
              <w:t>F,</w:t>
            </w:r>
            <w:r>
              <w:rPr>
                <w:spacing w:val="-3"/>
                <w:sz w:val="18"/>
              </w:rPr>
              <w:t> </w:t>
            </w:r>
            <w:r>
              <w:rPr>
                <w:sz w:val="18"/>
              </w:rPr>
              <w:t>Veldtman</w:t>
            </w:r>
            <w:r>
              <w:rPr>
                <w:spacing w:val="-4"/>
                <w:sz w:val="18"/>
              </w:rPr>
              <w:t> </w:t>
            </w:r>
            <w:r>
              <w:rPr>
                <w:sz w:val="18"/>
              </w:rPr>
              <w:t>G,</w:t>
            </w:r>
            <w:r>
              <w:rPr>
                <w:spacing w:val="-3"/>
                <w:sz w:val="18"/>
              </w:rPr>
              <w:t> </w:t>
            </w:r>
            <w:r>
              <w:rPr>
                <w:sz w:val="18"/>
              </w:rPr>
              <w:t>Goldstein</w:t>
            </w:r>
            <w:r>
              <w:rPr>
                <w:spacing w:val="-4"/>
                <w:sz w:val="18"/>
              </w:rPr>
              <w:t> </w:t>
            </w:r>
            <w:r>
              <w:rPr>
                <w:sz w:val="18"/>
              </w:rPr>
              <w:t>BH,</w:t>
            </w:r>
            <w:r>
              <w:rPr>
                <w:spacing w:val="-3"/>
                <w:sz w:val="18"/>
              </w:rPr>
              <w:t> </w:t>
            </w:r>
            <w:r>
              <w:rPr>
                <w:sz w:val="18"/>
              </w:rPr>
              <w:t>Rathod</w:t>
            </w:r>
            <w:r>
              <w:rPr>
                <w:spacing w:val="-4"/>
                <w:sz w:val="18"/>
              </w:rPr>
              <w:t> </w:t>
            </w:r>
            <w:r>
              <w:rPr>
                <w:sz w:val="18"/>
              </w:rPr>
              <w:t>RH,</w:t>
            </w:r>
            <w:r>
              <w:rPr>
                <w:spacing w:val="-5"/>
                <w:sz w:val="18"/>
              </w:rPr>
              <w:t> </w:t>
            </w:r>
            <w:r>
              <w:rPr>
                <w:sz w:val="18"/>
              </w:rPr>
              <w:t>Hoskoppal</w:t>
            </w:r>
            <w:r>
              <w:rPr>
                <w:spacing w:val="-3"/>
                <w:sz w:val="18"/>
              </w:rPr>
              <w:t> </w:t>
            </w:r>
            <w:r>
              <w:rPr>
                <w:sz w:val="18"/>
              </w:rPr>
              <w:t>AK,</w:t>
            </w:r>
            <w:r>
              <w:rPr>
                <w:spacing w:val="-3"/>
                <w:sz w:val="18"/>
              </w:rPr>
              <w:t> </w:t>
            </w:r>
            <w:r>
              <w:rPr>
                <w:sz w:val="18"/>
              </w:rPr>
              <w:t>Saraf</w:t>
            </w:r>
            <w:r>
              <w:rPr>
                <w:spacing w:val="-4"/>
                <w:sz w:val="18"/>
              </w:rPr>
              <w:t> </w:t>
            </w:r>
            <w:r>
              <w:rPr>
                <w:sz w:val="18"/>
              </w:rPr>
              <w:t>A,</w:t>
            </w:r>
            <w:r>
              <w:rPr>
                <w:spacing w:val="-3"/>
                <w:sz w:val="18"/>
              </w:rPr>
              <w:t> </w:t>
            </w:r>
            <w:r>
              <w:rPr>
                <w:sz w:val="18"/>
              </w:rPr>
              <w:t>Feingold B,</w:t>
            </w:r>
            <w:r>
              <w:rPr>
                <w:spacing w:val="-5"/>
                <w:sz w:val="18"/>
              </w:rPr>
              <w:t> </w:t>
            </w:r>
            <w:r>
              <w:rPr>
                <w:sz w:val="18"/>
              </w:rPr>
              <w:t>Alsaied</w:t>
            </w:r>
            <w:r>
              <w:rPr>
                <w:spacing w:val="-3"/>
                <w:sz w:val="18"/>
              </w:rPr>
              <w:t> </w:t>
            </w:r>
            <w:r>
              <w:rPr>
                <w:sz w:val="18"/>
              </w:rPr>
              <w:t>T.</w:t>
            </w:r>
            <w:r>
              <w:rPr>
                <w:spacing w:val="-3"/>
                <w:sz w:val="18"/>
              </w:rPr>
              <w:t> </w:t>
            </w:r>
            <w:r>
              <w:rPr>
                <w:sz w:val="18"/>
              </w:rPr>
              <w:t>Thromboprophylaxis</w:t>
            </w:r>
            <w:r>
              <w:rPr>
                <w:spacing w:val="-1"/>
                <w:sz w:val="18"/>
              </w:rPr>
              <w:t> </w:t>
            </w:r>
            <w:r>
              <w:rPr>
                <w:sz w:val="18"/>
              </w:rPr>
              <w:t>in</w:t>
            </w:r>
            <w:r>
              <w:rPr>
                <w:spacing w:val="-4"/>
                <w:sz w:val="18"/>
              </w:rPr>
              <w:t> </w:t>
            </w:r>
            <w:r>
              <w:rPr>
                <w:sz w:val="18"/>
              </w:rPr>
              <w:t>Patients</w:t>
            </w:r>
            <w:r>
              <w:rPr>
                <w:spacing w:val="-4"/>
                <w:sz w:val="18"/>
              </w:rPr>
              <w:t> </w:t>
            </w:r>
            <w:r>
              <w:rPr>
                <w:sz w:val="18"/>
              </w:rPr>
              <w:t>With</w:t>
            </w:r>
            <w:r>
              <w:rPr>
                <w:spacing w:val="1"/>
                <w:sz w:val="18"/>
              </w:rPr>
              <w:t> </w:t>
            </w:r>
            <w:r>
              <w:rPr>
                <w:sz w:val="18"/>
              </w:rPr>
              <w:t>Fontan</w:t>
            </w:r>
            <w:r>
              <w:rPr>
                <w:spacing w:val="-4"/>
                <w:sz w:val="18"/>
              </w:rPr>
              <w:t> </w:t>
            </w:r>
            <w:r>
              <w:rPr>
                <w:sz w:val="18"/>
              </w:rPr>
              <w:t>Circulation.</w:t>
            </w:r>
            <w:r>
              <w:rPr>
                <w:spacing w:val="-3"/>
                <w:sz w:val="18"/>
              </w:rPr>
              <w:t> </w:t>
            </w:r>
            <w:r>
              <w:rPr>
                <w:sz w:val="18"/>
              </w:rPr>
              <w:t>J</w:t>
            </w:r>
            <w:r>
              <w:rPr>
                <w:spacing w:val="-3"/>
                <w:sz w:val="18"/>
              </w:rPr>
              <w:t> </w:t>
            </w:r>
            <w:r>
              <w:rPr>
                <w:sz w:val="18"/>
              </w:rPr>
              <w:t>Am</w:t>
            </w:r>
            <w:r>
              <w:rPr>
                <w:spacing w:val="-2"/>
                <w:sz w:val="18"/>
              </w:rPr>
              <w:t> </w:t>
            </w:r>
            <w:r>
              <w:rPr>
                <w:sz w:val="18"/>
              </w:rPr>
              <w:t>Coll</w:t>
            </w:r>
            <w:r>
              <w:rPr>
                <w:spacing w:val="-3"/>
                <w:sz w:val="18"/>
              </w:rPr>
              <w:t> </w:t>
            </w:r>
            <w:r>
              <w:rPr>
                <w:sz w:val="18"/>
              </w:rPr>
              <w:t>Cardiol.</w:t>
            </w:r>
            <w:r>
              <w:rPr>
                <w:spacing w:val="-3"/>
                <w:sz w:val="18"/>
              </w:rPr>
              <w:t> </w:t>
            </w:r>
            <w:r>
              <w:rPr>
                <w:sz w:val="18"/>
              </w:rPr>
              <w:t>2023</w:t>
            </w:r>
            <w:r>
              <w:rPr>
                <w:spacing w:val="-2"/>
                <w:sz w:val="18"/>
              </w:rPr>
              <w:t> </w:t>
            </w:r>
            <w:r>
              <w:rPr>
                <w:sz w:val="18"/>
              </w:rPr>
              <w:t>Jan</w:t>
            </w:r>
            <w:r>
              <w:rPr>
                <w:spacing w:val="-3"/>
                <w:sz w:val="18"/>
              </w:rPr>
              <w:t> </w:t>
            </w:r>
            <w:r>
              <w:rPr>
                <w:spacing w:val="-2"/>
                <w:sz w:val="18"/>
              </w:rPr>
              <w:t>31;81(4):374-</w:t>
            </w:r>
          </w:p>
          <w:p>
            <w:pPr>
              <w:pStyle w:val="TableParagraph"/>
              <w:spacing w:line="217" w:lineRule="exact"/>
              <w:ind w:left="105"/>
              <w:rPr>
                <w:sz w:val="18"/>
              </w:rPr>
            </w:pPr>
            <w:r>
              <w:rPr>
                <w:sz w:val="18"/>
              </w:rPr>
              <w:t>389.</w:t>
            </w:r>
            <w:r>
              <w:rPr>
                <w:spacing w:val="-7"/>
                <w:sz w:val="18"/>
              </w:rPr>
              <w:t> </w:t>
            </w:r>
            <w:r>
              <w:rPr>
                <w:sz w:val="18"/>
              </w:rPr>
              <w:t>doi:</w:t>
            </w:r>
            <w:r>
              <w:rPr>
                <w:spacing w:val="-3"/>
                <w:sz w:val="18"/>
              </w:rPr>
              <w:t> </w:t>
            </w:r>
            <w:r>
              <w:rPr>
                <w:sz w:val="18"/>
              </w:rPr>
              <w:t>10.1016/j.jacc.2022.10.037.</w:t>
            </w:r>
            <w:r>
              <w:rPr>
                <w:spacing w:val="-1"/>
                <w:sz w:val="18"/>
              </w:rPr>
              <w:t> </w:t>
            </w:r>
            <w:r>
              <w:rPr>
                <w:sz w:val="18"/>
              </w:rPr>
              <w:t>PMID:</w:t>
            </w:r>
            <w:r>
              <w:rPr>
                <w:spacing w:val="-3"/>
                <w:sz w:val="18"/>
              </w:rPr>
              <w:t> </w:t>
            </w:r>
            <w:r>
              <w:rPr>
                <w:sz w:val="18"/>
              </w:rPr>
              <w:t>36697138;</w:t>
            </w:r>
            <w:r>
              <w:rPr>
                <w:spacing w:val="-4"/>
                <w:sz w:val="18"/>
              </w:rPr>
              <w:t> </w:t>
            </w:r>
            <w:r>
              <w:rPr>
                <w:sz w:val="18"/>
              </w:rPr>
              <w:t>PMCID:</w:t>
            </w:r>
            <w:r>
              <w:rPr>
                <w:spacing w:val="-4"/>
                <w:sz w:val="18"/>
              </w:rPr>
              <w:t> </w:t>
            </w:r>
            <w:r>
              <w:rPr>
                <w:spacing w:val="-2"/>
                <w:sz w:val="18"/>
              </w:rPr>
              <w:t>PMC11040452.</w:t>
            </w:r>
          </w:p>
        </w:tc>
        <w:tc>
          <w:tcPr>
            <w:tcW w:w="5811" w:type="dxa"/>
          </w:tcPr>
          <w:p>
            <w:pPr>
              <w:pStyle w:val="TableParagraph"/>
              <w:spacing w:line="218" w:lineRule="exact"/>
              <w:ind w:left="105"/>
              <w:rPr>
                <w:sz w:val="18"/>
              </w:rPr>
            </w:pPr>
            <w:r>
              <w:rPr>
                <w:sz w:val="18"/>
              </w:rPr>
              <w:t>Inadequate</w:t>
            </w:r>
            <w:r>
              <w:rPr>
                <w:spacing w:val="-5"/>
                <w:sz w:val="18"/>
              </w:rPr>
              <w:t> </w:t>
            </w:r>
            <w:r>
              <w:rPr>
                <w:sz w:val="18"/>
              </w:rPr>
              <w:t>search</w:t>
            </w:r>
            <w:r>
              <w:rPr>
                <w:spacing w:val="-5"/>
                <w:sz w:val="18"/>
              </w:rPr>
              <w:t> </w:t>
            </w:r>
            <w:r>
              <w:rPr>
                <w:spacing w:val="-2"/>
                <w:sz w:val="18"/>
              </w:rPr>
              <w:t>strategy</w:t>
            </w:r>
          </w:p>
        </w:tc>
      </w:tr>
      <w:tr>
        <w:trPr>
          <w:trHeight w:val="1182" w:hRule="atLeast"/>
        </w:trPr>
        <w:tc>
          <w:tcPr>
            <w:tcW w:w="8358" w:type="dxa"/>
            <w:shd w:val="clear" w:color="auto" w:fill="D9D9D9"/>
          </w:tcPr>
          <w:p>
            <w:pPr>
              <w:pStyle w:val="TableParagraph"/>
              <w:spacing w:line="280" w:lineRule="auto"/>
              <w:ind w:left="105"/>
              <w:rPr>
                <w:sz w:val="18"/>
              </w:rPr>
            </w:pPr>
            <w:r>
              <w:rPr>
                <w:sz w:val="18"/>
              </w:rPr>
              <w:t>Ohuchi</w:t>
            </w:r>
            <w:r>
              <w:rPr>
                <w:spacing w:val="-3"/>
                <w:sz w:val="18"/>
              </w:rPr>
              <w:t> </w:t>
            </w:r>
            <w:r>
              <w:rPr>
                <w:sz w:val="18"/>
              </w:rPr>
              <w:t>H,</w:t>
            </w:r>
            <w:r>
              <w:rPr>
                <w:spacing w:val="-3"/>
                <w:sz w:val="18"/>
              </w:rPr>
              <w:t> </w:t>
            </w:r>
            <w:r>
              <w:rPr>
                <w:sz w:val="18"/>
              </w:rPr>
              <w:t>Yasuda</w:t>
            </w:r>
            <w:r>
              <w:rPr>
                <w:spacing w:val="-3"/>
                <w:sz w:val="18"/>
              </w:rPr>
              <w:t> </w:t>
            </w:r>
            <w:r>
              <w:rPr>
                <w:sz w:val="18"/>
              </w:rPr>
              <w:t>K,</w:t>
            </w:r>
            <w:r>
              <w:rPr>
                <w:spacing w:val="-3"/>
                <w:sz w:val="18"/>
              </w:rPr>
              <w:t> </w:t>
            </w:r>
            <w:r>
              <w:rPr>
                <w:sz w:val="18"/>
              </w:rPr>
              <w:t>Miyazaki</w:t>
            </w:r>
            <w:r>
              <w:rPr>
                <w:spacing w:val="-3"/>
                <w:sz w:val="18"/>
              </w:rPr>
              <w:t> </w:t>
            </w:r>
            <w:r>
              <w:rPr>
                <w:sz w:val="18"/>
              </w:rPr>
              <w:t>A,</w:t>
            </w:r>
            <w:r>
              <w:rPr>
                <w:spacing w:val="-3"/>
                <w:sz w:val="18"/>
              </w:rPr>
              <w:t> </w:t>
            </w:r>
            <w:r>
              <w:rPr>
                <w:sz w:val="18"/>
              </w:rPr>
              <w:t>Ono</w:t>
            </w:r>
            <w:r>
              <w:rPr>
                <w:spacing w:val="-3"/>
                <w:sz w:val="18"/>
              </w:rPr>
              <w:t> </w:t>
            </w:r>
            <w:r>
              <w:rPr>
                <w:sz w:val="18"/>
              </w:rPr>
              <w:t>S,</w:t>
            </w:r>
            <w:r>
              <w:rPr>
                <w:spacing w:val="-3"/>
                <w:sz w:val="18"/>
              </w:rPr>
              <w:t> </w:t>
            </w:r>
            <w:r>
              <w:rPr>
                <w:sz w:val="18"/>
              </w:rPr>
              <w:t>Hayama</w:t>
            </w:r>
            <w:r>
              <w:rPr>
                <w:spacing w:val="-3"/>
                <w:sz w:val="18"/>
              </w:rPr>
              <w:t> </w:t>
            </w:r>
            <w:r>
              <w:rPr>
                <w:sz w:val="18"/>
              </w:rPr>
              <w:t>Y,</w:t>
            </w:r>
            <w:r>
              <w:rPr>
                <w:spacing w:val="-3"/>
                <w:sz w:val="18"/>
              </w:rPr>
              <w:t> </w:t>
            </w:r>
            <w:r>
              <w:rPr>
                <w:sz w:val="18"/>
              </w:rPr>
              <w:t>Negishi</w:t>
            </w:r>
            <w:r>
              <w:rPr>
                <w:spacing w:val="-3"/>
                <w:sz w:val="18"/>
              </w:rPr>
              <w:t> </w:t>
            </w:r>
            <w:r>
              <w:rPr>
                <w:sz w:val="18"/>
              </w:rPr>
              <w:t>J,</w:t>
            </w:r>
            <w:r>
              <w:rPr>
                <w:spacing w:val="-3"/>
                <w:sz w:val="18"/>
              </w:rPr>
              <w:t> </w:t>
            </w:r>
            <w:r>
              <w:rPr>
                <w:sz w:val="18"/>
              </w:rPr>
              <w:t>Noritake</w:t>
            </w:r>
            <w:r>
              <w:rPr>
                <w:spacing w:val="-3"/>
                <w:sz w:val="18"/>
              </w:rPr>
              <w:t> </w:t>
            </w:r>
            <w:r>
              <w:rPr>
                <w:sz w:val="18"/>
              </w:rPr>
              <w:t>K,</w:t>
            </w:r>
            <w:r>
              <w:rPr>
                <w:spacing w:val="-3"/>
                <w:sz w:val="18"/>
              </w:rPr>
              <w:t> </w:t>
            </w:r>
            <w:r>
              <w:rPr>
                <w:sz w:val="18"/>
              </w:rPr>
              <w:t>Mizuno</w:t>
            </w:r>
            <w:r>
              <w:rPr>
                <w:spacing w:val="-3"/>
                <w:sz w:val="18"/>
              </w:rPr>
              <w:t> </w:t>
            </w:r>
            <w:r>
              <w:rPr>
                <w:sz w:val="18"/>
              </w:rPr>
              <w:t>M,</w:t>
            </w:r>
            <w:r>
              <w:rPr>
                <w:spacing w:val="-3"/>
                <w:sz w:val="18"/>
              </w:rPr>
              <w:t> </w:t>
            </w:r>
            <w:r>
              <w:rPr>
                <w:sz w:val="18"/>
              </w:rPr>
              <w:t>Yamada</w:t>
            </w:r>
            <w:r>
              <w:rPr>
                <w:spacing w:val="-3"/>
                <w:sz w:val="18"/>
              </w:rPr>
              <w:t> </w:t>
            </w:r>
            <w:r>
              <w:rPr>
                <w:sz w:val="18"/>
              </w:rPr>
              <w:t>O.</w:t>
            </w:r>
            <w:r>
              <w:rPr>
                <w:spacing w:val="-3"/>
                <w:sz w:val="18"/>
              </w:rPr>
              <w:t> </w:t>
            </w:r>
            <w:r>
              <w:rPr>
                <w:sz w:val="18"/>
              </w:rPr>
              <w:t>Prevalence</w:t>
            </w:r>
            <w:r>
              <w:rPr>
                <w:spacing w:val="-3"/>
                <w:sz w:val="18"/>
              </w:rPr>
              <w:t> </w:t>
            </w:r>
            <w:r>
              <w:rPr>
                <w:sz w:val="18"/>
              </w:rPr>
              <w:t>and predictors of haemostatic complications in 412 Fontan patients: their relation to anticoagulation and haemodynamics.</w:t>
            </w:r>
            <w:r>
              <w:rPr>
                <w:spacing w:val="-3"/>
                <w:sz w:val="18"/>
              </w:rPr>
              <w:t> </w:t>
            </w:r>
            <w:r>
              <w:rPr>
                <w:sz w:val="18"/>
              </w:rPr>
              <w:t>Eur</w:t>
            </w:r>
            <w:r>
              <w:rPr>
                <w:spacing w:val="-2"/>
                <w:sz w:val="18"/>
              </w:rPr>
              <w:t> </w:t>
            </w:r>
            <w:r>
              <w:rPr>
                <w:sz w:val="18"/>
              </w:rPr>
              <w:t>J</w:t>
            </w:r>
            <w:r>
              <w:rPr>
                <w:spacing w:val="-2"/>
                <w:sz w:val="18"/>
              </w:rPr>
              <w:t> </w:t>
            </w:r>
            <w:r>
              <w:rPr>
                <w:sz w:val="18"/>
              </w:rPr>
              <w:t>Cardiothorac</w:t>
            </w:r>
            <w:r>
              <w:rPr>
                <w:spacing w:val="-2"/>
                <w:sz w:val="18"/>
              </w:rPr>
              <w:t> </w:t>
            </w:r>
            <w:r>
              <w:rPr>
                <w:sz w:val="18"/>
              </w:rPr>
              <w:t>Surg.</w:t>
            </w:r>
            <w:r>
              <w:rPr>
                <w:spacing w:val="-3"/>
                <w:sz w:val="18"/>
              </w:rPr>
              <w:t> </w:t>
            </w:r>
            <w:r>
              <w:rPr>
                <w:sz w:val="18"/>
              </w:rPr>
              <w:t>2015</w:t>
            </w:r>
            <w:r>
              <w:rPr>
                <w:spacing w:val="-2"/>
                <w:sz w:val="18"/>
              </w:rPr>
              <w:t> </w:t>
            </w:r>
            <w:r>
              <w:rPr>
                <w:sz w:val="18"/>
              </w:rPr>
              <w:t>Mar;47(3):511-9.</w:t>
            </w:r>
            <w:r>
              <w:rPr>
                <w:spacing w:val="-3"/>
                <w:sz w:val="18"/>
              </w:rPr>
              <w:t> </w:t>
            </w:r>
            <w:r>
              <w:rPr>
                <w:sz w:val="18"/>
              </w:rPr>
              <w:t>doi:</w:t>
            </w:r>
            <w:r>
              <w:rPr>
                <w:spacing w:val="-2"/>
                <w:sz w:val="18"/>
              </w:rPr>
              <w:t> </w:t>
            </w:r>
            <w:r>
              <w:rPr>
                <w:sz w:val="18"/>
              </w:rPr>
              <w:t>10.1093/ejcts/ezu145.</w:t>
            </w:r>
            <w:r>
              <w:rPr>
                <w:spacing w:val="-3"/>
                <w:sz w:val="18"/>
              </w:rPr>
              <w:t> </w:t>
            </w:r>
            <w:r>
              <w:rPr>
                <w:sz w:val="18"/>
              </w:rPr>
              <w:t>Epub</w:t>
            </w:r>
            <w:r>
              <w:rPr>
                <w:spacing w:val="-3"/>
                <w:sz w:val="18"/>
              </w:rPr>
              <w:t> </w:t>
            </w:r>
            <w:r>
              <w:rPr>
                <w:sz w:val="18"/>
              </w:rPr>
              <w:t>2014</w:t>
            </w:r>
            <w:r>
              <w:rPr>
                <w:spacing w:val="-2"/>
                <w:sz w:val="18"/>
              </w:rPr>
              <w:t> </w:t>
            </w:r>
            <w:r>
              <w:rPr>
                <w:sz w:val="18"/>
              </w:rPr>
              <w:t>Apr</w:t>
            </w:r>
            <w:r>
              <w:rPr>
                <w:spacing w:val="-2"/>
                <w:sz w:val="18"/>
              </w:rPr>
              <w:t> </w:t>
            </w:r>
            <w:r>
              <w:rPr>
                <w:sz w:val="18"/>
              </w:rPr>
              <w:t>3. PMID: 24699205.</w:t>
            </w:r>
          </w:p>
        </w:tc>
        <w:tc>
          <w:tcPr>
            <w:tcW w:w="5811" w:type="dxa"/>
          </w:tcPr>
          <w:p>
            <w:pPr>
              <w:pStyle w:val="TableParagraph"/>
              <w:spacing w:line="218" w:lineRule="exact"/>
              <w:ind w:left="105"/>
              <w:rPr>
                <w:sz w:val="18"/>
              </w:rPr>
            </w:pPr>
            <w:r>
              <w:rPr>
                <w:sz w:val="18"/>
              </w:rPr>
              <w:t>Wrong</w:t>
            </w:r>
            <w:r>
              <w:rPr>
                <w:spacing w:val="-5"/>
                <w:sz w:val="18"/>
              </w:rPr>
              <w:t> </w:t>
            </w:r>
            <w:r>
              <w:rPr>
                <w:sz w:val="18"/>
              </w:rPr>
              <w:t>design,</w:t>
            </w:r>
            <w:r>
              <w:rPr>
                <w:spacing w:val="-3"/>
                <w:sz w:val="18"/>
              </w:rPr>
              <w:t> </w:t>
            </w:r>
            <w:r>
              <w:rPr>
                <w:sz w:val="18"/>
              </w:rPr>
              <w:t>prediction</w:t>
            </w:r>
            <w:r>
              <w:rPr>
                <w:spacing w:val="-4"/>
                <w:sz w:val="18"/>
              </w:rPr>
              <w:t> model</w:t>
            </w:r>
          </w:p>
        </w:tc>
      </w:tr>
      <w:tr>
        <w:trPr>
          <w:trHeight w:val="672" w:hRule="atLeast"/>
        </w:trPr>
        <w:tc>
          <w:tcPr>
            <w:tcW w:w="8358" w:type="dxa"/>
            <w:shd w:val="clear" w:color="auto" w:fill="D9D9D9"/>
          </w:tcPr>
          <w:p>
            <w:pPr>
              <w:pStyle w:val="TableParagraph"/>
              <w:spacing w:line="280" w:lineRule="auto"/>
              <w:ind w:left="105"/>
              <w:rPr>
                <w:sz w:val="18"/>
              </w:rPr>
            </w:pPr>
            <w:r>
              <w:rPr>
                <w:sz w:val="18"/>
              </w:rPr>
              <w:t>Small</w:t>
            </w:r>
            <w:r>
              <w:rPr>
                <w:spacing w:val="-4"/>
                <w:sz w:val="18"/>
              </w:rPr>
              <w:t> </w:t>
            </w:r>
            <w:r>
              <w:rPr>
                <w:sz w:val="18"/>
              </w:rPr>
              <w:t>AJ,</w:t>
            </w:r>
            <w:r>
              <w:rPr>
                <w:spacing w:val="-3"/>
                <w:sz w:val="18"/>
              </w:rPr>
              <w:t> </w:t>
            </w:r>
            <w:r>
              <w:rPr>
                <w:sz w:val="18"/>
              </w:rPr>
              <w:t>Aboulhosn</w:t>
            </w:r>
            <w:r>
              <w:rPr>
                <w:spacing w:val="-4"/>
                <w:sz w:val="18"/>
              </w:rPr>
              <w:t> </w:t>
            </w:r>
            <w:r>
              <w:rPr>
                <w:sz w:val="18"/>
              </w:rPr>
              <w:t>JA,</w:t>
            </w:r>
            <w:r>
              <w:rPr>
                <w:spacing w:val="-3"/>
                <w:sz w:val="18"/>
              </w:rPr>
              <w:t> </w:t>
            </w:r>
            <w:r>
              <w:rPr>
                <w:sz w:val="18"/>
              </w:rPr>
              <w:t>Lluri</w:t>
            </w:r>
            <w:r>
              <w:rPr>
                <w:spacing w:val="-4"/>
                <w:sz w:val="18"/>
              </w:rPr>
              <w:t> </w:t>
            </w:r>
            <w:r>
              <w:rPr>
                <w:sz w:val="18"/>
              </w:rPr>
              <w:t>G.</w:t>
            </w:r>
            <w:r>
              <w:rPr>
                <w:spacing w:val="-4"/>
                <w:sz w:val="18"/>
              </w:rPr>
              <w:t> </w:t>
            </w:r>
            <w:r>
              <w:rPr>
                <w:sz w:val="18"/>
              </w:rPr>
              <w:t>Thromboprophylaxis</w:t>
            </w:r>
            <w:r>
              <w:rPr>
                <w:spacing w:val="-4"/>
                <w:sz w:val="18"/>
              </w:rPr>
              <w:t> </w:t>
            </w:r>
            <w:r>
              <w:rPr>
                <w:sz w:val="18"/>
              </w:rPr>
              <w:t>in</w:t>
            </w:r>
            <w:r>
              <w:rPr>
                <w:spacing w:val="-4"/>
                <w:sz w:val="18"/>
              </w:rPr>
              <w:t> </w:t>
            </w:r>
            <w:r>
              <w:rPr>
                <w:sz w:val="18"/>
              </w:rPr>
              <w:t>Adults</w:t>
            </w:r>
            <w:r>
              <w:rPr>
                <w:spacing w:val="-4"/>
                <w:sz w:val="18"/>
              </w:rPr>
              <w:t> </w:t>
            </w:r>
            <w:r>
              <w:rPr>
                <w:sz w:val="18"/>
              </w:rPr>
              <w:t>With</w:t>
            </w:r>
            <w:r>
              <w:rPr>
                <w:spacing w:val="-4"/>
                <w:sz w:val="18"/>
              </w:rPr>
              <w:t> </w:t>
            </w:r>
            <w:r>
              <w:rPr>
                <w:sz w:val="18"/>
              </w:rPr>
              <w:t>Atrio-Pulmonary</w:t>
            </w:r>
            <w:r>
              <w:rPr>
                <w:spacing w:val="-3"/>
                <w:sz w:val="18"/>
              </w:rPr>
              <w:t> </w:t>
            </w:r>
            <w:r>
              <w:rPr>
                <w:sz w:val="18"/>
              </w:rPr>
              <w:t>Fontan.</w:t>
            </w:r>
            <w:r>
              <w:rPr>
                <w:spacing w:val="-3"/>
                <w:sz w:val="18"/>
              </w:rPr>
              <w:t> </w:t>
            </w:r>
            <w:r>
              <w:rPr>
                <w:sz w:val="18"/>
              </w:rPr>
              <w:t>World</w:t>
            </w:r>
            <w:r>
              <w:rPr>
                <w:spacing w:val="-2"/>
                <w:sz w:val="18"/>
              </w:rPr>
              <w:t> </w:t>
            </w:r>
            <w:r>
              <w:rPr>
                <w:sz w:val="18"/>
              </w:rPr>
              <w:t>J</w:t>
            </w:r>
            <w:r>
              <w:rPr>
                <w:spacing w:val="-3"/>
                <w:sz w:val="18"/>
              </w:rPr>
              <w:t> </w:t>
            </w:r>
            <w:r>
              <w:rPr>
                <w:sz w:val="18"/>
              </w:rPr>
              <w:t>Pediatr Congenit Heart Surg. 2018 Sep;9(5):504-508. doi: 10.1177/2150135118772837. PMID: 30157726.</w:t>
            </w:r>
          </w:p>
        </w:tc>
        <w:tc>
          <w:tcPr>
            <w:tcW w:w="5811" w:type="dxa"/>
          </w:tcPr>
          <w:p>
            <w:pPr>
              <w:pStyle w:val="TableParagraph"/>
              <w:spacing w:line="280" w:lineRule="auto"/>
              <w:ind w:left="105"/>
              <w:rPr>
                <w:sz w:val="18"/>
              </w:rPr>
            </w:pPr>
            <w:r>
              <w:rPr>
                <w:sz w:val="18"/>
              </w:rPr>
              <w:t>Some</w:t>
            </w:r>
            <w:r>
              <w:rPr>
                <w:spacing w:val="-5"/>
                <w:sz w:val="18"/>
              </w:rPr>
              <w:t> </w:t>
            </w:r>
            <w:r>
              <w:rPr>
                <w:sz w:val="18"/>
              </w:rPr>
              <w:t>patients</w:t>
            </w:r>
            <w:r>
              <w:rPr>
                <w:spacing w:val="-6"/>
                <w:sz w:val="18"/>
              </w:rPr>
              <w:t> </w:t>
            </w:r>
            <w:r>
              <w:rPr>
                <w:sz w:val="18"/>
              </w:rPr>
              <w:t>were</w:t>
            </w:r>
            <w:r>
              <w:rPr>
                <w:spacing w:val="-6"/>
                <w:sz w:val="18"/>
              </w:rPr>
              <w:t> </w:t>
            </w:r>
            <w:r>
              <w:rPr>
                <w:sz w:val="18"/>
              </w:rPr>
              <w:t>adult</w:t>
            </w:r>
            <w:r>
              <w:rPr>
                <w:spacing w:val="-4"/>
                <w:sz w:val="18"/>
              </w:rPr>
              <w:t> </w:t>
            </w:r>
            <w:r>
              <w:rPr>
                <w:sz w:val="18"/>
              </w:rPr>
              <w:t>at</w:t>
            </w:r>
            <w:r>
              <w:rPr>
                <w:spacing w:val="-3"/>
                <w:sz w:val="18"/>
              </w:rPr>
              <w:t> </w:t>
            </w:r>
            <w:r>
              <w:rPr>
                <w:sz w:val="18"/>
              </w:rPr>
              <w:t>time</w:t>
            </w:r>
            <w:r>
              <w:rPr>
                <w:spacing w:val="-3"/>
                <w:sz w:val="18"/>
              </w:rPr>
              <w:t> </w:t>
            </w:r>
            <w:r>
              <w:rPr>
                <w:sz w:val="18"/>
              </w:rPr>
              <w:t>of</w:t>
            </w:r>
            <w:r>
              <w:rPr>
                <w:spacing w:val="-5"/>
                <w:sz w:val="18"/>
              </w:rPr>
              <w:t> </w:t>
            </w:r>
            <w:r>
              <w:rPr>
                <w:sz w:val="18"/>
              </w:rPr>
              <w:t>Fontan</w:t>
            </w:r>
            <w:r>
              <w:rPr>
                <w:spacing w:val="-6"/>
                <w:sz w:val="18"/>
              </w:rPr>
              <w:t> </w:t>
            </w:r>
            <w:r>
              <w:rPr>
                <w:sz w:val="18"/>
              </w:rPr>
              <w:t>procedure,</w:t>
            </w:r>
            <w:r>
              <w:rPr>
                <w:spacing w:val="-4"/>
                <w:sz w:val="18"/>
              </w:rPr>
              <w:t> </w:t>
            </w:r>
            <w:r>
              <w:rPr>
                <w:sz w:val="18"/>
              </w:rPr>
              <w:t>no</w:t>
            </w:r>
            <w:r>
              <w:rPr>
                <w:spacing w:val="-4"/>
                <w:sz w:val="18"/>
              </w:rPr>
              <w:t> </w:t>
            </w:r>
            <w:r>
              <w:rPr>
                <w:sz w:val="18"/>
              </w:rPr>
              <w:t>separate description of results</w:t>
            </w:r>
          </w:p>
        </w:tc>
      </w:tr>
    </w:tbl>
    <w:p>
      <w:pPr>
        <w:pStyle w:val="BodyText"/>
        <w:spacing w:before="204"/>
      </w:pPr>
    </w:p>
    <w:p>
      <w:pPr>
        <w:pStyle w:val="BodyText"/>
        <w:ind w:left="23"/>
      </w:pPr>
      <w:r>
        <w:rPr/>
        <w:t>Table</w:t>
      </w:r>
      <w:r>
        <w:rPr>
          <w:spacing w:val="-5"/>
        </w:rPr>
        <w:t> </w:t>
      </w:r>
      <w:r>
        <w:rPr/>
        <w:t>3.2.</w:t>
      </w:r>
      <w:r>
        <w:rPr>
          <w:spacing w:val="-4"/>
        </w:rPr>
        <w:t> </w:t>
      </w:r>
      <w:r>
        <w:rPr/>
        <w:t>Characteristics</w:t>
      </w:r>
      <w:r>
        <w:rPr>
          <w:spacing w:val="-7"/>
        </w:rPr>
        <w:t> </w:t>
      </w:r>
      <w:r>
        <w:rPr/>
        <w:t>of</w:t>
      </w:r>
      <w:r>
        <w:rPr>
          <w:spacing w:val="-4"/>
        </w:rPr>
        <w:t> </w:t>
      </w:r>
      <w:r>
        <w:rPr/>
        <w:t>included</w:t>
      </w:r>
      <w:r>
        <w:rPr>
          <w:spacing w:val="-4"/>
        </w:rPr>
        <w:t> </w:t>
      </w:r>
      <w:r>
        <w:rPr>
          <w:spacing w:val="-2"/>
        </w:rPr>
        <w:t>studies</w:t>
      </w:r>
    </w:p>
    <w:p>
      <w:pPr>
        <w:pStyle w:val="BodyText"/>
        <w:spacing w:before="7"/>
        <w:rPr>
          <w:sz w:val="16"/>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60"/>
        <w:gridCol w:w="2248"/>
        <w:gridCol w:w="1677"/>
        <w:gridCol w:w="767"/>
        <w:gridCol w:w="4387"/>
        <w:gridCol w:w="1843"/>
        <w:gridCol w:w="1982"/>
      </w:tblGrid>
      <w:tr>
        <w:trPr>
          <w:trHeight w:val="671" w:hRule="atLeast"/>
        </w:trPr>
        <w:tc>
          <w:tcPr>
            <w:tcW w:w="1260" w:type="dxa"/>
          </w:tcPr>
          <w:p>
            <w:pPr>
              <w:pStyle w:val="TableParagraph"/>
              <w:spacing w:before="1"/>
              <w:ind w:left="105"/>
              <w:rPr>
                <w:b/>
                <w:sz w:val="18"/>
              </w:rPr>
            </w:pPr>
            <w:r>
              <w:rPr>
                <w:b/>
                <w:spacing w:val="-2"/>
                <w:sz w:val="18"/>
              </w:rPr>
              <w:t>Study</w:t>
            </w:r>
          </w:p>
        </w:tc>
        <w:tc>
          <w:tcPr>
            <w:tcW w:w="2248" w:type="dxa"/>
          </w:tcPr>
          <w:p>
            <w:pPr>
              <w:pStyle w:val="TableParagraph"/>
              <w:spacing w:before="1"/>
              <w:ind w:left="105"/>
              <w:rPr>
                <w:b/>
                <w:sz w:val="18"/>
              </w:rPr>
            </w:pPr>
            <w:r>
              <w:rPr>
                <w:b/>
                <w:spacing w:val="-2"/>
                <w:sz w:val="18"/>
              </w:rPr>
              <w:t>Participants</w:t>
            </w:r>
          </w:p>
        </w:tc>
        <w:tc>
          <w:tcPr>
            <w:tcW w:w="1677" w:type="dxa"/>
          </w:tcPr>
          <w:p>
            <w:pPr>
              <w:pStyle w:val="TableParagraph"/>
              <w:spacing w:before="1"/>
              <w:ind w:left="104"/>
              <w:rPr>
                <w:b/>
                <w:sz w:val="18"/>
              </w:rPr>
            </w:pPr>
            <w:r>
              <w:rPr>
                <w:b/>
                <w:spacing w:val="-2"/>
                <w:sz w:val="18"/>
              </w:rPr>
              <w:t>Comparison</w:t>
            </w:r>
          </w:p>
        </w:tc>
        <w:tc>
          <w:tcPr>
            <w:tcW w:w="767" w:type="dxa"/>
          </w:tcPr>
          <w:p>
            <w:pPr>
              <w:pStyle w:val="TableParagraph"/>
              <w:spacing w:line="278" w:lineRule="auto" w:before="1"/>
              <w:ind w:left="105" w:right="87"/>
              <w:rPr>
                <w:b/>
                <w:sz w:val="18"/>
              </w:rPr>
            </w:pPr>
            <w:r>
              <w:rPr>
                <w:b/>
                <w:spacing w:val="-2"/>
                <w:sz w:val="18"/>
              </w:rPr>
              <w:t>Follow-</w:t>
            </w:r>
            <w:r>
              <w:rPr>
                <w:b/>
                <w:spacing w:val="-6"/>
                <w:sz w:val="18"/>
              </w:rPr>
              <w:t>up</w:t>
            </w:r>
          </w:p>
        </w:tc>
        <w:tc>
          <w:tcPr>
            <w:tcW w:w="4387" w:type="dxa"/>
          </w:tcPr>
          <w:p>
            <w:pPr>
              <w:pStyle w:val="TableParagraph"/>
              <w:spacing w:before="1"/>
              <w:ind w:left="108"/>
              <w:rPr>
                <w:b/>
                <w:sz w:val="18"/>
              </w:rPr>
            </w:pPr>
            <w:r>
              <w:rPr>
                <w:b/>
                <w:sz w:val="18"/>
              </w:rPr>
              <w:t>Outcome</w:t>
            </w:r>
            <w:r>
              <w:rPr>
                <w:b/>
                <w:spacing w:val="-4"/>
                <w:sz w:val="18"/>
              </w:rPr>
              <w:t> </w:t>
            </w:r>
            <w:r>
              <w:rPr>
                <w:b/>
                <w:spacing w:val="-2"/>
                <w:sz w:val="18"/>
              </w:rPr>
              <w:t>measures</w:t>
            </w:r>
          </w:p>
        </w:tc>
        <w:tc>
          <w:tcPr>
            <w:tcW w:w="1843" w:type="dxa"/>
          </w:tcPr>
          <w:p>
            <w:pPr>
              <w:pStyle w:val="TableParagraph"/>
              <w:spacing w:before="1"/>
              <w:ind w:left="106"/>
              <w:rPr>
                <w:b/>
                <w:sz w:val="18"/>
              </w:rPr>
            </w:pPr>
            <w:r>
              <w:rPr>
                <w:b/>
                <w:spacing w:val="-2"/>
                <w:sz w:val="18"/>
              </w:rPr>
              <w:t>Comments</w:t>
            </w:r>
          </w:p>
        </w:tc>
        <w:tc>
          <w:tcPr>
            <w:tcW w:w="1982" w:type="dxa"/>
          </w:tcPr>
          <w:p>
            <w:pPr>
              <w:pStyle w:val="TableParagraph"/>
              <w:spacing w:line="278" w:lineRule="auto" w:before="1"/>
              <w:ind w:left="107" w:right="350"/>
              <w:rPr>
                <w:b/>
                <w:sz w:val="18"/>
              </w:rPr>
            </w:pPr>
            <w:r>
              <w:rPr>
                <w:b/>
                <w:sz w:val="18"/>
              </w:rPr>
              <w:t>Risk of bias (per outcome</w:t>
            </w:r>
            <w:r>
              <w:rPr>
                <w:b/>
                <w:spacing w:val="-11"/>
                <w:sz w:val="18"/>
              </w:rPr>
              <w:t> </w:t>
            </w:r>
            <w:r>
              <w:rPr>
                <w:b/>
                <w:sz w:val="18"/>
              </w:rPr>
              <w:t>measure)*</w:t>
            </w:r>
          </w:p>
        </w:tc>
      </w:tr>
      <w:tr>
        <w:trPr>
          <w:trHeight w:val="417" w:hRule="atLeast"/>
        </w:trPr>
        <w:tc>
          <w:tcPr>
            <w:tcW w:w="14164" w:type="dxa"/>
            <w:gridSpan w:val="7"/>
            <w:shd w:val="clear" w:color="auto" w:fill="ADAAAA"/>
          </w:tcPr>
          <w:p>
            <w:pPr>
              <w:pStyle w:val="TableParagraph"/>
              <w:spacing w:line="218" w:lineRule="exact"/>
              <w:ind w:left="105"/>
              <w:rPr>
                <w:b/>
                <w:i/>
                <w:sz w:val="18"/>
              </w:rPr>
            </w:pPr>
            <w:r>
              <w:rPr>
                <w:b/>
                <w:i/>
                <w:sz w:val="18"/>
              </w:rPr>
              <w:t>Studies</w:t>
            </w:r>
            <w:r>
              <w:rPr>
                <w:b/>
                <w:i/>
                <w:spacing w:val="-3"/>
                <w:sz w:val="18"/>
              </w:rPr>
              <w:t> </w:t>
            </w:r>
            <w:r>
              <w:rPr>
                <w:b/>
                <w:i/>
                <w:sz w:val="18"/>
              </w:rPr>
              <w:t>with</w:t>
            </w:r>
            <w:r>
              <w:rPr>
                <w:b/>
                <w:i/>
                <w:spacing w:val="-3"/>
                <w:sz w:val="18"/>
              </w:rPr>
              <w:t> </w:t>
            </w:r>
            <w:r>
              <w:rPr>
                <w:b/>
                <w:i/>
                <w:sz w:val="18"/>
              </w:rPr>
              <w:t>follow-up</w:t>
            </w:r>
            <w:r>
              <w:rPr>
                <w:b/>
                <w:i/>
                <w:spacing w:val="-1"/>
                <w:sz w:val="18"/>
              </w:rPr>
              <w:t> </w:t>
            </w:r>
            <w:r>
              <w:rPr>
                <w:b/>
                <w:i/>
                <w:sz w:val="18"/>
              </w:rPr>
              <w:t>≤</w:t>
            </w:r>
            <w:r>
              <w:rPr>
                <w:b/>
                <w:i/>
                <w:spacing w:val="-2"/>
                <w:sz w:val="18"/>
              </w:rPr>
              <w:t> </w:t>
            </w:r>
            <w:r>
              <w:rPr>
                <w:b/>
                <w:i/>
                <w:sz w:val="18"/>
              </w:rPr>
              <w:t>1</w:t>
            </w:r>
            <w:r>
              <w:rPr>
                <w:b/>
                <w:i/>
                <w:spacing w:val="-1"/>
                <w:sz w:val="18"/>
              </w:rPr>
              <w:t> </w:t>
            </w:r>
            <w:r>
              <w:rPr>
                <w:b/>
                <w:i/>
                <w:spacing w:val="-4"/>
                <w:sz w:val="18"/>
              </w:rPr>
              <w:t>year</w:t>
            </w:r>
          </w:p>
        </w:tc>
      </w:tr>
      <w:tr>
        <w:trPr>
          <w:trHeight w:val="3957" w:hRule="atLeast"/>
        </w:trPr>
        <w:tc>
          <w:tcPr>
            <w:tcW w:w="1260" w:type="dxa"/>
          </w:tcPr>
          <w:p>
            <w:pPr>
              <w:pStyle w:val="TableParagraph"/>
              <w:spacing w:line="218" w:lineRule="exact"/>
              <w:ind w:left="105"/>
              <w:rPr>
                <w:sz w:val="18"/>
              </w:rPr>
            </w:pPr>
            <w:r>
              <w:rPr>
                <w:sz w:val="18"/>
              </w:rPr>
              <w:t>Ankola,</w:t>
            </w:r>
            <w:r>
              <w:rPr>
                <w:spacing w:val="-5"/>
                <w:sz w:val="18"/>
              </w:rPr>
              <w:t> </w:t>
            </w:r>
            <w:r>
              <w:rPr>
                <w:spacing w:val="-4"/>
                <w:sz w:val="18"/>
              </w:rPr>
              <w:t>2021</w:t>
            </w:r>
          </w:p>
        </w:tc>
        <w:tc>
          <w:tcPr>
            <w:tcW w:w="2248" w:type="dxa"/>
          </w:tcPr>
          <w:p>
            <w:pPr>
              <w:pStyle w:val="TableParagraph"/>
              <w:spacing w:line="218" w:lineRule="exact"/>
              <w:ind w:left="105"/>
              <w:rPr>
                <w:sz w:val="18"/>
              </w:rPr>
            </w:pPr>
            <w:r>
              <w:rPr>
                <w:sz w:val="18"/>
                <w:u w:val="single"/>
              </w:rPr>
              <w:t>N</w:t>
            </w:r>
            <w:r>
              <w:rPr>
                <w:spacing w:val="-3"/>
                <w:sz w:val="18"/>
                <w:u w:val="single"/>
              </w:rPr>
              <w:t> </w:t>
            </w:r>
            <w:r>
              <w:rPr>
                <w:sz w:val="18"/>
                <w:u w:val="single"/>
              </w:rPr>
              <w:t>at </w:t>
            </w:r>
            <w:r>
              <w:rPr>
                <w:spacing w:val="-2"/>
                <w:sz w:val="18"/>
                <w:u w:val="single"/>
              </w:rPr>
              <w:t>baseline</w:t>
            </w:r>
          </w:p>
          <w:p>
            <w:pPr>
              <w:pStyle w:val="TableParagraph"/>
              <w:numPr>
                <w:ilvl w:val="0"/>
                <w:numId w:val="5"/>
              </w:numPr>
              <w:tabs>
                <w:tab w:pos="327" w:val="left" w:leader="none"/>
              </w:tabs>
              <w:spacing w:line="240" w:lineRule="auto" w:before="196" w:after="0"/>
              <w:ind w:left="327" w:right="0" w:hanging="222"/>
              <w:jc w:val="left"/>
              <w:rPr>
                <w:sz w:val="18"/>
              </w:rPr>
            </w:pPr>
            <w:r>
              <w:rPr>
                <w:sz w:val="18"/>
              </w:rPr>
              <w:t>Aspirin:</w:t>
            </w:r>
            <w:r>
              <w:rPr>
                <w:spacing w:val="-5"/>
                <w:sz w:val="18"/>
              </w:rPr>
              <w:t> 103</w:t>
            </w:r>
          </w:p>
          <w:p>
            <w:pPr>
              <w:pStyle w:val="TableParagraph"/>
              <w:numPr>
                <w:ilvl w:val="0"/>
                <w:numId w:val="5"/>
              </w:numPr>
              <w:tabs>
                <w:tab w:pos="327" w:val="left" w:leader="none"/>
              </w:tabs>
              <w:spacing w:line="240" w:lineRule="auto" w:before="34" w:after="0"/>
              <w:ind w:left="327" w:right="0" w:hanging="222"/>
              <w:jc w:val="left"/>
              <w:rPr>
                <w:sz w:val="18"/>
              </w:rPr>
            </w:pPr>
            <w:r>
              <w:rPr>
                <w:sz w:val="18"/>
              </w:rPr>
              <w:t>Warfarin:</w:t>
            </w:r>
            <w:r>
              <w:rPr>
                <w:spacing w:val="-2"/>
                <w:sz w:val="18"/>
              </w:rPr>
              <w:t> </w:t>
            </w:r>
            <w:r>
              <w:rPr>
                <w:spacing w:val="-5"/>
                <w:sz w:val="18"/>
              </w:rPr>
              <w:t>52</w:t>
            </w:r>
          </w:p>
          <w:p>
            <w:pPr>
              <w:pStyle w:val="TableParagraph"/>
              <w:numPr>
                <w:ilvl w:val="0"/>
                <w:numId w:val="5"/>
              </w:numPr>
              <w:tabs>
                <w:tab w:pos="327" w:val="left" w:leader="none"/>
              </w:tabs>
              <w:spacing w:line="240" w:lineRule="auto" w:before="37" w:after="0"/>
              <w:ind w:left="327" w:right="0" w:hanging="222"/>
              <w:jc w:val="left"/>
              <w:rPr>
                <w:sz w:val="18"/>
              </w:rPr>
            </w:pPr>
            <w:r>
              <w:rPr>
                <w:sz w:val="18"/>
              </w:rPr>
              <w:t>Enoxaparin:</w:t>
            </w:r>
            <w:r>
              <w:rPr>
                <w:spacing w:val="-4"/>
                <w:sz w:val="18"/>
              </w:rPr>
              <w:t> </w:t>
            </w:r>
            <w:r>
              <w:rPr>
                <w:spacing w:val="-5"/>
                <w:sz w:val="18"/>
              </w:rPr>
              <w:t>13</w:t>
            </w:r>
          </w:p>
          <w:p>
            <w:pPr>
              <w:pStyle w:val="TableParagraph"/>
              <w:rPr>
                <w:sz w:val="18"/>
              </w:rPr>
            </w:pPr>
          </w:p>
          <w:p>
            <w:pPr>
              <w:pStyle w:val="TableParagraph"/>
              <w:spacing w:before="171"/>
              <w:rPr>
                <w:sz w:val="18"/>
              </w:rPr>
            </w:pPr>
          </w:p>
          <w:p>
            <w:pPr>
              <w:pStyle w:val="TableParagraph"/>
              <w:spacing w:before="1"/>
              <w:ind w:left="105"/>
              <w:rPr>
                <w:position w:val="5"/>
                <w:sz w:val="12"/>
              </w:rPr>
            </w:pPr>
            <w:r>
              <w:rPr>
                <w:spacing w:val="-4"/>
                <w:sz w:val="18"/>
              </w:rPr>
              <w:t>Age</w:t>
            </w:r>
            <w:r>
              <w:rPr>
                <w:spacing w:val="-4"/>
                <w:position w:val="5"/>
                <w:sz w:val="12"/>
              </w:rPr>
              <w:t>1</w:t>
            </w:r>
          </w:p>
          <w:p>
            <w:pPr>
              <w:pStyle w:val="TableParagraph"/>
              <w:spacing w:before="34"/>
              <w:ind w:left="105"/>
              <w:rPr>
                <w:sz w:val="18"/>
              </w:rPr>
            </w:pPr>
            <w:r>
              <w:rPr>
                <w:sz w:val="18"/>
              </w:rPr>
              <mc:AlternateContent>
                <mc:Choice Requires="wps">
                  <w:drawing>
                    <wp:anchor distT="0" distB="0" distL="0" distR="0" allowOverlap="1" layoutInCell="1" locked="0" behindDoc="1" simplePos="0" relativeHeight="484070400">
                      <wp:simplePos x="0" y="0"/>
                      <wp:positionH relativeFrom="column">
                        <wp:posOffset>67056</wp:posOffset>
                      </wp:positionH>
                      <wp:positionV relativeFrom="paragraph">
                        <wp:posOffset>-18931</wp:posOffset>
                      </wp:positionV>
                      <wp:extent cx="213360" cy="7620"/>
                      <wp:effectExtent l="0" t="0" r="0" b="0"/>
                      <wp:wrapNone/>
                      <wp:docPr id="25" name="Group 25"/>
                      <wp:cNvGraphicFramePr>
                        <a:graphicFrameLocks/>
                      </wp:cNvGraphicFramePr>
                      <a:graphic>
                        <a:graphicData uri="http://schemas.microsoft.com/office/word/2010/wordprocessingGroup">
                          <wpg:wgp>
                            <wpg:cNvPr id="25" name="Group 25"/>
                            <wpg:cNvGrpSpPr/>
                            <wpg:grpSpPr>
                              <a:xfrm>
                                <a:off x="0" y="0"/>
                                <a:ext cx="213360" cy="7620"/>
                                <a:chExt cx="213360" cy="7620"/>
                              </a:xfrm>
                            </wpg:grpSpPr>
                            <wps:wsp>
                              <wps:cNvPr id="26" name="Graphic 26"/>
                              <wps:cNvSpPr/>
                              <wps:spPr>
                                <a:xfrm>
                                  <a:off x="0" y="0"/>
                                  <a:ext cx="213360" cy="7620"/>
                                </a:xfrm>
                                <a:custGeom>
                                  <a:avLst/>
                                  <a:gdLst/>
                                  <a:ahLst/>
                                  <a:cxnLst/>
                                  <a:rect l="l" t="t" r="r" b="b"/>
                                  <a:pathLst>
                                    <a:path w="213360" h="7620">
                                      <a:moveTo>
                                        <a:pt x="213360" y="0"/>
                                      </a:moveTo>
                                      <a:lnTo>
                                        <a:pt x="0" y="0"/>
                                      </a:lnTo>
                                      <a:lnTo>
                                        <a:pt x="0" y="7620"/>
                                      </a:lnTo>
                                      <a:lnTo>
                                        <a:pt x="213360" y="7620"/>
                                      </a:lnTo>
                                      <a:lnTo>
                                        <a:pt x="2133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5.28pt;margin-top:-1.490673pt;width:16.8pt;height:.6pt;mso-position-horizontal-relative:column;mso-position-vertical-relative:paragraph;z-index:-19246080" id="docshapegroup25" coordorigin="106,-30" coordsize="336,12">
                      <v:rect style="position:absolute;left:105;top:-30;width:336;height:12" id="docshape26" filled="true" fillcolor="#000000" stroked="false">
                        <v:fill type="solid"/>
                      </v:rect>
                      <w10:wrap type="none"/>
                    </v:group>
                  </w:pict>
                </mc:Fallback>
              </mc:AlternateContent>
            </w:r>
            <w:r>
              <w:rPr>
                <w:sz w:val="18"/>
                <w:u w:val="single"/>
              </w:rPr>
              <w:t>(median</w:t>
            </w:r>
            <w:r>
              <w:rPr>
                <w:spacing w:val="-4"/>
                <w:sz w:val="18"/>
                <w:u w:val="single"/>
              </w:rPr>
              <w:t> </w:t>
            </w:r>
            <w:r>
              <w:rPr>
                <w:sz w:val="18"/>
                <w:u w:val="single"/>
              </w:rPr>
              <w:t>(IQR)) </w:t>
            </w:r>
            <w:r>
              <w:rPr>
                <w:sz w:val="18"/>
                <w:u w:val="none"/>
              </w:rPr>
              <w:t>3.3</w:t>
            </w:r>
            <w:r>
              <w:rPr>
                <w:spacing w:val="-1"/>
                <w:sz w:val="18"/>
                <w:u w:val="none"/>
              </w:rPr>
              <w:t> </w:t>
            </w:r>
            <w:r>
              <w:rPr>
                <w:sz w:val="18"/>
                <w:u w:val="none"/>
              </w:rPr>
              <w:t>(2.8-</w:t>
            </w:r>
            <w:r>
              <w:rPr>
                <w:spacing w:val="-4"/>
                <w:sz w:val="18"/>
                <w:u w:val="none"/>
              </w:rPr>
              <w:t>3.9)</w:t>
            </w:r>
          </w:p>
          <w:p>
            <w:pPr>
              <w:pStyle w:val="TableParagraph"/>
              <w:spacing w:before="37"/>
              <w:ind w:left="105"/>
              <w:rPr>
                <w:sz w:val="18"/>
              </w:rPr>
            </w:pPr>
            <w:r>
              <w:rPr>
                <w:spacing w:val="-2"/>
                <w:sz w:val="18"/>
              </w:rPr>
              <w:t>years</w:t>
            </w:r>
          </w:p>
          <w:p>
            <w:pPr>
              <w:pStyle w:val="TableParagraph"/>
              <w:rPr>
                <w:sz w:val="18"/>
              </w:rPr>
            </w:pPr>
          </w:p>
          <w:p>
            <w:pPr>
              <w:pStyle w:val="TableParagraph"/>
              <w:spacing w:before="172"/>
              <w:rPr>
                <w:sz w:val="18"/>
              </w:rPr>
            </w:pPr>
          </w:p>
          <w:p>
            <w:pPr>
              <w:pStyle w:val="TableParagraph"/>
              <w:ind w:left="105"/>
              <w:rPr>
                <w:position w:val="5"/>
                <w:sz w:val="12"/>
              </w:rPr>
            </w:pPr>
            <w:r>
              <w:rPr>
                <w:position w:val="5"/>
                <w:sz w:val="12"/>
              </w:rPr>
              <mc:AlternateContent>
                <mc:Choice Requires="wps">
                  <w:drawing>
                    <wp:anchor distT="0" distB="0" distL="0" distR="0" allowOverlap="1" layoutInCell="1" locked="0" behindDoc="1" simplePos="0" relativeHeight="484070912">
                      <wp:simplePos x="0" y="0"/>
                      <wp:positionH relativeFrom="column">
                        <wp:posOffset>67056</wp:posOffset>
                      </wp:positionH>
                      <wp:positionV relativeFrom="paragraph">
                        <wp:posOffset>121022</wp:posOffset>
                      </wp:positionV>
                      <wp:extent cx="198120" cy="7620"/>
                      <wp:effectExtent l="0" t="0" r="0" b="0"/>
                      <wp:wrapNone/>
                      <wp:docPr id="27" name="Group 27"/>
                      <wp:cNvGraphicFramePr>
                        <a:graphicFrameLocks/>
                      </wp:cNvGraphicFramePr>
                      <a:graphic>
                        <a:graphicData uri="http://schemas.microsoft.com/office/word/2010/wordprocessingGroup">
                          <wpg:wgp>
                            <wpg:cNvPr id="27" name="Group 27"/>
                            <wpg:cNvGrpSpPr/>
                            <wpg:grpSpPr>
                              <a:xfrm>
                                <a:off x="0" y="0"/>
                                <a:ext cx="198120" cy="7620"/>
                                <a:chExt cx="198120" cy="7620"/>
                              </a:xfrm>
                            </wpg:grpSpPr>
                            <wps:wsp>
                              <wps:cNvPr id="28" name="Graphic 28"/>
                              <wps:cNvSpPr/>
                              <wps:spPr>
                                <a:xfrm>
                                  <a:off x="0" y="0"/>
                                  <a:ext cx="198120" cy="7620"/>
                                </a:xfrm>
                                <a:custGeom>
                                  <a:avLst/>
                                  <a:gdLst/>
                                  <a:ahLst/>
                                  <a:cxnLst/>
                                  <a:rect l="l" t="t" r="r" b="b"/>
                                  <a:pathLst>
                                    <a:path w="198120" h="7620">
                                      <a:moveTo>
                                        <a:pt x="198119" y="0"/>
                                      </a:moveTo>
                                      <a:lnTo>
                                        <a:pt x="0" y="0"/>
                                      </a:lnTo>
                                      <a:lnTo>
                                        <a:pt x="0" y="7619"/>
                                      </a:lnTo>
                                      <a:lnTo>
                                        <a:pt x="198119" y="7619"/>
                                      </a:lnTo>
                                      <a:lnTo>
                                        <a:pt x="19811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5.28pt;margin-top:9.529358pt;width:15.6pt;height:.6pt;mso-position-horizontal-relative:column;mso-position-vertical-relative:paragraph;z-index:-19245568" id="docshapegroup27" coordorigin="106,191" coordsize="312,12">
                      <v:rect style="position:absolute;left:105;top:190;width:312;height:12" id="docshape28" filled="true" fillcolor="#000000" stroked="false">
                        <v:fill type="solid"/>
                      </v:rect>
                      <w10:wrap type="none"/>
                    </v:group>
                  </w:pict>
                </mc:Fallback>
              </mc:AlternateContent>
            </w:r>
            <w:r>
              <w:rPr>
                <w:spacing w:val="-4"/>
                <w:sz w:val="18"/>
              </w:rPr>
              <w:t>Sex</w:t>
            </w:r>
            <w:r>
              <w:rPr>
                <w:spacing w:val="-4"/>
                <w:position w:val="5"/>
                <w:sz w:val="12"/>
              </w:rPr>
              <w:t>2</w:t>
            </w:r>
          </w:p>
          <w:p>
            <w:pPr>
              <w:pStyle w:val="TableParagraph"/>
              <w:spacing w:before="196"/>
              <w:ind w:left="146"/>
              <w:rPr>
                <w:sz w:val="18"/>
              </w:rPr>
            </w:pPr>
            <w:r>
              <w:rPr>
                <w:sz w:val="18"/>
              </w:rPr>
              <w:t>39% </w:t>
            </w:r>
            <w:r>
              <w:rPr>
                <w:spacing w:val="-2"/>
                <w:sz w:val="18"/>
              </w:rPr>
              <w:t>female</w:t>
            </w:r>
          </w:p>
        </w:tc>
        <w:tc>
          <w:tcPr>
            <w:tcW w:w="1677" w:type="dxa"/>
          </w:tcPr>
          <w:p>
            <w:pPr>
              <w:pStyle w:val="TableParagraph"/>
              <w:numPr>
                <w:ilvl w:val="0"/>
                <w:numId w:val="6"/>
              </w:numPr>
              <w:tabs>
                <w:tab w:pos="326" w:val="left" w:leader="none"/>
              </w:tabs>
              <w:spacing w:line="228" w:lineRule="exact" w:before="0" w:after="0"/>
              <w:ind w:left="326" w:right="0" w:hanging="222"/>
              <w:jc w:val="left"/>
              <w:rPr>
                <w:sz w:val="18"/>
              </w:rPr>
            </w:pPr>
            <w:r>
              <w:rPr>
                <w:spacing w:val="-2"/>
                <w:sz w:val="18"/>
              </w:rPr>
              <w:t>Aspirin</w:t>
            </w:r>
          </w:p>
          <w:p>
            <w:pPr>
              <w:pStyle w:val="TableParagraph"/>
              <w:numPr>
                <w:ilvl w:val="0"/>
                <w:numId w:val="6"/>
              </w:numPr>
              <w:tabs>
                <w:tab w:pos="326" w:val="left" w:leader="none"/>
              </w:tabs>
              <w:spacing w:line="240" w:lineRule="auto" w:before="35" w:after="0"/>
              <w:ind w:left="326" w:right="0" w:hanging="222"/>
              <w:jc w:val="left"/>
              <w:rPr>
                <w:sz w:val="18"/>
              </w:rPr>
            </w:pPr>
            <w:r>
              <w:rPr>
                <w:spacing w:val="-2"/>
                <w:sz w:val="18"/>
              </w:rPr>
              <w:t>Warfarin</w:t>
            </w:r>
          </w:p>
          <w:p>
            <w:pPr>
              <w:pStyle w:val="TableParagraph"/>
              <w:numPr>
                <w:ilvl w:val="0"/>
                <w:numId w:val="6"/>
              </w:numPr>
              <w:tabs>
                <w:tab w:pos="326" w:val="left" w:leader="none"/>
              </w:tabs>
              <w:spacing w:line="240" w:lineRule="auto" w:before="37" w:after="0"/>
              <w:ind w:left="326" w:right="0" w:hanging="222"/>
              <w:jc w:val="left"/>
              <w:rPr>
                <w:sz w:val="18"/>
              </w:rPr>
            </w:pPr>
            <w:r>
              <w:rPr>
                <w:spacing w:val="-2"/>
                <w:sz w:val="18"/>
              </w:rPr>
              <w:t>Enoxaparin</w:t>
            </w:r>
          </w:p>
        </w:tc>
        <w:tc>
          <w:tcPr>
            <w:tcW w:w="767" w:type="dxa"/>
          </w:tcPr>
          <w:p>
            <w:pPr>
              <w:pStyle w:val="TableParagraph"/>
              <w:spacing w:line="218" w:lineRule="exact"/>
              <w:ind w:left="105"/>
              <w:rPr>
                <w:sz w:val="18"/>
              </w:rPr>
            </w:pPr>
            <w:r>
              <w:rPr>
                <w:sz w:val="18"/>
              </w:rPr>
              <w:t>30</w:t>
            </w:r>
            <w:r>
              <w:rPr>
                <w:spacing w:val="-1"/>
                <w:sz w:val="18"/>
              </w:rPr>
              <w:t> </w:t>
            </w:r>
            <w:r>
              <w:rPr>
                <w:spacing w:val="-4"/>
                <w:sz w:val="18"/>
              </w:rPr>
              <w:t>days</w:t>
            </w:r>
          </w:p>
        </w:tc>
        <w:tc>
          <w:tcPr>
            <w:tcW w:w="4387" w:type="dxa"/>
          </w:tcPr>
          <w:p>
            <w:pPr>
              <w:pStyle w:val="TableParagraph"/>
              <w:numPr>
                <w:ilvl w:val="0"/>
                <w:numId w:val="7"/>
              </w:numPr>
              <w:tabs>
                <w:tab w:pos="468" w:val="left" w:leader="none"/>
              </w:tabs>
              <w:spacing w:line="278" w:lineRule="auto" w:before="0" w:after="0"/>
              <w:ind w:left="468" w:right="141" w:hanging="360"/>
              <w:jc w:val="left"/>
              <w:rPr>
                <w:sz w:val="18"/>
              </w:rPr>
            </w:pPr>
            <w:r>
              <w:rPr>
                <w:b/>
                <w:sz w:val="18"/>
              </w:rPr>
              <w:t>Thrombotic complications </w:t>
            </w:r>
            <w:r>
              <w:rPr>
                <w:sz w:val="18"/>
              </w:rPr>
              <w:t>(defined by echocardiographic</w:t>
            </w:r>
            <w:r>
              <w:rPr>
                <w:spacing w:val="-11"/>
                <w:sz w:val="18"/>
              </w:rPr>
              <w:t> </w:t>
            </w:r>
            <w:r>
              <w:rPr>
                <w:sz w:val="18"/>
              </w:rPr>
              <w:t>or</w:t>
            </w:r>
            <w:r>
              <w:rPr>
                <w:spacing w:val="-10"/>
                <w:sz w:val="18"/>
              </w:rPr>
              <w:t> </w:t>
            </w:r>
            <w:r>
              <w:rPr>
                <w:sz w:val="18"/>
              </w:rPr>
              <w:t>ultrasonographic</w:t>
            </w:r>
            <w:r>
              <w:rPr>
                <w:spacing w:val="-10"/>
                <w:sz w:val="18"/>
              </w:rPr>
              <w:t> </w:t>
            </w:r>
            <w:r>
              <w:rPr>
                <w:sz w:val="18"/>
              </w:rPr>
              <w:t>detection</w:t>
            </w:r>
            <w:r>
              <w:rPr>
                <w:spacing w:val="-10"/>
                <w:sz w:val="18"/>
              </w:rPr>
              <w:t> </w:t>
            </w:r>
            <w:r>
              <w:rPr>
                <w:sz w:val="18"/>
              </w:rPr>
              <w:t>of </w:t>
            </w:r>
            <w:r>
              <w:rPr>
                <w:spacing w:val="-2"/>
                <w:sz w:val="18"/>
              </w:rPr>
              <w:t>intracardiac</w:t>
            </w:r>
          </w:p>
          <w:p>
            <w:pPr>
              <w:pStyle w:val="TableParagraph"/>
              <w:spacing w:line="278" w:lineRule="auto" w:before="160"/>
              <w:ind w:left="468"/>
              <w:rPr>
                <w:sz w:val="18"/>
              </w:rPr>
            </w:pPr>
            <w:r>
              <w:rPr>
                <w:sz w:val="18"/>
              </w:rPr>
              <w:t>thrombi,</w:t>
            </w:r>
            <w:r>
              <w:rPr>
                <w:spacing w:val="-7"/>
                <w:sz w:val="18"/>
              </w:rPr>
              <w:t> </w:t>
            </w:r>
            <w:r>
              <w:rPr>
                <w:sz w:val="18"/>
              </w:rPr>
              <w:t>comprised</w:t>
            </w:r>
            <w:r>
              <w:rPr>
                <w:spacing w:val="-8"/>
                <w:sz w:val="18"/>
              </w:rPr>
              <w:t> </w:t>
            </w:r>
            <w:r>
              <w:rPr>
                <w:sz w:val="18"/>
              </w:rPr>
              <w:t>of</w:t>
            </w:r>
            <w:r>
              <w:rPr>
                <w:spacing w:val="-8"/>
                <w:sz w:val="18"/>
              </w:rPr>
              <w:t> </w:t>
            </w:r>
            <w:r>
              <w:rPr>
                <w:sz w:val="18"/>
              </w:rPr>
              <w:t>thrombi</w:t>
            </w:r>
            <w:r>
              <w:rPr>
                <w:spacing w:val="-8"/>
                <w:sz w:val="18"/>
              </w:rPr>
              <w:t> </w:t>
            </w:r>
            <w:r>
              <w:rPr>
                <w:sz w:val="18"/>
              </w:rPr>
              <w:t>in</w:t>
            </w:r>
            <w:r>
              <w:rPr>
                <w:spacing w:val="-7"/>
                <w:sz w:val="18"/>
              </w:rPr>
              <w:t> </w:t>
            </w:r>
            <w:r>
              <w:rPr>
                <w:sz w:val="18"/>
              </w:rPr>
              <w:t>central</w:t>
            </w:r>
            <w:r>
              <w:rPr>
                <w:spacing w:val="-7"/>
                <w:sz w:val="18"/>
              </w:rPr>
              <w:t> </w:t>
            </w:r>
            <w:r>
              <w:rPr>
                <w:sz w:val="18"/>
              </w:rPr>
              <w:t>veins, Fontan</w:t>
            </w:r>
            <w:r>
              <w:rPr>
                <w:spacing w:val="-4"/>
                <w:sz w:val="18"/>
              </w:rPr>
              <w:t> </w:t>
            </w:r>
            <w:r>
              <w:rPr>
                <w:sz w:val="18"/>
              </w:rPr>
              <w:t>baffle,</w:t>
            </w:r>
          </w:p>
          <w:p>
            <w:pPr>
              <w:pStyle w:val="TableParagraph"/>
              <w:spacing w:line="280" w:lineRule="auto" w:before="160"/>
              <w:ind w:left="468"/>
              <w:rPr>
                <w:sz w:val="18"/>
              </w:rPr>
            </w:pPr>
            <w:r>
              <w:rPr>
                <w:sz w:val="18"/>
              </w:rPr>
              <w:t>pulmonary</w:t>
            </w:r>
            <w:r>
              <w:rPr>
                <w:spacing w:val="-7"/>
                <w:sz w:val="18"/>
              </w:rPr>
              <w:t> </w:t>
            </w:r>
            <w:r>
              <w:rPr>
                <w:sz w:val="18"/>
              </w:rPr>
              <w:t>arteries,</w:t>
            </w:r>
            <w:r>
              <w:rPr>
                <w:spacing w:val="-7"/>
                <w:sz w:val="18"/>
              </w:rPr>
              <w:t> </w:t>
            </w:r>
            <w:r>
              <w:rPr>
                <w:sz w:val="18"/>
              </w:rPr>
              <w:t>atria</w:t>
            </w:r>
            <w:r>
              <w:rPr>
                <w:spacing w:val="-7"/>
                <w:sz w:val="18"/>
              </w:rPr>
              <w:t> </w:t>
            </w:r>
            <w:r>
              <w:rPr>
                <w:sz w:val="18"/>
              </w:rPr>
              <w:t>and</w:t>
            </w:r>
            <w:r>
              <w:rPr>
                <w:spacing w:val="-8"/>
                <w:sz w:val="18"/>
              </w:rPr>
              <w:t> </w:t>
            </w:r>
            <w:r>
              <w:rPr>
                <w:sz w:val="18"/>
              </w:rPr>
              <w:t>ventricles;</w:t>
            </w:r>
            <w:r>
              <w:rPr>
                <w:spacing w:val="-7"/>
                <w:sz w:val="18"/>
              </w:rPr>
              <w:t> </w:t>
            </w:r>
            <w:r>
              <w:rPr>
                <w:sz w:val="18"/>
              </w:rPr>
              <w:t>or</w:t>
            </w:r>
            <w:r>
              <w:rPr>
                <w:spacing w:val="-7"/>
                <w:sz w:val="18"/>
              </w:rPr>
              <w:t> </w:t>
            </w:r>
            <w:r>
              <w:rPr>
                <w:sz w:val="18"/>
              </w:rPr>
              <w:t>deep </w:t>
            </w:r>
            <w:r>
              <w:rPr>
                <w:spacing w:val="-2"/>
                <w:sz w:val="18"/>
              </w:rPr>
              <w:t>venous</w:t>
            </w:r>
          </w:p>
          <w:p>
            <w:pPr>
              <w:pStyle w:val="TableParagraph"/>
              <w:spacing w:line="278" w:lineRule="auto" w:before="158"/>
              <w:ind w:left="468"/>
              <w:rPr>
                <w:sz w:val="18"/>
              </w:rPr>
            </w:pPr>
            <w:r>
              <w:rPr>
                <w:sz w:val="18"/>
              </w:rPr>
              <w:t>thrombi,</w:t>
            </w:r>
            <w:r>
              <w:rPr>
                <w:spacing w:val="-6"/>
                <w:sz w:val="18"/>
              </w:rPr>
              <w:t> </w:t>
            </w:r>
            <w:r>
              <w:rPr>
                <w:sz w:val="18"/>
              </w:rPr>
              <w:t>such</w:t>
            </w:r>
            <w:r>
              <w:rPr>
                <w:spacing w:val="-7"/>
                <w:sz w:val="18"/>
              </w:rPr>
              <w:t> </w:t>
            </w:r>
            <w:r>
              <w:rPr>
                <w:sz w:val="18"/>
              </w:rPr>
              <w:t>as</w:t>
            </w:r>
            <w:r>
              <w:rPr>
                <w:spacing w:val="-7"/>
                <w:sz w:val="18"/>
              </w:rPr>
              <w:t> </w:t>
            </w:r>
            <w:r>
              <w:rPr>
                <w:sz w:val="18"/>
              </w:rPr>
              <w:t>those</w:t>
            </w:r>
            <w:r>
              <w:rPr>
                <w:spacing w:val="-5"/>
                <w:sz w:val="18"/>
              </w:rPr>
              <w:t> </w:t>
            </w:r>
            <w:r>
              <w:rPr>
                <w:sz w:val="18"/>
              </w:rPr>
              <w:t>occurring</w:t>
            </w:r>
            <w:r>
              <w:rPr>
                <w:spacing w:val="-5"/>
                <w:sz w:val="18"/>
              </w:rPr>
              <w:t> </w:t>
            </w:r>
            <w:r>
              <w:rPr>
                <w:sz w:val="18"/>
              </w:rPr>
              <w:t>proximal</w:t>
            </w:r>
            <w:r>
              <w:rPr>
                <w:spacing w:val="-6"/>
                <w:sz w:val="18"/>
              </w:rPr>
              <w:t> </w:t>
            </w:r>
            <w:r>
              <w:rPr>
                <w:sz w:val="18"/>
              </w:rPr>
              <w:t>to</w:t>
            </w:r>
            <w:r>
              <w:rPr>
                <w:spacing w:val="-6"/>
                <w:sz w:val="18"/>
              </w:rPr>
              <w:t> </w:t>
            </w:r>
            <w:r>
              <w:rPr>
                <w:sz w:val="18"/>
              </w:rPr>
              <w:t>the central veins,</w:t>
            </w:r>
          </w:p>
          <w:p>
            <w:pPr>
              <w:pStyle w:val="TableParagraph"/>
              <w:spacing w:before="161"/>
              <w:ind w:left="468"/>
              <w:rPr>
                <w:sz w:val="18"/>
              </w:rPr>
            </w:pPr>
            <w:r>
              <w:rPr>
                <w:sz w:val="18"/>
              </w:rPr>
              <w:t>or</w:t>
            </w:r>
            <w:r>
              <w:rPr>
                <w:spacing w:val="-3"/>
                <w:sz w:val="18"/>
              </w:rPr>
              <w:t> </w:t>
            </w:r>
            <w:r>
              <w:rPr>
                <w:sz w:val="18"/>
              </w:rPr>
              <w:t>the</w:t>
            </w:r>
            <w:r>
              <w:rPr>
                <w:spacing w:val="-2"/>
                <w:sz w:val="18"/>
              </w:rPr>
              <w:t> </w:t>
            </w:r>
            <w:r>
              <w:rPr>
                <w:sz w:val="18"/>
              </w:rPr>
              <w:t>occurrence</w:t>
            </w:r>
            <w:r>
              <w:rPr>
                <w:spacing w:val="-3"/>
                <w:sz w:val="18"/>
              </w:rPr>
              <w:t> </w:t>
            </w:r>
            <w:r>
              <w:rPr>
                <w:sz w:val="18"/>
              </w:rPr>
              <w:t>of</w:t>
            </w:r>
            <w:r>
              <w:rPr>
                <w:spacing w:val="-3"/>
                <w:sz w:val="18"/>
              </w:rPr>
              <w:t> </w:t>
            </w:r>
            <w:r>
              <w:rPr>
                <w:sz w:val="18"/>
              </w:rPr>
              <w:t>embolic</w:t>
            </w:r>
            <w:r>
              <w:rPr>
                <w:spacing w:val="-2"/>
                <w:sz w:val="18"/>
              </w:rPr>
              <w:t> stroke)</w:t>
            </w:r>
          </w:p>
        </w:tc>
        <w:tc>
          <w:tcPr>
            <w:tcW w:w="1843" w:type="dxa"/>
          </w:tcPr>
          <w:p>
            <w:pPr>
              <w:pStyle w:val="TableParagraph"/>
              <w:spacing w:line="218" w:lineRule="exact"/>
              <w:ind w:left="106"/>
              <w:rPr>
                <w:sz w:val="18"/>
              </w:rPr>
            </w:pPr>
            <w:r>
              <w:rPr>
                <w:spacing w:val="-2"/>
                <w:sz w:val="18"/>
                <w:u w:val="single"/>
              </w:rPr>
              <w:t>Funding</w:t>
            </w:r>
          </w:p>
          <w:p>
            <w:pPr>
              <w:pStyle w:val="TableParagraph"/>
              <w:spacing w:before="196"/>
              <w:ind w:left="106"/>
              <w:rPr>
                <w:sz w:val="18"/>
              </w:rPr>
            </w:pPr>
            <w:r>
              <w:rPr>
                <w:sz w:val="18"/>
              </w:rPr>
              <w:t>No</w:t>
            </w:r>
            <w:r>
              <w:rPr>
                <w:spacing w:val="-3"/>
                <w:sz w:val="18"/>
              </w:rPr>
              <w:t> </w:t>
            </w:r>
            <w:r>
              <w:rPr>
                <w:sz w:val="18"/>
              </w:rPr>
              <w:t>external</w:t>
            </w:r>
            <w:r>
              <w:rPr>
                <w:spacing w:val="-2"/>
                <w:sz w:val="18"/>
              </w:rPr>
              <w:t> funding</w:t>
            </w:r>
          </w:p>
          <w:p>
            <w:pPr>
              <w:pStyle w:val="TableParagraph"/>
              <w:rPr>
                <w:sz w:val="18"/>
              </w:rPr>
            </w:pPr>
          </w:p>
          <w:p>
            <w:pPr>
              <w:pStyle w:val="TableParagraph"/>
              <w:spacing w:before="171"/>
              <w:rPr>
                <w:sz w:val="18"/>
              </w:rPr>
            </w:pPr>
          </w:p>
          <w:p>
            <w:pPr>
              <w:pStyle w:val="TableParagraph"/>
              <w:spacing w:line="453" w:lineRule="auto"/>
              <w:ind w:left="106"/>
              <w:rPr>
                <w:sz w:val="18"/>
              </w:rPr>
            </w:pPr>
            <w:r>
              <w:rPr>
                <w:sz w:val="18"/>
                <w:u w:val="single"/>
              </w:rPr>
              <w:t>Conflicts</w:t>
            </w:r>
            <w:r>
              <w:rPr>
                <w:spacing w:val="-11"/>
                <w:sz w:val="18"/>
                <w:u w:val="single"/>
              </w:rPr>
              <w:t> </w:t>
            </w:r>
            <w:r>
              <w:rPr>
                <w:sz w:val="18"/>
                <w:u w:val="single"/>
              </w:rPr>
              <w:t>of</w:t>
            </w:r>
            <w:r>
              <w:rPr>
                <w:spacing w:val="-10"/>
                <w:sz w:val="18"/>
                <w:u w:val="single"/>
              </w:rPr>
              <w:t> </w:t>
            </w:r>
            <w:r>
              <w:rPr>
                <w:sz w:val="18"/>
                <w:u w:val="single"/>
              </w:rPr>
              <w:t>interest</w:t>
            </w:r>
            <w:r>
              <w:rPr>
                <w:sz w:val="18"/>
                <w:u w:val="none"/>
              </w:rPr>
              <w:t> </w:t>
            </w:r>
            <w:r>
              <w:rPr>
                <w:spacing w:val="-4"/>
                <w:sz w:val="18"/>
                <w:u w:val="none"/>
              </w:rPr>
              <w:t>None</w:t>
            </w:r>
          </w:p>
        </w:tc>
        <w:tc>
          <w:tcPr>
            <w:tcW w:w="1982" w:type="dxa"/>
          </w:tcPr>
          <w:p>
            <w:pPr>
              <w:pStyle w:val="TableParagraph"/>
              <w:spacing w:line="278" w:lineRule="auto"/>
              <w:ind w:left="107"/>
              <w:rPr>
                <w:sz w:val="18"/>
              </w:rPr>
            </w:pPr>
            <w:r>
              <w:rPr>
                <w:b/>
                <w:sz w:val="18"/>
              </w:rPr>
              <w:t>Some</w:t>
            </w:r>
            <w:r>
              <w:rPr>
                <w:b/>
                <w:spacing w:val="-11"/>
                <w:sz w:val="18"/>
              </w:rPr>
              <w:t> </w:t>
            </w:r>
            <w:r>
              <w:rPr>
                <w:b/>
                <w:sz w:val="18"/>
              </w:rPr>
              <w:t>concerns</w:t>
            </w:r>
            <w:r>
              <w:rPr>
                <w:b/>
                <w:spacing w:val="-10"/>
                <w:sz w:val="18"/>
              </w:rPr>
              <w:t> </w:t>
            </w:r>
            <w:r>
              <w:rPr>
                <w:sz w:val="18"/>
              </w:rPr>
              <w:t>(for</w:t>
            </w:r>
            <w:r>
              <w:rPr>
                <w:spacing w:val="-10"/>
                <w:sz w:val="18"/>
              </w:rPr>
              <w:t> </w:t>
            </w:r>
            <w:r>
              <w:rPr>
                <w:sz w:val="18"/>
              </w:rPr>
              <w:t>all outcome</w:t>
            </w:r>
            <w:r>
              <w:rPr>
                <w:spacing w:val="-2"/>
                <w:sz w:val="18"/>
              </w:rPr>
              <w:t> </w:t>
            </w:r>
            <w:r>
              <w:rPr>
                <w:sz w:val="18"/>
              </w:rPr>
              <w:t>measures)</w:t>
            </w:r>
          </w:p>
        </w:tc>
      </w:tr>
    </w:tbl>
    <w:p>
      <w:pPr>
        <w:pStyle w:val="TableParagraph"/>
        <w:spacing w:after="0" w:line="278" w:lineRule="auto"/>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60"/>
        <w:gridCol w:w="2248"/>
        <w:gridCol w:w="1677"/>
        <w:gridCol w:w="767"/>
        <w:gridCol w:w="4387"/>
        <w:gridCol w:w="1843"/>
        <w:gridCol w:w="1982"/>
      </w:tblGrid>
      <w:tr>
        <w:trPr>
          <w:trHeight w:val="4497" w:hRule="atLeast"/>
        </w:trPr>
        <w:tc>
          <w:tcPr>
            <w:tcW w:w="1260" w:type="dxa"/>
          </w:tcPr>
          <w:p>
            <w:pPr>
              <w:pStyle w:val="TableParagraph"/>
              <w:spacing w:line="280" w:lineRule="auto"/>
              <w:ind w:left="105" w:right="141"/>
              <w:rPr>
                <w:sz w:val="18"/>
              </w:rPr>
            </w:pPr>
            <w:r>
              <w:rPr>
                <w:spacing w:val="-2"/>
                <w:sz w:val="18"/>
              </w:rPr>
              <w:t>McCrindle,</w:t>
            </w:r>
            <w:r>
              <w:rPr>
                <w:sz w:val="18"/>
              </w:rPr>
              <w:t> </w:t>
            </w:r>
            <w:r>
              <w:rPr>
                <w:spacing w:val="-4"/>
                <w:sz w:val="18"/>
              </w:rPr>
              <w:t>2021</w:t>
            </w:r>
          </w:p>
        </w:tc>
        <w:tc>
          <w:tcPr>
            <w:tcW w:w="2248" w:type="dxa"/>
          </w:tcPr>
          <w:p>
            <w:pPr>
              <w:pStyle w:val="TableParagraph"/>
              <w:spacing w:line="218" w:lineRule="exact"/>
              <w:ind w:left="105"/>
              <w:rPr>
                <w:sz w:val="18"/>
              </w:rPr>
            </w:pPr>
            <w:r>
              <w:rPr>
                <w:sz w:val="18"/>
                <w:u w:val="single"/>
              </w:rPr>
              <w:t>N</w:t>
            </w:r>
            <w:r>
              <w:rPr>
                <w:spacing w:val="-3"/>
                <w:sz w:val="18"/>
                <w:u w:val="single"/>
              </w:rPr>
              <w:t> </w:t>
            </w:r>
            <w:r>
              <w:rPr>
                <w:sz w:val="18"/>
                <w:u w:val="single"/>
              </w:rPr>
              <w:t>at </w:t>
            </w:r>
            <w:r>
              <w:rPr>
                <w:spacing w:val="-2"/>
                <w:sz w:val="18"/>
                <w:u w:val="single"/>
              </w:rPr>
              <w:t>baseline</w:t>
            </w:r>
          </w:p>
          <w:p>
            <w:pPr>
              <w:pStyle w:val="TableParagraph"/>
              <w:numPr>
                <w:ilvl w:val="0"/>
                <w:numId w:val="8"/>
              </w:numPr>
              <w:tabs>
                <w:tab w:pos="327" w:val="left" w:leader="none"/>
              </w:tabs>
              <w:spacing w:line="240" w:lineRule="auto" w:before="195" w:after="0"/>
              <w:ind w:left="327" w:right="0" w:hanging="222"/>
              <w:jc w:val="left"/>
              <w:rPr>
                <w:sz w:val="18"/>
              </w:rPr>
            </w:pPr>
            <w:r>
              <w:rPr>
                <w:sz w:val="18"/>
              </w:rPr>
              <w:t>Rivaroxaban:</w:t>
            </w:r>
            <w:r>
              <w:rPr>
                <w:spacing w:val="-7"/>
                <w:sz w:val="18"/>
              </w:rPr>
              <w:t> </w:t>
            </w:r>
            <w:r>
              <w:rPr>
                <w:spacing w:val="-5"/>
                <w:sz w:val="18"/>
              </w:rPr>
              <w:t>66</w:t>
            </w:r>
          </w:p>
          <w:p>
            <w:pPr>
              <w:pStyle w:val="TableParagraph"/>
              <w:numPr>
                <w:ilvl w:val="0"/>
                <w:numId w:val="8"/>
              </w:numPr>
              <w:tabs>
                <w:tab w:pos="327" w:val="left" w:leader="none"/>
              </w:tabs>
              <w:spacing w:line="240" w:lineRule="auto" w:before="37" w:after="0"/>
              <w:ind w:left="327" w:right="0" w:hanging="222"/>
              <w:jc w:val="left"/>
              <w:rPr>
                <w:sz w:val="18"/>
              </w:rPr>
            </w:pPr>
            <w:r>
              <w:rPr>
                <w:sz w:val="18"/>
              </w:rPr>
              <w:t>Aspirin:</w:t>
            </w:r>
            <w:r>
              <w:rPr>
                <w:spacing w:val="-5"/>
                <w:sz w:val="18"/>
              </w:rPr>
              <w:t> 34</w:t>
            </w:r>
          </w:p>
          <w:p>
            <w:pPr>
              <w:pStyle w:val="TableParagraph"/>
              <w:rPr>
                <w:sz w:val="18"/>
              </w:rPr>
            </w:pPr>
          </w:p>
          <w:p>
            <w:pPr>
              <w:pStyle w:val="TableParagraph"/>
              <w:spacing w:before="171"/>
              <w:rPr>
                <w:sz w:val="18"/>
              </w:rPr>
            </w:pPr>
          </w:p>
          <w:p>
            <w:pPr>
              <w:pStyle w:val="TableParagraph"/>
              <w:spacing w:before="1"/>
              <w:ind w:left="105"/>
              <w:rPr>
                <w:sz w:val="18"/>
              </w:rPr>
            </w:pPr>
            <w:r>
              <w:rPr>
                <w:sz w:val="18"/>
                <w:u w:val="single"/>
              </w:rPr>
              <w:t>Age</w:t>
            </w:r>
            <w:r>
              <w:rPr>
                <w:spacing w:val="-4"/>
                <w:sz w:val="18"/>
                <w:u w:val="single"/>
              </w:rPr>
              <w:t> </w:t>
            </w:r>
            <w:r>
              <w:rPr>
                <w:sz w:val="18"/>
                <w:u w:val="single"/>
              </w:rPr>
              <w:t>(mean,</w:t>
            </w:r>
            <w:r>
              <w:rPr>
                <w:spacing w:val="-3"/>
                <w:sz w:val="18"/>
                <w:u w:val="single"/>
              </w:rPr>
              <w:t> </w:t>
            </w:r>
            <w:r>
              <w:rPr>
                <w:spacing w:val="-5"/>
                <w:sz w:val="18"/>
                <w:u w:val="single"/>
              </w:rPr>
              <w:t>SD)</w:t>
            </w:r>
          </w:p>
          <w:p>
            <w:pPr>
              <w:pStyle w:val="TableParagraph"/>
              <w:numPr>
                <w:ilvl w:val="0"/>
                <w:numId w:val="8"/>
              </w:numPr>
              <w:tabs>
                <w:tab w:pos="326" w:val="left" w:leader="none"/>
                <w:tab w:pos="328" w:val="left" w:leader="none"/>
              </w:tabs>
              <w:spacing w:line="276" w:lineRule="auto" w:before="195" w:after="0"/>
              <w:ind w:left="328" w:right="303" w:hanging="224"/>
              <w:jc w:val="left"/>
              <w:rPr>
                <w:sz w:val="18"/>
              </w:rPr>
            </w:pPr>
            <w:r>
              <w:rPr>
                <w:sz w:val="18"/>
              </w:rPr>
              <w:t>Rivaroxaban:</w:t>
            </w:r>
            <w:r>
              <w:rPr>
                <w:spacing w:val="-11"/>
                <w:sz w:val="18"/>
              </w:rPr>
              <w:t> </w:t>
            </w:r>
            <w:r>
              <w:rPr>
                <w:sz w:val="18"/>
              </w:rPr>
              <w:t>4.1</w:t>
            </w:r>
            <w:r>
              <w:rPr>
                <w:spacing w:val="-10"/>
                <w:sz w:val="18"/>
              </w:rPr>
              <w:t> </w:t>
            </w:r>
            <w:r>
              <w:rPr>
                <w:sz w:val="18"/>
              </w:rPr>
              <w:t>(1.7) </w:t>
            </w:r>
            <w:r>
              <w:rPr>
                <w:spacing w:val="-2"/>
                <w:sz w:val="18"/>
              </w:rPr>
              <w:t>years</w:t>
            </w:r>
          </w:p>
          <w:p>
            <w:pPr>
              <w:pStyle w:val="TableParagraph"/>
              <w:numPr>
                <w:ilvl w:val="0"/>
                <w:numId w:val="8"/>
              </w:numPr>
              <w:tabs>
                <w:tab w:pos="327" w:val="left" w:leader="none"/>
              </w:tabs>
              <w:spacing w:line="240" w:lineRule="auto" w:before="6" w:after="0"/>
              <w:ind w:left="327" w:right="0" w:hanging="222"/>
              <w:jc w:val="left"/>
              <w:rPr>
                <w:sz w:val="18"/>
              </w:rPr>
            </w:pPr>
            <w:r>
              <w:rPr>
                <w:sz w:val="18"/>
              </w:rPr>
              <w:t>Aspirin:</w:t>
            </w:r>
            <w:r>
              <w:rPr>
                <w:spacing w:val="-3"/>
                <w:sz w:val="18"/>
              </w:rPr>
              <w:t> </w:t>
            </w:r>
            <w:r>
              <w:rPr>
                <w:sz w:val="18"/>
              </w:rPr>
              <w:t>4.2</w:t>
            </w:r>
            <w:r>
              <w:rPr>
                <w:spacing w:val="-3"/>
                <w:sz w:val="18"/>
              </w:rPr>
              <w:t> </w:t>
            </w:r>
            <w:r>
              <w:rPr>
                <w:sz w:val="18"/>
              </w:rPr>
              <w:t>(1.8)</w:t>
            </w:r>
            <w:r>
              <w:rPr>
                <w:spacing w:val="-2"/>
                <w:sz w:val="18"/>
              </w:rPr>
              <w:t> years</w:t>
            </w:r>
          </w:p>
          <w:p>
            <w:pPr>
              <w:pStyle w:val="TableParagraph"/>
              <w:rPr>
                <w:sz w:val="18"/>
              </w:rPr>
            </w:pPr>
          </w:p>
          <w:p>
            <w:pPr>
              <w:pStyle w:val="TableParagraph"/>
              <w:spacing w:before="171"/>
              <w:rPr>
                <w:sz w:val="18"/>
              </w:rPr>
            </w:pPr>
          </w:p>
          <w:p>
            <w:pPr>
              <w:pStyle w:val="TableParagraph"/>
              <w:spacing w:before="1"/>
              <w:ind w:left="105"/>
              <w:rPr>
                <w:sz w:val="18"/>
              </w:rPr>
            </w:pPr>
            <w:r>
              <w:rPr>
                <w:spacing w:val="-5"/>
                <w:sz w:val="18"/>
                <w:u w:val="single"/>
              </w:rPr>
              <w:t>Sex</w:t>
            </w:r>
          </w:p>
          <w:p>
            <w:pPr>
              <w:pStyle w:val="TableParagraph"/>
              <w:numPr>
                <w:ilvl w:val="0"/>
                <w:numId w:val="8"/>
              </w:numPr>
              <w:tabs>
                <w:tab w:pos="326" w:val="left" w:leader="none"/>
                <w:tab w:pos="328" w:val="left" w:leader="none"/>
              </w:tabs>
              <w:spacing w:line="278" w:lineRule="auto" w:before="195" w:after="0"/>
              <w:ind w:left="328" w:right="598" w:hanging="224"/>
              <w:jc w:val="left"/>
              <w:rPr>
                <w:sz w:val="18"/>
              </w:rPr>
            </w:pPr>
            <w:r>
              <w:rPr>
                <w:sz w:val="18"/>
              </w:rPr>
              <w:t>Rivaroxaban:</w:t>
            </w:r>
            <w:r>
              <w:rPr>
                <w:spacing w:val="-11"/>
                <w:sz w:val="18"/>
              </w:rPr>
              <w:t> </w:t>
            </w:r>
            <w:r>
              <w:rPr>
                <w:sz w:val="18"/>
              </w:rPr>
              <w:t>45% </w:t>
            </w:r>
            <w:r>
              <w:rPr>
                <w:spacing w:val="-2"/>
                <w:sz w:val="18"/>
              </w:rPr>
              <w:t>female</w:t>
            </w:r>
          </w:p>
          <w:p>
            <w:pPr>
              <w:pStyle w:val="TableParagraph"/>
              <w:numPr>
                <w:ilvl w:val="0"/>
                <w:numId w:val="8"/>
              </w:numPr>
              <w:tabs>
                <w:tab w:pos="327" w:val="left" w:leader="none"/>
              </w:tabs>
              <w:spacing w:line="240" w:lineRule="auto" w:before="1" w:after="0"/>
              <w:ind w:left="327" w:right="0" w:hanging="222"/>
              <w:jc w:val="left"/>
              <w:rPr>
                <w:sz w:val="18"/>
              </w:rPr>
            </w:pPr>
            <w:r>
              <w:rPr>
                <w:sz w:val="18"/>
              </w:rPr>
              <w:t>Aspirin:</w:t>
            </w:r>
            <w:r>
              <w:rPr>
                <w:spacing w:val="-3"/>
                <w:sz w:val="18"/>
              </w:rPr>
              <w:t> </w:t>
            </w:r>
            <w:r>
              <w:rPr>
                <w:sz w:val="18"/>
              </w:rPr>
              <w:t>32%</w:t>
            </w:r>
            <w:r>
              <w:rPr>
                <w:spacing w:val="-2"/>
                <w:sz w:val="18"/>
              </w:rPr>
              <w:t> female</w:t>
            </w:r>
          </w:p>
        </w:tc>
        <w:tc>
          <w:tcPr>
            <w:tcW w:w="1677" w:type="dxa"/>
          </w:tcPr>
          <w:p>
            <w:pPr>
              <w:pStyle w:val="TableParagraph"/>
              <w:numPr>
                <w:ilvl w:val="0"/>
                <w:numId w:val="9"/>
              </w:numPr>
              <w:tabs>
                <w:tab w:pos="325" w:val="left" w:leader="none"/>
                <w:tab w:pos="327" w:val="left" w:leader="none"/>
              </w:tabs>
              <w:spacing w:line="278" w:lineRule="auto" w:before="0" w:after="0"/>
              <w:ind w:left="327" w:right="150" w:hanging="224"/>
              <w:jc w:val="left"/>
              <w:rPr>
                <w:sz w:val="18"/>
              </w:rPr>
            </w:pPr>
            <w:r>
              <w:rPr>
                <w:sz w:val="18"/>
              </w:rPr>
              <w:t>Rivaroxaban</w:t>
            </w:r>
            <w:r>
              <w:rPr>
                <w:spacing w:val="-11"/>
                <w:sz w:val="18"/>
              </w:rPr>
              <w:t> </w:t>
            </w:r>
            <w:r>
              <w:rPr>
                <w:sz w:val="18"/>
              </w:rPr>
              <w:t>(10 </w:t>
            </w:r>
            <w:r>
              <w:rPr>
                <w:spacing w:val="-2"/>
                <w:sz w:val="18"/>
              </w:rPr>
              <w:t>mg/day)</w:t>
            </w:r>
          </w:p>
          <w:p>
            <w:pPr>
              <w:pStyle w:val="TableParagraph"/>
              <w:numPr>
                <w:ilvl w:val="0"/>
                <w:numId w:val="9"/>
              </w:numPr>
              <w:tabs>
                <w:tab w:pos="325" w:val="left" w:leader="none"/>
                <w:tab w:pos="327" w:val="left" w:leader="none"/>
              </w:tabs>
              <w:spacing w:line="278" w:lineRule="auto" w:before="0" w:after="0"/>
              <w:ind w:left="327" w:right="639" w:hanging="224"/>
              <w:jc w:val="left"/>
              <w:rPr>
                <w:sz w:val="18"/>
              </w:rPr>
            </w:pPr>
            <w:r>
              <w:rPr>
                <w:sz w:val="18"/>
              </w:rPr>
              <w:t>Aspirin</w:t>
            </w:r>
            <w:r>
              <w:rPr>
                <w:spacing w:val="-11"/>
                <w:sz w:val="18"/>
              </w:rPr>
              <w:t> </w:t>
            </w:r>
            <w:r>
              <w:rPr>
                <w:sz w:val="18"/>
              </w:rPr>
              <w:t>(5 </w:t>
            </w:r>
            <w:r>
              <w:rPr>
                <w:spacing w:val="-2"/>
                <w:sz w:val="18"/>
              </w:rPr>
              <w:t>mg/day)</w:t>
            </w:r>
          </w:p>
        </w:tc>
        <w:tc>
          <w:tcPr>
            <w:tcW w:w="767" w:type="dxa"/>
          </w:tcPr>
          <w:p>
            <w:pPr>
              <w:pStyle w:val="TableParagraph"/>
              <w:spacing w:line="218" w:lineRule="exact"/>
              <w:ind w:left="105"/>
              <w:rPr>
                <w:sz w:val="18"/>
              </w:rPr>
            </w:pPr>
            <w:r>
              <w:rPr>
                <w:spacing w:val="-5"/>
                <w:sz w:val="18"/>
              </w:rPr>
              <w:t>12</w:t>
            </w:r>
          </w:p>
          <w:p>
            <w:pPr>
              <w:pStyle w:val="TableParagraph"/>
              <w:spacing w:before="37"/>
              <w:ind w:left="105"/>
              <w:rPr>
                <w:sz w:val="18"/>
              </w:rPr>
            </w:pPr>
            <w:r>
              <w:rPr>
                <w:spacing w:val="-2"/>
                <w:sz w:val="18"/>
              </w:rPr>
              <w:t>months</w:t>
            </w:r>
          </w:p>
        </w:tc>
        <w:tc>
          <w:tcPr>
            <w:tcW w:w="4387" w:type="dxa"/>
          </w:tcPr>
          <w:p>
            <w:pPr>
              <w:pStyle w:val="TableParagraph"/>
              <w:numPr>
                <w:ilvl w:val="0"/>
                <w:numId w:val="10"/>
              </w:numPr>
              <w:tabs>
                <w:tab w:pos="331" w:val="left" w:leader="none"/>
              </w:tabs>
              <w:spacing w:line="278" w:lineRule="auto" w:before="0" w:after="0"/>
              <w:ind w:left="331" w:right="291" w:hanging="224"/>
              <w:jc w:val="left"/>
              <w:rPr>
                <w:rFonts w:ascii="Symbol" w:hAnsi="Symbol"/>
                <w:sz w:val="14"/>
              </w:rPr>
            </w:pPr>
            <w:r>
              <w:rPr>
                <w:b/>
                <w:sz w:val="18"/>
              </w:rPr>
              <w:t>Thrombotic complications </w:t>
            </w:r>
            <w:r>
              <w:rPr>
                <w:sz w:val="18"/>
              </w:rPr>
              <w:t>(any thrombotic event (venous</w:t>
            </w:r>
            <w:r>
              <w:rPr>
                <w:spacing w:val="-6"/>
                <w:sz w:val="18"/>
              </w:rPr>
              <w:t> </w:t>
            </w:r>
            <w:r>
              <w:rPr>
                <w:sz w:val="18"/>
              </w:rPr>
              <w:t>or</w:t>
            </w:r>
            <w:r>
              <w:rPr>
                <w:spacing w:val="-5"/>
                <w:sz w:val="18"/>
              </w:rPr>
              <w:t> </w:t>
            </w:r>
            <w:r>
              <w:rPr>
                <w:sz w:val="18"/>
              </w:rPr>
              <w:t>arterial),</w:t>
            </w:r>
            <w:r>
              <w:rPr>
                <w:spacing w:val="-5"/>
                <w:sz w:val="18"/>
              </w:rPr>
              <w:t> </w:t>
            </w:r>
            <w:r>
              <w:rPr>
                <w:sz w:val="18"/>
              </w:rPr>
              <w:t>defined</w:t>
            </w:r>
            <w:r>
              <w:rPr>
                <w:spacing w:val="-6"/>
                <w:sz w:val="18"/>
              </w:rPr>
              <w:t> </w:t>
            </w:r>
            <w:r>
              <w:rPr>
                <w:sz w:val="18"/>
              </w:rPr>
              <w:t>as</w:t>
            </w:r>
            <w:r>
              <w:rPr>
                <w:spacing w:val="-6"/>
                <w:sz w:val="18"/>
              </w:rPr>
              <w:t> </w:t>
            </w:r>
            <w:r>
              <w:rPr>
                <w:sz w:val="18"/>
              </w:rPr>
              <w:t>the</w:t>
            </w:r>
            <w:r>
              <w:rPr>
                <w:spacing w:val="-6"/>
                <w:sz w:val="18"/>
              </w:rPr>
              <w:t> </w:t>
            </w:r>
            <w:r>
              <w:rPr>
                <w:sz w:val="18"/>
              </w:rPr>
              <w:t>appearance</w:t>
            </w:r>
            <w:r>
              <w:rPr>
                <w:spacing w:val="-6"/>
                <w:sz w:val="18"/>
              </w:rPr>
              <w:t> </w:t>
            </w:r>
            <w:r>
              <w:rPr>
                <w:sz w:val="18"/>
              </w:rPr>
              <w:t>of</w:t>
            </w:r>
            <w:r>
              <w:rPr>
                <w:spacing w:val="-6"/>
                <w:sz w:val="18"/>
              </w:rPr>
              <w:t> </w:t>
            </w:r>
            <w:r>
              <w:rPr>
                <w:sz w:val="18"/>
              </w:rPr>
              <w:t>a new thrombotic burden within the cardiovascular system noted on either routine surveillance or clinically indicated imaging, or the occurrence of a clinical</w:t>
            </w:r>
            <w:r>
              <w:rPr>
                <w:spacing w:val="-1"/>
                <w:sz w:val="18"/>
              </w:rPr>
              <w:t> </w:t>
            </w:r>
            <w:r>
              <w:rPr>
                <w:sz w:val="18"/>
              </w:rPr>
              <w:t>event</w:t>
            </w:r>
            <w:r>
              <w:rPr>
                <w:spacing w:val="-1"/>
                <w:sz w:val="18"/>
              </w:rPr>
              <w:t> </w:t>
            </w:r>
            <w:r>
              <w:rPr>
                <w:sz w:val="18"/>
              </w:rPr>
              <w:t>known</w:t>
            </w:r>
            <w:r>
              <w:rPr>
                <w:spacing w:val="-2"/>
                <w:sz w:val="18"/>
              </w:rPr>
              <w:t> </w:t>
            </w:r>
            <w:r>
              <w:rPr>
                <w:sz w:val="18"/>
              </w:rPr>
              <w:t>to</w:t>
            </w:r>
            <w:r>
              <w:rPr>
                <w:spacing w:val="-1"/>
                <w:sz w:val="18"/>
              </w:rPr>
              <w:t> </w:t>
            </w:r>
            <w:r>
              <w:rPr>
                <w:sz w:val="18"/>
              </w:rPr>
              <w:t>be</w:t>
            </w:r>
            <w:r>
              <w:rPr>
                <w:spacing w:val="-2"/>
                <w:sz w:val="18"/>
              </w:rPr>
              <w:t> </w:t>
            </w:r>
            <w:r>
              <w:rPr>
                <w:sz w:val="18"/>
              </w:rPr>
              <w:t>strongly</w:t>
            </w:r>
            <w:r>
              <w:rPr>
                <w:spacing w:val="-1"/>
                <w:sz w:val="18"/>
              </w:rPr>
              <w:t> </w:t>
            </w:r>
            <w:r>
              <w:rPr>
                <w:sz w:val="18"/>
              </w:rPr>
              <w:t>associated</w:t>
            </w:r>
            <w:r>
              <w:rPr>
                <w:spacing w:val="-2"/>
                <w:sz w:val="18"/>
              </w:rPr>
              <w:t> </w:t>
            </w:r>
            <w:r>
              <w:rPr>
                <w:sz w:val="18"/>
              </w:rPr>
              <w:t>with thrombus (e.g. stroke or pulmonary embolism))</w:t>
            </w:r>
            <w:r>
              <w:rPr>
                <w:position w:val="5"/>
                <w:sz w:val="12"/>
              </w:rPr>
              <w:t>4</w:t>
            </w:r>
          </w:p>
          <w:p>
            <w:pPr>
              <w:pStyle w:val="TableParagraph"/>
              <w:numPr>
                <w:ilvl w:val="0"/>
                <w:numId w:val="10"/>
              </w:numPr>
              <w:tabs>
                <w:tab w:pos="329" w:val="left" w:leader="none"/>
                <w:tab w:pos="331" w:val="left" w:leader="none"/>
              </w:tabs>
              <w:spacing w:line="278" w:lineRule="auto" w:before="2" w:after="0"/>
              <w:ind w:left="331" w:right="337" w:hanging="224"/>
              <w:jc w:val="left"/>
              <w:rPr>
                <w:rFonts w:ascii="Symbol" w:hAnsi="Symbol"/>
                <w:sz w:val="18"/>
              </w:rPr>
            </w:pPr>
            <w:r>
              <w:rPr>
                <w:b/>
                <w:sz w:val="18"/>
              </w:rPr>
              <w:t>Hemorrhage</w:t>
            </w:r>
            <w:r>
              <w:rPr>
                <w:b/>
                <w:spacing w:val="-6"/>
                <w:sz w:val="18"/>
              </w:rPr>
              <w:t> </w:t>
            </w:r>
            <w:r>
              <w:rPr>
                <w:sz w:val="18"/>
              </w:rPr>
              <w:t>(</w:t>
            </w:r>
            <w:r>
              <w:rPr>
                <w:i/>
                <w:sz w:val="18"/>
              </w:rPr>
              <w:t>major</w:t>
            </w:r>
            <w:r>
              <w:rPr>
                <w:i/>
                <w:spacing w:val="-7"/>
                <w:sz w:val="18"/>
              </w:rPr>
              <w:t> </w:t>
            </w:r>
            <w:r>
              <w:rPr>
                <w:i/>
                <w:sz w:val="18"/>
              </w:rPr>
              <w:t>bleeding</w:t>
            </w:r>
            <w:r>
              <w:rPr>
                <w:i/>
                <w:spacing w:val="-7"/>
                <w:sz w:val="18"/>
              </w:rPr>
              <w:t> </w:t>
            </w:r>
            <w:r>
              <w:rPr>
                <w:i/>
                <w:sz w:val="18"/>
              </w:rPr>
              <w:t>events</w:t>
            </w:r>
            <w:r>
              <w:rPr>
                <w:sz w:val="18"/>
              </w:rPr>
              <w:t>,</w:t>
            </w:r>
            <w:r>
              <w:rPr>
                <w:spacing w:val="-7"/>
                <w:sz w:val="18"/>
              </w:rPr>
              <w:t> </w:t>
            </w:r>
            <w:r>
              <w:rPr>
                <w:sz w:val="18"/>
              </w:rPr>
              <w:t>as</w:t>
            </w:r>
            <w:r>
              <w:rPr>
                <w:spacing w:val="-8"/>
                <w:sz w:val="18"/>
              </w:rPr>
              <w:t> </w:t>
            </w:r>
            <w:r>
              <w:rPr>
                <w:sz w:val="18"/>
              </w:rPr>
              <w:t>defined</w:t>
            </w:r>
            <w:r>
              <w:rPr>
                <w:spacing w:val="-8"/>
                <w:sz w:val="18"/>
              </w:rPr>
              <w:t> </w:t>
            </w:r>
            <w:r>
              <w:rPr>
                <w:sz w:val="18"/>
              </w:rPr>
              <w:t>by the International Society on Thrombosis and Hemostasis, </w:t>
            </w:r>
            <w:r>
              <w:rPr>
                <w:i/>
                <w:sz w:val="18"/>
              </w:rPr>
              <w:t>clinically relevant nonmajor bleeding</w:t>
            </w:r>
            <w:r>
              <w:rPr>
                <w:sz w:val="18"/>
              </w:rPr>
              <w:t>, and </w:t>
            </w:r>
            <w:r>
              <w:rPr>
                <w:i/>
                <w:sz w:val="18"/>
              </w:rPr>
              <w:t>trivial (minimal) bleeding events</w:t>
            </w:r>
            <w:r>
              <w:rPr>
                <w:sz w:val="18"/>
              </w:rPr>
              <w:t>)</w:t>
            </w:r>
          </w:p>
          <w:p>
            <w:pPr>
              <w:pStyle w:val="TableParagraph"/>
              <w:numPr>
                <w:ilvl w:val="0"/>
                <w:numId w:val="10"/>
              </w:numPr>
              <w:tabs>
                <w:tab w:pos="330" w:val="left" w:leader="none"/>
              </w:tabs>
              <w:spacing w:line="240" w:lineRule="auto" w:before="4" w:after="0"/>
              <w:ind w:left="330" w:right="0" w:hanging="222"/>
              <w:jc w:val="left"/>
              <w:rPr>
                <w:rFonts w:ascii="Symbol" w:hAnsi="Symbol"/>
                <w:sz w:val="18"/>
              </w:rPr>
            </w:pPr>
            <w:r>
              <w:rPr>
                <w:b/>
                <w:sz w:val="18"/>
              </w:rPr>
              <w:t>Ischemic</w:t>
            </w:r>
            <w:r>
              <w:rPr>
                <w:b/>
                <w:spacing w:val="-6"/>
                <w:sz w:val="18"/>
              </w:rPr>
              <w:t> </w:t>
            </w:r>
            <w:r>
              <w:rPr>
                <w:b/>
                <w:spacing w:val="-2"/>
                <w:sz w:val="18"/>
              </w:rPr>
              <w:t>stroke</w:t>
            </w:r>
          </w:p>
          <w:p>
            <w:pPr>
              <w:pStyle w:val="TableParagraph"/>
              <w:numPr>
                <w:ilvl w:val="0"/>
                <w:numId w:val="10"/>
              </w:numPr>
              <w:tabs>
                <w:tab w:pos="330" w:val="left" w:leader="none"/>
              </w:tabs>
              <w:spacing w:line="240" w:lineRule="auto" w:before="34" w:after="0"/>
              <w:ind w:left="330" w:right="0" w:hanging="222"/>
              <w:jc w:val="left"/>
              <w:rPr>
                <w:rFonts w:ascii="Symbol" w:hAnsi="Symbol"/>
                <w:sz w:val="18"/>
              </w:rPr>
            </w:pPr>
            <w:r>
              <w:rPr>
                <w:b/>
                <w:sz w:val="18"/>
              </w:rPr>
              <w:t>Adverse</w:t>
            </w:r>
            <w:r>
              <w:rPr>
                <w:b/>
                <w:spacing w:val="-5"/>
                <w:sz w:val="18"/>
              </w:rPr>
              <w:t> </w:t>
            </w:r>
            <w:r>
              <w:rPr>
                <w:b/>
                <w:spacing w:val="-2"/>
                <w:sz w:val="18"/>
              </w:rPr>
              <w:t>events</w:t>
            </w:r>
          </w:p>
        </w:tc>
        <w:tc>
          <w:tcPr>
            <w:tcW w:w="1843" w:type="dxa"/>
          </w:tcPr>
          <w:p>
            <w:pPr>
              <w:pStyle w:val="TableParagraph"/>
              <w:spacing w:line="218" w:lineRule="exact"/>
              <w:ind w:left="106"/>
              <w:rPr>
                <w:sz w:val="18"/>
              </w:rPr>
            </w:pPr>
            <w:r>
              <w:rPr>
                <w:spacing w:val="-2"/>
                <w:sz w:val="18"/>
                <w:u w:val="single"/>
              </w:rPr>
              <w:t>Funding</w:t>
            </w:r>
          </w:p>
          <w:p>
            <w:pPr>
              <w:pStyle w:val="TableParagraph"/>
              <w:spacing w:line="278" w:lineRule="auto" w:before="195"/>
              <w:ind w:left="106"/>
              <w:rPr>
                <w:sz w:val="18"/>
              </w:rPr>
            </w:pPr>
            <w:r>
              <w:rPr>
                <w:sz w:val="18"/>
              </w:rPr>
              <w:t>Bayer</w:t>
            </w:r>
            <w:r>
              <w:rPr>
                <w:spacing w:val="-11"/>
                <w:sz w:val="18"/>
              </w:rPr>
              <w:t> </w:t>
            </w:r>
            <w:r>
              <w:rPr>
                <w:sz w:val="18"/>
              </w:rPr>
              <w:t>AG</w:t>
            </w:r>
            <w:r>
              <w:rPr>
                <w:spacing w:val="-10"/>
                <w:sz w:val="18"/>
              </w:rPr>
              <w:t> </w:t>
            </w:r>
            <w:r>
              <w:rPr>
                <w:sz w:val="18"/>
              </w:rPr>
              <w:t>and</w:t>
            </w:r>
            <w:r>
              <w:rPr>
                <w:spacing w:val="-10"/>
                <w:sz w:val="18"/>
              </w:rPr>
              <w:t> </w:t>
            </w:r>
            <w:r>
              <w:rPr>
                <w:sz w:val="18"/>
              </w:rPr>
              <w:t>Janssen Research</w:t>
            </w:r>
            <w:r>
              <w:rPr>
                <w:spacing w:val="-2"/>
                <w:sz w:val="18"/>
              </w:rPr>
              <w:t> </w:t>
            </w:r>
            <w:r>
              <w:rPr>
                <w:sz w:val="18"/>
              </w:rPr>
              <w:t>&amp; Development, LLC</w:t>
            </w:r>
          </w:p>
          <w:p>
            <w:pPr>
              <w:pStyle w:val="TableParagraph"/>
              <w:rPr>
                <w:sz w:val="18"/>
              </w:rPr>
            </w:pPr>
          </w:p>
          <w:p>
            <w:pPr>
              <w:pStyle w:val="TableParagraph"/>
              <w:spacing w:before="137"/>
              <w:rPr>
                <w:sz w:val="18"/>
              </w:rPr>
            </w:pPr>
          </w:p>
          <w:p>
            <w:pPr>
              <w:pStyle w:val="TableParagraph"/>
              <w:spacing w:before="1"/>
              <w:ind w:left="106"/>
              <w:rPr>
                <w:sz w:val="18"/>
              </w:rPr>
            </w:pPr>
            <w:r>
              <w:rPr>
                <w:sz w:val="18"/>
                <w:u w:val="single"/>
              </w:rPr>
              <w:t>Conflicts</w:t>
            </w:r>
            <w:r>
              <w:rPr>
                <w:spacing w:val="-3"/>
                <w:sz w:val="18"/>
                <w:u w:val="single"/>
              </w:rPr>
              <w:t> </w:t>
            </w:r>
            <w:r>
              <w:rPr>
                <w:sz w:val="18"/>
                <w:u w:val="single"/>
              </w:rPr>
              <w:t>of</w:t>
            </w:r>
            <w:r>
              <w:rPr>
                <w:spacing w:val="-2"/>
                <w:sz w:val="18"/>
                <w:u w:val="single"/>
              </w:rPr>
              <w:t> interest</w:t>
            </w:r>
          </w:p>
          <w:p>
            <w:pPr>
              <w:pStyle w:val="TableParagraph"/>
              <w:spacing w:line="278" w:lineRule="auto" w:before="198"/>
              <w:ind w:left="106" w:right="230"/>
              <w:jc w:val="both"/>
              <w:rPr>
                <w:sz w:val="18"/>
              </w:rPr>
            </w:pPr>
            <w:r>
              <w:rPr>
                <w:sz w:val="18"/>
              </w:rPr>
              <w:t>Several,</w:t>
            </w:r>
            <w:r>
              <w:rPr>
                <w:spacing w:val="-11"/>
                <w:sz w:val="18"/>
              </w:rPr>
              <w:t> </w:t>
            </w:r>
            <w:r>
              <w:rPr>
                <w:sz w:val="18"/>
              </w:rPr>
              <w:t>please</w:t>
            </w:r>
            <w:r>
              <w:rPr>
                <w:spacing w:val="-10"/>
                <w:sz w:val="18"/>
              </w:rPr>
              <w:t> </w:t>
            </w:r>
            <w:r>
              <w:rPr>
                <w:sz w:val="18"/>
              </w:rPr>
              <w:t>refer to</w:t>
            </w:r>
            <w:r>
              <w:rPr>
                <w:spacing w:val="-5"/>
                <w:sz w:val="18"/>
              </w:rPr>
              <w:t> </w:t>
            </w:r>
            <w:r>
              <w:rPr>
                <w:sz w:val="18"/>
              </w:rPr>
              <w:t>the</w:t>
            </w:r>
            <w:r>
              <w:rPr>
                <w:spacing w:val="-5"/>
                <w:sz w:val="18"/>
              </w:rPr>
              <w:t> </w:t>
            </w:r>
            <w:r>
              <w:rPr>
                <w:sz w:val="18"/>
              </w:rPr>
              <w:t>disclosures</w:t>
            </w:r>
            <w:r>
              <w:rPr>
                <w:spacing w:val="-4"/>
                <w:sz w:val="18"/>
              </w:rPr>
              <w:t> </w:t>
            </w:r>
            <w:r>
              <w:rPr>
                <w:sz w:val="18"/>
              </w:rPr>
              <w:t>in the</w:t>
            </w:r>
            <w:r>
              <w:rPr>
                <w:spacing w:val="-2"/>
                <w:sz w:val="18"/>
              </w:rPr>
              <w:t> </w:t>
            </w:r>
            <w:r>
              <w:rPr>
                <w:sz w:val="18"/>
              </w:rPr>
              <w:t>article</w:t>
            </w:r>
          </w:p>
        </w:tc>
        <w:tc>
          <w:tcPr>
            <w:tcW w:w="1982" w:type="dxa"/>
          </w:tcPr>
          <w:p>
            <w:pPr>
              <w:pStyle w:val="TableParagraph"/>
              <w:spacing w:line="280" w:lineRule="auto"/>
              <w:ind w:left="107"/>
              <w:rPr>
                <w:sz w:val="18"/>
              </w:rPr>
            </w:pPr>
            <w:r>
              <w:rPr>
                <w:b/>
                <w:sz w:val="18"/>
              </w:rPr>
              <w:t>Some</w:t>
            </w:r>
            <w:r>
              <w:rPr>
                <w:b/>
                <w:spacing w:val="-11"/>
                <w:sz w:val="18"/>
              </w:rPr>
              <w:t> </w:t>
            </w:r>
            <w:r>
              <w:rPr>
                <w:b/>
                <w:sz w:val="18"/>
              </w:rPr>
              <w:t>concerns</w:t>
            </w:r>
            <w:r>
              <w:rPr>
                <w:b/>
                <w:spacing w:val="-10"/>
                <w:sz w:val="18"/>
              </w:rPr>
              <w:t> </w:t>
            </w:r>
            <w:r>
              <w:rPr>
                <w:sz w:val="18"/>
              </w:rPr>
              <w:t>(for</w:t>
            </w:r>
            <w:r>
              <w:rPr>
                <w:spacing w:val="-10"/>
                <w:sz w:val="18"/>
              </w:rPr>
              <w:t> </w:t>
            </w:r>
            <w:r>
              <w:rPr>
                <w:sz w:val="18"/>
              </w:rPr>
              <w:t>all outcome</w:t>
            </w:r>
            <w:r>
              <w:rPr>
                <w:spacing w:val="-2"/>
                <w:sz w:val="18"/>
              </w:rPr>
              <w:t> </w:t>
            </w:r>
            <w:r>
              <w:rPr>
                <w:sz w:val="18"/>
              </w:rPr>
              <w:t>measures)</w:t>
            </w:r>
          </w:p>
        </w:tc>
      </w:tr>
      <w:tr>
        <w:trPr>
          <w:trHeight w:val="416" w:hRule="atLeast"/>
        </w:trPr>
        <w:tc>
          <w:tcPr>
            <w:tcW w:w="14164" w:type="dxa"/>
            <w:gridSpan w:val="7"/>
            <w:shd w:val="clear" w:color="auto" w:fill="ADAAAA"/>
          </w:tcPr>
          <w:p>
            <w:pPr>
              <w:pStyle w:val="TableParagraph"/>
              <w:spacing w:before="1"/>
              <w:ind w:left="105"/>
              <w:rPr>
                <w:b/>
                <w:i/>
                <w:sz w:val="18"/>
              </w:rPr>
            </w:pPr>
            <w:r>
              <w:rPr>
                <w:b/>
                <w:i/>
                <w:sz w:val="18"/>
              </w:rPr>
              <w:t>Studies</w:t>
            </w:r>
            <w:r>
              <w:rPr>
                <w:b/>
                <w:i/>
                <w:spacing w:val="-3"/>
                <w:sz w:val="18"/>
              </w:rPr>
              <w:t> </w:t>
            </w:r>
            <w:r>
              <w:rPr>
                <w:b/>
                <w:i/>
                <w:sz w:val="18"/>
              </w:rPr>
              <w:t>with</w:t>
            </w:r>
            <w:r>
              <w:rPr>
                <w:b/>
                <w:i/>
                <w:spacing w:val="-3"/>
                <w:sz w:val="18"/>
              </w:rPr>
              <w:t> </w:t>
            </w:r>
            <w:r>
              <w:rPr>
                <w:b/>
                <w:i/>
                <w:sz w:val="18"/>
              </w:rPr>
              <w:t>follow-up</w:t>
            </w:r>
            <w:r>
              <w:rPr>
                <w:b/>
                <w:i/>
                <w:spacing w:val="-1"/>
                <w:sz w:val="18"/>
              </w:rPr>
              <w:t> </w:t>
            </w:r>
            <w:r>
              <w:rPr>
                <w:b/>
                <w:i/>
                <w:sz w:val="18"/>
              </w:rPr>
              <w:t>&gt;</w:t>
            </w:r>
            <w:r>
              <w:rPr>
                <w:b/>
                <w:i/>
                <w:spacing w:val="-2"/>
                <w:sz w:val="18"/>
              </w:rPr>
              <w:t> </w:t>
            </w:r>
            <w:r>
              <w:rPr>
                <w:b/>
                <w:i/>
                <w:sz w:val="18"/>
              </w:rPr>
              <w:t>1</w:t>
            </w:r>
            <w:r>
              <w:rPr>
                <w:b/>
                <w:i/>
                <w:spacing w:val="-1"/>
                <w:sz w:val="18"/>
              </w:rPr>
              <w:t> </w:t>
            </w:r>
            <w:r>
              <w:rPr>
                <w:b/>
                <w:i/>
                <w:spacing w:val="-4"/>
                <w:sz w:val="18"/>
              </w:rPr>
              <w:t>year</w:t>
            </w:r>
          </w:p>
        </w:tc>
      </w:tr>
      <w:tr>
        <w:trPr>
          <w:trHeight w:val="3324" w:hRule="atLeast"/>
        </w:trPr>
        <w:tc>
          <w:tcPr>
            <w:tcW w:w="1260" w:type="dxa"/>
          </w:tcPr>
          <w:p>
            <w:pPr>
              <w:pStyle w:val="TableParagraph"/>
              <w:spacing w:line="218" w:lineRule="exact"/>
              <w:ind w:left="105"/>
              <w:rPr>
                <w:sz w:val="18"/>
              </w:rPr>
            </w:pPr>
            <w:r>
              <w:rPr>
                <w:sz w:val="18"/>
              </w:rPr>
              <w:t>Egbe,</w:t>
            </w:r>
            <w:r>
              <w:rPr>
                <w:spacing w:val="-3"/>
                <w:sz w:val="18"/>
              </w:rPr>
              <w:t> </w:t>
            </w:r>
            <w:r>
              <w:rPr>
                <w:spacing w:val="-4"/>
                <w:sz w:val="18"/>
              </w:rPr>
              <w:t>2017</w:t>
            </w:r>
          </w:p>
        </w:tc>
        <w:tc>
          <w:tcPr>
            <w:tcW w:w="2248" w:type="dxa"/>
          </w:tcPr>
          <w:p>
            <w:pPr>
              <w:pStyle w:val="TableParagraph"/>
              <w:spacing w:line="453" w:lineRule="auto"/>
              <w:ind w:left="105" w:right="894"/>
              <w:rPr>
                <w:sz w:val="18"/>
              </w:rPr>
            </w:pPr>
            <w:r>
              <w:rPr>
                <w:sz w:val="18"/>
                <w:u w:val="single"/>
              </w:rPr>
              <w:t>N</w:t>
            </w:r>
            <w:r>
              <w:rPr>
                <w:spacing w:val="-11"/>
                <w:sz w:val="18"/>
                <w:u w:val="single"/>
              </w:rPr>
              <w:t> </w:t>
            </w:r>
            <w:r>
              <w:rPr>
                <w:sz w:val="18"/>
                <w:u w:val="single"/>
              </w:rPr>
              <w:t>at</w:t>
            </w:r>
            <w:r>
              <w:rPr>
                <w:spacing w:val="-10"/>
                <w:sz w:val="18"/>
                <w:u w:val="single"/>
              </w:rPr>
              <w:t> </w:t>
            </w:r>
            <w:r>
              <w:rPr>
                <w:sz w:val="18"/>
                <w:u w:val="single"/>
              </w:rPr>
              <w:t>baseline</w:t>
            </w:r>
            <w:r>
              <w:rPr>
                <w:position w:val="5"/>
                <w:sz w:val="12"/>
                <w:u w:val="none"/>
              </w:rPr>
              <w:t>3</w:t>
            </w:r>
            <w:r>
              <w:rPr>
                <w:spacing w:val="40"/>
                <w:position w:val="5"/>
                <w:sz w:val="12"/>
                <w:u w:val="none"/>
              </w:rPr>
              <w:t> </w:t>
            </w:r>
            <w:r>
              <w:rPr>
                <w:spacing w:val="-4"/>
                <w:sz w:val="18"/>
                <w:u w:val="none"/>
              </w:rPr>
              <w:t>387</w:t>
            </w:r>
          </w:p>
          <w:p>
            <w:pPr>
              <w:pStyle w:val="TableParagraph"/>
              <w:spacing w:before="194"/>
              <w:rPr>
                <w:sz w:val="18"/>
              </w:rPr>
            </w:pPr>
          </w:p>
          <w:p>
            <w:pPr>
              <w:pStyle w:val="TableParagraph"/>
              <w:spacing w:line="453" w:lineRule="auto"/>
              <w:ind w:left="105" w:right="894"/>
              <w:rPr>
                <w:sz w:val="18"/>
              </w:rPr>
            </w:pPr>
            <w:r>
              <w:rPr>
                <w:sz w:val="18"/>
                <w:u w:val="single"/>
              </w:rPr>
              <w:t>Age</w:t>
            </w:r>
            <w:r>
              <w:rPr>
                <w:spacing w:val="-11"/>
                <w:sz w:val="18"/>
                <w:u w:val="single"/>
              </w:rPr>
              <w:t> </w:t>
            </w:r>
            <w:r>
              <w:rPr>
                <w:sz w:val="18"/>
                <w:u w:val="single"/>
              </w:rPr>
              <w:t>(mean,</w:t>
            </w:r>
            <w:r>
              <w:rPr>
                <w:spacing w:val="-10"/>
                <w:sz w:val="18"/>
                <w:u w:val="single"/>
              </w:rPr>
              <w:t> </w:t>
            </w:r>
            <w:r>
              <w:rPr>
                <w:sz w:val="18"/>
                <w:u w:val="single"/>
              </w:rPr>
              <w:t>SD)</w:t>
            </w:r>
            <w:r>
              <w:rPr>
                <w:position w:val="5"/>
                <w:sz w:val="12"/>
                <w:u w:val="none"/>
              </w:rPr>
              <w:t>1</w:t>
            </w:r>
            <w:r>
              <w:rPr>
                <w:spacing w:val="40"/>
                <w:position w:val="5"/>
                <w:sz w:val="12"/>
                <w:u w:val="none"/>
              </w:rPr>
              <w:t> </w:t>
            </w:r>
            <w:r>
              <w:rPr>
                <w:sz w:val="18"/>
                <w:u w:val="none"/>
              </w:rPr>
              <w:t>28 (7) years</w:t>
            </w:r>
          </w:p>
          <w:p>
            <w:pPr>
              <w:pStyle w:val="TableParagraph"/>
              <w:spacing w:before="198"/>
              <w:rPr>
                <w:sz w:val="18"/>
              </w:rPr>
            </w:pPr>
          </w:p>
          <w:p>
            <w:pPr>
              <w:pStyle w:val="TableParagraph"/>
              <w:ind w:left="105"/>
              <w:rPr>
                <w:position w:val="5"/>
                <w:sz w:val="12"/>
              </w:rPr>
            </w:pPr>
            <w:r>
              <w:rPr>
                <w:spacing w:val="-4"/>
                <w:sz w:val="18"/>
                <w:u w:val="single"/>
              </w:rPr>
              <w:t>Sex</w:t>
            </w:r>
            <w:r>
              <w:rPr>
                <w:spacing w:val="-4"/>
                <w:position w:val="5"/>
                <w:sz w:val="12"/>
                <w:u w:val="none"/>
              </w:rPr>
              <w:t>2</w:t>
            </w:r>
          </w:p>
          <w:p>
            <w:pPr>
              <w:pStyle w:val="TableParagraph"/>
              <w:spacing w:before="196"/>
              <w:ind w:left="105"/>
              <w:rPr>
                <w:sz w:val="18"/>
              </w:rPr>
            </w:pPr>
            <w:r>
              <w:rPr>
                <w:sz w:val="18"/>
              </w:rPr>
              <w:t>48% </w:t>
            </w:r>
            <w:r>
              <w:rPr>
                <w:spacing w:val="-2"/>
                <w:sz w:val="18"/>
              </w:rPr>
              <w:t>female</w:t>
            </w:r>
          </w:p>
        </w:tc>
        <w:tc>
          <w:tcPr>
            <w:tcW w:w="1677" w:type="dxa"/>
          </w:tcPr>
          <w:p>
            <w:pPr>
              <w:pStyle w:val="TableParagraph"/>
              <w:numPr>
                <w:ilvl w:val="0"/>
                <w:numId w:val="11"/>
              </w:numPr>
              <w:tabs>
                <w:tab w:pos="326" w:val="left" w:leader="none"/>
              </w:tabs>
              <w:spacing w:line="228" w:lineRule="exact" w:before="0" w:after="0"/>
              <w:ind w:left="326" w:right="0" w:hanging="222"/>
              <w:jc w:val="left"/>
              <w:rPr>
                <w:sz w:val="18"/>
              </w:rPr>
            </w:pPr>
            <w:r>
              <w:rPr>
                <w:spacing w:val="-2"/>
                <w:sz w:val="18"/>
              </w:rPr>
              <w:t>Warfarin</w:t>
            </w:r>
          </w:p>
          <w:p>
            <w:pPr>
              <w:pStyle w:val="TableParagraph"/>
              <w:numPr>
                <w:ilvl w:val="0"/>
                <w:numId w:val="11"/>
              </w:numPr>
              <w:tabs>
                <w:tab w:pos="326" w:val="left" w:leader="none"/>
              </w:tabs>
              <w:spacing w:line="240" w:lineRule="auto" w:before="35" w:after="0"/>
              <w:ind w:left="326" w:right="0" w:hanging="222"/>
              <w:jc w:val="left"/>
              <w:rPr>
                <w:sz w:val="18"/>
              </w:rPr>
            </w:pPr>
            <w:r>
              <w:rPr>
                <w:spacing w:val="-2"/>
                <w:sz w:val="18"/>
              </w:rPr>
              <w:t>Aspirin</w:t>
            </w:r>
          </w:p>
        </w:tc>
        <w:tc>
          <w:tcPr>
            <w:tcW w:w="767" w:type="dxa"/>
          </w:tcPr>
          <w:p>
            <w:pPr>
              <w:pStyle w:val="TableParagraph"/>
              <w:spacing w:line="218" w:lineRule="exact"/>
              <w:ind w:left="105"/>
              <w:rPr>
                <w:sz w:val="18"/>
              </w:rPr>
            </w:pPr>
            <w:r>
              <w:rPr>
                <w:sz w:val="18"/>
              </w:rPr>
              <w:t>8 </w:t>
            </w:r>
            <w:r>
              <w:rPr>
                <w:spacing w:val="-5"/>
                <w:sz w:val="18"/>
              </w:rPr>
              <w:t>(2)</w:t>
            </w:r>
          </w:p>
          <w:p>
            <w:pPr>
              <w:pStyle w:val="TableParagraph"/>
              <w:spacing w:before="35"/>
              <w:ind w:left="105"/>
              <w:rPr>
                <w:sz w:val="18"/>
              </w:rPr>
            </w:pPr>
            <w:r>
              <w:rPr>
                <w:spacing w:val="-2"/>
                <w:sz w:val="18"/>
              </w:rPr>
              <w:t>years</w:t>
            </w:r>
          </w:p>
        </w:tc>
        <w:tc>
          <w:tcPr>
            <w:tcW w:w="4387" w:type="dxa"/>
          </w:tcPr>
          <w:p>
            <w:pPr>
              <w:pStyle w:val="TableParagraph"/>
              <w:numPr>
                <w:ilvl w:val="0"/>
                <w:numId w:val="12"/>
              </w:numPr>
              <w:tabs>
                <w:tab w:pos="468" w:val="left" w:leader="none"/>
              </w:tabs>
              <w:spacing w:line="278" w:lineRule="auto" w:before="0" w:after="0"/>
              <w:ind w:left="468" w:right="98" w:hanging="360"/>
              <w:jc w:val="left"/>
              <w:rPr>
                <w:sz w:val="18"/>
              </w:rPr>
            </w:pPr>
            <w:r>
              <w:rPr>
                <w:b/>
                <w:sz w:val="18"/>
              </w:rPr>
              <w:t>Thrombotic</w:t>
            </w:r>
            <w:r>
              <w:rPr>
                <w:b/>
                <w:spacing w:val="-11"/>
                <w:sz w:val="18"/>
              </w:rPr>
              <w:t> </w:t>
            </w:r>
            <w:r>
              <w:rPr>
                <w:b/>
                <w:sz w:val="18"/>
              </w:rPr>
              <w:t>complications</w:t>
            </w:r>
            <w:r>
              <w:rPr>
                <w:b/>
                <w:spacing w:val="-9"/>
                <w:sz w:val="18"/>
              </w:rPr>
              <w:t> </w:t>
            </w:r>
            <w:r>
              <w:rPr>
                <w:sz w:val="18"/>
              </w:rPr>
              <w:t>(thrombotic</w:t>
            </w:r>
            <w:r>
              <w:rPr>
                <w:spacing w:val="-10"/>
                <w:sz w:val="18"/>
              </w:rPr>
              <w:t> </w:t>
            </w:r>
            <w:r>
              <w:rPr>
                <w:sz w:val="18"/>
              </w:rPr>
              <w:t>and</w:t>
            </w:r>
            <w:r>
              <w:rPr>
                <w:spacing w:val="-10"/>
                <w:sz w:val="18"/>
              </w:rPr>
              <w:t> </w:t>
            </w:r>
            <w:r>
              <w:rPr>
                <w:sz w:val="18"/>
              </w:rPr>
              <w:t>embolic complications were classified into 2 groups: systemic TEC defined as intracardiac</w:t>
            </w:r>
          </w:p>
          <w:p>
            <w:pPr>
              <w:pStyle w:val="TableParagraph"/>
              <w:spacing w:line="278" w:lineRule="auto" w:before="160"/>
              <w:ind w:left="468" w:firstLine="40"/>
              <w:rPr>
                <w:sz w:val="18"/>
              </w:rPr>
            </w:pPr>
            <w:r>
              <w:rPr>
                <w:sz w:val="18"/>
              </w:rPr>
              <w:t>thrombus,</w:t>
            </w:r>
            <w:r>
              <w:rPr>
                <w:spacing w:val="-8"/>
                <w:sz w:val="18"/>
              </w:rPr>
              <w:t> </w:t>
            </w:r>
            <w:r>
              <w:rPr>
                <w:sz w:val="18"/>
              </w:rPr>
              <w:t>ischemic</w:t>
            </w:r>
            <w:r>
              <w:rPr>
                <w:spacing w:val="-8"/>
                <w:sz w:val="18"/>
              </w:rPr>
              <w:t> </w:t>
            </w:r>
            <w:r>
              <w:rPr>
                <w:sz w:val="18"/>
              </w:rPr>
              <w:t>stroke,</w:t>
            </w:r>
            <w:r>
              <w:rPr>
                <w:spacing w:val="-8"/>
                <w:sz w:val="18"/>
              </w:rPr>
              <w:t> </w:t>
            </w:r>
            <w:r>
              <w:rPr>
                <w:sz w:val="18"/>
              </w:rPr>
              <w:t>or</w:t>
            </w:r>
            <w:r>
              <w:rPr>
                <w:spacing w:val="-8"/>
                <w:sz w:val="18"/>
              </w:rPr>
              <w:t> </w:t>
            </w:r>
            <w:r>
              <w:rPr>
                <w:sz w:val="18"/>
              </w:rPr>
              <w:t>systemic</w:t>
            </w:r>
            <w:r>
              <w:rPr>
                <w:spacing w:val="-8"/>
                <w:sz w:val="18"/>
              </w:rPr>
              <w:t> </w:t>
            </w:r>
            <w:r>
              <w:rPr>
                <w:sz w:val="18"/>
              </w:rPr>
              <w:t>arterial </w:t>
            </w:r>
            <w:r>
              <w:rPr>
                <w:spacing w:val="-2"/>
                <w:sz w:val="18"/>
              </w:rPr>
              <w:t>embolus,</w:t>
            </w:r>
          </w:p>
          <w:p>
            <w:pPr>
              <w:pStyle w:val="TableParagraph"/>
              <w:spacing w:line="278" w:lineRule="auto" w:before="163"/>
              <w:ind w:left="468" w:right="99" w:firstLine="40"/>
              <w:rPr>
                <w:sz w:val="18"/>
              </w:rPr>
            </w:pPr>
            <w:r>
              <w:rPr>
                <w:sz w:val="18"/>
              </w:rPr>
              <w:t>and</w:t>
            </w:r>
            <w:r>
              <w:rPr>
                <w:spacing w:val="-9"/>
                <w:sz w:val="18"/>
              </w:rPr>
              <w:t> </w:t>
            </w:r>
            <w:r>
              <w:rPr>
                <w:sz w:val="18"/>
              </w:rPr>
              <w:t>nonsystemic</w:t>
            </w:r>
            <w:r>
              <w:rPr>
                <w:spacing w:val="-8"/>
                <w:sz w:val="18"/>
              </w:rPr>
              <w:t> </w:t>
            </w:r>
            <w:r>
              <w:rPr>
                <w:sz w:val="18"/>
              </w:rPr>
              <w:t>TEC</w:t>
            </w:r>
            <w:r>
              <w:rPr>
                <w:spacing w:val="-9"/>
                <w:sz w:val="18"/>
              </w:rPr>
              <w:t> </w:t>
            </w:r>
            <w:r>
              <w:rPr>
                <w:sz w:val="18"/>
              </w:rPr>
              <w:t>defined</w:t>
            </w:r>
            <w:r>
              <w:rPr>
                <w:spacing w:val="-9"/>
                <w:sz w:val="18"/>
              </w:rPr>
              <w:t> </w:t>
            </w:r>
            <w:r>
              <w:rPr>
                <w:sz w:val="18"/>
              </w:rPr>
              <w:t>as</w:t>
            </w:r>
            <w:r>
              <w:rPr>
                <w:spacing w:val="-7"/>
                <w:sz w:val="18"/>
              </w:rPr>
              <w:t> </w:t>
            </w:r>
            <w:r>
              <w:rPr>
                <w:sz w:val="18"/>
              </w:rPr>
              <w:t>Fontan </w:t>
            </w:r>
            <w:r>
              <w:rPr>
                <w:spacing w:val="-2"/>
                <w:sz w:val="18"/>
              </w:rPr>
              <w:t>conduit/right</w:t>
            </w:r>
          </w:p>
          <w:p>
            <w:pPr>
              <w:pStyle w:val="TableParagraph"/>
              <w:spacing w:before="160"/>
              <w:ind w:left="468"/>
              <w:rPr>
                <w:sz w:val="18"/>
              </w:rPr>
            </w:pPr>
            <w:r>
              <w:rPr>
                <w:sz w:val="18"/>
              </w:rPr>
              <w:t>atrial</w:t>
            </w:r>
            <w:r>
              <w:rPr>
                <w:spacing w:val="-3"/>
                <w:sz w:val="18"/>
              </w:rPr>
              <w:t> </w:t>
            </w:r>
            <w:r>
              <w:rPr>
                <w:sz w:val="18"/>
              </w:rPr>
              <w:t>thrombus</w:t>
            </w:r>
            <w:r>
              <w:rPr>
                <w:spacing w:val="-3"/>
                <w:sz w:val="18"/>
              </w:rPr>
              <w:t> </w:t>
            </w:r>
            <w:r>
              <w:rPr>
                <w:sz w:val="18"/>
              </w:rPr>
              <w:t>or</w:t>
            </w:r>
            <w:r>
              <w:rPr>
                <w:spacing w:val="-3"/>
                <w:sz w:val="18"/>
              </w:rPr>
              <w:t> </w:t>
            </w:r>
            <w:r>
              <w:rPr>
                <w:sz w:val="18"/>
              </w:rPr>
              <w:t>pulmonary </w:t>
            </w:r>
            <w:r>
              <w:rPr>
                <w:spacing w:val="-2"/>
                <w:sz w:val="18"/>
              </w:rPr>
              <w:t>embolus.</w:t>
            </w:r>
          </w:p>
        </w:tc>
        <w:tc>
          <w:tcPr>
            <w:tcW w:w="1843" w:type="dxa"/>
          </w:tcPr>
          <w:p>
            <w:pPr>
              <w:pStyle w:val="TableParagraph"/>
              <w:spacing w:line="453" w:lineRule="auto"/>
              <w:ind w:left="106" w:right="1128"/>
              <w:rPr>
                <w:sz w:val="18"/>
              </w:rPr>
            </w:pPr>
            <w:r>
              <w:rPr>
                <w:spacing w:val="-2"/>
                <w:sz w:val="18"/>
                <w:u w:val="single"/>
              </w:rPr>
              <w:t>Funding</w:t>
            </w:r>
            <w:r>
              <w:rPr>
                <w:sz w:val="18"/>
                <w:u w:val="none"/>
              </w:rPr>
              <w:t> </w:t>
            </w:r>
            <w:r>
              <w:rPr>
                <w:spacing w:val="-4"/>
                <w:sz w:val="18"/>
                <w:u w:val="none"/>
              </w:rPr>
              <w:t>None</w:t>
            </w:r>
          </w:p>
          <w:p>
            <w:pPr>
              <w:pStyle w:val="TableParagraph"/>
              <w:spacing w:before="194"/>
              <w:rPr>
                <w:sz w:val="18"/>
              </w:rPr>
            </w:pPr>
          </w:p>
          <w:p>
            <w:pPr>
              <w:pStyle w:val="TableParagraph"/>
              <w:spacing w:line="453" w:lineRule="auto"/>
              <w:ind w:left="106"/>
              <w:rPr>
                <w:sz w:val="18"/>
              </w:rPr>
            </w:pPr>
            <w:r>
              <w:rPr>
                <w:sz w:val="18"/>
                <w:u w:val="single"/>
              </w:rPr>
              <w:t>Conflicts</w:t>
            </w:r>
            <w:r>
              <w:rPr>
                <w:spacing w:val="-11"/>
                <w:sz w:val="18"/>
                <w:u w:val="single"/>
              </w:rPr>
              <w:t> </w:t>
            </w:r>
            <w:r>
              <w:rPr>
                <w:sz w:val="18"/>
                <w:u w:val="single"/>
              </w:rPr>
              <w:t>of</w:t>
            </w:r>
            <w:r>
              <w:rPr>
                <w:spacing w:val="-10"/>
                <w:sz w:val="18"/>
                <w:u w:val="single"/>
              </w:rPr>
              <w:t> </w:t>
            </w:r>
            <w:r>
              <w:rPr>
                <w:sz w:val="18"/>
                <w:u w:val="single"/>
              </w:rPr>
              <w:t>interest</w:t>
            </w:r>
            <w:r>
              <w:rPr>
                <w:sz w:val="18"/>
                <w:u w:val="none"/>
              </w:rPr>
              <w:t> </w:t>
            </w:r>
            <w:r>
              <w:rPr>
                <w:spacing w:val="-4"/>
                <w:sz w:val="18"/>
                <w:u w:val="none"/>
              </w:rPr>
              <w:t>None</w:t>
            </w:r>
          </w:p>
        </w:tc>
        <w:tc>
          <w:tcPr>
            <w:tcW w:w="1982" w:type="dxa"/>
          </w:tcPr>
          <w:p>
            <w:pPr>
              <w:pStyle w:val="TableParagraph"/>
              <w:spacing w:line="278" w:lineRule="auto"/>
              <w:ind w:left="107"/>
              <w:rPr>
                <w:sz w:val="18"/>
              </w:rPr>
            </w:pPr>
            <w:r>
              <w:rPr>
                <w:b/>
                <w:sz w:val="18"/>
              </w:rPr>
              <w:t>Some</w:t>
            </w:r>
            <w:r>
              <w:rPr>
                <w:b/>
                <w:spacing w:val="-11"/>
                <w:sz w:val="18"/>
              </w:rPr>
              <w:t> </w:t>
            </w:r>
            <w:r>
              <w:rPr>
                <w:b/>
                <w:sz w:val="18"/>
              </w:rPr>
              <w:t>concerns</w:t>
            </w:r>
            <w:r>
              <w:rPr>
                <w:b/>
                <w:spacing w:val="-10"/>
                <w:sz w:val="18"/>
              </w:rPr>
              <w:t> </w:t>
            </w:r>
            <w:r>
              <w:rPr>
                <w:sz w:val="18"/>
              </w:rPr>
              <w:t>(for</w:t>
            </w:r>
            <w:r>
              <w:rPr>
                <w:spacing w:val="-10"/>
                <w:sz w:val="18"/>
              </w:rPr>
              <w:t> </w:t>
            </w:r>
            <w:r>
              <w:rPr>
                <w:sz w:val="18"/>
              </w:rPr>
              <w:t>all outcome</w:t>
            </w:r>
            <w:r>
              <w:rPr>
                <w:spacing w:val="-2"/>
                <w:sz w:val="18"/>
              </w:rPr>
              <w:t> </w:t>
            </w:r>
            <w:r>
              <w:rPr>
                <w:sz w:val="18"/>
              </w:rPr>
              <w:t>measures)</w:t>
            </w:r>
          </w:p>
        </w:tc>
      </w:tr>
    </w:tbl>
    <w:p>
      <w:pPr>
        <w:pStyle w:val="TableParagraph"/>
        <w:spacing w:after="0" w:line="278" w:lineRule="auto"/>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60"/>
        <w:gridCol w:w="2248"/>
        <w:gridCol w:w="1677"/>
        <w:gridCol w:w="767"/>
        <w:gridCol w:w="4387"/>
        <w:gridCol w:w="1843"/>
        <w:gridCol w:w="1982"/>
      </w:tblGrid>
      <w:tr>
        <w:trPr>
          <w:trHeight w:val="7366" w:hRule="atLeast"/>
        </w:trPr>
        <w:tc>
          <w:tcPr>
            <w:tcW w:w="1260" w:type="dxa"/>
          </w:tcPr>
          <w:p>
            <w:pPr>
              <w:pStyle w:val="TableParagraph"/>
              <w:spacing w:line="280" w:lineRule="auto"/>
              <w:ind w:left="105"/>
              <w:rPr>
                <w:sz w:val="18"/>
              </w:rPr>
            </w:pPr>
            <w:r>
              <w:rPr>
                <w:spacing w:val="-2"/>
                <w:sz w:val="18"/>
              </w:rPr>
              <w:t>Kawamatsu,</w:t>
            </w:r>
            <w:r>
              <w:rPr>
                <w:sz w:val="18"/>
              </w:rPr>
              <w:t> </w:t>
            </w:r>
            <w:r>
              <w:rPr>
                <w:spacing w:val="-4"/>
                <w:sz w:val="18"/>
              </w:rPr>
              <w:t>2021</w:t>
            </w:r>
          </w:p>
        </w:tc>
        <w:tc>
          <w:tcPr>
            <w:tcW w:w="2248" w:type="dxa"/>
          </w:tcPr>
          <w:p>
            <w:pPr>
              <w:pStyle w:val="TableParagraph"/>
              <w:spacing w:line="218" w:lineRule="exact"/>
              <w:ind w:left="105"/>
              <w:rPr>
                <w:sz w:val="18"/>
              </w:rPr>
            </w:pPr>
            <w:r>
              <w:rPr>
                <w:sz w:val="18"/>
                <w:u w:val="single"/>
              </w:rPr>
              <w:t>N</w:t>
            </w:r>
            <w:r>
              <w:rPr>
                <w:spacing w:val="-3"/>
                <w:sz w:val="18"/>
                <w:u w:val="single"/>
              </w:rPr>
              <w:t> </w:t>
            </w:r>
            <w:r>
              <w:rPr>
                <w:sz w:val="18"/>
                <w:u w:val="single"/>
              </w:rPr>
              <w:t>at </w:t>
            </w:r>
            <w:r>
              <w:rPr>
                <w:spacing w:val="-2"/>
                <w:sz w:val="18"/>
                <w:u w:val="single"/>
              </w:rPr>
              <w:t>baseline</w:t>
            </w:r>
          </w:p>
          <w:p>
            <w:pPr>
              <w:pStyle w:val="TableParagraph"/>
              <w:numPr>
                <w:ilvl w:val="0"/>
                <w:numId w:val="13"/>
              </w:numPr>
              <w:tabs>
                <w:tab w:pos="327" w:val="left" w:leader="none"/>
              </w:tabs>
              <w:spacing w:line="240" w:lineRule="auto" w:before="195" w:after="0"/>
              <w:ind w:left="327" w:right="0" w:hanging="222"/>
              <w:jc w:val="left"/>
              <w:rPr>
                <w:sz w:val="18"/>
              </w:rPr>
            </w:pPr>
            <w:r>
              <w:rPr>
                <w:sz w:val="18"/>
              </w:rPr>
              <w:t>DOACs:</w:t>
            </w:r>
            <w:r>
              <w:rPr>
                <w:spacing w:val="-5"/>
                <w:sz w:val="18"/>
              </w:rPr>
              <w:t> 36</w:t>
            </w:r>
          </w:p>
          <w:p>
            <w:pPr>
              <w:pStyle w:val="TableParagraph"/>
              <w:numPr>
                <w:ilvl w:val="0"/>
                <w:numId w:val="13"/>
              </w:numPr>
              <w:tabs>
                <w:tab w:pos="327" w:val="left" w:leader="none"/>
              </w:tabs>
              <w:spacing w:line="240" w:lineRule="auto" w:before="37" w:after="0"/>
              <w:ind w:left="327" w:right="0" w:hanging="222"/>
              <w:jc w:val="left"/>
              <w:rPr>
                <w:sz w:val="18"/>
              </w:rPr>
            </w:pPr>
            <w:r>
              <w:rPr>
                <w:sz w:val="18"/>
              </w:rPr>
              <w:t>Antiplatelet:</w:t>
            </w:r>
            <w:r>
              <w:rPr>
                <w:spacing w:val="-6"/>
                <w:sz w:val="18"/>
              </w:rPr>
              <w:t> </w:t>
            </w:r>
            <w:r>
              <w:rPr>
                <w:spacing w:val="-5"/>
                <w:sz w:val="18"/>
              </w:rPr>
              <w:t>43</w:t>
            </w:r>
          </w:p>
          <w:p>
            <w:pPr>
              <w:pStyle w:val="TableParagraph"/>
              <w:numPr>
                <w:ilvl w:val="0"/>
                <w:numId w:val="13"/>
              </w:numPr>
              <w:tabs>
                <w:tab w:pos="327" w:val="left" w:leader="none"/>
              </w:tabs>
              <w:spacing w:line="240" w:lineRule="auto" w:before="35" w:after="0"/>
              <w:ind w:left="327" w:right="0" w:hanging="222"/>
              <w:jc w:val="left"/>
              <w:rPr>
                <w:sz w:val="18"/>
              </w:rPr>
            </w:pPr>
            <w:r>
              <w:rPr>
                <w:sz w:val="18"/>
              </w:rPr>
              <w:t>VKA:</w:t>
            </w:r>
            <w:r>
              <w:rPr>
                <w:spacing w:val="-2"/>
                <w:sz w:val="18"/>
              </w:rPr>
              <w:t> </w:t>
            </w:r>
            <w:r>
              <w:rPr>
                <w:spacing w:val="-5"/>
                <w:sz w:val="18"/>
              </w:rPr>
              <w:t>41</w:t>
            </w:r>
          </w:p>
          <w:p>
            <w:pPr>
              <w:pStyle w:val="TableParagraph"/>
              <w:numPr>
                <w:ilvl w:val="0"/>
                <w:numId w:val="13"/>
              </w:numPr>
              <w:tabs>
                <w:tab w:pos="326" w:val="left" w:leader="none"/>
                <w:tab w:pos="328" w:val="left" w:leader="none"/>
              </w:tabs>
              <w:spacing w:line="276" w:lineRule="auto" w:before="37" w:after="0"/>
              <w:ind w:left="328" w:right="548" w:hanging="224"/>
              <w:jc w:val="left"/>
              <w:rPr>
                <w:sz w:val="18"/>
              </w:rPr>
            </w:pPr>
            <w:r>
              <w:rPr>
                <w:sz w:val="18"/>
              </w:rPr>
              <w:t>Combination</w:t>
            </w:r>
            <w:r>
              <w:rPr>
                <w:spacing w:val="-11"/>
                <w:sz w:val="18"/>
              </w:rPr>
              <w:t> </w:t>
            </w:r>
            <w:r>
              <w:rPr>
                <w:sz w:val="18"/>
              </w:rPr>
              <w:t>of</w:t>
            </w:r>
            <w:r>
              <w:rPr>
                <w:spacing w:val="-10"/>
                <w:sz w:val="18"/>
              </w:rPr>
              <w:t> </w:t>
            </w:r>
            <w:r>
              <w:rPr>
                <w:sz w:val="18"/>
              </w:rPr>
              <w:t>an antiplatelet and anticoagulant:</w:t>
            </w:r>
            <w:r>
              <w:rPr>
                <w:spacing w:val="-2"/>
                <w:sz w:val="18"/>
              </w:rPr>
              <w:t> </w:t>
            </w:r>
            <w:r>
              <w:rPr>
                <w:sz w:val="18"/>
              </w:rPr>
              <w:t>14</w:t>
            </w:r>
          </w:p>
          <w:p>
            <w:pPr>
              <w:pStyle w:val="TableParagraph"/>
              <w:rPr>
                <w:sz w:val="18"/>
              </w:rPr>
            </w:pPr>
          </w:p>
          <w:p>
            <w:pPr>
              <w:pStyle w:val="TableParagraph"/>
              <w:spacing w:before="144"/>
              <w:rPr>
                <w:sz w:val="18"/>
              </w:rPr>
            </w:pPr>
          </w:p>
          <w:p>
            <w:pPr>
              <w:pStyle w:val="TableParagraph"/>
              <w:spacing w:before="1"/>
              <w:ind w:left="105"/>
              <w:rPr>
                <w:sz w:val="18"/>
              </w:rPr>
            </w:pPr>
            <w:r>
              <w:rPr>
                <w:sz w:val="18"/>
                <w:u w:val="single"/>
              </w:rPr>
              <w:t>Age</w:t>
            </w:r>
            <w:r>
              <w:rPr>
                <w:spacing w:val="-4"/>
                <w:sz w:val="18"/>
                <w:u w:val="single"/>
              </w:rPr>
              <w:t> </w:t>
            </w:r>
            <w:r>
              <w:rPr>
                <w:sz w:val="18"/>
                <w:u w:val="single"/>
              </w:rPr>
              <w:t>(mean,</w:t>
            </w:r>
            <w:r>
              <w:rPr>
                <w:spacing w:val="-3"/>
                <w:sz w:val="18"/>
                <w:u w:val="single"/>
              </w:rPr>
              <w:t> </w:t>
            </w:r>
            <w:r>
              <w:rPr>
                <w:spacing w:val="-5"/>
                <w:sz w:val="18"/>
                <w:u w:val="single"/>
              </w:rPr>
              <w:t>SD)</w:t>
            </w:r>
          </w:p>
          <w:p>
            <w:pPr>
              <w:pStyle w:val="TableParagraph"/>
              <w:numPr>
                <w:ilvl w:val="0"/>
                <w:numId w:val="13"/>
              </w:numPr>
              <w:tabs>
                <w:tab w:pos="327" w:val="left" w:leader="none"/>
              </w:tabs>
              <w:spacing w:line="240" w:lineRule="auto" w:before="195" w:after="0"/>
              <w:ind w:left="327" w:right="0" w:hanging="222"/>
              <w:jc w:val="left"/>
              <w:rPr>
                <w:sz w:val="18"/>
              </w:rPr>
            </w:pPr>
            <w:r>
              <w:rPr>
                <w:sz w:val="18"/>
              </w:rPr>
              <w:t>DOACs:</w:t>
            </w:r>
            <w:r>
              <w:rPr>
                <w:spacing w:val="-3"/>
                <w:sz w:val="18"/>
              </w:rPr>
              <w:t> </w:t>
            </w:r>
            <w:r>
              <w:rPr>
                <w:sz w:val="18"/>
              </w:rPr>
              <w:t>30</w:t>
            </w:r>
            <w:r>
              <w:rPr>
                <w:spacing w:val="-2"/>
                <w:sz w:val="18"/>
              </w:rPr>
              <w:t> </w:t>
            </w:r>
            <w:r>
              <w:rPr>
                <w:spacing w:val="-5"/>
                <w:sz w:val="18"/>
              </w:rPr>
              <w:t>(8)</w:t>
            </w:r>
          </w:p>
          <w:p>
            <w:pPr>
              <w:pStyle w:val="TableParagraph"/>
              <w:numPr>
                <w:ilvl w:val="0"/>
                <w:numId w:val="13"/>
              </w:numPr>
              <w:tabs>
                <w:tab w:pos="327" w:val="left" w:leader="none"/>
              </w:tabs>
              <w:spacing w:line="240" w:lineRule="auto" w:before="35" w:after="0"/>
              <w:ind w:left="327" w:right="0" w:hanging="222"/>
              <w:jc w:val="left"/>
              <w:rPr>
                <w:sz w:val="18"/>
              </w:rPr>
            </w:pPr>
            <w:r>
              <w:rPr>
                <w:sz w:val="18"/>
              </w:rPr>
              <w:t>Antiplatelet:</w:t>
            </w:r>
            <w:r>
              <w:rPr>
                <w:spacing w:val="-4"/>
                <w:sz w:val="18"/>
              </w:rPr>
              <w:t> </w:t>
            </w:r>
            <w:r>
              <w:rPr>
                <w:sz w:val="18"/>
              </w:rPr>
              <w:t>26</w:t>
            </w:r>
            <w:r>
              <w:rPr>
                <w:spacing w:val="-2"/>
                <w:sz w:val="18"/>
              </w:rPr>
              <w:t> </w:t>
            </w:r>
            <w:r>
              <w:rPr>
                <w:spacing w:val="-5"/>
                <w:sz w:val="18"/>
              </w:rPr>
              <w:t>(6)</w:t>
            </w:r>
          </w:p>
          <w:p>
            <w:pPr>
              <w:pStyle w:val="TableParagraph"/>
              <w:numPr>
                <w:ilvl w:val="0"/>
                <w:numId w:val="13"/>
              </w:numPr>
              <w:tabs>
                <w:tab w:pos="327" w:val="left" w:leader="none"/>
              </w:tabs>
              <w:spacing w:line="240" w:lineRule="auto" w:before="37" w:after="0"/>
              <w:ind w:left="327" w:right="0" w:hanging="222"/>
              <w:jc w:val="left"/>
              <w:rPr>
                <w:sz w:val="18"/>
              </w:rPr>
            </w:pPr>
            <w:r>
              <w:rPr>
                <w:sz w:val="18"/>
              </w:rPr>
              <w:t>VKA:</w:t>
            </w:r>
            <w:r>
              <w:rPr>
                <w:spacing w:val="-1"/>
                <w:sz w:val="18"/>
              </w:rPr>
              <w:t> </w:t>
            </w:r>
            <w:r>
              <w:rPr>
                <w:sz w:val="18"/>
              </w:rPr>
              <w:t>27</w:t>
            </w:r>
            <w:r>
              <w:rPr>
                <w:spacing w:val="-1"/>
                <w:sz w:val="18"/>
              </w:rPr>
              <w:t> </w:t>
            </w:r>
            <w:r>
              <w:rPr>
                <w:spacing w:val="-5"/>
                <w:sz w:val="18"/>
              </w:rPr>
              <w:t>(8)</w:t>
            </w:r>
          </w:p>
          <w:p>
            <w:pPr>
              <w:pStyle w:val="TableParagraph"/>
              <w:numPr>
                <w:ilvl w:val="0"/>
                <w:numId w:val="13"/>
              </w:numPr>
              <w:tabs>
                <w:tab w:pos="326" w:val="left" w:leader="none"/>
                <w:tab w:pos="328" w:val="left" w:leader="none"/>
              </w:tabs>
              <w:spacing w:line="278" w:lineRule="auto" w:before="35" w:after="0"/>
              <w:ind w:left="328" w:right="391" w:hanging="224"/>
              <w:jc w:val="left"/>
              <w:rPr>
                <w:sz w:val="18"/>
              </w:rPr>
            </w:pPr>
            <w:r>
              <w:rPr>
                <w:sz w:val="18"/>
              </w:rPr>
              <w:t>Combination of an antiplatelet and anticoagulant:</w:t>
            </w:r>
            <w:r>
              <w:rPr>
                <w:spacing w:val="-11"/>
                <w:sz w:val="18"/>
              </w:rPr>
              <w:t> </w:t>
            </w:r>
            <w:r>
              <w:rPr>
                <w:sz w:val="18"/>
              </w:rPr>
              <w:t>28</w:t>
            </w:r>
            <w:r>
              <w:rPr>
                <w:spacing w:val="-10"/>
                <w:sz w:val="18"/>
              </w:rPr>
              <w:t> </w:t>
            </w:r>
            <w:r>
              <w:rPr>
                <w:sz w:val="18"/>
              </w:rPr>
              <w:t>(7)</w:t>
            </w:r>
          </w:p>
          <w:p>
            <w:pPr>
              <w:pStyle w:val="TableParagraph"/>
              <w:rPr>
                <w:sz w:val="18"/>
              </w:rPr>
            </w:pPr>
          </w:p>
          <w:p>
            <w:pPr>
              <w:pStyle w:val="TableParagraph"/>
              <w:spacing w:before="137"/>
              <w:rPr>
                <w:sz w:val="18"/>
              </w:rPr>
            </w:pPr>
          </w:p>
          <w:p>
            <w:pPr>
              <w:pStyle w:val="TableParagraph"/>
              <w:ind w:left="105"/>
              <w:rPr>
                <w:sz w:val="18"/>
              </w:rPr>
            </w:pPr>
            <w:r>
              <w:rPr>
                <w:spacing w:val="-5"/>
                <w:sz w:val="18"/>
                <w:u w:val="single"/>
              </w:rPr>
              <w:t>Sex</w:t>
            </w:r>
          </w:p>
          <w:p>
            <w:pPr>
              <w:pStyle w:val="TableParagraph"/>
              <w:numPr>
                <w:ilvl w:val="0"/>
                <w:numId w:val="13"/>
              </w:numPr>
              <w:tabs>
                <w:tab w:pos="327" w:val="left" w:leader="none"/>
              </w:tabs>
              <w:spacing w:line="240" w:lineRule="auto" w:before="196" w:after="0"/>
              <w:ind w:left="327" w:right="0" w:hanging="222"/>
              <w:jc w:val="left"/>
              <w:rPr>
                <w:sz w:val="18"/>
              </w:rPr>
            </w:pPr>
            <w:r>
              <w:rPr>
                <w:sz w:val="18"/>
              </w:rPr>
              <w:t>DOACs:</w:t>
            </w:r>
            <w:r>
              <w:rPr>
                <w:spacing w:val="-3"/>
                <w:sz w:val="18"/>
              </w:rPr>
              <w:t> </w:t>
            </w:r>
            <w:r>
              <w:rPr>
                <w:sz w:val="18"/>
              </w:rPr>
              <w:t>44%</w:t>
            </w:r>
            <w:r>
              <w:rPr>
                <w:spacing w:val="-2"/>
                <w:sz w:val="18"/>
              </w:rPr>
              <w:t> female</w:t>
            </w:r>
          </w:p>
          <w:p>
            <w:pPr>
              <w:pStyle w:val="TableParagraph"/>
              <w:numPr>
                <w:ilvl w:val="0"/>
                <w:numId w:val="13"/>
              </w:numPr>
              <w:tabs>
                <w:tab w:pos="327" w:val="left" w:leader="none"/>
              </w:tabs>
              <w:spacing w:line="240" w:lineRule="auto" w:before="37" w:after="0"/>
              <w:ind w:left="327" w:right="0" w:hanging="222"/>
              <w:jc w:val="left"/>
              <w:rPr>
                <w:sz w:val="18"/>
              </w:rPr>
            </w:pPr>
            <w:r>
              <w:rPr>
                <w:sz w:val="18"/>
              </w:rPr>
              <w:t>Antiplatelet:</w:t>
            </w:r>
            <w:r>
              <w:rPr>
                <w:spacing w:val="-4"/>
                <w:sz w:val="18"/>
              </w:rPr>
              <w:t> </w:t>
            </w:r>
            <w:r>
              <w:rPr>
                <w:sz w:val="18"/>
              </w:rPr>
              <w:t>65%</w:t>
            </w:r>
            <w:r>
              <w:rPr>
                <w:spacing w:val="-2"/>
                <w:sz w:val="18"/>
              </w:rPr>
              <w:t> female</w:t>
            </w:r>
          </w:p>
          <w:p>
            <w:pPr>
              <w:pStyle w:val="TableParagraph"/>
              <w:numPr>
                <w:ilvl w:val="0"/>
                <w:numId w:val="13"/>
              </w:numPr>
              <w:tabs>
                <w:tab w:pos="327" w:val="left" w:leader="none"/>
              </w:tabs>
              <w:spacing w:line="240" w:lineRule="auto" w:before="35" w:after="0"/>
              <w:ind w:left="327" w:right="0" w:hanging="222"/>
              <w:jc w:val="left"/>
              <w:rPr>
                <w:sz w:val="18"/>
              </w:rPr>
            </w:pPr>
            <w:r>
              <w:rPr>
                <w:sz w:val="18"/>
              </w:rPr>
              <w:t>VKA:</w:t>
            </w:r>
            <w:r>
              <w:rPr>
                <w:spacing w:val="-3"/>
                <w:sz w:val="18"/>
              </w:rPr>
              <w:t> </w:t>
            </w:r>
            <w:r>
              <w:rPr>
                <w:sz w:val="18"/>
              </w:rPr>
              <w:t>39%</w:t>
            </w:r>
            <w:r>
              <w:rPr>
                <w:spacing w:val="-1"/>
                <w:sz w:val="18"/>
              </w:rPr>
              <w:t> </w:t>
            </w:r>
            <w:r>
              <w:rPr>
                <w:spacing w:val="-2"/>
                <w:sz w:val="18"/>
              </w:rPr>
              <w:t>female</w:t>
            </w:r>
          </w:p>
          <w:p>
            <w:pPr>
              <w:pStyle w:val="TableParagraph"/>
              <w:numPr>
                <w:ilvl w:val="0"/>
                <w:numId w:val="13"/>
              </w:numPr>
              <w:tabs>
                <w:tab w:pos="326" w:val="left" w:leader="none"/>
                <w:tab w:pos="328" w:val="left" w:leader="none"/>
              </w:tabs>
              <w:spacing w:line="278" w:lineRule="auto" w:before="34" w:after="0"/>
              <w:ind w:left="328" w:right="503" w:hanging="224"/>
              <w:jc w:val="left"/>
              <w:rPr>
                <w:sz w:val="18"/>
              </w:rPr>
            </w:pPr>
            <w:r>
              <w:rPr>
                <w:sz w:val="18"/>
              </w:rPr>
              <w:t>Combination of an antiplatelet and anticoagulant:</w:t>
            </w:r>
            <w:r>
              <w:rPr>
                <w:spacing w:val="-11"/>
                <w:sz w:val="18"/>
              </w:rPr>
              <w:t> </w:t>
            </w:r>
            <w:r>
              <w:rPr>
                <w:sz w:val="18"/>
              </w:rPr>
              <w:t>71%</w:t>
            </w:r>
          </w:p>
          <w:p>
            <w:pPr>
              <w:pStyle w:val="TableParagraph"/>
              <w:spacing w:before="4"/>
              <w:ind w:left="328"/>
              <w:rPr>
                <w:sz w:val="18"/>
              </w:rPr>
            </w:pPr>
            <w:r>
              <w:rPr>
                <w:spacing w:val="-2"/>
                <w:sz w:val="18"/>
              </w:rPr>
              <w:t>female</w:t>
            </w:r>
          </w:p>
        </w:tc>
        <w:tc>
          <w:tcPr>
            <w:tcW w:w="1677" w:type="dxa"/>
          </w:tcPr>
          <w:p>
            <w:pPr>
              <w:pStyle w:val="TableParagraph"/>
              <w:numPr>
                <w:ilvl w:val="0"/>
                <w:numId w:val="14"/>
              </w:numPr>
              <w:tabs>
                <w:tab w:pos="326" w:val="left" w:leader="none"/>
              </w:tabs>
              <w:spacing w:line="228" w:lineRule="exact" w:before="0" w:after="0"/>
              <w:ind w:left="326" w:right="0" w:hanging="222"/>
              <w:jc w:val="left"/>
              <w:rPr>
                <w:sz w:val="18"/>
              </w:rPr>
            </w:pPr>
            <w:r>
              <w:rPr>
                <w:spacing w:val="-4"/>
                <w:sz w:val="18"/>
              </w:rPr>
              <w:t>DOACs</w:t>
            </w:r>
          </w:p>
          <w:p>
            <w:pPr>
              <w:pStyle w:val="TableParagraph"/>
              <w:spacing w:before="37"/>
              <w:ind w:left="327"/>
              <w:rPr>
                <w:sz w:val="18"/>
              </w:rPr>
            </w:pPr>
            <w:r>
              <w:rPr>
                <w:sz w:val="18"/>
              </w:rPr>
              <w:t>(dabigatran</w:t>
            </w:r>
            <w:r>
              <w:rPr>
                <w:spacing w:val="-5"/>
                <w:sz w:val="18"/>
              </w:rPr>
              <w:t> </w:t>
            </w:r>
            <w:r>
              <w:rPr>
                <w:spacing w:val="-4"/>
                <w:sz w:val="18"/>
              </w:rPr>
              <w:t>(300</w:t>
            </w:r>
          </w:p>
          <w:p>
            <w:pPr>
              <w:pStyle w:val="TableParagraph"/>
              <w:spacing w:line="278" w:lineRule="auto" w:before="34"/>
              <w:ind w:left="327" w:right="179"/>
              <w:rPr>
                <w:sz w:val="18"/>
              </w:rPr>
            </w:pPr>
            <w:r>
              <w:rPr>
                <w:sz w:val="18"/>
              </w:rPr>
              <w:t>mg/day or 220 </w:t>
            </w:r>
            <w:r>
              <w:rPr>
                <w:spacing w:val="-2"/>
                <w:sz w:val="18"/>
              </w:rPr>
              <w:t>mg/day),</w:t>
            </w:r>
            <w:r>
              <w:rPr>
                <w:sz w:val="18"/>
              </w:rPr>
              <w:t> rivaroxaban</w:t>
            </w:r>
            <w:r>
              <w:rPr>
                <w:spacing w:val="-11"/>
                <w:sz w:val="18"/>
              </w:rPr>
              <w:t> </w:t>
            </w:r>
            <w:r>
              <w:rPr>
                <w:sz w:val="18"/>
              </w:rPr>
              <w:t>(15</w:t>
            </w:r>
          </w:p>
          <w:p>
            <w:pPr>
              <w:pStyle w:val="TableParagraph"/>
              <w:spacing w:line="278" w:lineRule="auto" w:before="1"/>
              <w:ind w:left="327" w:right="179"/>
              <w:rPr>
                <w:sz w:val="18"/>
              </w:rPr>
            </w:pPr>
            <w:r>
              <w:rPr>
                <w:sz w:val="18"/>
              </w:rPr>
              <w:t>mg/day</w:t>
            </w:r>
            <w:r>
              <w:rPr>
                <w:spacing w:val="-11"/>
                <w:sz w:val="18"/>
              </w:rPr>
              <w:t> </w:t>
            </w:r>
            <w:r>
              <w:rPr>
                <w:sz w:val="18"/>
              </w:rPr>
              <w:t>or</w:t>
            </w:r>
            <w:r>
              <w:rPr>
                <w:spacing w:val="-10"/>
                <w:sz w:val="18"/>
              </w:rPr>
              <w:t> </w:t>
            </w:r>
            <w:r>
              <w:rPr>
                <w:sz w:val="18"/>
              </w:rPr>
              <w:t>10 </w:t>
            </w:r>
            <w:r>
              <w:rPr>
                <w:spacing w:val="-2"/>
                <w:sz w:val="18"/>
              </w:rPr>
              <w:t>mg/day),</w:t>
            </w:r>
            <w:r>
              <w:rPr>
                <w:sz w:val="18"/>
              </w:rPr>
              <w:t> apixaban</w:t>
            </w:r>
            <w:r>
              <w:rPr>
                <w:spacing w:val="-2"/>
                <w:sz w:val="18"/>
              </w:rPr>
              <w:t> </w:t>
            </w:r>
            <w:r>
              <w:rPr>
                <w:sz w:val="18"/>
              </w:rPr>
              <w:t>(10 mg/day), or edoxaban</w:t>
            </w:r>
            <w:r>
              <w:rPr>
                <w:spacing w:val="-5"/>
                <w:sz w:val="18"/>
              </w:rPr>
              <w:t> </w:t>
            </w:r>
            <w:r>
              <w:rPr>
                <w:spacing w:val="-5"/>
                <w:sz w:val="18"/>
              </w:rPr>
              <w:t>(60</w:t>
            </w:r>
          </w:p>
          <w:p>
            <w:pPr>
              <w:pStyle w:val="TableParagraph"/>
              <w:spacing w:before="6"/>
              <w:ind w:left="327"/>
              <w:rPr>
                <w:sz w:val="18"/>
              </w:rPr>
            </w:pPr>
            <w:r>
              <w:rPr>
                <w:sz w:val="18"/>
              </w:rPr>
              <w:t>mg/day</w:t>
            </w:r>
            <w:r>
              <w:rPr>
                <w:spacing w:val="-3"/>
                <w:sz w:val="18"/>
              </w:rPr>
              <w:t> </w:t>
            </w:r>
            <w:r>
              <w:rPr>
                <w:sz w:val="18"/>
              </w:rPr>
              <w:t>or</w:t>
            </w:r>
            <w:r>
              <w:rPr>
                <w:spacing w:val="-1"/>
                <w:sz w:val="18"/>
              </w:rPr>
              <w:t> </w:t>
            </w:r>
            <w:r>
              <w:rPr>
                <w:spacing w:val="-5"/>
                <w:sz w:val="18"/>
              </w:rPr>
              <w:t>30</w:t>
            </w:r>
          </w:p>
          <w:p>
            <w:pPr>
              <w:pStyle w:val="TableParagraph"/>
              <w:spacing w:before="34"/>
              <w:ind w:left="327"/>
              <w:rPr>
                <w:sz w:val="18"/>
              </w:rPr>
            </w:pPr>
            <w:r>
              <w:rPr>
                <w:sz w:val="18"/>
              </w:rPr>
              <w:t>mg/day)):</w:t>
            </w:r>
            <w:r>
              <w:rPr>
                <w:spacing w:val="-4"/>
                <w:sz w:val="18"/>
              </w:rPr>
              <w:t> </w:t>
            </w:r>
            <w:r>
              <w:rPr>
                <w:spacing w:val="-5"/>
                <w:sz w:val="18"/>
              </w:rPr>
              <w:t>36</w:t>
            </w:r>
          </w:p>
          <w:p>
            <w:pPr>
              <w:pStyle w:val="TableParagraph"/>
              <w:numPr>
                <w:ilvl w:val="0"/>
                <w:numId w:val="14"/>
              </w:numPr>
              <w:tabs>
                <w:tab w:pos="326" w:val="left" w:leader="none"/>
              </w:tabs>
              <w:spacing w:line="240" w:lineRule="auto" w:before="35" w:after="0"/>
              <w:ind w:left="326" w:right="0" w:hanging="222"/>
              <w:jc w:val="left"/>
              <w:rPr>
                <w:sz w:val="18"/>
              </w:rPr>
            </w:pPr>
            <w:r>
              <w:rPr>
                <w:sz w:val="18"/>
              </w:rPr>
              <w:t>Antiplatelet:</w:t>
            </w:r>
            <w:r>
              <w:rPr>
                <w:spacing w:val="-6"/>
                <w:sz w:val="18"/>
              </w:rPr>
              <w:t> </w:t>
            </w:r>
            <w:r>
              <w:rPr>
                <w:spacing w:val="-5"/>
                <w:sz w:val="18"/>
              </w:rPr>
              <w:t>43</w:t>
            </w:r>
          </w:p>
          <w:p>
            <w:pPr>
              <w:pStyle w:val="TableParagraph"/>
              <w:numPr>
                <w:ilvl w:val="0"/>
                <w:numId w:val="14"/>
              </w:numPr>
              <w:tabs>
                <w:tab w:pos="326" w:val="left" w:leader="none"/>
              </w:tabs>
              <w:spacing w:line="240" w:lineRule="auto" w:before="37" w:after="0"/>
              <w:ind w:left="326" w:right="0" w:hanging="222"/>
              <w:jc w:val="left"/>
              <w:rPr>
                <w:sz w:val="18"/>
              </w:rPr>
            </w:pPr>
            <w:r>
              <w:rPr>
                <w:sz w:val="18"/>
              </w:rPr>
              <w:t>VKA:</w:t>
            </w:r>
            <w:r>
              <w:rPr>
                <w:spacing w:val="-2"/>
                <w:sz w:val="18"/>
              </w:rPr>
              <w:t> </w:t>
            </w:r>
            <w:r>
              <w:rPr>
                <w:spacing w:val="-5"/>
                <w:sz w:val="18"/>
              </w:rPr>
              <w:t>41</w:t>
            </w:r>
          </w:p>
          <w:p>
            <w:pPr>
              <w:pStyle w:val="TableParagraph"/>
              <w:numPr>
                <w:ilvl w:val="0"/>
                <w:numId w:val="14"/>
              </w:numPr>
              <w:tabs>
                <w:tab w:pos="325" w:val="left" w:leader="none"/>
                <w:tab w:pos="327" w:val="left" w:leader="none"/>
              </w:tabs>
              <w:spacing w:line="278" w:lineRule="auto" w:before="35" w:after="0"/>
              <w:ind w:left="327" w:right="200" w:hanging="224"/>
              <w:jc w:val="left"/>
              <w:rPr>
                <w:sz w:val="18"/>
              </w:rPr>
            </w:pPr>
            <w:r>
              <w:rPr>
                <w:sz w:val="18"/>
              </w:rPr>
              <w:t>Combination</w:t>
            </w:r>
            <w:r>
              <w:rPr>
                <w:spacing w:val="-11"/>
                <w:sz w:val="18"/>
              </w:rPr>
              <w:t> </w:t>
            </w:r>
            <w:r>
              <w:rPr>
                <w:sz w:val="18"/>
              </w:rPr>
              <w:t>of an</w:t>
            </w:r>
            <w:r>
              <w:rPr>
                <w:spacing w:val="-2"/>
                <w:sz w:val="18"/>
              </w:rPr>
              <w:t> </w:t>
            </w:r>
            <w:r>
              <w:rPr>
                <w:sz w:val="18"/>
              </w:rPr>
              <w:t>antiplatelet </w:t>
            </w:r>
            <w:r>
              <w:rPr>
                <w:spacing w:val="-4"/>
                <w:sz w:val="18"/>
              </w:rPr>
              <w:t>and</w:t>
            </w:r>
            <w:r>
              <w:rPr>
                <w:sz w:val="18"/>
              </w:rPr>
              <w:t> </w:t>
            </w:r>
            <w:r>
              <w:rPr>
                <w:spacing w:val="-2"/>
                <w:sz w:val="18"/>
              </w:rPr>
              <w:t>anticoagulant:</w:t>
            </w:r>
            <w:r>
              <w:rPr>
                <w:sz w:val="18"/>
              </w:rPr>
              <w:t> </w:t>
            </w:r>
            <w:r>
              <w:rPr>
                <w:spacing w:val="-6"/>
                <w:sz w:val="18"/>
              </w:rPr>
              <w:t>14</w:t>
            </w:r>
          </w:p>
        </w:tc>
        <w:tc>
          <w:tcPr>
            <w:tcW w:w="767" w:type="dxa"/>
          </w:tcPr>
          <w:p>
            <w:pPr>
              <w:pStyle w:val="TableParagraph"/>
              <w:spacing w:line="218" w:lineRule="exact"/>
              <w:ind w:left="105"/>
              <w:rPr>
                <w:sz w:val="18"/>
              </w:rPr>
            </w:pPr>
            <w:r>
              <w:rPr>
                <w:sz w:val="18"/>
              </w:rPr>
              <w:t>95 ±</w:t>
            </w:r>
            <w:r>
              <w:rPr>
                <w:spacing w:val="-1"/>
                <w:sz w:val="18"/>
              </w:rPr>
              <w:t> </w:t>
            </w:r>
            <w:r>
              <w:rPr>
                <w:spacing w:val="-5"/>
                <w:sz w:val="18"/>
              </w:rPr>
              <w:t>64</w:t>
            </w:r>
          </w:p>
          <w:p>
            <w:pPr>
              <w:pStyle w:val="TableParagraph"/>
              <w:spacing w:before="37"/>
              <w:ind w:left="105"/>
              <w:rPr>
                <w:sz w:val="18"/>
              </w:rPr>
            </w:pPr>
            <w:r>
              <w:rPr>
                <w:spacing w:val="-2"/>
                <w:sz w:val="18"/>
              </w:rPr>
              <w:t>months</w:t>
            </w:r>
          </w:p>
        </w:tc>
        <w:tc>
          <w:tcPr>
            <w:tcW w:w="4387" w:type="dxa"/>
          </w:tcPr>
          <w:p>
            <w:pPr>
              <w:pStyle w:val="TableParagraph"/>
              <w:numPr>
                <w:ilvl w:val="0"/>
                <w:numId w:val="15"/>
              </w:numPr>
              <w:tabs>
                <w:tab w:pos="329" w:val="left" w:leader="none"/>
                <w:tab w:pos="331" w:val="left" w:leader="none"/>
              </w:tabs>
              <w:spacing w:line="278" w:lineRule="auto" w:before="0" w:after="0"/>
              <w:ind w:left="331" w:right="275" w:hanging="224"/>
              <w:jc w:val="left"/>
              <w:rPr>
                <w:sz w:val="18"/>
              </w:rPr>
            </w:pPr>
            <w:r>
              <w:rPr>
                <w:b/>
                <w:sz w:val="18"/>
              </w:rPr>
              <w:t>Thrombotic complications </w:t>
            </w:r>
            <w:r>
              <w:rPr>
                <w:sz w:val="18"/>
              </w:rPr>
              <w:t>(thrombotic events, defined as any symptomatic arterial thromboembolism including cerebral infarction, peripheral arterial embolism, and thrombotic pulmonary embolism; and any obvious thrombus formation</w:t>
            </w:r>
            <w:r>
              <w:rPr>
                <w:spacing w:val="-6"/>
                <w:sz w:val="18"/>
              </w:rPr>
              <w:t> </w:t>
            </w:r>
            <w:r>
              <w:rPr>
                <w:sz w:val="18"/>
              </w:rPr>
              <w:t>in</w:t>
            </w:r>
            <w:r>
              <w:rPr>
                <w:spacing w:val="-7"/>
                <w:sz w:val="18"/>
              </w:rPr>
              <w:t> </w:t>
            </w:r>
            <w:r>
              <w:rPr>
                <w:sz w:val="18"/>
              </w:rPr>
              <w:t>the</w:t>
            </w:r>
            <w:r>
              <w:rPr>
                <w:spacing w:val="-6"/>
                <w:sz w:val="18"/>
              </w:rPr>
              <w:t> </w:t>
            </w:r>
            <w:r>
              <w:rPr>
                <w:sz w:val="18"/>
              </w:rPr>
              <w:t>cardiac</w:t>
            </w:r>
            <w:r>
              <w:rPr>
                <w:spacing w:val="-6"/>
                <w:sz w:val="18"/>
              </w:rPr>
              <w:t> </w:t>
            </w:r>
            <w:r>
              <w:rPr>
                <w:sz w:val="18"/>
              </w:rPr>
              <w:t>chambers</w:t>
            </w:r>
            <w:r>
              <w:rPr>
                <w:spacing w:val="-6"/>
                <w:sz w:val="18"/>
              </w:rPr>
              <w:t> </w:t>
            </w:r>
            <w:r>
              <w:rPr>
                <w:sz w:val="18"/>
              </w:rPr>
              <w:t>or</w:t>
            </w:r>
            <w:r>
              <w:rPr>
                <w:spacing w:val="-6"/>
                <w:sz w:val="18"/>
              </w:rPr>
              <w:t> </w:t>
            </w:r>
            <w:r>
              <w:rPr>
                <w:sz w:val="18"/>
              </w:rPr>
              <w:t>Fontan</w:t>
            </w:r>
            <w:r>
              <w:rPr>
                <w:spacing w:val="-7"/>
                <w:sz w:val="18"/>
              </w:rPr>
              <w:t> </w:t>
            </w:r>
            <w:r>
              <w:rPr>
                <w:sz w:val="18"/>
              </w:rPr>
              <w:t>route)</w:t>
            </w:r>
          </w:p>
          <w:p>
            <w:pPr>
              <w:pStyle w:val="TableParagraph"/>
              <w:numPr>
                <w:ilvl w:val="0"/>
                <w:numId w:val="15"/>
              </w:numPr>
              <w:tabs>
                <w:tab w:pos="329" w:val="left" w:leader="none"/>
                <w:tab w:pos="331" w:val="left" w:leader="none"/>
              </w:tabs>
              <w:spacing w:line="278" w:lineRule="auto" w:before="3" w:after="0"/>
              <w:ind w:left="331" w:right="113" w:hanging="224"/>
              <w:jc w:val="left"/>
              <w:rPr>
                <w:sz w:val="18"/>
              </w:rPr>
            </w:pPr>
            <w:r>
              <w:rPr>
                <w:b/>
                <w:sz w:val="18"/>
              </w:rPr>
              <w:t>Hemorrhage </w:t>
            </w:r>
            <w:r>
              <w:rPr>
                <w:sz w:val="18"/>
              </w:rPr>
              <w:t>(</w:t>
            </w:r>
            <w:r>
              <w:rPr>
                <w:i/>
                <w:sz w:val="18"/>
              </w:rPr>
              <w:t>major bleeding</w:t>
            </w:r>
            <w:r>
              <w:rPr>
                <w:sz w:val="18"/>
              </w:rPr>
              <w:t>, defined using the International</w:t>
            </w:r>
            <w:r>
              <w:rPr>
                <w:spacing w:val="-8"/>
                <w:sz w:val="18"/>
              </w:rPr>
              <w:t> </w:t>
            </w:r>
            <w:r>
              <w:rPr>
                <w:sz w:val="18"/>
              </w:rPr>
              <w:t>Society</w:t>
            </w:r>
            <w:r>
              <w:rPr>
                <w:spacing w:val="-8"/>
                <w:sz w:val="18"/>
              </w:rPr>
              <w:t> </w:t>
            </w:r>
            <w:r>
              <w:rPr>
                <w:sz w:val="18"/>
              </w:rPr>
              <w:t>on</w:t>
            </w:r>
            <w:r>
              <w:rPr>
                <w:spacing w:val="-9"/>
                <w:sz w:val="18"/>
              </w:rPr>
              <w:t> </w:t>
            </w:r>
            <w:r>
              <w:rPr>
                <w:sz w:val="18"/>
              </w:rPr>
              <w:t>Thrombosis</w:t>
            </w:r>
            <w:r>
              <w:rPr>
                <w:spacing w:val="-9"/>
                <w:sz w:val="18"/>
              </w:rPr>
              <w:t> </w:t>
            </w:r>
            <w:r>
              <w:rPr>
                <w:sz w:val="18"/>
              </w:rPr>
              <w:t>and</w:t>
            </w:r>
            <w:r>
              <w:rPr>
                <w:spacing w:val="-9"/>
                <w:sz w:val="18"/>
              </w:rPr>
              <w:t> </w:t>
            </w:r>
            <w:r>
              <w:rPr>
                <w:sz w:val="18"/>
              </w:rPr>
              <w:t>Haemostasis criteria: significant bleeding necessitating</w:t>
            </w:r>
          </w:p>
          <w:p>
            <w:pPr>
              <w:pStyle w:val="TableParagraph"/>
              <w:spacing w:line="278" w:lineRule="auto" w:before="1"/>
              <w:ind w:left="331" w:right="99"/>
              <w:rPr>
                <w:sz w:val="18"/>
              </w:rPr>
            </w:pPr>
            <w:r>
              <w:rPr>
                <w:sz w:val="18"/>
              </w:rPr>
              <w:t>hospitalization, interventions, ≥ 2 units of packed cells,</w:t>
            </w:r>
            <w:r>
              <w:rPr>
                <w:spacing w:val="-5"/>
                <w:sz w:val="18"/>
              </w:rPr>
              <w:t> </w:t>
            </w:r>
            <w:r>
              <w:rPr>
                <w:sz w:val="18"/>
              </w:rPr>
              <w:t>or</w:t>
            </w:r>
            <w:r>
              <w:rPr>
                <w:spacing w:val="-5"/>
                <w:sz w:val="18"/>
              </w:rPr>
              <w:t> </w:t>
            </w:r>
            <w:r>
              <w:rPr>
                <w:sz w:val="18"/>
              </w:rPr>
              <w:t>a</w:t>
            </w:r>
            <w:r>
              <w:rPr>
                <w:spacing w:val="-6"/>
                <w:sz w:val="18"/>
              </w:rPr>
              <w:t> </w:t>
            </w:r>
            <w:r>
              <w:rPr>
                <w:sz w:val="18"/>
              </w:rPr>
              <w:t>hemoglobin</w:t>
            </w:r>
            <w:r>
              <w:rPr>
                <w:spacing w:val="-4"/>
                <w:sz w:val="18"/>
              </w:rPr>
              <w:t> </w:t>
            </w:r>
            <w:r>
              <w:rPr>
                <w:sz w:val="18"/>
              </w:rPr>
              <w:t>drop</w:t>
            </w:r>
            <w:r>
              <w:rPr>
                <w:spacing w:val="-6"/>
                <w:sz w:val="18"/>
              </w:rPr>
              <w:t> </w:t>
            </w:r>
            <w:r>
              <w:rPr>
                <w:sz w:val="18"/>
              </w:rPr>
              <w:t>&gt;2.0</w:t>
            </w:r>
            <w:r>
              <w:rPr>
                <w:spacing w:val="-3"/>
                <w:sz w:val="18"/>
              </w:rPr>
              <w:t> </w:t>
            </w:r>
            <w:r>
              <w:rPr>
                <w:sz w:val="18"/>
              </w:rPr>
              <w:t>g/dl;</w:t>
            </w:r>
            <w:r>
              <w:rPr>
                <w:spacing w:val="-5"/>
                <w:sz w:val="18"/>
              </w:rPr>
              <w:t> </w:t>
            </w:r>
            <w:r>
              <w:rPr>
                <w:sz w:val="18"/>
              </w:rPr>
              <w:t>or</w:t>
            </w:r>
            <w:r>
              <w:rPr>
                <w:spacing w:val="-5"/>
                <w:sz w:val="18"/>
              </w:rPr>
              <w:t> </w:t>
            </w:r>
            <w:r>
              <w:rPr>
                <w:sz w:val="18"/>
              </w:rPr>
              <w:t>bleeding</w:t>
            </w:r>
            <w:r>
              <w:rPr>
                <w:spacing w:val="-6"/>
                <w:sz w:val="18"/>
              </w:rPr>
              <w:t> </w:t>
            </w:r>
            <w:r>
              <w:rPr>
                <w:sz w:val="18"/>
              </w:rPr>
              <w:t>that was fatal or occurred at intracranial, intraspinal, in traocular, pericardial, intra-articular, and intramuscular sites with compartment syndrome.</w:t>
            </w:r>
          </w:p>
          <w:p>
            <w:pPr>
              <w:pStyle w:val="TableParagraph"/>
              <w:spacing w:line="278" w:lineRule="auto" w:before="163"/>
              <w:ind w:left="331" w:right="148"/>
              <w:rPr>
                <w:sz w:val="18"/>
              </w:rPr>
            </w:pPr>
            <w:r>
              <w:rPr>
                <w:i/>
                <w:sz w:val="18"/>
              </w:rPr>
              <w:t>Minor</w:t>
            </w:r>
            <w:r>
              <w:rPr>
                <w:i/>
                <w:spacing w:val="-6"/>
                <w:sz w:val="18"/>
              </w:rPr>
              <w:t> </w:t>
            </w:r>
            <w:r>
              <w:rPr>
                <w:i/>
                <w:sz w:val="18"/>
              </w:rPr>
              <w:t>bleeding</w:t>
            </w:r>
            <w:r>
              <w:rPr>
                <w:sz w:val="18"/>
              </w:rPr>
              <w:t>,</w:t>
            </w:r>
            <w:r>
              <w:rPr>
                <w:spacing w:val="-6"/>
                <w:sz w:val="18"/>
              </w:rPr>
              <w:t> </w:t>
            </w:r>
            <w:r>
              <w:rPr>
                <w:sz w:val="18"/>
              </w:rPr>
              <w:t>defined</w:t>
            </w:r>
            <w:r>
              <w:rPr>
                <w:spacing w:val="-7"/>
                <w:sz w:val="18"/>
              </w:rPr>
              <w:t> </w:t>
            </w:r>
            <w:r>
              <w:rPr>
                <w:sz w:val="18"/>
              </w:rPr>
              <w:t>as</w:t>
            </w:r>
            <w:r>
              <w:rPr>
                <w:spacing w:val="-7"/>
                <w:sz w:val="18"/>
              </w:rPr>
              <w:t> </w:t>
            </w:r>
            <w:r>
              <w:rPr>
                <w:sz w:val="18"/>
              </w:rPr>
              <w:t>any</w:t>
            </w:r>
            <w:r>
              <w:rPr>
                <w:spacing w:val="-6"/>
                <w:sz w:val="18"/>
              </w:rPr>
              <w:t> </w:t>
            </w:r>
            <w:r>
              <w:rPr>
                <w:sz w:val="18"/>
              </w:rPr>
              <w:t>bleeding</w:t>
            </w:r>
            <w:r>
              <w:rPr>
                <w:spacing w:val="-7"/>
                <w:sz w:val="18"/>
              </w:rPr>
              <w:t> </w:t>
            </w:r>
            <w:r>
              <w:rPr>
                <w:sz w:val="18"/>
              </w:rPr>
              <w:t>that</w:t>
            </w:r>
            <w:r>
              <w:rPr>
                <w:spacing w:val="-6"/>
                <w:sz w:val="18"/>
              </w:rPr>
              <w:t> </w:t>
            </w:r>
            <w:r>
              <w:rPr>
                <w:sz w:val="18"/>
              </w:rPr>
              <w:t>could not be classified as major bleeding)</w:t>
            </w:r>
          </w:p>
        </w:tc>
        <w:tc>
          <w:tcPr>
            <w:tcW w:w="1843" w:type="dxa"/>
          </w:tcPr>
          <w:p>
            <w:pPr>
              <w:pStyle w:val="TableParagraph"/>
              <w:spacing w:line="218" w:lineRule="exact"/>
              <w:ind w:left="106"/>
              <w:rPr>
                <w:sz w:val="18"/>
              </w:rPr>
            </w:pPr>
            <w:r>
              <w:rPr>
                <w:spacing w:val="-2"/>
                <w:sz w:val="18"/>
                <w:u w:val="single"/>
              </w:rPr>
              <w:t>Funding</w:t>
            </w:r>
          </w:p>
          <w:p>
            <w:pPr>
              <w:pStyle w:val="TableParagraph"/>
              <w:spacing w:before="195"/>
              <w:ind w:left="106"/>
              <w:rPr>
                <w:sz w:val="18"/>
              </w:rPr>
            </w:pPr>
            <w:r>
              <w:rPr>
                <w:sz w:val="18"/>
              </w:rPr>
              <w:t>Not</w:t>
            </w:r>
            <w:r>
              <w:rPr>
                <w:spacing w:val="-3"/>
                <w:sz w:val="18"/>
              </w:rPr>
              <w:t> </w:t>
            </w:r>
            <w:r>
              <w:rPr>
                <w:spacing w:val="-2"/>
                <w:sz w:val="18"/>
              </w:rPr>
              <w:t>reported</w:t>
            </w:r>
          </w:p>
          <w:p>
            <w:pPr>
              <w:pStyle w:val="TableParagraph"/>
              <w:rPr>
                <w:sz w:val="18"/>
              </w:rPr>
            </w:pPr>
          </w:p>
          <w:p>
            <w:pPr>
              <w:pStyle w:val="TableParagraph"/>
              <w:spacing w:before="174"/>
              <w:rPr>
                <w:sz w:val="18"/>
              </w:rPr>
            </w:pPr>
          </w:p>
          <w:p>
            <w:pPr>
              <w:pStyle w:val="TableParagraph"/>
              <w:spacing w:line="453" w:lineRule="auto"/>
              <w:ind w:left="106"/>
              <w:rPr>
                <w:sz w:val="18"/>
              </w:rPr>
            </w:pPr>
            <w:r>
              <w:rPr>
                <w:sz w:val="18"/>
                <w:u w:val="single"/>
              </w:rPr>
              <w:t>Conflicts</w:t>
            </w:r>
            <w:r>
              <w:rPr>
                <w:spacing w:val="-11"/>
                <w:sz w:val="18"/>
                <w:u w:val="single"/>
              </w:rPr>
              <w:t> </w:t>
            </w:r>
            <w:r>
              <w:rPr>
                <w:sz w:val="18"/>
                <w:u w:val="single"/>
              </w:rPr>
              <w:t>of</w:t>
            </w:r>
            <w:r>
              <w:rPr>
                <w:spacing w:val="-10"/>
                <w:sz w:val="18"/>
                <w:u w:val="single"/>
              </w:rPr>
              <w:t> </w:t>
            </w:r>
            <w:r>
              <w:rPr>
                <w:sz w:val="18"/>
                <w:u w:val="single"/>
              </w:rPr>
              <w:t>interest</w:t>
            </w:r>
            <w:r>
              <w:rPr>
                <w:sz w:val="18"/>
                <w:u w:val="none"/>
              </w:rPr>
              <w:t> </w:t>
            </w:r>
            <w:r>
              <w:rPr>
                <w:spacing w:val="-4"/>
                <w:sz w:val="18"/>
                <w:u w:val="none"/>
              </w:rPr>
              <w:t>None</w:t>
            </w:r>
          </w:p>
        </w:tc>
        <w:tc>
          <w:tcPr>
            <w:tcW w:w="1982" w:type="dxa"/>
          </w:tcPr>
          <w:p>
            <w:pPr>
              <w:pStyle w:val="TableParagraph"/>
              <w:spacing w:line="280" w:lineRule="auto"/>
              <w:ind w:left="107"/>
              <w:rPr>
                <w:sz w:val="18"/>
              </w:rPr>
            </w:pPr>
            <w:r>
              <w:rPr>
                <w:b/>
                <w:sz w:val="18"/>
              </w:rPr>
              <w:t>Some</w:t>
            </w:r>
            <w:r>
              <w:rPr>
                <w:b/>
                <w:spacing w:val="-11"/>
                <w:sz w:val="18"/>
              </w:rPr>
              <w:t> </w:t>
            </w:r>
            <w:r>
              <w:rPr>
                <w:b/>
                <w:sz w:val="18"/>
              </w:rPr>
              <w:t>concerns</w:t>
            </w:r>
            <w:r>
              <w:rPr>
                <w:b/>
                <w:spacing w:val="-10"/>
                <w:sz w:val="18"/>
              </w:rPr>
              <w:t> </w:t>
            </w:r>
            <w:r>
              <w:rPr>
                <w:sz w:val="18"/>
              </w:rPr>
              <w:t>(for</w:t>
            </w:r>
            <w:r>
              <w:rPr>
                <w:spacing w:val="-10"/>
                <w:sz w:val="18"/>
              </w:rPr>
              <w:t> </w:t>
            </w:r>
            <w:r>
              <w:rPr>
                <w:sz w:val="18"/>
              </w:rPr>
              <w:t>all outcome</w:t>
            </w:r>
            <w:r>
              <w:rPr>
                <w:spacing w:val="-2"/>
                <w:sz w:val="18"/>
              </w:rPr>
              <w:t> </w:t>
            </w:r>
            <w:r>
              <w:rPr>
                <w:sz w:val="18"/>
              </w:rPr>
              <w:t>measures)</w:t>
            </w:r>
          </w:p>
        </w:tc>
      </w:tr>
      <w:tr>
        <w:trPr>
          <w:trHeight w:val="1521" w:hRule="atLeast"/>
        </w:trPr>
        <w:tc>
          <w:tcPr>
            <w:tcW w:w="1260" w:type="dxa"/>
          </w:tcPr>
          <w:p>
            <w:pPr>
              <w:pStyle w:val="TableParagraph"/>
              <w:spacing w:line="280" w:lineRule="auto"/>
              <w:ind w:left="105" w:right="141"/>
              <w:rPr>
                <w:sz w:val="18"/>
              </w:rPr>
            </w:pPr>
            <w:r>
              <w:rPr>
                <w:spacing w:val="-2"/>
                <w:sz w:val="18"/>
              </w:rPr>
              <w:t>Al-</w:t>
            </w:r>
            <w:r>
              <w:rPr>
                <w:spacing w:val="-2"/>
                <w:sz w:val="18"/>
              </w:rPr>
              <w:t>Jazairi,</w:t>
            </w:r>
            <w:r>
              <w:rPr>
                <w:sz w:val="18"/>
              </w:rPr>
              <w:t> </w:t>
            </w:r>
            <w:r>
              <w:rPr>
                <w:spacing w:val="-4"/>
                <w:sz w:val="18"/>
              </w:rPr>
              <w:t>2019</w:t>
            </w:r>
          </w:p>
        </w:tc>
        <w:tc>
          <w:tcPr>
            <w:tcW w:w="2248" w:type="dxa"/>
          </w:tcPr>
          <w:p>
            <w:pPr>
              <w:pStyle w:val="TableParagraph"/>
              <w:spacing w:line="218" w:lineRule="exact"/>
              <w:ind w:left="105"/>
              <w:rPr>
                <w:sz w:val="18"/>
              </w:rPr>
            </w:pPr>
            <w:r>
              <w:rPr>
                <w:sz w:val="18"/>
                <w:u w:val="single"/>
              </w:rPr>
              <w:t>N</w:t>
            </w:r>
            <w:r>
              <w:rPr>
                <w:spacing w:val="-3"/>
                <w:sz w:val="18"/>
                <w:u w:val="single"/>
              </w:rPr>
              <w:t> </w:t>
            </w:r>
            <w:r>
              <w:rPr>
                <w:sz w:val="18"/>
                <w:u w:val="single"/>
              </w:rPr>
              <w:t>at </w:t>
            </w:r>
            <w:r>
              <w:rPr>
                <w:spacing w:val="-2"/>
                <w:sz w:val="18"/>
                <w:u w:val="single"/>
              </w:rPr>
              <w:t>baseline</w:t>
            </w:r>
          </w:p>
          <w:p>
            <w:pPr>
              <w:pStyle w:val="TableParagraph"/>
              <w:numPr>
                <w:ilvl w:val="0"/>
                <w:numId w:val="16"/>
              </w:numPr>
              <w:tabs>
                <w:tab w:pos="327" w:val="left" w:leader="none"/>
              </w:tabs>
              <w:spacing w:line="240" w:lineRule="auto" w:before="198" w:after="0"/>
              <w:ind w:left="327" w:right="0" w:hanging="222"/>
              <w:jc w:val="left"/>
              <w:rPr>
                <w:sz w:val="18"/>
              </w:rPr>
            </w:pPr>
            <w:r>
              <w:rPr>
                <w:sz w:val="18"/>
              </w:rPr>
              <w:t>Aspirin:</w:t>
            </w:r>
            <w:r>
              <w:rPr>
                <w:spacing w:val="-5"/>
                <w:sz w:val="18"/>
              </w:rPr>
              <w:t> 36</w:t>
            </w:r>
          </w:p>
          <w:p>
            <w:pPr>
              <w:pStyle w:val="TableParagraph"/>
              <w:numPr>
                <w:ilvl w:val="0"/>
                <w:numId w:val="16"/>
              </w:numPr>
              <w:tabs>
                <w:tab w:pos="327" w:val="left" w:leader="none"/>
              </w:tabs>
              <w:spacing w:line="240" w:lineRule="auto" w:before="35" w:after="0"/>
              <w:ind w:left="327" w:right="0" w:hanging="222"/>
              <w:jc w:val="left"/>
              <w:rPr>
                <w:sz w:val="18"/>
              </w:rPr>
            </w:pPr>
            <w:r>
              <w:rPr>
                <w:sz w:val="18"/>
              </w:rPr>
              <w:t>Warfarin:</w:t>
            </w:r>
            <w:r>
              <w:rPr>
                <w:spacing w:val="-2"/>
                <w:sz w:val="18"/>
              </w:rPr>
              <w:t> </w:t>
            </w:r>
            <w:r>
              <w:rPr>
                <w:spacing w:val="-5"/>
                <w:sz w:val="18"/>
              </w:rPr>
              <w:t>366</w:t>
            </w:r>
          </w:p>
        </w:tc>
        <w:tc>
          <w:tcPr>
            <w:tcW w:w="1677" w:type="dxa"/>
          </w:tcPr>
          <w:p>
            <w:pPr>
              <w:pStyle w:val="TableParagraph"/>
              <w:numPr>
                <w:ilvl w:val="0"/>
                <w:numId w:val="17"/>
              </w:numPr>
              <w:tabs>
                <w:tab w:pos="326" w:val="left" w:leader="none"/>
              </w:tabs>
              <w:spacing w:line="228" w:lineRule="exact" w:before="0" w:after="0"/>
              <w:ind w:left="326" w:right="0" w:hanging="222"/>
              <w:jc w:val="left"/>
              <w:rPr>
                <w:sz w:val="18"/>
              </w:rPr>
            </w:pPr>
            <w:r>
              <w:rPr>
                <w:spacing w:val="-2"/>
                <w:sz w:val="18"/>
              </w:rPr>
              <w:t>Aspirin</w:t>
            </w:r>
          </w:p>
          <w:p>
            <w:pPr>
              <w:pStyle w:val="TableParagraph"/>
              <w:numPr>
                <w:ilvl w:val="0"/>
                <w:numId w:val="17"/>
              </w:numPr>
              <w:tabs>
                <w:tab w:pos="326" w:val="left" w:leader="none"/>
              </w:tabs>
              <w:spacing w:line="240" w:lineRule="auto" w:before="37" w:after="0"/>
              <w:ind w:left="326" w:right="0" w:hanging="222"/>
              <w:jc w:val="left"/>
              <w:rPr>
                <w:sz w:val="18"/>
              </w:rPr>
            </w:pPr>
            <w:r>
              <w:rPr>
                <w:spacing w:val="-2"/>
                <w:sz w:val="18"/>
              </w:rPr>
              <w:t>Warfarin</w:t>
            </w:r>
          </w:p>
        </w:tc>
        <w:tc>
          <w:tcPr>
            <w:tcW w:w="767" w:type="dxa"/>
          </w:tcPr>
          <w:p>
            <w:pPr>
              <w:pStyle w:val="TableParagraph"/>
              <w:spacing w:line="218" w:lineRule="exact"/>
              <w:ind w:left="105"/>
              <w:rPr>
                <w:sz w:val="18"/>
              </w:rPr>
            </w:pPr>
            <w:r>
              <w:rPr>
                <w:spacing w:val="-4"/>
                <w:sz w:val="18"/>
              </w:rPr>
              <w:t>13.6</w:t>
            </w:r>
          </w:p>
          <w:p>
            <w:pPr>
              <w:pStyle w:val="TableParagraph"/>
              <w:spacing w:line="278" w:lineRule="auto" w:before="37"/>
              <w:ind w:left="105" w:right="188"/>
              <w:rPr>
                <w:sz w:val="18"/>
              </w:rPr>
            </w:pPr>
            <w:r>
              <w:rPr>
                <w:spacing w:val="-2"/>
                <w:sz w:val="18"/>
              </w:rPr>
              <w:t>years</w:t>
            </w:r>
            <w:r>
              <w:rPr>
                <w:sz w:val="18"/>
              </w:rPr>
              <w:t> (IQR</w:t>
            </w:r>
            <w:r>
              <w:rPr>
                <w:spacing w:val="-11"/>
                <w:sz w:val="18"/>
              </w:rPr>
              <w:t> </w:t>
            </w:r>
            <w:r>
              <w:rPr>
                <w:sz w:val="18"/>
              </w:rPr>
              <w:t>= </w:t>
            </w:r>
            <w:r>
              <w:rPr>
                <w:spacing w:val="-4"/>
                <w:sz w:val="18"/>
              </w:rPr>
              <w:t>8.7)</w:t>
            </w:r>
          </w:p>
        </w:tc>
        <w:tc>
          <w:tcPr>
            <w:tcW w:w="4387" w:type="dxa"/>
          </w:tcPr>
          <w:p>
            <w:pPr>
              <w:pStyle w:val="TableParagraph"/>
              <w:numPr>
                <w:ilvl w:val="0"/>
                <w:numId w:val="18"/>
              </w:numPr>
              <w:tabs>
                <w:tab w:pos="329" w:val="left" w:leader="none"/>
                <w:tab w:pos="331" w:val="left" w:leader="none"/>
              </w:tabs>
              <w:spacing w:line="278" w:lineRule="auto" w:before="0" w:after="0"/>
              <w:ind w:left="331" w:right="307" w:hanging="224"/>
              <w:jc w:val="left"/>
              <w:rPr>
                <w:sz w:val="18"/>
              </w:rPr>
            </w:pPr>
            <w:r>
              <w:rPr>
                <w:b/>
                <w:sz w:val="18"/>
              </w:rPr>
              <w:t>Thrombotic complications </w:t>
            </w:r>
            <w:r>
              <w:rPr>
                <w:sz w:val="18"/>
              </w:rPr>
              <w:t>(defined as (first) late thromboembolic</w:t>
            </w:r>
            <w:r>
              <w:rPr>
                <w:spacing w:val="-11"/>
                <w:sz w:val="18"/>
              </w:rPr>
              <w:t> </w:t>
            </w:r>
            <w:r>
              <w:rPr>
                <w:sz w:val="18"/>
              </w:rPr>
              <w:t>complications</w:t>
            </w:r>
            <w:r>
              <w:rPr>
                <w:spacing w:val="-10"/>
                <w:sz w:val="18"/>
              </w:rPr>
              <w:t> </w:t>
            </w:r>
            <w:r>
              <w:rPr>
                <w:sz w:val="18"/>
              </w:rPr>
              <w:t>(TECs),</w:t>
            </w:r>
            <w:r>
              <w:rPr>
                <w:spacing w:val="-10"/>
                <w:sz w:val="18"/>
              </w:rPr>
              <w:t> </w:t>
            </w:r>
            <w:r>
              <w:rPr>
                <w:sz w:val="18"/>
              </w:rPr>
              <w:t>occurring</w:t>
            </w:r>
            <w:r>
              <w:rPr>
                <w:spacing w:val="-10"/>
                <w:sz w:val="18"/>
              </w:rPr>
              <w:t> </w:t>
            </w:r>
            <w:r>
              <w:rPr>
                <w:sz w:val="18"/>
              </w:rPr>
              <w:t>at least 1 year following the Fontan procedure)</w:t>
            </w:r>
          </w:p>
        </w:tc>
        <w:tc>
          <w:tcPr>
            <w:tcW w:w="1843" w:type="dxa"/>
          </w:tcPr>
          <w:p>
            <w:pPr>
              <w:pStyle w:val="TableParagraph"/>
              <w:spacing w:line="456" w:lineRule="auto"/>
              <w:ind w:left="106" w:right="1128"/>
              <w:rPr>
                <w:sz w:val="18"/>
              </w:rPr>
            </w:pPr>
            <w:r>
              <w:rPr>
                <w:spacing w:val="-2"/>
                <w:sz w:val="18"/>
                <w:u w:val="single"/>
              </w:rPr>
              <w:t>Funding</w:t>
            </w:r>
            <w:r>
              <w:rPr>
                <w:sz w:val="18"/>
                <w:u w:val="none"/>
              </w:rPr>
              <w:t> </w:t>
            </w:r>
            <w:r>
              <w:rPr>
                <w:spacing w:val="-4"/>
                <w:sz w:val="18"/>
                <w:u w:val="none"/>
              </w:rPr>
              <w:t>None</w:t>
            </w:r>
          </w:p>
        </w:tc>
        <w:tc>
          <w:tcPr>
            <w:tcW w:w="1982" w:type="dxa"/>
          </w:tcPr>
          <w:p>
            <w:pPr>
              <w:pStyle w:val="TableParagraph"/>
              <w:spacing w:line="280" w:lineRule="auto"/>
              <w:ind w:left="107"/>
              <w:rPr>
                <w:sz w:val="18"/>
              </w:rPr>
            </w:pPr>
            <w:r>
              <w:rPr>
                <w:b/>
                <w:sz w:val="18"/>
              </w:rPr>
              <w:t>Some</w:t>
            </w:r>
            <w:r>
              <w:rPr>
                <w:b/>
                <w:spacing w:val="-11"/>
                <w:sz w:val="18"/>
              </w:rPr>
              <w:t> </w:t>
            </w:r>
            <w:r>
              <w:rPr>
                <w:b/>
                <w:sz w:val="18"/>
              </w:rPr>
              <w:t>concerns</w:t>
            </w:r>
            <w:r>
              <w:rPr>
                <w:b/>
                <w:spacing w:val="-10"/>
                <w:sz w:val="18"/>
              </w:rPr>
              <w:t> </w:t>
            </w:r>
            <w:r>
              <w:rPr>
                <w:sz w:val="18"/>
              </w:rPr>
              <w:t>(for</w:t>
            </w:r>
            <w:r>
              <w:rPr>
                <w:spacing w:val="-10"/>
                <w:sz w:val="18"/>
              </w:rPr>
              <w:t> </w:t>
            </w:r>
            <w:r>
              <w:rPr>
                <w:sz w:val="18"/>
              </w:rPr>
              <w:t>all outcome</w:t>
            </w:r>
            <w:r>
              <w:rPr>
                <w:spacing w:val="-2"/>
                <w:sz w:val="18"/>
              </w:rPr>
              <w:t> </w:t>
            </w:r>
            <w:r>
              <w:rPr>
                <w:sz w:val="18"/>
              </w:rPr>
              <w:t>measures)</w:t>
            </w:r>
          </w:p>
        </w:tc>
      </w:tr>
    </w:tbl>
    <w:p>
      <w:pPr>
        <w:pStyle w:val="TableParagraph"/>
        <w:spacing w:after="0" w:line="280" w:lineRule="auto"/>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60"/>
        <w:gridCol w:w="2248"/>
        <w:gridCol w:w="1677"/>
        <w:gridCol w:w="767"/>
        <w:gridCol w:w="4387"/>
        <w:gridCol w:w="1843"/>
        <w:gridCol w:w="1982"/>
      </w:tblGrid>
      <w:tr>
        <w:trPr>
          <w:trHeight w:val="2077" w:hRule="atLeast"/>
        </w:trPr>
        <w:tc>
          <w:tcPr>
            <w:tcW w:w="1260" w:type="dxa"/>
          </w:tcPr>
          <w:p>
            <w:pPr>
              <w:pStyle w:val="TableParagraph"/>
              <w:rPr>
                <w:rFonts w:ascii="Times New Roman"/>
                <w:sz w:val="16"/>
              </w:rPr>
            </w:pPr>
          </w:p>
        </w:tc>
        <w:tc>
          <w:tcPr>
            <w:tcW w:w="2248" w:type="dxa"/>
          </w:tcPr>
          <w:p>
            <w:pPr>
              <w:pStyle w:val="TableParagraph"/>
              <w:spacing w:line="218" w:lineRule="exact"/>
              <w:ind w:left="105"/>
              <w:rPr>
                <w:position w:val="5"/>
                <w:sz w:val="12"/>
              </w:rPr>
            </w:pPr>
            <w:r>
              <w:rPr>
                <w:sz w:val="18"/>
                <w:u w:val="single"/>
              </w:rPr>
              <w:t>Age</w:t>
            </w:r>
            <w:r>
              <w:rPr>
                <w:spacing w:val="-4"/>
                <w:sz w:val="18"/>
                <w:u w:val="single"/>
              </w:rPr>
              <w:t> </w:t>
            </w:r>
            <w:r>
              <w:rPr>
                <w:sz w:val="18"/>
                <w:u w:val="single"/>
              </w:rPr>
              <w:t>(median</w:t>
            </w:r>
            <w:r>
              <w:rPr>
                <w:spacing w:val="-3"/>
                <w:sz w:val="18"/>
                <w:u w:val="single"/>
              </w:rPr>
              <w:t> </w:t>
            </w:r>
            <w:r>
              <w:rPr>
                <w:spacing w:val="-2"/>
                <w:sz w:val="18"/>
                <w:u w:val="single"/>
              </w:rPr>
              <w:t>(IQR))</w:t>
            </w:r>
            <w:r>
              <w:rPr>
                <w:spacing w:val="-2"/>
                <w:position w:val="5"/>
                <w:sz w:val="12"/>
                <w:u w:val="none"/>
              </w:rPr>
              <w:t>1</w:t>
            </w:r>
          </w:p>
          <w:p>
            <w:pPr>
              <w:pStyle w:val="TableParagraph"/>
              <w:spacing w:before="195"/>
              <w:ind w:left="105"/>
              <w:rPr>
                <w:sz w:val="18"/>
              </w:rPr>
            </w:pPr>
            <w:r>
              <w:rPr>
                <w:sz w:val="18"/>
              </w:rPr>
              <w:t>3.0</w:t>
            </w:r>
            <w:r>
              <w:rPr>
                <w:spacing w:val="-2"/>
                <w:sz w:val="18"/>
              </w:rPr>
              <w:t> </w:t>
            </w:r>
            <w:r>
              <w:rPr>
                <w:sz w:val="18"/>
              </w:rPr>
              <w:t>(2.0)</w:t>
            </w:r>
            <w:r>
              <w:rPr>
                <w:spacing w:val="-1"/>
                <w:sz w:val="18"/>
              </w:rPr>
              <w:t> </w:t>
            </w:r>
            <w:r>
              <w:rPr>
                <w:spacing w:val="-2"/>
                <w:sz w:val="18"/>
              </w:rPr>
              <w:t>years</w:t>
            </w:r>
          </w:p>
          <w:p>
            <w:pPr>
              <w:pStyle w:val="TableParagraph"/>
              <w:rPr>
                <w:sz w:val="18"/>
              </w:rPr>
            </w:pPr>
          </w:p>
          <w:p>
            <w:pPr>
              <w:pStyle w:val="TableParagraph"/>
              <w:spacing w:before="174"/>
              <w:rPr>
                <w:sz w:val="18"/>
              </w:rPr>
            </w:pPr>
          </w:p>
          <w:p>
            <w:pPr>
              <w:pStyle w:val="TableParagraph"/>
              <w:ind w:left="105"/>
              <w:rPr>
                <w:position w:val="5"/>
                <w:sz w:val="12"/>
              </w:rPr>
            </w:pPr>
            <w:r>
              <w:rPr>
                <w:spacing w:val="-4"/>
                <w:sz w:val="18"/>
                <w:u w:val="single"/>
              </w:rPr>
              <w:t>Sex</w:t>
            </w:r>
            <w:r>
              <w:rPr>
                <w:spacing w:val="-4"/>
                <w:position w:val="5"/>
                <w:sz w:val="12"/>
                <w:u w:val="none"/>
              </w:rPr>
              <w:t>2</w:t>
            </w:r>
          </w:p>
          <w:p>
            <w:pPr>
              <w:pStyle w:val="TableParagraph"/>
              <w:spacing w:before="195"/>
              <w:ind w:left="105"/>
              <w:rPr>
                <w:sz w:val="18"/>
              </w:rPr>
            </w:pPr>
            <w:r>
              <w:rPr>
                <w:sz w:val="18"/>
              </w:rPr>
              <w:t>58% </w:t>
            </w:r>
            <w:r>
              <w:rPr>
                <w:spacing w:val="-4"/>
                <w:sz w:val="18"/>
              </w:rPr>
              <w:t>male</w:t>
            </w:r>
          </w:p>
        </w:tc>
        <w:tc>
          <w:tcPr>
            <w:tcW w:w="1677" w:type="dxa"/>
          </w:tcPr>
          <w:p>
            <w:pPr>
              <w:pStyle w:val="TableParagraph"/>
              <w:rPr>
                <w:rFonts w:ascii="Times New Roman"/>
                <w:sz w:val="16"/>
              </w:rPr>
            </w:pPr>
          </w:p>
        </w:tc>
        <w:tc>
          <w:tcPr>
            <w:tcW w:w="767" w:type="dxa"/>
          </w:tcPr>
          <w:p>
            <w:pPr>
              <w:pStyle w:val="TableParagraph"/>
              <w:rPr>
                <w:rFonts w:ascii="Times New Roman"/>
                <w:sz w:val="16"/>
              </w:rPr>
            </w:pPr>
          </w:p>
        </w:tc>
        <w:tc>
          <w:tcPr>
            <w:tcW w:w="4387" w:type="dxa"/>
          </w:tcPr>
          <w:p>
            <w:pPr>
              <w:pStyle w:val="TableParagraph"/>
              <w:numPr>
                <w:ilvl w:val="0"/>
                <w:numId w:val="19"/>
              </w:numPr>
              <w:tabs>
                <w:tab w:pos="329" w:val="left" w:leader="none"/>
                <w:tab w:pos="331" w:val="left" w:leader="none"/>
              </w:tabs>
              <w:spacing w:line="278" w:lineRule="auto" w:before="0" w:after="0"/>
              <w:ind w:left="331" w:right="106" w:hanging="224"/>
              <w:jc w:val="left"/>
              <w:rPr>
                <w:sz w:val="18"/>
              </w:rPr>
            </w:pPr>
            <w:r>
              <w:rPr>
                <w:b/>
                <w:sz w:val="18"/>
              </w:rPr>
              <w:t>Hemorrhage</w:t>
            </w:r>
            <w:r>
              <w:rPr>
                <w:b/>
                <w:spacing w:val="-5"/>
                <w:sz w:val="18"/>
              </w:rPr>
              <w:t> </w:t>
            </w:r>
            <w:r>
              <w:rPr>
                <w:sz w:val="18"/>
              </w:rPr>
              <w:t>(defined</w:t>
            </w:r>
            <w:r>
              <w:rPr>
                <w:spacing w:val="-7"/>
                <w:sz w:val="18"/>
              </w:rPr>
              <w:t> </w:t>
            </w:r>
            <w:r>
              <w:rPr>
                <w:sz w:val="18"/>
              </w:rPr>
              <w:t>as</w:t>
            </w:r>
            <w:r>
              <w:rPr>
                <w:spacing w:val="-7"/>
                <w:sz w:val="18"/>
              </w:rPr>
              <w:t> </w:t>
            </w:r>
            <w:r>
              <w:rPr>
                <w:sz w:val="18"/>
              </w:rPr>
              <w:t>late</w:t>
            </w:r>
            <w:r>
              <w:rPr>
                <w:spacing w:val="-6"/>
                <w:sz w:val="18"/>
              </w:rPr>
              <w:t> </w:t>
            </w:r>
            <w:r>
              <w:rPr>
                <w:i/>
                <w:sz w:val="18"/>
              </w:rPr>
              <w:t>major</w:t>
            </w:r>
            <w:r>
              <w:rPr>
                <w:sz w:val="18"/>
              </w:rPr>
              <w:t>,</w:t>
            </w:r>
            <w:r>
              <w:rPr>
                <w:spacing w:val="-6"/>
                <w:sz w:val="18"/>
              </w:rPr>
              <w:t> </w:t>
            </w:r>
            <w:r>
              <w:rPr>
                <w:sz w:val="18"/>
              </w:rPr>
              <w:t>clinically</w:t>
            </w:r>
            <w:r>
              <w:rPr>
                <w:spacing w:val="-6"/>
                <w:sz w:val="18"/>
              </w:rPr>
              <w:t> </w:t>
            </w:r>
            <w:r>
              <w:rPr>
                <w:sz w:val="18"/>
              </w:rPr>
              <w:t>relevant </w:t>
            </w:r>
            <w:r>
              <w:rPr>
                <w:i/>
                <w:sz w:val="18"/>
              </w:rPr>
              <w:t>nonmajor</w:t>
            </w:r>
            <w:r>
              <w:rPr>
                <w:sz w:val="18"/>
              </w:rPr>
              <w:t>, and </w:t>
            </w:r>
            <w:r>
              <w:rPr>
                <w:i/>
                <w:sz w:val="18"/>
              </w:rPr>
              <w:t>minor bleeding</w:t>
            </w:r>
            <w:r>
              <w:rPr>
                <w:sz w:val="18"/>
              </w:rPr>
              <w:t>, occurring 1 year after the Fontan procedure)</w:t>
            </w:r>
          </w:p>
        </w:tc>
        <w:tc>
          <w:tcPr>
            <w:tcW w:w="1843" w:type="dxa"/>
          </w:tcPr>
          <w:p>
            <w:pPr>
              <w:pStyle w:val="TableParagraph"/>
              <w:spacing w:line="453" w:lineRule="auto"/>
              <w:ind w:left="106"/>
              <w:rPr>
                <w:sz w:val="18"/>
              </w:rPr>
            </w:pPr>
            <w:r>
              <w:rPr>
                <w:sz w:val="18"/>
                <w:u w:val="single"/>
              </w:rPr>
              <w:t>Conflicts</w:t>
            </w:r>
            <w:r>
              <w:rPr>
                <w:spacing w:val="-11"/>
                <w:sz w:val="18"/>
                <w:u w:val="single"/>
              </w:rPr>
              <w:t> </w:t>
            </w:r>
            <w:r>
              <w:rPr>
                <w:sz w:val="18"/>
                <w:u w:val="single"/>
              </w:rPr>
              <w:t>of</w:t>
            </w:r>
            <w:r>
              <w:rPr>
                <w:spacing w:val="-10"/>
                <w:sz w:val="18"/>
                <w:u w:val="single"/>
              </w:rPr>
              <w:t> </w:t>
            </w:r>
            <w:r>
              <w:rPr>
                <w:sz w:val="18"/>
                <w:u w:val="single"/>
              </w:rPr>
              <w:t>interest</w:t>
            </w:r>
            <w:r>
              <w:rPr>
                <w:sz w:val="18"/>
                <w:u w:val="none"/>
              </w:rPr>
              <w:t> </w:t>
            </w:r>
            <w:r>
              <w:rPr>
                <w:spacing w:val="-4"/>
                <w:sz w:val="18"/>
                <w:u w:val="none"/>
              </w:rPr>
              <w:t>None</w:t>
            </w:r>
          </w:p>
        </w:tc>
        <w:tc>
          <w:tcPr>
            <w:tcW w:w="1982" w:type="dxa"/>
          </w:tcPr>
          <w:p>
            <w:pPr>
              <w:pStyle w:val="TableParagraph"/>
              <w:rPr>
                <w:rFonts w:ascii="Times New Roman"/>
                <w:sz w:val="16"/>
              </w:rPr>
            </w:pPr>
          </w:p>
        </w:tc>
      </w:tr>
      <w:tr>
        <w:trPr>
          <w:trHeight w:val="5208" w:hRule="atLeast"/>
        </w:trPr>
        <w:tc>
          <w:tcPr>
            <w:tcW w:w="1260" w:type="dxa"/>
          </w:tcPr>
          <w:p>
            <w:pPr>
              <w:pStyle w:val="TableParagraph"/>
              <w:spacing w:line="218" w:lineRule="exact"/>
              <w:ind w:left="105"/>
              <w:rPr>
                <w:sz w:val="18"/>
              </w:rPr>
            </w:pPr>
            <w:r>
              <w:rPr>
                <w:sz w:val="18"/>
              </w:rPr>
              <w:t>Iyengar,</w:t>
            </w:r>
            <w:r>
              <w:rPr>
                <w:spacing w:val="-3"/>
                <w:sz w:val="18"/>
              </w:rPr>
              <w:t> </w:t>
            </w:r>
            <w:r>
              <w:rPr>
                <w:spacing w:val="-4"/>
                <w:sz w:val="18"/>
              </w:rPr>
              <w:t>2016</w:t>
            </w:r>
          </w:p>
        </w:tc>
        <w:tc>
          <w:tcPr>
            <w:tcW w:w="2248" w:type="dxa"/>
          </w:tcPr>
          <w:p>
            <w:pPr>
              <w:pStyle w:val="TableParagraph"/>
              <w:spacing w:line="218" w:lineRule="exact"/>
              <w:ind w:left="105"/>
              <w:rPr>
                <w:sz w:val="18"/>
              </w:rPr>
            </w:pPr>
            <w:r>
              <w:rPr>
                <w:sz w:val="18"/>
                <w:u w:val="single"/>
              </w:rPr>
              <w:t>N</w:t>
            </w:r>
            <w:r>
              <w:rPr>
                <w:spacing w:val="-3"/>
                <w:sz w:val="18"/>
                <w:u w:val="single"/>
              </w:rPr>
              <w:t> </w:t>
            </w:r>
            <w:r>
              <w:rPr>
                <w:sz w:val="18"/>
                <w:u w:val="single"/>
              </w:rPr>
              <w:t>at </w:t>
            </w:r>
            <w:r>
              <w:rPr>
                <w:spacing w:val="-2"/>
                <w:sz w:val="18"/>
                <w:u w:val="single"/>
              </w:rPr>
              <w:t>baseline</w:t>
            </w:r>
          </w:p>
          <w:p>
            <w:pPr>
              <w:pStyle w:val="TableParagraph"/>
              <w:numPr>
                <w:ilvl w:val="0"/>
                <w:numId w:val="20"/>
              </w:numPr>
              <w:tabs>
                <w:tab w:pos="327" w:val="left" w:leader="none"/>
              </w:tabs>
              <w:spacing w:line="240" w:lineRule="auto" w:before="196" w:after="0"/>
              <w:ind w:left="327" w:right="0" w:hanging="222"/>
              <w:jc w:val="left"/>
              <w:rPr>
                <w:sz w:val="18"/>
              </w:rPr>
            </w:pPr>
            <w:r>
              <w:rPr>
                <w:sz w:val="18"/>
              </w:rPr>
              <w:t>Aspirin:</w:t>
            </w:r>
            <w:r>
              <w:rPr>
                <w:spacing w:val="-5"/>
                <w:sz w:val="18"/>
              </w:rPr>
              <w:t> 157</w:t>
            </w:r>
          </w:p>
          <w:p>
            <w:pPr>
              <w:pStyle w:val="TableParagraph"/>
              <w:numPr>
                <w:ilvl w:val="0"/>
                <w:numId w:val="20"/>
              </w:numPr>
              <w:tabs>
                <w:tab w:pos="327" w:val="left" w:leader="none"/>
              </w:tabs>
              <w:spacing w:line="240" w:lineRule="auto" w:before="37" w:after="0"/>
              <w:ind w:left="327" w:right="0" w:hanging="222"/>
              <w:jc w:val="left"/>
              <w:rPr>
                <w:sz w:val="18"/>
              </w:rPr>
            </w:pPr>
            <w:r>
              <w:rPr>
                <w:sz w:val="18"/>
              </w:rPr>
              <w:t>Warfarin:</w:t>
            </w:r>
            <w:r>
              <w:rPr>
                <w:spacing w:val="-2"/>
                <w:sz w:val="18"/>
              </w:rPr>
              <w:t> </w:t>
            </w:r>
            <w:r>
              <w:rPr>
                <w:spacing w:val="-5"/>
                <w:sz w:val="18"/>
              </w:rPr>
              <w:t>301</w:t>
            </w:r>
          </w:p>
          <w:p>
            <w:pPr>
              <w:pStyle w:val="TableParagraph"/>
              <w:rPr>
                <w:sz w:val="18"/>
              </w:rPr>
            </w:pPr>
          </w:p>
          <w:p>
            <w:pPr>
              <w:pStyle w:val="TableParagraph"/>
              <w:spacing w:before="171"/>
              <w:rPr>
                <w:sz w:val="18"/>
              </w:rPr>
            </w:pPr>
          </w:p>
          <w:p>
            <w:pPr>
              <w:pStyle w:val="TableParagraph"/>
              <w:ind w:left="105"/>
              <w:rPr>
                <w:sz w:val="18"/>
              </w:rPr>
            </w:pPr>
            <w:r>
              <w:rPr>
                <w:sz w:val="18"/>
                <w:u w:val="single"/>
              </w:rPr>
              <w:t>Age</w:t>
            </w:r>
            <w:r>
              <w:rPr>
                <w:spacing w:val="-6"/>
                <w:sz w:val="18"/>
                <w:u w:val="single"/>
              </w:rPr>
              <w:t> </w:t>
            </w:r>
            <w:r>
              <w:rPr>
                <w:sz w:val="18"/>
                <w:u w:val="single"/>
              </w:rPr>
              <w:t>(median</w:t>
            </w:r>
            <w:r>
              <w:rPr>
                <w:spacing w:val="-3"/>
                <w:sz w:val="18"/>
                <w:u w:val="single"/>
              </w:rPr>
              <w:t> </w:t>
            </w:r>
            <w:r>
              <w:rPr>
                <w:spacing w:val="-2"/>
                <w:sz w:val="18"/>
                <w:u w:val="single"/>
              </w:rPr>
              <w:t>(IQR))</w:t>
            </w:r>
          </w:p>
          <w:p>
            <w:pPr>
              <w:pStyle w:val="TableParagraph"/>
              <w:numPr>
                <w:ilvl w:val="0"/>
                <w:numId w:val="20"/>
              </w:numPr>
              <w:tabs>
                <w:tab w:pos="326" w:val="left" w:leader="none"/>
                <w:tab w:pos="328" w:val="left" w:leader="none"/>
              </w:tabs>
              <w:spacing w:line="276" w:lineRule="auto" w:before="196" w:after="0"/>
              <w:ind w:left="328" w:right="417" w:hanging="224"/>
              <w:jc w:val="left"/>
              <w:rPr>
                <w:sz w:val="18"/>
              </w:rPr>
            </w:pPr>
            <w:r>
              <w:rPr>
                <w:sz w:val="18"/>
              </w:rPr>
              <w:t>Aspirin:</w:t>
            </w:r>
            <w:r>
              <w:rPr>
                <w:spacing w:val="-11"/>
                <w:sz w:val="18"/>
              </w:rPr>
              <w:t> </w:t>
            </w:r>
            <w:r>
              <w:rPr>
                <w:sz w:val="18"/>
              </w:rPr>
              <w:t>4.8</w:t>
            </w:r>
            <w:r>
              <w:rPr>
                <w:spacing w:val="-10"/>
                <w:sz w:val="18"/>
              </w:rPr>
              <w:t> </w:t>
            </w:r>
            <w:r>
              <w:rPr>
                <w:sz w:val="18"/>
              </w:rPr>
              <w:t>(3.9-5.8) </w:t>
            </w:r>
            <w:r>
              <w:rPr>
                <w:spacing w:val="-2"/>
                <w:sz w:val="18"/>
              </w:rPr>
              <w:t>years</w:t>
            </w:r>
          </w:p>
          <w:p>
            <w:pPr>
              <w:pStyle w:val="TableParagraph"/>
              <w:numPr>
                <w:ilvl w:val="0"/>
                <w:numId w:val="20"/>
              </w:numPr>
              <w:tabs>
                <w:tab w:pos="326" w:val="left" w:leader="none"/>
                <w:tab w:pos="328" w:val="left" w:leader="none"/>
              </w:tabs>
              <w:spacing w:line="276" w:lineRule="auto" w:before="5" w:after="0"/>
              <w:ind w:left="328" w:right="275" w:hanging="224"/>
              <w:jc w:val="left"/>
              <w:rPr>
                <w:sz w:val="18"/>
              </w:rPr>
            </w:pPr>
            <w:r>
              <w:rPr>
                <w:sz w:val="18"/>
              </w:rPr>
              <w:t>Warfarin:</w:t>
            </w:r>
            <w:r>
              <w:rPr>
                <w:spacing w:val="-11"/>
                <w:sz w:val="18"/>
              </w:rPr>
              <w:t> </w:t>
            </w:r>
            <w:r>
              <w:rPr>
                <w:sz w:val="18"/>
              </w:rPr>
              <w:t>4.7</w:t>
            </w:r>
            <w:r>
              <w:rPr>
                <w:spacing w:val="-10"/>
                <w:sz w:val="18"/>
              </w:rPr>
              <w:t> </w:t>
            </w:r>
            <w:r>
              <w:rPr>
                <w:sz w:val="18"/>
              </w:rPr>
              <w:t>(3.8-5.8) </w:t>
            </w:r>
            <w:r>
              <w:rPr>
                <w:spacing w:val="-2"/>
                <w:sz w:val="18"/>
              </w:rPr>
              <w:t>years</w:t>
            </w:r>
          </w:p>
          <w:p>
            <w:pPr>
              <w:pStyle w:val="TableParagraph"/>
              <w:rPr>
                <w:sz w:val="18"/>
              </w:rPr>
            </w:pPr>
          </w:p>
          <w:p>
            <w:pPr>
              <w:pStyle w:val="TableParagraph"/>
              <w:spacing w:before="140"/>
              <w:rPr>
                <w:sz w:val="18"/>
              </w:rPr>
            </w:pPr>
          </w:p>
          <w:p>
            <w:pPr>
              <w:pStyle w:val="TableParagraph"/>
              <w:spacing w:before="1"/>
              <w:ind w:left="105"/>
              <w:rPr>
                <w:sz w:val="18"/>
              </w:rPr>
            </w:pPr>
            <w:r>
              <w:rPr>
                <w:spacing w:val="-5"/>
                <w:sz w:val="18"/>
                <w:u w:val="single"/>
              </w:rPr>
              <w:t>Sex</w:t>
            </w:r>
          </w:p>
          <w:p>
            <w:pPr>
              <w:pStyle w:val="TableParagraph"/>
              <w:numPr>
                <w:ilvl w:val="0"/>
                <w:numId w:val="20"/>
              </w:numPr>
              <w:tabs>
                <w:tab w:pos="327" w:val="left" w:leader="none"/>
              </w:tabs>
              <w:spacing w:line="240" w:lineRule="auto" w:before="195" w:after="0"/>
              <w:ind w:left="327" w:right="0" w:hanging="222"/>
              <w:jc w:val="left"/>
              <w:rPr>
                <w:sz w:val="18"/>
              </w:rPr>
            </w:pPr>
            <w:r>
              <w:rPr>
                <w:sz w:val="18"/>
              </w:rPr>
              <w:t>Aspirin:</w:t>
            </w:r>
            <w:r>
              <w:rPr>
                <w:spacing w:val="-3"/>
                <w:sz w:val="18"/>
              </w:rPr>
              <w:t> </w:t>
            </w:r>
            <w:r>
              <w:rPr>
                <w:sz w:val="18"/>
              </w:rPr>
              <w:t>46%</w:t>
            </w:r>
            <w:r>
              <w:rPr>
                <w:spacing w:val="-1"/>
                <w:sz w:val="18"/>
              </w:rPr>
              <w:t> </w:t>
            </w:r>
            <w:r>
              <w:rPr>
                <w:spacing w:val="-2"/>
                <w:sz w:val="18"/>
              </w:rPr>
              <w:t>female</w:t>
            </w:r>
          </w:p>
          <w:p>
            <w:pPr>
              <w:pStyle w:val="TableParagraph"/>
              <w:numPr>
                <w:ilvl w:val="0"/>
                <w:numId w:val="20"/>
              </w:numPr>
              <w:tabs>
                <w:tab w:pos="327" w:val="left" w:leader="none"/>
              </w:tabs>
              <w:spacing w:line="240" w:lineRule="auto" w:before="37" w:after="0"/>
              <w:ind w:left="327" w:right="0" w:hanging="222"/>
              <w:jc w:val="left"/>
              <w:rPr>
                <w:sz w:val="18"/>
              </w:rPr>
            </w:pPr>
            <w:r>
              <w:rPr>
                <w:sz w:val="18"/>
              </w:rPr>
              <w:t>Warfarin:</w:t>
            </w:r>
            <w:r>
              <w:rPr>
                <w:spacing w:val="-1"/>
                <w:sz w:val="18"/>
              </w:rPr>
              <w:t> </w:t>
            </w:r>
            <w:r>
              <w:rPr>
                <w:sz w:val="18"/>
              </w:rPr>
              <w:t>39%</w:t>
            </w:r>
            <w:r>
              <w:rPr>
                <w:spacing w:val="-1"/>
                <w:sz w:val="18"/>
              </w:rPr>
              <w:t> </w:t>
            </w:r>
            <w:r>
              <w:rPr>
                <w:spacing w:val="-2"/>
                <w:sz w:val="18"/>
              </w:rPr>
              <w:t>female</w:t>
            </w:r>
          </w:p>
        </w:tc>
        <w:tc>
          <w:tcPr>
            <w:tcW w:w="1677" w:type="dxa"/>
          </w:tcPr>
          <w:p>
            <w:pPr>
              <w:pStyle w:val="TableParagraph"/>
              <w:numPr>
                <w:ilvl w:val="0"/>
                <w:numId w:val="21"/>
              </w:numPr>
              <w:tabs>
                <w:tab w:pos="326" w:val="left" w:leader="none"/>
              </w:tabs>
              <w:spacing w:line="228" w:lineRule="exact" w:before="0" w:after="0"/>
              <w:ind w:left="326" w:right="0" w:hanging="222"/>
              <w:jc w:val="left"/>
              <w:rPr>
                <w:sz w:val="18"/>
              </w:rPr>
            </w:pPr>
            <w:r>
              <w:rPr>
                <w:spacing w:val="-2"/>
                <w:sz w:val="18"/>
              </w:rPr>
              <w:t>Aspirin</w:t>
            </w:r>
          </w:p>
          <w:p>
            <w:pPr>
              <w:pStyle w:val="TableParagraph"/>
              <w:numPr>
                <w:ilvl w:val="0"/>
                <w:numId w:val="21"/>
              </w:numPr>
              <w:tabs>
                <w:tab w:pos="326" w:val="left" w:leader="none"/>
              </w:tabs>
              <w:spacing w:line="240" w:lineRule="auto" w:before="35" w:after="0"/>
              <w:ind w:left="326" w:right="0" w:hanging="222"/>
              <w:jc w:val="left"/>
              <w:rPr>
                <w:sz w:val="18"/>
              </w:rPr>
            </w:pPr>
            <w:r>
              <w:rPr>
                <w:spacing w:val="-2"/>
                <w:sz w:val="18"/>
              </w:rPr>
              <w:t>Warfarin</w:t>
            </w:r>
          </w:p>
        </w:tc>
        <w:tc>
          <w:tcPr>
            <w:tcW w:w="767" w:type="dxa"/>
          </w:tcPr>
          <w:p>
            <w:pPr>
              <w:pStyle w:val="TableParagraph"/>
              <w:spacing w:line="218" w:lineRule="exact"/>
              <w:ind w:left="105"/>
              <w:rPr>
                <w:sz w:val="18"/>
              </w:rPr>
            </w:pPr>
            <w:r>
              <w:rPr>
                <w:sz w:val="18"/>
              </w:rPr>
              <w:t>7 </w:t>
            </w:r>
            <w:r>
              <w:rPr>
                <w:spacing w:val="-2"/>
                <w:sz w:val="18"/>
              </w:rPr>
              <w:t>years</w:t>
            </w:r>
          </w:p>
          <w:p>
            <w:pPr>
              <w:pStyle w:val="TableParagraph"/>
              <w:spacing w:before="35"/>
              <w:ind w:left="105"/>
              <w:rPr>
                <w:sz w:val="18"/>
              </w:rPr>
            </w:pPr>
            <w:r>
              <w:rPr>
                <w:spacing w:val="-2"/>
                <w:sz w:val="18"/>
              </w:rPr>
              <w:t>(4.7-</w:t>
            </w:r>
          </w:p>
          <w:p>
            <w:pPr>
              <w:pStyle w:val="TableParagraph"/>
              <w:spacing w:before="37"/>
              <w:ind w:left="105"/>
              <w:rPr>
                <w:sz w:val="18"/>
              </w:rPr>
            </w:pPr>
            <w:r>
              <w:rPr>
                <w:spacing w:val="-4"/>
                <w:sz w:val="18"/>
              </w:rPr>
              <w:t>9.7)</w:t>
            </w:r>
          </w:p>
        </w:tc>
        <w:tc>
          <w:tcPr>
            <w:tcW w:w="4387" w:type="dxa"/>
          </w:tcPr>
          <w:p>
            <w:pPr>
              <w:pStyle w:val="TableParagraph"/>
              <w:numPr>
                <w:ilvl w:val="0"/>
                <w:numId w:val="22"/>
              </w:numPr>
              <w:tabs>
                <w:tab w:pos="468" w:val="left" w:leader="none"/>
              </w:tabs>
              <w:spacing w:line="276" w:lineRule="auto" w:before="0" w:after="0"/>
              <w:ind w:left="468" w:right="800" w:hanging="360"/>
              <w:jc w:val="left"/>
              <w:rPr>
                <w:sz w:val="18"/>
              </w:rPr>
            </w:pPr>
            <w:r>
              <w:rPr>
                <w:b/>
                <w:sz w:val="18"/>
              </w:rPr>
              <w:t>Thrombotic</w:t>
            </w:r>
            <w:r>
              <w:rPr>
                <w:b/>
                <w:spacing w:val="-11"/>
                <w:sz w:val="18"/>
              </w:rPr>
              <w:t> </w:t>
            </w:r>
            <w:r>
              <w:rPr>
                <w:b/>
                <w:sz w:val="18"/>
              </w:rPr>
              <w:t>complications</w:t>
            </w:r>
            <w:r>
              <w:rPr>
                <w:b/>
                <w:spacing w:val="-8"/>
                <w:sz w:val="18"/>
              </w:rPr>
              <w:t> </w:t>
            </w:r>
            <w:r>
              <w:rPr>
                <w:sz w:val="18"/>
              </w:rPr>
              <w:t>(defined</w:t>
            </w:r>
            <w:r>
              <w:rPr>
                <w:spacing w:val="-11"/>
                <w:sz w:val="18"/>
              </w:rPr>
              <w:t> </w:t>
            </w:r>
            <w:r>
              <w:rPr>
                <w:sz w:val="18"/>
              </w:rPr>
              <w:t>as</w:t>
            </w:r>
            <w:r>
              <w:rPr>
                <w:spacing w:val="-10"/>
                <w:sz w:val="18"/>
              </w:rPr>
              <w:t> </w:t>
            </w:r>
            <w:r>
              <w:rPr>
                <w:sz w:val="18"/>
              </w:rPr>
              <w:t>any thrombus evident on imaging (including</w:t>
            </w:r>
          </w:p>
          <w:p>
            <w:pPr>
              <w:pStyle w:val="TableParagraph"/>
              <w:spacing w:line="278" w:lineRule="auto" w:before="166"/>
              <w:ind w:left="468"/>
              <w:rPr>
                <w:sz w:val="18"/>
              </w:rPr>
            </w:pPr>
            <w:r>
              <w:rPr>
                <w:sz w:val="18"/>
              </w:rPr>
              <w:t>thrombus</w:t>
            </w:r>
            <w:r>
              <w:rPr>
                <w:spacing w:val="-7"/>
                <w:sz w:val="18"/>
              </w:rPr>
              <w:t> </w:t>
            </w:r>
            <w:r>
              <w:rPr>
                <w:sz w:val="18"/>
              </w:rPr>
              <w:t>within</w:t>
            </w:r>
            <w:r>
              <w:rPr>
                <w:spacing w:val="-7"/>
                <w:sz w:val="18"/>
              </w:rPr>
              <w:t> </w:t>
            </w:r>
            <w:r>
              <w:rPr>
                <w:sz w:val="18"/>
              </w:rPr>
              <w:t>the</w:t>
            </w:r>
            <w:r>
              <w:rPr>
                <w:spacing w:val="-7"/>
                <w:sz w:val="18"/>
              </w:rPr>
              <w:t> </w:t>
            </w:r>
            <w:r>
              <w:rPr>
                <w:sz w:val="18"/>
              </w:rPr>
              <w:t>Fontan</w:t>
            </w:r>
            <w:r>
              <w:rPr>
                <w:spacing w:val="-8"/>
                <w:sz w:val="18"/>
              </w:rPr>
              <w:t> </w:t>
            </w:r>
            <w:r>
              <w:rPr>
                <w:sz w:val="18"/>
              </w:rPr>
              <w:t>circuit,</w:t>
            </w:r>
            <w:r>
              <w:rPr>
                <w:spacing w:val="-7"/>
                <w:sz w:val="18"/>
              </w:rPr>
              <w:t> </w:t>
            </w:r>
            <w:r>
              <w:rPr>
                <w:sz w:val="18"/>
              </w:rPr>
              <w:t>deep</w:t>
            </w:r>
            <w:r>
              <w:rPr>
                <w:spacing w:val="-7"/>
                <w:sz w:val="18"/>
              </w:rPr>
              <w:t> </w:t>
            </w:r>
            <w:r>
              <w:rPr>
                <w:sz w:val="18"/>
              </w:rPr>
              <w:t>venous thrombosis</w:t>
            </w:r>
            <w:r>
              <w:rPr>
                <w:spacing w:val="-2"/>
                <w:sz w:val="18"/>
              </w:rPr>
              <w:t> </w:t>
            </w:r>
            <w:r>
              <w:rPr>
                <w:sz w:val="18"/>
              </w:rPr>
              <w:t>and</w:t>
            </w:r>
          </w:p>
          <w:p>
            <w:pPr>
              <w:pStyle w:val="TableParagraph"/>
              <w:spacing w:line="278" w:lineRule="auto" w:before="159"/>
              <w:ind w:left="468" w:right="99"/>
              <w:rPr>
                <w:sz w:val="18"/>
              </w:rPr>
            </w:pPr>
            <w:r>
              <w:rPr>
                <w:sz w:val="18"/>
              </w:rPr>
              <w:t>pulmonary embolism) or any clinical event associated with thrombotic embolism [stroke, transient ischaemic attack (TIA), pulmonary embolism</w:t>
            </w:r>
            <w:r>
              <w:rPr>
                <w:spacing w:val="-6"/>
                <w:sz w:val="18"/>
              </w:rPr>
              <w:t> </w:t>
            </w:r>
            <w:r>
              <w:rPr>
                <w:sz w:val="18"/>
              </w:rPr>
              <w:t>and</w:t>
            </w:r>
            <w:r>
              <w:rPr>
                <w:spacing w:val="-7"/>
                <w:sz w:val="18"/>
              </w:rPr>
              <w:t> </w:t>
            </w:r>
            <w:r>
              <w:rPr>
                <w:sz w:val="18"/>
              </w:rPr>
              <w:t>end-organ</w:t>
            </w:r>
            <w:r>
              <w:rPr>
                <w:spacing w:val="-7"/>
                <w:sz w:val="18"/>
              </w:rPr>
              <w:t> </w:t>
            </w:r>
            <w:r>
              <w:rPr>
                <w:sz w:val="18"/>
              </w:rPr>
              <w:t>infarction].</w:t>
            </w:r>
            <w:r>
              <w:rPr>
                <w:spacing w:val="-7"/>
                <w:sz w:val="18"/>
              </w:rPr>
              <w:t> </w:t>
            </w:r>
            <w:r>
              <w:rPr>
                <w:sz w:val="18"/>
              </w:rPr>
              <w:t>Stroke</w:t>
            </w:r>
            <w:r>
              <w:rPr>
                <w:spacing w:val="-8"/>
                <w:sz w:val="18"/>
              </w:rPr>
              <w:t> </w:t>
            </w:r>
            <w:r>
              <w:rPr>
                <w:sz w:val="18"/>
              </w:rPr>
              <w:t>and</w:t>
            </w:r>
            <w:r>
              <w:rPr>
                <w:spacing w:val="-7"/>
                <w:sz w:val="18"/>
              </w:rPr>
              <w:t> </w:t>
            </w:r>
            <w:r>
              <w:rPr>
                <w:sz w:val="18"/>
              </w:rPr>
              <w:t>TIA </w:t>
            </w:r>
            <w:r>
              <w:rPr>
                <w:spacing w:val="-4"/>
                <w:sz w:val="18"/>
              </w:rPr>
              <w:t>were</w:t>
            </w:r>
          </w:p>
          <w:p>
            <w:pPr>
              <w:pStyle w:val="TableParagraph"/>
              <w:spacing w:before="164"/>
              <w:ind w:left="468"/>
              <w:rPr>
                <w:sz w:val="18"/>
              </w:rPr>
            </w:pPr>
            <w:r>
              <w:rPr>
                <w:sz w:val="18"/>
              </w:rPr>
              <w:t>defined</w:t>
            </w:r>
            <w:r>
              <w:rPr>
                <w:spacing w:val="-6"/>
                <w:sz w:val="18"/>
              </w:rPr>
              <w:t> </w:t>
            </w:r>
            <w:r>
              <w:rPr>
                <w:sz w:val="18"/>
              </w:rPr>
              <w:t>as</w:t>
            </w:r>
            <w:r>
              <w:rPr>
                <w:spacing w:val="-1"/>
                <w:sz w:val="18"/>
              </w:rPr>
              <w:t> </w:t>
            </w:r>
            <w:r>
              <w:rPr>
                <w:sz w:val="18"/>
              </w:rPr>
              <w:t>neurological</w:t>
            </w:r>
            <w:r>
              <w:rPr>
                <w:spacing w:val="-2"/>
                <w:sz w:val="18"/>
              </w:rPr>
              <w:t> </w:t>
            </w:r>
            <w:r>
              <w:rPr>
                <w:sz w:val="18"/>
              </w:rPr>
              <w:t>deficit</w:t>
            </w:r>
            <w:r>
              <w:rPr>
                <w:spacing w:val="-3"/>
                <w:sz w:val="18"/>
              </w:rPr>
              <w:t> </w:t>
            </w:r>
            <w:r>
              <w:rPr>
                <w:sz w:val="18"/>
              </w:rPr>
              <w:t>lasting</w:t>
            </w:r>
            <w:r>
              <w:rPr>
                <w:spacing w:val="-3"/>
                <w:sz w:val="18"/>
              </w:rPr>
              <w:t> </w:t>
            </w:r>
            <w:r>
              <w:rPr>
                <w:sz w:val="18"/>
              </w:rPr>
              <w:t>≥72</w:t>
            </w:r>
            <w:r>
              <w:rPr>
                <w:spacing w:val="-2"/>
                <w:sz w:val="18"/>
              </w:rPr>
              <w:t> </w:t>
            </w:r>
            <w:r>
              <w:rPr>
                <w:sz w:val="18"/>
              </w:rPr>
              <w:t>and</w:t>
            </w:r>
            <w:r>
              <w:rPr>
                <w:spacing w:val="-3"/>
                <w:sz w:val="18"/>
              </w:rPr>
              <w:t> </w:t>
            </w:r>
            <w:r>
              <w:rPr>
                <w:spacing w:val="-5"/>
                <w:sz w:val="18"/>
              </w:rPr>
              <w:t>&lt;72</w:t>
            </w:r>
          </w:p>
          <w:p>
            <w:pPr>
              <w:pStyle w:val="TableParagraph"/>
              <w:spacing w:before="35"/>
              <w:ind w:left="468"/>
              <w:rPr>
                <w:sz w:val="18"/>
              </w:rPr>
            </w:pPr>
            <w:r>
              <w:rPr>
                <w:sz w:val="18"/>
              </w:rPr>
              <w:t>h,</w:t>
            </w:r>
            <w:r>
              <w:rPr>
                <w:spacing w:val="-3"/>
                <w:sz w:val="18"/>
              </w:rPr>
              <w:t> </w:t>
            </w:r>
            <w:r>
              <w:rPr>
                <w:spacing w:val="-2"/>
                <w:sz w:val="18"/>
              </w:rPr>
              <w:t>respectively.</w:t>
            </w:r>
          </w:p>
        </w:tc>
        <w:tc>
          <w:tcPr>
            <w:tcW w:w="1843" w:type="dxa"/>
          </w:tcPr>
          <w:p>
            <w:pPr>
              <w:pStyle w:val="TableParagraph"/>
              <w:spacing w:line="218" w:lineRule="exact"/>
              <w:ind w:left="106"/>
              <w:rPr>
                <w:sz w:val="18"/>
              </w:rPr>
            </w:pPr>
            <w:r>
              <w:rPr>
                <w:spacing w:val="-2"/>
                <w:sz w:val="18"/>
                <w:u w:val="single"/>
              </w:rPr>
              <w:t>Funding</w:t>
            </w:r>
          </w:p>
          <w:p>
            <w:pPr>
              <w:pStyle w:val="TableParagraph"/>
              <w:spacing w:line="280" w:lineRule="auto" w:before="196"/>
              <w:ind w:left="106" w:right="101"/>
              <w:rPr>
                <w:sz w:val="18"/>
              </w:rPr>
            </w:pPr>
            <w:r>
              <w:rPr>
                <w:sz w:val="18"/>
              </w:rPr>
              <w:t>Several sources, please</w:t>
            </w:r>
            <w:r>
              <w:rPr>
                <w:spacing w:val="-11"/>
                <w:sz w:val="18"/>
              </w:rPr>
              <w:t> </w:t>
            </w:r>
            <w:r>
              <w:rPr>
                <w:sz w:val="18"/>
              </w:rPr>
              <w:t>refer</w:t>
            </w:r>
            <w:r>
              <w:rPr>
                <w:spacing w:val="-10"/>
                <w:sz w:val="18"/>
              </w:rPr>
              <w:t> </w:t>
            </w:r>
            <w:r>
              <w:rPr>
                <w:sz w:val="18"/>
              </w:rPr>
              <w:t>to</w:t>
            </w:r>
            <w:r>
              <w:rPr>
                <w:spacing w:val="-10"/>
                <w:sz w:val="18"/>
              </w:rPr>
              <w:t> </w:t>
            </w:r>
            <w:r>
              <w:rPr>
                <w:sz w:val="18"/>
              </w:rPr>
              <w:t>article</w:t>
            </w:r>
          </w:p>
          <w:p>
            <w:pPr>
              <w:pStyle w:val="TableParagraph"/>
              <w:rPr>
                <w:sz w:val="18"/>
              </w:rPr>
            </w:pPr>
          </w:p>
          <w:p>
            <w:pPr>
              <w:pStyle w:val="TableParagraph"/>
              <w:spacing w:before="133"/>
              <w:rPr>
                <w:sz w:val="18"/>
              </w:rPr>
            </w:pPr>
          </w:p>
          <w:p>
            <w:pPr>
              <w:pStyle w:val="TableParagraph"/>
              <w:ind w:left="106"/>
              <w:rPr>
                <w:sz w:val="18"/>
              </w:rPr>
            </w:pPr>
            <w:r>
              <w:rPr>
                <w:sz w:val="18"/>
                <w:u w:val="single"/>
              </w:rPr>
              <w:t>Conflicts</w:t>
            </w:r>
            <w:r>
              <w:rPr>
                <w:spacing w:val="-3"/>
                <w:sz w:val="18"/>
                <w:u w:val="single"/>
              </w:rPr>
              <w:t> </w:t>
            </w:r>
            <w:r>
              <w:rPr>
                <w:sz w:val="18"/>
                <w:u w:val="single"/>
              </w:rPr>
              <w:t>of</w:t>
            </w:r>
            <w:r>
              <w:rPr>
                <w:spacing w:val="-2"/>
                <w:sz w:val="18"/>
                <w:u w:val="single"/>
              </w:rPr>
              <w:t> interest</w:t>
            </w:r>
          </w:p>
          <w:p>
            <w:pPr>
              <w:pStyle w:val="TableParagraph"/>
              <w:spacing w:line="278" w:lineRule="auto" w:before="196"/>
              <w:ind w:left="106"/>
              <w:rPr>
                <w:sz w:val="18"/>
              </w:rPr>
            </w:pPr>
            <w:r>
              <w:rPr>
                <w:sz w:val="18"/>
              </w:rPr>
              <w:t>Yves d’Udekem is a consultant for the companies</w:t>
            </w:r>
            <w:r>
              <w:rPr>
                <w:spacing w:val="-11"/>
                <w:sz w:val="18"/>
              </w:rPr>
              <w:t> </w:t>
            </w:r>
            <w:r>
              <w:rPr>
                <w:sz w:val="18"/>
              </w:rPr>
              <w:t>MSD</w:t>
            </w:r>
            <w:r>
              <w:rPr>
                <w:spacing w:val="-10"/>
                <w:sz w:val="18"/>
              </w:rPr>
              <w:t> </w:t>
            </w:r>
            <w:r>
              <w:rPr>
                <w:sz w:val="18"/>
              </w:rPr>
              <w:t>and Actelion.</w:t>
            </w:r>
            <w:r>
              <w:rPr>
                <w:spacing w:val="-2"/>
                <w:sz w:val="18"/>
              </w:rPr>
              <w:t> </w:t>
            </w:r>
            <w:r>
              <w:rPr>
                <w:sz w:val="18"/>
              </w:rPr>
              <w:t>Yves d’Udekem is an National Health</w:t>
            </w:r>
          </w:p>
          <w:p>
            <w:pPr>
              <w:pStyle w:val="TableParagraph"/>
              <w:spacing w:line="278" w:lineRule="auto" w:before="163"/>
              <w:ind w:left="106" w:right="374" w:firstLine="40"/>
              <w:rPr>
                <w:sz w:val="18"/>
              </w:rPr>
            </w:pPr>
            <w:r>
              <w:rPr>
                <w:sz w:val="18"/>
              </w:rPr>
              <w:t>and</w:t>
            </w:r>
            <w:r>
              <w:rPr>
                <w:spacing w:val="-2"/>
                <w:sz w:val="18"/>
              </w:rPr>
              <w:t> </w:t>
            </w:r>
            <w:r>
              <w:rPr>
                <w:sz w:val="18"/>
              </w:rPr>
              <w:t>Medical Research</w:t>
            </w:r>
            <w:r>
              <w:rPr>
                <w:spacing w:val="-2"/>
                <w:sz w:val="18"/>
              </w:rPr>
              <w:t> </w:t>
            </w:r>
            <w:r>
              <w:rPr>
                <w:sz w:val="18"/>
              </w:rPr>
              <w:t>Council (NHMRC)</w:t>
            </w:r>
            <w:r>
              <w:rPr>
                <w:spacing w:val="-11"/>
                <w:sz w:val="18"/>
              </w:rPr>
              <w:t> </w:t>
            </w:r>
            <w:r>
              <w:rPr>
                <w:sz w:val="18"/>
              </w:rPr>
              <w:t>Clinician </w:t>
            </w:r>
            <w:r>
              <w:rPr>
                <w:spacing w:val="-2"/>
                <w:sz w:val="18"/>
              </w:rPr>
              <w:t>Practitioner</w:t>
            </w:r>
          </w:p>
          <w:p>
            <w:pPr>
              <w:pStyle w:val="TableParagraph"/>
              <w:spacing w:before="161"/>
              <w:ind w:left="147"/>
              <w:rPr>
                <w:sz w:val="18"/>
              </w:rPr>
            </w:pPr>
            <w:r>
              <w:rPr>
                <w:sz w:val="18"/>
              </w:rPr>
              <w:t>Fellow</w:t>
            </w:r>
            <w:r>
              <w:rPr>
                <w:spacing w:val="-5"/>
                <w:sz w:val="18"/>
              </w:rPr>
              <w:t> </w:t>
            </w:r>
            <w:r>
              <w:rPr>
                <w:spacing w:val="-2"/>
                <w:sz w:val="18"/>
              </w:rPr>
              <w:t>(1082186).</w:t>
            </w:r>
          </w:p>
        </w:tc>
        <w:tc>
          <w:tcPr>
            <w:tcW w:w="1982" w:type="dxa"/>
          </w:tcPr>
          <w:p>
            <w:pPr>
              <w:pStyle w:val="TableParagraph"/>
              <w:spacing w:line="278" w:lineRule="auto"/>
              <w:ind w:left="107"/>
              <w:rPr>
                <w:sz w:val="18"/>
              </w:rPr>
            </w:pPr>
            <w:r>
              <w:rPr>
                <w:b/>
                <w:sz w:val="18"/>
              </w:rPr>
              <w:t>Some</w:t>
            </w:r>
            <w:r>
              <w:rPr>
                <w:b/>
                <w:spacing w:val="-11"/>
                <w:sz w:val="18"/>
              </w:rPr>
              <w:t> </w:t>
            </w:r>
            <w:r>
              <w:rPr>
                <w:b/>
                <w:sz w:val="18"/>
              </w:rPr>
              <w:t>concerns</w:t>
            </w:r>
            <w:r>
              <w:rPr>
                <w:b/>
                <w:spacing w:val="-10"/>
                <w:sz w:val="18"/>
              </w:rPr>
              <w:t> </w:t>
            </w:r>
            <w:r>
              <w:rPr>
                <w:sz w:val="18"/>
              </w:rPr>
              <w:t>(for</w:t>
            </w:r>
            <w:r>
              <w:rPr>
                <w:spacing w:val="-10"/>
                <w:sz w:val="18"/>
              </w:rPr>
              <w:t> </w:t>
            </w:r>
            <w:r>
              <w:rPr>
                <w:sz w:val="18"/>
              </w:rPr>
              <w:t>all outcome</w:t>
            </w:r>
            <w:r>
              <w:rPr>
                <w:spacing w:val="-2"/>
                <w:sz w:val="18"/>
              </w:rPr>
              <w:t> </w:t>
            </w:r>
            <w:r>
              <w:rPr>
                <w:sz w:val="18"/>
              </w:rPr>
              <w:t>measures)</w:t>
            </w:r>
          </w:p>
        </w:tc>
      </w:tr>
    </w:tbl>
    <w:p>
      <w:pPr>
        <w:pStyle w:val="TableParagraph"/>
        <w:spacing w:after="0" w:line="278" w:lineRule="auto"/>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60"/>
        <w:gridCol w:w="2248"/>
        <w:gridCol w:w="1677"/>
        <w:gridCol w:w="767"/>
        <w:gridCol w:w="4387"/>
        <w:gridCol w:w="1843"/>
        <w:gridCol w:w="1982"/>
      </w:tblGrid>
      <w:tr>
        <w:trPr>
          <w:trHeight w:val="4562" w:hRule="atLeast"/>
        </w:trPr>
        <w:tc>
          <w:tcPr>
            <w:tcW w:w="1260" w:type="dxa"/>
          </w:tcPr>
          <w:p>
            <w:pPr>
              <w:pStyle w:val="TableParagraph"/>
              <w:spacing w:line="218" w:lineRule="exact"/>
              <w:ind w:left="81" w:right="84"/>
              <w:jc w:val="center"/>
              <w:rPr>
                <w:sz w:val="18"/>
              </w:rPr>
            </w:pPr>
            <w:r>
              <w:rPr>
                <w:sz w:val="18"/>
              </w:rPr>
              <w:t>Pessotti,</w:t>
            </w:r>
            <w:r>
              <w:rPr>
                <w:spacing w:val="-7"/>
                <w:sz w:val="18"/>
              </w:rPr>
              <w:t> </w:t>
            </w:r>
            <w:r>
              <w:rPr>
                <w:spacing w:val="-4"/>
                <w:sz w:val="18"/>
              </w:rPr>
              <w:t>2014</w:t>
            </w:r>
          </w:p>
        </w:tc>
        <w:tc>
          <w:tcPr>
            <w:tcW w:w="2248" w:type="dxa"/>
          </w:tcPr>
          <w:p>
            <w:pPr>
              <w:pStyle w:val="TableParagraph"/>
              <w:spacing w:line="218" w:lineRule="exact"/>
              <w:ind w:left="105"/>
              <w:rPr>
                <w:sz w:val="18"/>
              </w:rPr>
            </w:pPr>
            <w:r>
              <w:rPr>
                <w:sz w:val="18"/>
                <w:u w:val="single"/>
              </w:rPr>
              <w:t>N</w:t>
            </w:r>
            <w:r>
              <w:rPr>
                <w:spacing w:val="-3"/>
                <w:sz w:val="18"/>
                <w:u w:val="single"/>
              </w:rPr>
              <w:t> </w:t>
            </w:r>
            <w:r>
              <w:rPr>
                <w:sz w:val="18"/>
                <w:u w:val="single"/>
              </w:rPr>
              <w:t>at </w:t>
            </w:r>
            <w:r>
              <w:rPr>
                <w:spacing w:val="-2"/>
                <w:sz w:val="18"/>
                <w:u w:val="single"/>
              </w:rPr>
              <w:t>baseline</w:t>
            </w:r>
          </w:p>
          <w:p>
            <w:pPr>
              <w:pStyle w:val="TableParagraph"/>
              <w:numPr>
                <w:ilvl w:val="0"/>
                <w:numId w:val="23"/>
              </w:numPr>
              <w:tabs>
                <w:tab w:pos="327" w:val="left" w:leader="none"/>
              </w:tabs>
              <w:spacing w:line="240" w:lineRule="auto" w:before="195" w:after="0"/>
              <w:ind w:left="327" w:right="0" w:hanging="222"/>
              <w:jc w:val="left"/>
              <w:rPr>
                <w:sz w:val="18"/>
              </w:rPr>
            </w:pPr>
            <w:r>
              <w:rPr>
                <w:sz w:val="18"/>
              </w:rPr>
              <w:t>Aspirin:</w:t>
            </w:r>
            <w:r>
              <w:rPr>
                <w:spacing w:val="-5"/>
                <w:sz w:val="18"/>
              </w:rPr>
              <w:t> 15</w:t>
            </w:r>
          </w:p>
          <w:p>
            <w:pPr>
              <w:pStyle w:val="TableParagraph"/>
              <w:numPr>
                <w:ilvl w:val="0"/>
                <w:numId w:val="23"/>
              </w:numPr>
              <w:tabs>
                <w:tab w:pos="327" w:val="left" w:leader="none"/>
              </w:tabs>
              <w:spacing w:line="240" w:lineRule="auto" w:before="37" w:after="0"/>
              <w:ind w:left="327" w:right="0" w:hanging="222"/>
              <w:jc w:val="left"/>
              <w:rPr>
                <w:sz w:val="18"/>
              </w:rPr>
            </w:pPr>
            <w:r>
              <w:rPr>
                <w:sz w:val="18"/>
              </w:rPr>
              <w:t>Warfarin:</w:t>
            </w:r>
            <w:r>
              <w:rPr>
                <w:spacing w:val="-2"/>
                <w:sz w:val="18"/>
              </w:rPr>
              <w:t> </w:t>
            </w:r>
            <w:r>
              <w:rPr>
                <w:spacing w:val="-5"/>
                <w:sz w:val="18"/>
              </w:rPr>
              <w:t>15</w:t>
            </w:r>
          </w:p>
          <w:p>
            <w:pPr>
              <w:pStyle w:val="TableParagraph"/>
              <w:rPr>
                <w:sz w:val="18"/>
              </w:rPr>
            </w:pPr>
          </w:p>
          <w:p>
            <w:pPr>
              <w:pStyle w:val="TableParagraph"/>
              <w:spacing w:before="171"/>
              <w:rPr>
                <w:sz w:val="18"/>
              </w:rPr>
            </w:pPr>
          </w:p>
          <w:p>
            <w:pPr>
              <w:pStyle w:val="TableParagraph"/>
              <w:spacing w:before="1"/>
              <w:ind w:left="105"/>
              <w:rPr>
                <w:sz w:val="18"/>
              </w:rPr>
            </w:pPr>
            <w:r>
              <w:rPr>
                <w:sz w:val="18"/>
                <w:u w:val="single"/>
              </w:rPr>
              <w:t>Age</w:t>
            </w:r>
            <w:r>
              <w:rPr>
                <w:spacing w:val="-4"/>
                <w:sz w:val="18"/>
                <w:u w:val="single"/>
              </w:rPr>
              <w:t> </w:t>
            </w:r>
            <w:r>
              <w:rPr>
                <w:sz w:val="18"/>
                <w:u w:val="single"/>
              </w:rPr>
              <w:t>(mean,</w:t>
            </w:r>
            <w:r>
              <w:rPr>
                <w:spacing w:val="-3"/>
                <w:sz w:val="18"/>
                <w:u w:val="single"/>
              </w:rPr>
              <w:t> </w:t>
            </w:r>
            <w:r>
              <w:rPr>
                <w:spacing w:val="-5"/>
                <w:sz w:val="18"/>
                <w:u w:val="single"/>
              </w:rPr>
              <w:t>SD)</w:t>
            </w:r>
          </w:p>
          <w:p>
            <w:pPr>
              <w:pStyle w:val="TableParagraph"/>
              <w:numPr>
                <w:ilvl w:val="0"/>
                <w:numId w:val="23"/>
              </w:numPr>
              <w:tabs>
                <w:tab w:pos="327" w:val="left" w:leader="none"/>
              </w:tabs>
              <w:spacing w:line="240" w:lineRule="auto" w:before="195" w:after="0"/>
              <w:ind w:left="327" w:right="0" w:hanging="222"/>
              <w:jc w:val="left"/>
              <w:rPr>
                <w:sz w:val="18"/>
              </w:rPr>
            </w:pPr>
            <w:r>
              <w:rPr>
                <w:sz w:val="18"/>
              </w:rPr>
              <w:t>Aspirin:</w:t>
            </w:r>
            <w:r>
              <w:rPr>
                <w:spacing w:val="-3"/>
                <w:sz w:val="18"/>
              </w:rPr>
              <w:t> </w:t>
            </w:r>
            <w:r>
              <w:rPr>
                <w:sz w:val="18"/>
              </w:rPr>
              <w:t>4.8</w:t>
            </w:r>
            <w:r>
              <w:rPr>
                <w:spacing w:val="-3"/>
                <w:sz w:val="18"/>
              </w:rPr>
              <w:t> </w:t>
            </w:r>
            <w:r>
              <w:rPr>
                <w:sz w:val="18"/>
              </w:rPr>
              <w:t>(3.3)</w:t>
            </w:r>
            <w:r>
              <w:rPr>
                <w:spacing w:val="-2"/>
                <w:sz w:val="18"/>
              </w:rPr>
              <w:t> years</w:t>
            </w:r>
          </w:p>
          <w:p>
            <w:pPr>
              <w:pStyle w:val="TableParagraph"/>
              <w:numPr>
                <w:ilvl w:val="0"/>
                <w:numId w:val="23"/>
              </w:numPr>
              <w:tabs>
                <w:tab w:pos="327" w:val="left" w:leader="none"/>
              </w:tabs>
              <w:spacing w:line="240" w:lineRule="auto" w:before="35" w:after="0"/>
              <w:ind w:left="327" w:right="0" w:hanging="222"/>
              <w:jc w:val="left"/>
              <w:rPr>
                <w:sz w:val="18"/>
              </w:rPr>
            </w:pPr>
            <w:r>
              <w:rPr>
                <w:sz w:val="18"/>
              </w:rPr>
              <w:t>Warfarin:</w:t>
            </w:r>
            <w:r>
              <w:rPr>
                <w:spacing w:val="-2"/>
                <w:sz w:val="18"/>
              </w:rPr>
              <w:t> </w:t>
            </w:r>
            <w:r>
              <w:rPr>
                <w:sz w:val="18"/>
              </w:rPr>
              <w:t>5.8</w:t>
            </w:r>
            <w:r>
              <w:rPr>
                <w:spacing w:val="-2"/>
                <w:sz w:val="18"/>
              </w:rPr>
              <w:t> </w:t>
            </w:r>
            <w:r>
              <w:rPr>
                <w:sz w:val="18"/>
              </w:rPr>
              <w:t>(3.8)</w:t>
            </w:r>
            <w:r>
              <w:rPr>
                <w:spacing w:val="-1"/>
                <w:sz w:val="18"/>
              </w:rPr>
              <w:t> </w:t>
            </w:r>
            <w:r>
              <w:rPr>
                <w:spacing w:val="-2"/>
                <w:sz w:val="18"/>
              </w:rPr>
              <w:t>years</w:t>
            </w:r>
          </w:p>
          <w:p>
            <w:pPr>
              <w:pStyle w:val="TableParagraph"/>
              <w:rPr>
                <w:sz w:val="18"/>
              </w:rPr>
            </w:pPr>
          </w:p>
          <w:p>
            <w:pPr>
              <w:pStyle w:val="TableParagraph"/>
              <w:spacing w:before="174"/>
              <w:rPr>
                <w:sz w:val="18"/>
              </w:rPr>
            </w:pPr>
          </w:p>
          <w:p>
            <w:pPr>
              <w:pStyle w:val="TableParagraph"/>
              <w:ind w:left="105"/>
              <w:rPr>
                <w:sz w:val="18"/>
              </w:rPr>
            </w:pPr>
            <w:r>
              <w:rPr>
                <w:spacing w:val="-5"/>
                <w:sz w:val="18"/>
                <w:u w:val="single"/>
              </w:rPr>
              <w:t>Sex</w:t>
            </w:r>
          </w:p>
          <w:p>
            <w:pPr>
              <w:pStyle w:val="TableParagraph"/>
              <w:numPr>
                <w:ilvl w:val="0"/>
                <w:numId w:val="23"/>
              </w:numPr>
              <w:tabs>
                <w:tab w:pos="327" w:val="left" w:leader="none"/>
              </w:tabs>
              <w:spacing w:line="240" w:lineRule="auto" w:before="195" w:after="0"/>
              <w:ind w:left="327" w:right="0" w:hanging="222"/>
              <w:jc w:val="left"/>
              <w:rPr>
                <w:sz w:val="18"/>
              </w:rPr>
            </w:pPr>
            <w:r>
              <w:rPr>
                <w:sz w:val="18"/>
              </w:rPr>
              <w:t>Aspirin:</w:t>
            </w:r>
            <w:r>
              <w:rPr>
                <w:spacing w:val="-3"/>
                <w:sz w:val="18"/>
              </w:rPr>
              <w:t> </w:t>
            </w:r>
            <w:r>
              <w:rPr>
                <w:sz w:val="18"/>
              </w:rPr>
              <w:t>53%</w:t>
            </w:r>
            <w:r>
              <w:rPr>
                <w:spacing w:val="-2"/>
                <w:sz w:val="18"/>
              </w:rPr>
              <w:t> female</w:t>
            </w:r>
          </w:p>
          <w:p>
            <w:pPr>
              <w:pStyle w:val="TableParagraph"/>
              <w:numPr>
                <w:ilvl w:val="0"/>
                <w:numId w:val="23"/>
              </w:numPr>
              <w:tabs>
                <w:tab w:pos="327" w:val="left" w:leader="none"/>
              </w:tabs>
              <w:spacing w:line="240" w:lineRule="auto" w:before="35" w:after="0"/>
              <w:ind w:left="327" w:right="0" w:hanging="222"/>
              <w:jc w:val="left"/>
              <w:rPr>
                <w:sz w:val="18"/>
              </w:rPr>
            </w:pPr>
            <w:r>
              <w:rPr>
                <w:sz w:val="18"/>
              </w:rPr>
              <w:t>Warfarin:</w:t>
            </w:r>
            <w:r>
              <w:rPr>
                <w:spacing w:val="-1"/>
                <w:sz w:val="18"/>
              </w:rPr>
              <w:t> </w:t>
            </w:r>
            <w:r>
              <w:rPr>
                <w:sz w:val="18"/>
              </w:rPr>
              <w:t>33%</w:t>
            </w:r>
            <w:r>
              <w:rPr>
                <w:spacing w:val="-1"/>
                <w:sz w:val="18"/>
              </w:rPr>
              <w:t> </w:t>
            </w:r>
            <w:r>
              <w:rPr>
                <w:spacing w:val="-2"/>
                <w:sz w:val="18"/>
              </w:rPr>
              <w:t>female</w:t>
            </w:r>
          </w:p>
        </w:tc>
        <w:tc>
          <w:tcPr>
            <w:tcW w:w="1677" w:type="dxa"/>
          </w:tcPr>
          <w:p>
            <w:pPr>
              <w:pStyle w:val="TableParagraph"/>
              <w:numPr>
                <w:ilvl w:val="0"/>
                <w:numId w:val="24"/>
              </w:numPr>
              <w:tabs>
                <w:tab w:pos="325" w:val="left" w:leader="none"/>
                <w:tab w:pos="327" w:val="left" w:leader="none"/>
              </w:tabs>
              <w:spacing w:line="278" w:lineRule="auto" w:before="0" w:after="0"/>
              <w:ind w:left="327" w:right="156" w:hanging="224"/>
              <w:jc w:val="left"/>
              <w:rPr>
                <w:sz w:val="18"/>
              </w:rPr>
            </w:pPr>
            <w:r>
              <w:rPr>
                <w:sz w:val="18"/>
              </w:rPr>
              <w:t>Aspirin: 10 mg/kg/</w:t>
            </w:r>
            <w:r>
              <w:rPr>
                <w:spacing w:val="-2"/>
                <w:sz w:val="18"/>
              </w:rPr>
              <w:t> </w:t>
            </w:r>
            <w:r>
              <w:rPr>
                <w:sz w:val="18"/>
              </w:rPr>
              <w:t>day (maximum</w:t>
            </w:r>
            <w:r>
              <w:rPr>
                <w:spacing w:val="-11"/>
                <w:sz w:val="18"/>
              </w:rPr>
              <w:t> </w:t>
            </w:r>
            <w:r>
              <w:rPr>
                <w:sz w:val="18"/>
              </w:rPr>
              <w:t>dose of 100 mg/day)</w:t>
            </w:r>
          </w:p>
          <w:p>
            <w:pPr>
              <w:pStyle w:val="TableParagraph"/>
              <w:numPr>
                <w:ilvl w:val="0"/>
                <w:numId w:val="24"/>
              </w:numPr>
              <w:tabs>
                <w:tab w:pos="325" w:val="left" w:leader="none"/>
                <w:tab w:pos="327" w:val="left" w:leader="none"/>
              </w:tabs>
              <w:spacing w:line="278" w:lineRule="auto" w:before="1" w:after="0"/>
              <w:ind w:left="327" w:right="189" w:hanging="224"/>
              <w:jc w:val="left"/>
              <w:rPr>
                <w:sz w:val="18"/>
              </w:rPr>
            </w:pPr>
            <w:r>
              <w:rPr>
                <w:sz w:val="18"/>
              </w:rPr>
              <w:t>Warfarin:</w:t>
            </w:r>
            <w:r>
              <w:rPr>
                <w:spacing w:val="-11"/>
                <w:sz w:val="18"/>
              </w:rPr>
              <w:t> </w:t>
            </w:r>
            <w:r>
              <w:rPr>
                <w:sz w:val="18"/>
              </w:rPr>
              <w:t>initial dose of 0.1 </w:t>
            </w:r>
            <w:r>
              <w:rPr>
                <w:spacing w:val="-2"/>
                <w:sz w:val="18"/>
              </w:rPr>
              <w:t>mg/kg/day</w:t>
            </w:r>
          </w:p>
        </w:tc>
        <w:tc>
          <w:tcPr>
            <w:tcW w:w="767" w:type="dxa"/>
          </w:tcPr>
          <w:p>
            <w:pPr>
              <w:pStyle w:val="TableParagraph"/>
              <w:spacing w:line="218" w:lineRule="exact"/>
              <w:ind w:left="105"/>
              <w:rPr>
                <w:sz w:val="18"/>
              </w:rPr>
            </w:pPr>
            <w:r>
              <w:rPr>
                <w:sz w:val="18"/>
              </w:rPr>
              <w:t>2 </w:t>
            </w:r>
            <w:r>
              <w:rPr>
                <w:spacing w:val="-2"/>
                <w:sz w:val="18"/>
              </w:rPr>
              <w:t>years</w:t>
            </w:r>
          </w:p>
        </w:tc>
        <w:tc>
          <w:tcPr>
            <w:tcW w:w="4387" w:type="dxa"/>
          </w:tcPr>
          <w:p>
            <w:pPr>
              <w:pStyle w:val="TableParagraph"/>
              <w:numPr>
                <w:ilvl w:val="0"/>
                <w:numId w:val="25"/>
              </w:numPr>
              <w:tabs>
                <w:tab w:pos="330" w:val="left" w:leader="none"/>
              </w:tabs>
              <w:spacing w:line="228" w:lineRule="exact" w:before="0" w:after="0"/>
              <w:ind w:left="330" w:right="0" w:hanging="222"/>
              <w:jc w:val="left"/>
              <w:rPr>
                <w:b/>
                <w:sz w:val="18"/>
              </w:rPr>
            </w:pPr>
            <w:r>
              <w:rPr>
                <w:b/>
                <w:sz w:val="18"/>
              </w:rPr>
              <w:t>Thrombotic</w:t>
            </w:r>
            <w:r>
              <w:rPr>
                <w:b/>
                <w:spacing w:val="-4"/>
                <w:sz w:val="18"/>
              </w:rPr>
              <w:t> </w:t>
            </w:r>
            <w:r>
              <w:rPr>
                <w:b/>
                <w:spacing w:val="-2"/>
                <w:sz w:val="18"/>
              </w:rPr>
              <w:t>complications</w:t>
            </w:r>
          </w:p>
          <w:p>
            <w:pPr>
              <w:pStyle w:val="TableParagraph"/>
              <w:numPr>
                <w:ilvl w:val="0"/>
                <w:numId w:val="25"/>
              </w:numPr>
              <w:tabs>
                <w:tab w:pos="330" w:val="left" w:leader="none"/>
              </w:tabs>
              <w:spacing w:line="240" w:lineRule="auto" w:before="37" w:after="0"/>
              <w:ind w:left="330" w:right="0" w:hanging="222"/>
              <w:jc w:val="left"/>
              <w:rPr>
                <w:b/>
                <w:sz w:val="18"/>
              </w:rPr>
            </w:pPr>
            <w:r>
              <w:rPr>
                <w:b/>
                <w:spacing w:val="-2"/>
                <w:sz w:val="18"/>
              </w:rPr>
              <w:t>Mortality</w:t>
            </w:r>
          </w:p>
        </w:tc>
        <w:tc>
          <w:tcPr>
            <w:tcW w:w="1843" w:type="dxa"/>
          </w:tcPr>
          <w:p>
            <w:pPr>
              <w:pStyle w:val="TableParagraph"/>
              <w:spacing w:line="453" w:lineRule="auto"/>
              <w:ind w:left="106" w:right="1128"/>
              <w:rPr>
                <w:sz w:val="18"/>
              </w:rPr>
            </w:pPr>
            <w:r>
              <w:rPr>
                <w:spacing w:val="-2"/>
                <w:sz w:val="18"/>
                <w:u w:val="single"/>
              </w:rPr>
              <w:t>Funding</w:t>
            </w:r>
            <w:r>
              <w:rPr>
                <w:sz w:val="18"/>
                <w:u w:val="none"/>
              </w:rPr>
              <w:t> </w:t>
            </w:r>
            <w:r>
              <w:rPr>
                <w:spacing w:val="-4"/>
                <w:sz w:val="18"/>
                <w:u w:val="none"/>
              </w:rPr>
              <w:t>None</w:t>
            </w:r>
          </w:p>
          <w:p>
            <w:pPr>
              <w:pStyle w:val="TableParagraph"/>
              <w:spacing w:before="196"/>
              <w:rPr>
                <w:sz w:val="18"/>
              </w:rPr>
            </w:pPr>
          </w:p>
          <w:p>
            <w:pPr>
              <w:pStyle w:val="TableParagraph"/>
              <w:spacing w:line="453" w:lineRule="auto"/>
              <w:ind w:left="106" w:right="101"/>
              <w:rPr>
                <w:sz w:val="18"/>
              </w:rPr>
            </w:pPr>
            <w:r>
              <w:rPr>
                <w:sz w:val="18"/>
                <w:u w:val="single"/>
              </w:rPr>
              <w:t>Conflicts</w:t>
            </w:r>
            <w:r>
              <w:rPr>
                <w:spacing w:val="-11"/>
                <w:sz w:val="18"/>
                <w:u w:val="single"/>
              </w:rPr>
              <w:t> </w:t>
            </w:r>
            <w:r>
              <w:rPr>
                <w:sz w:val="18"/>
                <w:u w:val="single"/>
              </w:rPr>
              <w:t>of</w:t>
            </w:r>
            <w:r>
              <w:rPr>
                <w:spacing w:val="-10"/>
                <w:sz w:val="18"/>
                <w:u w:val="single"/>
              </w:rPr>
              <w:t> </w:t>
            </w:r>
            <w:r>
              <w:rPr>
                <w:sz w:val="18"/>
                <w:u w:val="single"/>
              </w:rPr>
              <w:t>interest</w:t>
            </w:r>
            <w:r>
              <w:rPr>
                <w:sz w:val="18"/>
                <w:u w:val="none"/>
              </w:rPr>
              <w:t> Not reported</w:t>
            </w:r>
          </w:p>
        </w:tc>
        <w:tc>
          <w:tcPr>
            <w:tcW w:w="1982" w:type="dxa"/>
          </w:tcPr>
          <w:p>
            <w:pPr>
              <w:pStyle w:val="TableParagraph"/>
              <w:spacing w:line="280" w:lineRule="auto"/>
              <w:ind w:left="107"/>
              <w:rPr>
                <w:sz w:val="18"/>
              </w:rPr>
            </w:pPr>
            <w:r>
              <w:rPr>
                <w:b/>
                <w:sz w:val="18"/>
              </w:rPr>
              <w:t>Some</w:t>
            </w:r>
            <w:r>
              <w:rPr>
                <w:b/>
                <w:spacing w:val="-11"/>
                <w:sz w:val="18"/>
              </w:rPr>
              <w:t> </w:t>
            </w:r>
            <w:r>
              <w:rPr>
                <w:b/>
                <w:sz w:val="18"/>
              </w:rPr>
              <w:t>concerns</w:t>
            </w:r>
            <w:r>
              <w:rPr>
                <w:b/>
                <w:spacing w:val="-10"/>
                <w:sz w:val="18"/>
              </w:rPr>
              <w:t> </w:t>
            </w:r>
            <w:r>
              <w:rPr>
                <w:sz w:val="18"/>
              </w:rPr>
              <w:t>(for</w:t>
            </w:r>
            <w:r>
              <w:rPr>
                <w:spacing w:val="-10"/>
                <w:sz w:val="18"/>
              </w:rPr>
              <w:t> </w:t>
            </w:r>
            <w:r>
              <w:rPr>
                <w:sz w:val="18"/>
              </w:rPr>
              <w:t>all outcome</w:t>
            </w:r>
            <w:r>
              <w:rPr>
                <w:spacing w:val="-2"/>
                <w:sz w:val="18"/>
              </w:rPr>
              <w:t> </w:t>
            </w:r>
            <w:r>
              <w:rPr>
                <w:sz w:val="18"/>
              </w:rPr>
              <w:t>measures)</w:t>
            </w:r>
          </w:p>
        </w:tc>
      </w:tr>
      <w:tr>
        <w:trPr>
          <w:trHeight w:val="3600" w:hRule="atLeast"/>
        </w:trPr>
        <w:tc>
          <w:tcPr>
            <w:tcW w:w="1260" w:type="dxa"/>
          </w:tcPr>
          <w:p>
            <w:pPr>
              <w:pStyle w:val="TableParagraph"/>
              <w:spacing w:before="1"/>
              <w:ind w:right="84"/>
              <w:jc w:val="center"/>
              <w:rPr>
                <w:sz w:val="18"/>
              </w:rPr>
            </w:pPr>
            <w:r>
              <w:rPr>
                <w:sz w:val="18"/>
              </w:rPr>
              <w:t>Seipelt,</w:t>
            </w:r>
            <w:r>
              <w:rPr>
                <w:spacing w:val="-5"/>
                <w:sz w:val="18"/>
              </w:rPr>
              <w:t> </w:t>
            </w:r>
            <w:r>
              <w:rPr>
                <w:spacing w:val="-4"/>
                <w:sz w:val="18"/>
              </w:rPr>
              <w:t>2002</w:t>
            </w:r>
          </w:p>
        </w:tc>
        <w:tc>
          <w:tcPr>
            <w:tcW w:w="2248" w:type="dxa"/>
          </w:tcPr>
          <w:p>
            <w:pPr>
              <w:pStyle w:val="TableParagraph"/>
              <w:spacing w:before="1"/>
              <w:ind w:left="105"/>
              <w:rPr>
                <w:sz w:val="18"/>
              </w:rPr>
            </w:pPr>
            <w:r>
              <w:rPr>
                <w:sz w:val="18"/>
                <w:u w:val="single"/>
              </w:rPr>
              <w:t>N</w:t>
            </w:r>
            <w:r>
              <w:rPr>
                <w:spacing w:val="-3"/>
                <w:sz w:val="18"/>
                <w:u w:val="single"/>
              </w:rPr>
              <w:t> </w:t>
            </w:r>
            <w:r>
              <w:rPr>
                <w:sz w:val="18"/>
                <w:u w:val="single"/>
              </w:rPr>
              <w:t>at </w:t>
            </w:r>
            <w:r>
              <w:rPr>
                <w:spacing w:val="-2"/>
                <w:sz w:val="18"/>
                <w:u w:val="single"/>
              </w:rPr>
              <w:t>baseline</w:t>
            </w:r>
          </w:p>
          <w:p>
            <w:pPr>
              <w:pStyle w:val="TableParagraph"/>
              <w:numPr>
                <w:ilvl w:val="0"/>
                <w:numId w:val="26"/>
              </w:numPr>
              <w:tabs>
                <w:tab w:pos="327" w:val="left" w:leader="none"/>
              </w:tabs>
              <w:spacing w:line="240" w:lineRule="auto" w:before="196" w:after="0"/>
              <w:ind w:left="327" w:right="0" w:hanging="222"/>
              <w:jc w:val="left"/>
              <w:rPr>
                <w:sz w:val="18"/>
              </w:rPr>
            </w:pPr>
            <w:r>
              <w:rPr>
                <w:sz w:val="18"/>
              </w:rPr>
              <w:t>Aspirin:</w:t>
            </w:r>
            <w:r>
              <w:rPr>
                <w:spacing w:val="-5"/>
                <w:sz w:val="18"/>
              </w:rPr>
              <w:t> 14</w:t>
            </w:r>
          </w:p>
          <w:p>
            <w:pPr>
              <w:pStyle w:val="TableParagraph"/>
              <w:numPr>
                <w:ilvl w:val="0"/>
                <w:numId w:val="26"/>
              </w:numPr>
              <w:tabs>
                <w:tab w:pos="327" w:val="left" w:leader="none"/>
              </w:tabs>
              <w:spacing w:line="240" w:lineRule="auto" w:before="34" w:after="0"/>
              <w:ind w:left="327" w:right="0" w:hanging="222"/>
              <w:jc w:val="left"/>
              <w:rPr>
                <w:sz w:val="18"/>
              </w:rPr>
            </w:pPr>
            <w:r>
              <w:rPr>
                <w:sz w:val="18"/>
              </w:rPr>
              <w:t>Warfarin:</w:t>
            </w:r>
            <w:r>
              <w:rPr>
                <w:spacing w:val="-2"/>
                <w:sz w:val="18"/>
              </w:rPr>
              <w:t> </w:t>
            </w:r>
            <w:r>
              <w:rPr>
                <w:spacing w:val="-5"/>
                <w:sz w:val="18"/>
              </w:rPr>
              <w:t>26</w:t>
            </w:r>
          </w:p>
          <w:p>
            <w:pPr>
              <w:pStyle w:val="TableParagraph"/>
              <w:rPr>
                <w:sz w:val="18"/>
              </w:rPr>
            </w:pPr>
          </w:p>
          <w:p>
            <w:pPr>
              <w:pStyle w:val="TableParagraph"/>
              <w:spacing w:before="171"/>
              <w:rPr>
                <w:sz w:val="18"/>
              </w:rPr>
            </w:pPr>
          </w:p>
          <w:p>
            <w:pPr>
              <w:pStyle w:val="TableParagraph"/>
              <w:spacing w:before="1"/>
              <w:ind w:left="105"/>
              <w:rPr>
                <w:position w:val="5"/>
                <w:sz w:val="12"/>
              </w:rPr>
            </w:pPr>
            <w:r>
              <w:rPr>
                <w:sz w:val="18"/>
                <w:u w:val="single"/>
              </w:rPr>
              <w:t>Age</w:t>
            </w:r>
            <w:r>
              <w:rPr>
                <w:spacing w:val="-4"/>
                <w:sz w:val="18"/>
                <w:u w:val="single"/>
              </w:rPr>
              <w:t> </w:t>
            </w:r>
            <w:r>
              <w:rPr>
                <w:sz w:val="18"/>
                <w:u w:val="single"/>
              </w:rPr>
              <w:t>(mean,</w:t>
            </w:r>
            <w:r>
              <w:rPr>
                <w:spacing w:val="-3"/>
                <w:sz w:val="18"/>
                <w:u w:val="single"/>
              </w:rPr>
              <w:t> </w:t>
            </w:r>
            <w:r>
              <w:rPr>
                <w:spacing w:val="-4"/>
                <w:sz w:val="18"/>
                <w:u w:val="single"/>
              </w:rPr>
              <w:t>SD)</w:t>
            </w:r>
            <w:r>
              <w:rPr>
                <w:spacing w:val="-4"/>
                <w:position w:val="5"/>
                <w:sz w:val="12"/>
                <w:u w:val="none"/>
              </w:rPr>
              <w:t>1</w:t>
            </w:r>
          </w:p>
          <w:p>
            <w:pPr>
              <w:pStyle w:val="TableParagraph"/>
              <w:spacing w:before="195"/>
              <w:ind w:left="105"/>
              <w:rPr>
                <w:sz w:val="18"/>
              </w:rPr>
            </w:pPr>
            <w:r>
              <w:rPr>
                <w:sz w:val="18"/>
              </w:rPr>
              <w:t>7.3</w:t>
            </w:r>
            <w:r>
              <w:rPr>
                <w:spacing w:val="-2"/>
                <w:sz w:val="18"/>
              </w:rPr>
              <w:t> </w:t>
            </w:r>
            <w:r>
              <w:rPr>
                <w:sz w:val="18"/>
              </w:rPr>
              <w:t>(8.1)</w:t>
            </w:r>
            <w:r>
              <w:rPr>
                <w:spacing w:val="-1"/>
                <w:sz w:val="18"/>
              </w:rPr>
              <w:t> </w:t>
            </w:r>
            <w:r>
              <w:rPr>
                <w:spacing w:val="-2"/>
                <w:sz w:val="18"/>
              </w:rPr>
              <w:t>years</w:t>
            </w:r>
          </w:p>
          <w:p>
            <w:pPr>
              <w:pStyle w:val="TableParagraph"/>
              <w:rPr>
                <w:sz w:val="18"/>
              </w:rPr>
            </w:pPr>
          </w:p>
          <w:p>
            <w:pPr>
              <w:pStyle w:val="TableParagraph"/>
              <w:spacing w:before="174"/>
              <w:rPr>
                <w:sz w:val="18"/>
              </w:rPr>
            </w:pPr>
          </w:p>
          <w:p>
            <w:pPr>
              <w:pStyle w:val="TableParagraph"/>
              <w:ind w:left="105"/>
              <w:rPr>
                <w:sz w:val="18"/>
              </w:rPr>
            </w:pPr>
            <w:r>
              <w:rPr>
                <w:spacing w:val="-5"/>
                <w:sz w:val="18"/>
                <w:u w:val="single"/>
              </w:rPr>
              <w:t>Sex</w:t>
            </w:r>
          </w:p>
          <w:p>
            <w:pPr>
              <w:pStyle w:val="TableParagraph"/>
              <w:spacing w:before="196"/>
              <w:ind w:left="105"/>
              <w:rPr>
                <w:sz w:val="18"/>
              </w:rPr>
            </w:pPr>
            <w:r>
              <w:rPr>
                <w:sz w:val="18"/>
              </w:rPr>
              <w:t>46% </w:t>
            </w:r>
            <w:r>
              <w:rPr>
                <w:spacing w:val="-2"/>
                <w:sz w:val="18"/>
              </w:rPr>
              <w:t>female</w:t>
            </w:r>
          </w:p>
        </w:tc>
        <w:tc>
          <w:tcPr>
            <w:tcW w:w="1677" w:type="dxa"/>
          </w:tcPr>
          <w:p>
            <w:pPr>
              <w:pStyle w:val="TableParagraph"/>
              <w:numPr>
                <w:ilvl w:val="0"/>
                <w:numId w:val="27"/>
              </w:numPr>
              <w:tabs>
                <w:tab w:pos="325" w:val="left" w:leader="none"/>
                <w:tab w:pos="327" w:val="left" w:leader="none"/>
              </w:tabs>
              <w:spacing w:line="276" w:lineRule="auto" w:before="1" w:after="0"/>
              <w:ind w:left="327" w:right="318" w:hanging="224"/>
              <w:jc w:val="left"/>
              <w:rPr>
                <w:sz w:val="18"/>
              </w:rPr>
            </w:pPr>
            <w:r>
              <w:rPr>
                <w:sz w:val="18"/>
              </w:rPr>
              <w:t>Aspirin:</w:t>
            </w:r>
            <w:r>
              <w:rPr>
                <w:spacing w:val="-11"/>
                <w:sz w:val="18"/>
              </w:rPr>
              <w:t> </w:t>
            </w:r>
            <w:r>
              <w:rPr>
                <w:sz w:val="18"/>
              </w:rPr>
              <w:t>2</w:t>
            </w:r>
            <w:r>
              <w:rPr>
                <w:spacing w:val="-10"/>
                <w:sz w:val="18"/>
              </w:rPr>
              <w:t> </w:t>
            </w:r>
            <w:r>
              <w:rPr>
                <w:sz w:val="18"/>
              </w:rPr>
              <w:t>to</w:t>
            </w:r>
            <w:r>
              <w:rPr>
                <w:spacing w:val="-10"/>
                <w:sz w:val="18"/>
              </w:rPr>
              <w:t> </w:t>
            </w:r>
            <w:r>
              <w:rPr>
                <w:sz w:val="18"/>
              </w:rPr>
              <w:t>3 </w:t>
            </w:r>
            <w:r>
              <w:rPr>
                <w:spacing w:val="-2"/>
                <w:sz w:val="18"/>
              </w:rPr>
              <w:t>mg/kg/d</w:t>
            </w:r>
          </w:p>
          <w:p>
            <w:pPr>
              <w:pStyle w:val="TableParagraph"/>
              <w:numPr>
                <w:ilvl w:val="0"/>
                <w:numId w:val="27"/>
              </w:numPr>
              <w:tabs>
                <w:tab w:pos="325" w:val="left" w:leader="none"/>
                <w:tab w:pos="327" w:val="left" w:leader="none"/>
              </w:tabs>
              <w:spacing w:line="278" w:lineRule="auto" w:before="4" w:after="0"/>
              <w:ind w:left="327" w:right="88" w:hanging="224"/>
              <w:jc w:val="left"/>
              <w:rPr>
                <w:sz w:val="18"/>
              </w:rPr>
            </w:pPr>
            <w:r>
              <w:rPr>
                <w:sz w:val="18"/>
              </w:rPr>
              <w:t>Warfarin: target </w:t>
            </w:r>
            <w:r>
              <w:rPr>
                <w:spacing w:val="-2"/>
                <w:sz w:val="18"/>
              </w:rPr>
              <w:t>internationalized</w:t>
            </w:r>
            <w:r>
              <w:rPr>
                <w:sz w:val="18"/>
              </w:rPr>
              <w:t> normalized</w:t>
            </w:r>
            <w:r>
              <w:rPr>
                <w:spacing w:val="-2"/>
                <w:sz w:val="18"/>
              </w:rPr>
              <w:t> </w:t>
            </w:r>
            <w:r>
              <w:rPr>
                <w:sz w:val="18"/>
              </w:rPr>
              <w:t>ratio between</w:t>
            </w:r>
            <w:r>
              <w:rPr>
                <w:spacing w:val="-2"/>
                <w:sz w:val="18"/>
              </w:rPr>
              <w:t> </w:t>
            </w:r>
            <w:r>
              <w:rPr>
                <w:sz w:val="18"/>
              </w:rPr>
              <w:t>2.2</w:t>
            </w:r>
            <w:r>
              <w:rPr>
                <w:spacing w:val="-1"/>
                <w:sz w:val="18"/>
              </w:rPr>
              <w:t> </w:t>
            </w:r>
            <w:r>
              <w:rPr>
                <w:spacing w:val="-5"/>
                <w:sz w:val="18"/>
              </w:rPr>
              <w:t>and</w:t>
            </w:r>
          </w:p>
          <w:p>
            <w:pPr>
              <w:pStyle w:val="TableParagraph"/>
              <w:spacing w:before="2"/>
              <w:ind w:left="327"/>
              <w:rPr>
                <w:sz w:val="18"/>
              </w:rPr>
            </w:pPr>
            <w:r>
              <w:rPr>
                <w:spacing w:val="-5"/>
                <w:sz w:val="18"/>
              </w:rPr>
              <w:t>2.7</w:t>
            </w:r>
          </w:p>
        </w:tc>
        <w:tc>
          <w:tcPr>
            <w:tcW w:w="767" w:type="dxa"/>
          </w:tcPr>
          <w:p>
            <w:pPr>
              <w:pStyle w:val="TableParagraph"/>
              <w:spacing w:before="1"/>
              <w:ind w:left="105"/>
              <w:rPr>
                <w:sz w:val="18"/>
              </w:rPr>
            </w:pPr>
            <w:r>
              <w:rPr>
                <w:sz w:val="18"/>
              </w:rPr>
              <w:t>5.7 </w:t>
            </w:r>
            <w:r>
              <w:rPr>
                <w:spacing w:val="-10"/>
                <w:sz w:val="18"/>
              </w:rPr>
              <w:t>±</w:t>
            </w:r>
          </w:p>
          <w:p>
            <w:pPr>
              <w:pStyle w:val="TableParagraph"/>
              <w:spacing w:before="34"/>
              <w:ind w:left="105"/>
              <w:rPr>
                <w:sz w:val="18"/>
              </w:rPr>
            </w:pPr>
            <w:r>
              <w:rPr>
                <w:spacing w:val="-5"/>
                <w:sz w:val="18"/>
              </w:rPr>
              <w:t>3.5</w:t>
            </w:r>
          </w:p>
          <w:p>
            <w:pPr>
              <w:pStyle w:val="TableParagraph"/>
              <w:spacing w:before="36"/>
              <w:ind w:left="105"/>
              <w:rPr>
                <w:sz w:val="18"/>
              </w:rPr>
            </w:pPr>
            <w:r>
              <w:rPr>
                <w:spacing w:val="-2"/>
                <w:sz w:val="18"/>
              </w:rPr>
              <w:t>years</w:t>
            </w:r>
          </w:p>
        </w:tc>
        <w:tc>
          <w:tcPr>
            <w:tcW w:w="4387" w:type="dxa"/>
          </w:tcPr>
          <w:p>
            <w:pPr>
              <w:pStyle w:val="TableParagraph"/>
              <w:numPr>
                <w:ilvl w:val="0"/>
                <w:numId w:val="28"/>
              </w:numPr>
              <w:tabs>
                <w:tab w:pos="329" w:val="left" w:leader="none"/>
                <w:tab w:pos="331" w:val="left" w:leader="none"/>
              </w:tabs>
              <w:spacing w:line="276" w:lineRule="auto" w:before="1" w:after="0"/>
              <w:ind w:left="331" w:right="241" w:hanging="224"/>
              <w:jc w:val="left"/>
              <w:rPr>
                <w:sz w:val="18"/>
              </w:rPr>
            </w:pPr>
            <w:r>
              <w:rPr>
                <w:b/>
                <w:sz w:val="18"/>
              </w:rPr>
              <w:t>Thrombotic</w:t>
            </w:r>
            <w:r>
              <w:rPr>
                <w:b/>
                <w:spacing w:val="-11"/>
                <w:sz w:val="18"/>
              </w:rPr>
              <w:t> </w:t>
            </w:r>
            <w:r>
              <w:rPr>
                <w:b/>
                <w:sz w:val="18"/>
              </w:rPr>
              <w:t>complications</w:t>
            </w:r>
            <w:r>
              <w:rPr>
                <w:b/>
                <w:spacing w:val="-10"/>
                <w:sz w:val="18"/>
              </w:rPr>
              <w:t> </w:t>
            </w:r>
            <w:r>
              <w:rPr>
                <w:sz w:val="18"/>
              </w:rPr>
              <w:t>(thromboembolic</w:t>
            </w:r>
            <w:r>
              <w:rPr>
                <w:spacing w:val="-10"/>
                <w:sz w:val="18"/>
              </w:rPr>
              <w:t> </w:t>
            </w:r>
            <w:r>
              <w:rPr>
                <w:sz w:val="18"/>
              </w:rPr>
              <w:t>events or thrombus formation)</w:t>
            </w:r>
          </w:p>
        </w:tc>
        <w:tc>
          <w:tcPr>
            <w:tcW w:w="1843" w:type="dxa"/>
          </w:tcPr>
          <w:p>
            <w:pPr>
              <w:pStyle w:val="TableParagraph"/>
              <w:spacing w:before="1"/>
              <w:ind w:left="106"/>
              <w:rPr>
                <w:sz w:val="18"/>
              </w:rPr>
            </w:pPr>
            <w:r>
              <w:rPr>
                <w:spacing w:val="-2"/>
                <w:sz w:val="18"/>
                <w:u w:val="single"/>
              </w:rPr>
              <w:t>Funding</w:t>
            </w:r>
          </w:p>
          <w:p>
            <w:pPr>
              <w:pStyle w:val="TableParagraph"/>
              <w:spacing w:before="196"/>
              <w:ind w:left="106"/>
              <w:rPr>
                <w:sz w:val="18"/>
              </w:rPr>
            </w:pPr>
            <w:r>
              <w:rPr>
                <w:sz w:val="18"/>
              </w:rPr>
              <w:t>Not</w:t>
            </w:r>
            <w:r>
              <w:rPr>
                <w:spacing w:val="-3"/>
                <w:sz w:val="18"/>
              </w:rPr>
              <w:t> </w:t>
            </w:r>
            <w:r>
              <w:rPr>
                <w:spacing w:val="-2"/>
                <w:sz w:val="18"/>
              </w:rPr>
              <w:t>reported</w:t>
            </w:r>
          </w:p>
          <w:p>
            <w:pPr>
              <w:pStyle w:val="TableParagraph"/>
              <w:rPr>
                <w:sz w:val="18"/>
              </w:rPr>
            </w:pPr>
          </w:p>
          <w:p>
            <w:pPr>
              <w:pStyle w:val="TableParagraph"/>
              <w:spacing w:before="171"/>
              <w:rPr>
                <w:sz w:val="18"/>
              </w:rPr>
            </w:pPr>
          </w:p>
          <w:p>
            <w:pPr>
              <w:pStyle w:val="TableParagraph"/>
              <w:spacing w:line="453" w:lineRule="auto"/>
              <w:ind w:left="106" w:right="101"/>
              <w:rPr>
                <w:sz w:val="18"/>
              </w:rPr>
            </w:pPr>
            <w:r>
              <w:rPr>
                <w:sz w:val="18"/>
                <w:u w:val="single"/>
              </w:rPr>
              <w:t>Conflicts</w:t>
            </w:r>
            <w:r>
              <w:rPr>
                <w:spacing w:val="-11"/>
                <w:sz w:val="18"/>
                <w:u w:val="single"/>
              </w:rPr>
              <w:t> </w:t>
            </w:r>
            <w:r>
              <w:rPr>
                <w:sz w:val="18"/>
                <w:u w:val="single"/>
              </w:rPr>
              <w:t>of</w:t>
            </w:r>
            <w:r>
              <w:rPr>
                <w:spacing w:val="-10"/>
                <w:sz w:val="18"/>
                <w:u w:val="single"/>
              </w:rPr>
              <w:t> </w:t>
            </w:r>
            <w:r>
              <w:rPr>
                <w:sz w:val="18"/>
                <w:u w:val="single"/>
              </w:rPr>
              <w:t>interest</w:t>
            </w:r>
            <w:r>
              <w:rPr>
                <w:sz w:val="18"/>
                <w:u w:val="none"/>
              </w:rPr>
              <w:t> Not reported</w:t>
            </w:r>
          </w:p>
        </w:tc>
        <w:tc>
          <w:tcPr>
            <w:tcW w:w="1982" w:type="dxa"/>
          </w:tcPr>
          <w:p>
            <w:pPr>
              <w:pStyle w:val="TableParagraph"/>
              <w:spacing w:line="278" w:lineRule="auto" w:before="1"/>
              <w:ind w:left="107"/>
              <w:rPr>
                <w:sz w:val="18"/>
              </w:rPr>
            </w:pPr>
            <w:r>
              <w:rPr>
                <w:b/>
                <w:sz w:val="18"/>
              </w:rPr>
              <w:t>Some</w:t>
            </w:r>
            <w:r>
              <w:rPr>
                <w:b/>
                <w:spacing w:val="-11"/>
                <w:sz w:val="18"/>
              </w:rPr>
              <w:t> </w:t>
            </w:r>
            <w:r>
              <w:rPr>
                <w:b/>
                <w:sz w:val="18"/>
              </w:rPr>
              <w:t>concerns</w:t>
            </w:r>
            <w:r>
              <w:rPr>
                <w:b/>
                <w:spacing w:val="-10"/>
                <w:sz w:val="18"/>
              </w:rPr>
              <w:t> </w:t>
            </w:r>
            <w:r>
              <w:rPr>
                <w:sz w:val="18"/>
              </w:rPr>
              <w:t>(for</w:t>
            </w:r>
            <w:r>
              <w:rPr>
                <w:spacing w:val="-10"/>
                <w:sz w:val="18"/>
              </w:rPr>
              <w:t> </w:t>
            </w:r>
            <w:r>
              <w:rPr>
                <w:sz w:val="18"/>
              </w:rPr>
              <w:t>all outcome</w:t>
            </w:r>
            <w:r>
              <w:rPr>
                <w:spacing w:val="-2"/>
                <w:sz w:val="18"/>
              </w:rPr>
              <w:t> </w:t>
            </w:r>
            <w:r>
              <w:rPr>
                <w:sz w:val="18"/>
              </w:rPr>
              <w:t>measures)</w:t>
            </w:r>
          </w:p>
        </w:tc>
      </w:tr>
      <w:tr>
        <w:trPr>
          <w:trHeight w:val="680" w:hRule="atLeast"/>
        </w:trPr>
        <w:tc>
          <w:tcPr>
            <w:tcW w:w="1260" w:type="dxa"/>
          </w:tcPr>
          <w:p>
            <w:pPr>
              <w:pStyle w:val="TableParagraph"/>
              <w:spacing w:line="280" w:lineRule="auto"/>
              <w:ind w:left="105" w:right="141"/>
              <w:rPr>
                <w:sz w:val="18"/>
              </w:rPr>
            </w:pPr>
            <w:r>
              <w:rPr>
                <w:spacing w:val="-2"/>
                <w:sz w:val="18"/>
              </w:rPr>
              <w:t>McCrindle,</w:t>
            </w:r>
            <w:r>
              <w:rPr>
                <w:sz w:val="18"/>
              </w:rPr>
              <w:t> </w:t>
            </w:r>
            <w:r>
              <w:rPr>
                <w:spacing w:val="-4"/>
                <w:sz w:val="18"/>
              </w:rPr>
              <w:t>2013</w:t>
            </w:r>
          </w:p>
        </w:tc>
        <w:tc>
          <w:tcPr>
            <w:tcW w:w="2248" w:type="dxa"/>
          </w:tcPr>
          <w:p>
            <w:pPr>
              <w:pStyle w:val="TableParagraph"/>
              <w:spacing w:line="218" w:lineRule="exact"/>
              <w:ind w:left="105"/>
              <w:rPr>
                <w:sz w:val="18"/>
              </w:rPr>
            </w:pPr>
            <w:r>
              <w:rPr>
                <w:sz w:val="18"/>
                <w:u w:val="single"/>
              </w:rPr>
              <w:t>N</w:t>
            </w:r>
            <w:r>
              <w:rPr>
                <w:spacing w:val="-3"/>
                <w:sz w:val="18"/>
                <w:u w:val="single"/>
              </w:rPr>
              <w:t> </w:t>
            </w:r>
            <w:r>
              <w:rPr>
                <w:sz w:val="18"/>
                <w:u w:val="single"/>
              </w:rPr>
              <w:t>at </w:t>
            </w:r>
            <w:r>
              <w:rPr>
                <w:spacing w:val="-2"/>
                <w:sz w:val="18"/>
                <w:u w:val="single"/>
              </w:rPr>
              <w:t>baseline</w:t>
            </w:r>
          </w:p>
          <w:p>
            <w:pPr>
              <w:pStyle w:val="TableParagraph"/>
              <w:numPr>
                <w:ilvl w:val="0"/>
                <w:numId w:val="29"/>
              </w:numPr>
              <w:tabs>
                <w:tab w:pos="327" w:val="left" w:leader="none"/>
              </w:tabs>
              <w:spacing w:line="240" w:lineRule="auto" w:before="195" w:after="0"/>
              <w:ind w:left="327" w:right="0" w:hanging="222"/>
              <w:jc w:val="left"/>
              <w:rPr>
                <w:sz w:val="18"/>
              </w:rPr>
            </w:pPr>
            <w:r>
              <w:rPr>
                <w:sz w:val="18"/>
              </w:rPr>
              <w:t>Aspirin:</w:t>
            </w:r>
            <w:r>
              <w:rPr>
                <w:spacing w:val="-5"/>
                <w:sz w:val="18"/>
              </w:rPr>
              <w:t> 57</w:t>
            </w:r>
          </w:p>
        </w:tc>
        <w:tc>
          <w:tcPr>
            <w:tcW w:w="1677" w:type="dxa"/>
          </w:tcPr>
          <w:p>
            <w:pPr>
              <w:pStyle w:val="TableParagraph"/>
              <w:numPr>
                <w:ilvl w:val="0"/>
                <w:numId w:val="30"/>
              </w:numPr>
              <w:tabs>
                <w:tab w:pos="325" w:val="left" w:leader="none"/>
                <w:tab w:pos="327" w:val="left" w:leader="none"/>
              </w:tabs>
              <w:spacing w:line="276" w:lineRule="auto" w:before="0" w:after="0"/>
              <w:ind w:left="327" w:right="483" w:hanging="224"/>
              <w:jc w:val="left"/>
              <w:rPr>
                <w:sz w:val="18"/>
              </w:rPr>
            </w:pPr>
            <w:r>
              <w:rPr>
                <w:sz w:val="18"/>
              </w:rPr>
              <w:t>Aspirin</w:t>
            </w:r>
            <w:r>
              <w:rPr>
                <w:spacing w:val="-2"/>
                <w:sz w:val="18"/>
              </w:rPr>
              <w:t> </w:t>
            </w:r>
            <w:r>
              <w:rPr>
                <w:sz w:val="18"/>
              </w:rPr>
              <w:t>(5 </w:t>
            </w:r>
            <w:r>
              <w:rPr>
                <w:spacing w:val="-2"/>
                <w:sz w:val="18"/>
              </w:rPr>
              <w:t>mg/kg/day)</w:t>
            </w:r>
          </w:p>
        </w:tc>
        <w:tc>
          <w:tcPr>
            <w:tcW w:w="767" w:type="dxa"/>
          </w:tcPr>
          <w:p>
            <w:pPr>
              <w:pStyle w:val="TableParagraph"/>
              <w:spacing w:line="218" w:lineRule="exact"/>
              <w:ind w:left="105"/>
              <w:rPr>
                <w:sz w:val="18"/>
              </w:rPr>
            </w:pPr>
            <w:r>
              <w:rPr>
                <w:spacing w:val="-5"/>
                <w:sz w:val="18"/>
              </w:rPr>
              <w:t>2.5</w:t>
            </w:r>
          </w:p>
          <w:p>
            <w:pPr>
              <w:pStyle w:val="TableParagraph"/>
              <w:spacing w:before="37"/>
              <w:ind w:left="105"/>
              <w:rPr>
                <w:sz w:val="18"/>
              </w:rPr>
            </w:pPr>
            <w:r>
              <w:rPr>
                <w:spacing w:val="-2"/>
                <w:sz w:val="18"/>
              </w:rPr>
              <w:t>years</w:t>
            </w:r>
          </w:p>
        </w:tc>
        <w:tc>
          <w:tcPr>
            <w:tcW w:w="4387" w:type="dxa"/>
          </w:tcPr>
          <w:p>
            <w:pPr>
              <w:pStyle w:val="TableParagraph"/>
              <w:numPr>
                <w:ilvl w:val="0"/>
                <w:numId w:val="31"/>
              </w:numPr>
              <w:tabs>
                <w:tab w:pos="330" w:val="left" w:leader="none"/>
              </w:tabs>
              <w:spacing w:line="228" w:lineRule="exact" w:before="0" w:after="0"/>
              <w:ind w:left="330" w:right="0" w:hanging="222"/>
              <w:jc w:val="left"/>
              <w:rPr>
                <w:b/>
                <w:sz w:val="18"/>
              </w:rPr>
            </w:pPr>
            <w:r>
              <w:rPr>
                <w:b/>
                <w:sz w:val="18"/>
              </w:rPr>
              <w:t>Thrombotic</w:t>
            </w:r>
            <w:r>
              <w:rPr>
                <w:b/>
                <w:spacing w:val="-4"/>
                <w:sz w:val="18"/>
              </w:rPr>
              <w:t> </w:t>
            </w:r>
            <w:r>
              <w:rPr>
                <w:b/>
                <w:spacing w:val="-2"/>
                <w:sz w:val="18"/>
              </w:rPr>
              <w:t>complications</w:t>
            </w:r>
          </w:p>
        </w:tc>
        <w:tc>
          <w:tcPr>
            <w:tcW w:w="1843" w:type="dxa"/>
          </w:tcPr>
          <w:p>
            <w:pPr>
              <w:pStyle w:val="TableParagraph"/>
              <w:spacing w:line="218" w:lineRule="exact"/>
              <w:ind w:left="106"/>
              <w:rPr>
                <w:sz w:val="18"/>
              </w:rPr>
            </w:pPr>
            <w:r>
              <w:rPr>
                <w:spacing w:val="-2"/>
                <w:sz w:val="18"/>
                <w:u w:val="single"/>
              </w:rPr>
              <w:t>Funding</w:t>
            </w:r>
          </w:p>
        </w:tc>
        <w:tc>
          <w:tcPr>
            <w:tcW w:w="1982" w:type="dxa"/>
          </w:tcPr>
          <w:p>
            <w:pPr>
              <w:pStyle w:val="TableParagraph"/>
              <w:spacing w:line="280" w:lineRule="auto"/>
              <w:ind w:left="107"/>
              <w:rPr>
                <w:sz w:val="18"/>
              </w:rPr>
            </w:pPr>
            <w:r>
              <w:rPr>
                <w:b/>
                <w:sz w:val="18"/>
              </w:rPr>
              <w:t>Some</w:t>
            </w:r>
            <w:r>
              <w:rPr>
                <w:b/>
                <w:spacing w:val="-11"/>
                <w:sz w:val="18"/>
              </w:rPr>
              <w:t> </w:t>
            </w:r>
            <w:r>
              <w:rPr>
                <w:b/>
                <w:sz w:val="18"/>
              </w:rPr>
              <w:t>concerns</w:t>
            </w:r>
            <w:r>
              <w:rPr>
                <w:b/>
                <w:spacing w:val="-10"/>
                <w:sz w:val="18"/>
              </w:rPr>
              <w:t> </w:t>
            </w:r>
            <w:r>
              <w:rPr>
                <w:sz w:val="18"/>
              </w:rPr>
              <w:t>(for</w:t>
            </w:r>
            <w:r>
              <w:rPr>
                <w:spacing w:val="-10"/>
                <w:sz w:val="18"/>
              </w:rPr>
              <w:t> </w:t>
            </w:r>
            <w:r>
              <w:rPr>
                <w:sz w:val="18"/>
              </w:rPr>
              <w:t>all outcome</w:t>
            </w:r>
            <w:r>
              <w:rPr>
                <w:spacing w:val="-2"/>
                <w:sz w:val="18"/>
              </w:rPr>
              <w:t> </w:t>
            </w:r>
            <w:r>
              <w:rPr>
                <w:sz w:val="18"/>
              </w:rPr>
              <w:t>measures)</w:t>
            </w:r>
          </w:p>
        </w:tc>
      </w:tr>
    </w:tbl>
    <w:p>
      <w:pPr>
        <w:pStyle w:val="TableParagraph"/>
        <w:spacing w:after="0" w:line="280" w:lineRule="auto"/>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60"/>
        <w:gridCol w:w="2248"/>
        <w:gridCol w:w="1677"/>
        <w:gridCol w:w="767"/>
        <w:gridCol w:w="4387"/>
        <w:gridCol w:w="1843"/>
        <w:gridCol w:w="1982"/>
      </w:tblGrid>
      <w:tr>
        <w:trPr>
          <w:trHeight w:val="7346" w:hRule="atLeast"/>
        </w:trPr>
        <w:tc>
          <w:tcPr>
            <w:tcW w:w="1260" w:type="dxa"/>
          </w:tcPr>
          <w:p>
            <w:pPr>
              <w:pStyle w:val="TableParagraph"/>
              <w:rPr>
                <w:rFonts w:ascii="Times New Roman"/>
                <w:sz w:val="16"/>
              </w:rPr>
            </w:pPr>
          </w:p>
        </w:tc>
        <w:tc>
          <w:tcPr>
            <w:tcW w:w="2248" w:type="dxa"/>
          </w:tcPr>
          <w:p>
            <w:pPr>
              <w:pStyle w:val="TableParagraph"/>
              <w:numPr>
                <w:ilvl w:val="0"/>
                <w:numId w:val="32"/>
              </w:numPr>
              <w:tabs>
                <w:tab w:pos="327" w:val="left" w:leader="none"/>
              </w:tabs>
              <w:spacing w:line="228" w:lineRule="exact" w:before="0" w:after="0"/>
              <w:ind w:left="327" w:right="0" w:hanging="222"/>
              <w:jc w:val="left"/>
              <w:rPr>
                <w:sz w:val="18"/>
              </w:rPr>
            </w:pPr>
            <w:r>
              <w:rPr>
                <w:sz w:val="18"/>
              </w:rPr>
              <w:t>Warfarin:</w:t>
            </w:r>
            <w:r>
              <w:rPr>
                <w:spacing w:val="-2"/>
                <w:sz w:val="18"/>
              </w:rPr>
              <w:t> </w:t>
            </w:r>
            <w:r>
              <w:rPr>
                <w:spacing w:val="-5"/>
                <w:sz w:val="18"/>
              </w:rPr>
              <w:t>54</w:t>
            </w:r>
          </w:p>
          <w:p>
            <w:pPr>
              <w:pStyle w:val="TableParagraph"/>
              <w:rPr>
                <w:sz w:val="18"/>
              </w:rPr>
            </w:pPr>
          </w:p>
          <w:p>
            <w:pPr>
              <w:pStyle w:val="TableParagraph"/>
              <w:spacing w:before="171"/>
              <w:rPr>
                <w:sz w:val="18"/>
              </w:rPr>
            </w:pPr>
          </w:p>
          <w:p>
            <w:pPr>
              <w:pStyle w:val="TableParagraph"/>
              <w:ind w:left="105"/>
              <w:rPr>
                <w:position w:val="5"/>
                <w:sz w:val="12"/>
              </w:rPr>
            </w:pPr>
            <w:r>
              <w:rPr>
                <w:sz w:val="18"/>
                <w:u w:val="single"/>
              </w:rPr>
              <w:t>Age</w:t>
            </w:r>
            <w:r>
              <w:rPr>
                <w:spacing w:val="-4"/>
                <w:sz w:val="18"/>
                <w:u w:val="single"/>
              </w:rPr>
              <w:t> </w:t>
            </w:r>
            <w:r>
              <w:rPr>
                <w:sz w:val="18"/>
                <w:u w:val="single"/>
              </w:rPr>
              <w:t>(mean,</w:t>
            </w:r>
            <w:r>
              <w:rPr>
                <w:spacing w:val="-3"/>
                <w:sz w:val="18"/>
                <w:u w:val="single"/>
              </w:rPr>
              <w:t> </w:t>
            </w:r>
            <w:r>
              <w:rPr>
                <w:spacing w:val="-4"/>
                <w:sz w:val="18"/>
                <w:u w:val="single"/>
              </w:rPr>
              <w:t>SD)</w:t>
            </w:r>
            <w:r>
              <w:rPr>
                <w:spacing w:val="-4"/>
                <w:position w:val="5"/>
                <w:sz w:val="12"/>
                <w:u w:val="none"/>
              </w:rPr>
              <w:t>1</w:t>
            </w:r>
          </w:p>
          <w:p>
            <w:pPr>
              <w:pStyle w:val="TableParagraph"/>
              <w:spacing w:before="198"/>
              <w:ind w:left="105"/>
              <w:rPr>
                <w:sz w:val="18"/>
              </w:rPr>
            </w:pPr>
            <w:r>
              <w:rPr>
                <w:sz w:val="18"/>
              </w:rPr>
              <w:t>4.8</w:t>
            </w:r>
            <w:r>
              <w:rPr>
                <w:spacing w:val="-2"/>
                <w:sz w:val="18"/>
              </w:rPr>
              <w:t> </w:t>
            </w:r>
            <w:r>
              <w:rPr>
                <w:sz w:val="18"/>
              </w:rPr>
              <w:t>(2.8)</w:t>
            </w:r>
            <w:r>
              <w:rPr>
                <w:spacing w:val="-1"/>
                <w:sz w:val="18"/>
              </w:rPr>
              <w:t> </w:t>
            </w:r>
            <w:r>
              <w:rPr>
                <w:spacing w:val="-2"/>
                <w:sz w:val="18"/>
              </w:rPr>
              <w:t>years</w:t>
            </w:r>
          </w:p>
          <w:p>
            <w:pPr>
              <w:pStyle w:val="TableParagraph"/>
              <w:rPr>
                <w:sz w:val="18"/>
              </w:rPr>
            </w:pPr>
          </w:p>
          <w:p>
            <w:pPr>
              <w:pStyle w:val="TableParagraph"/>
              <w:spacing w:before="171"/>
              <w:rPr>
                <w:sz w:val="18"/>
              </w:rPr>
            </w:pPr>
          </w:p>
          <w:p>
            <w:pPr>
              <w:pStyle w:val="TableParagraph"/>
              <w:ind w:left="105"/>
              <w:rPr>
                <w:position w:val="5"/>
                <w:sz w:val="12"/>
              </w:rPr>
            </w:pPr>
            <w:r>
              <w:rPr>
                <w:spacing w:val="-4"/>
                <w:sz w:val="18"/>
                <w:u w:val="single"/>
              </w:rPr>
              <w:t>Sex</w:t>
            </w:r>
            <w:r>
              <w:rPr>
                <w:spacing w:val="-4"/>
                <w:position w:val="5"/>
                <w:sz w:val="12"/>
                <w:u w:val="none"/>
              </w:rPr>
              <w:t>2</w:t>
            </w:r>
          </w:p>
          <w:p>
            <w:pPr>
              <w:pStyle w:val="TableParagraph"/>
              <w:spacing w:before="196"/>
              <w:ind w:left="105"/>
              <w:rPr>
                <w:sz w:val="18"/>
              </w:rPr>
            </w:pPr>
            <w:r>
              <w:rPr>
                <w:sz w:val="18"/>
              </w:rPr>
              <w:t>36% </w:t>
            </w:r>
            <w:r>
              <w:rPr>
                <w:spacing w:val="-2"/>
                <w:sz w:val="18"/>
              </w:rPr>
              <w:t>female</w:t>
            </w:r>
          </w:p>
        </w:tc>
        <w:tc>
          <w:tcPr>
            <w:tcW w:w="1677" w:type="dxa"/>
          </w:tcPr>
          <w:p>
            <w:pPr>
              <w:pStyle w:val="TableParagraph"/>
              <w:numPr>
                <w:ilvl w:val="0"/>
                <w:numId w:val="33"/>
              </w:numPr>
              <w:tabs>
                <w:tab w:pos="325" w:val="left" w:leader="none"/>
                <w:tab w:pos="327" w:val="left" w:leader="none"/>
              </w:tabs>
              <w:spacing w:line="278" w:lineRule="auto" w:before="0" w:after="0"/>
              <w:ind w:left="327" w:right="129" w:hanging="224"/>
              <w:jc w:val="left"/>
              <w:rPr>
                <w:sz w:val="18"/>
              </w:rPr>
            </w:pPr>
            <w:r>
              <w:rPr>
                <w:sz w:val="18"/>
              </w:rPr>
              <w:t>Warfarin</w:t>
            </w:r>
            <w:r>
              <w:rPr>
                <w:spacing w:val="-2"/>
                <w:sz w:val="18"/>
              </w:rPr>
              <w:t> </w:t>
            </w:r>
            <w:r>
              <w:rPr>
                <w:sz w:val="18"/>
              </w:rPr>
              <w:t>(0.1 mg/kg</w:t>
            </w:r>
            <w:r>
              <w:rPr>
                <w:spacing w:val="-2"/>
                <w:sz w:val="18"/>
              </w:rPr>
              <w:t> </w:t>
            </w:r>
            <w:r>
              <w:rPr>
                <w:sz w:val="18"/>
              </w:rPr>
              <w:t>titration to achieve an </w:t>
            </w:r>
            <w:r>
              <w:rPr>
                <w:spacing w:val="-2"/>
                <w:sz w:val="18"/>
              </w:rPr>
              <w:t>international</w:t>
            </w:r>
            <w:r>
              <w:rPr>
                <w:sz w:val="18"/>
              </w:rPr>
              <w:t> </w:t>
            </w:r>
            <w:r>
              <w:rPr>
                <w:spacing w:val="-2"/>
                <w:sz w:val="18"/>
              </w:rPr>
              <w:t>normalized</w:t>
            </w:r>
            <w:r>
              <w:rPr>
                <w:spacing w:val="-9"/>
                <w:sz w:val="18"/>
              </w:rPr>
              <w:t> </w:t>
            </w:r>
            <w:r>
              <w:rPr>
                <w:spacing w:val="-2"/>
                <w:sz w:val="18"/>
              </w:rPr>
              <w:t>ratio</w:t>
            </w:r>
            <w:r>
              <w:rPr>
                <w:sz w:val="18"/>
              </w:rPr>
              <w:t> (INR) of 2 to 3 with</w:t>
            </w:r>
            <w:r>
              <w:rPr>
                <w:spacing w:val="-4"/>
                <w:sz w:val="18"/>
              </w:rPr>
              <w:t> </w:t>
            </w:r>
            <w:r>
              <w:rPr>
                <w:sz w:val="18"/>
              </w:rPr>
              <w:t>heparin </w:t>
            </w:r>
            <w:r>
              <w:rPr>
                <w:spacing w:val="-2"/>
                <w:sz w:val="18"/>
              </w:rPr>
              <w:t>lead-in)</w:t>
            </w:r>
          </w:p>
        </w:tc>
        <w:tc>
          <w:tcPr>
            <w:tcW w:w="767" w:type="dxa"/>
          </w:tcPr>
          <w:p>
            <w:pPr>
              <w:pStyle w:val="TableParagraph"/>
              <w:rPr>
                <w:rFonts w:ascii="Times New Roman"/>
                <w:sz w:val="16"/>
              </w:rPr>
            </w:pPr>
          </w:p>
        </w:tc>
        <w:tc>
          <w:tcPr>
            <w:tcW w:w="4387" w:type="dxa"/>
          </w:tcPr>
          <w:p>
            <w:pPr>
              <w:pStyle w:val="TableParagraph"/>
              <w:spacing w:line="280" w:lineRule="auto"/>
              <w:ind w:left="353" w:right="2605"/>
              <w:rPr>
                <w:sz w:val="18"/>
              </w:rPr>
            </w:pPr>
            <w:r>
              <w:rPr>
                <w:sz w:val="18"/>
              </w:rPr>
              <w:t>(thrombotic</w:t>
            </w:r>
            <w:r>
              <w:rPr>
                <w:spacing w:val="-11"/>
                <w:sz w:val="18"/>
              </w:rPr>
              <w:t> </w:t>
            </w:r>
            <w:r>
              <w:rPr>
                <w:sz w:val="18"/>
              </w:rPr>
              <w:t>events (venous</w:t>
            </w:r>
            <w:r>
              <w:rPr>
                <w:spacing w:val="-4"/>
                <w:sz w:val="18"/>
              </w:rPr>
              <w:t> </w:t>
            </w:r>
            <w:r>
              <w:rPr>
                <w:sz w:val="18"/>
              </w:rPr>
              <w:t>or</w:t>
            </w:r>
            <w:r>
              <w:rPr>
                <w:spacing w:val="-1"/>
                <w:sz w:val="18"/>
              </w:rPr>
              <w:t> </w:t>
            </w:r>
            <w:r>
              <w:rPr>
                <w:spacing w:val="-2"/>
                <w:sz w:val="18"/>
              </w:rPr>
              <w:t>arterial,</w:t>
            </w:r>
          </w:p>
          <w:p>
            <w:pPr>
              <w:pStyle w:val="TableParagraph"/>
              <w:spacing w:line="280" w:lineRule="auto"/>
              <w:ind w:left="108" w:right="99" w:firstLine="244"/>
              <w:rPr>
                <w:sz w:val="18"/>
              </w:rPr>
            </w:pPr>
            <w:r>
              <w:rPr>
                <w:sz w:val="18"/>
              </w:rPr>
              <w:t>defined</w:t>
            </w:r>
            <w:r>
              <w:rPr>
                <w:spacing w:val="-5"/>
                <w:sz w:val="18"/>
              </w:rPr>
              <w:t> </w:t>
            </w:r>
            <w:r>
              <w:rPr>
                <w:sz w:val="18"/>
              </w:rPr>
              <w:t>as</w:t>
            </w:r>
            <w:r>
              <w:rPr>
                <w:spacing w:val="-5"/>
                <w:sz w:val="18"/>
              </w:rPr>
              <w:t> </w:t>
            </w:r>
            <w:r>
              <w:rPr>
                <w:sz w:val="18"/>
              </w:rPr>
              <w:t>the</w:t>
            </w:r>
            <w:r>
              <w:rPr>
                <w:spacing w:val="-5"/>
                <w:sz w:val="18"/>
              </w:rPr>
              <w:t> </w:t>
            </w:r>
            <w:r>
              <w:rPr>
                <w:sz w:val="18"/>
              </w:rPr>
              <w:t>appearance</w:t>
            </w:r>
            <w:r>
              <w:rPr>
                <w:spacing w:val="-5"/>
                <w:sz w:val="18"/>
              </w:rPr>
              <w:t> </w:t>
            </w:r>
            <w:r>
              <w:rPr>
                <w:sz w:val="18"/>
              </w:rPr>
              <w:t>of</w:t>
            </w:r>
            <w:r>
              <w:rPr>
                <w:spacing w:val="-2"/>
                <w:sz w:val="18"/>
              </w:rPr>
              <w:t> </w:t>
            </w:r>
            <w:r>
              <w:rPr>
                <w:sz w:val="18"/>
              </w:rPr>
              <w:t>a</w:t>
            </w:r>
            <w:r>
              <w:rPr>
                <w:spacing w:val="-5"/>
                <w:sz w:val="18"/>
              </w:rPr>
              <w:t> </w:t>
            </w:r>
            <w:r>
              <w:rPr>
                <w:sz w:val="18"/>
              </w:rPr>
              <w:t>space-</w:t>
            </w:r>
            <w:r>
              <w:rPr>
                <w:spacing w:val="80"/>
                <w:sz w:val="18"/>
              </w:rPr>
              <w:t> </w:t>
            </w:r>
            <w:r>
              <w:rPr>
                <w:sz w:val="18"/>
              </w:rPr>
              <w:t>occupying </w:t>
            </w:r>
            <w:r>
              <w:rPr>
                <w:spacing w:val="-2"/>
                <w:sz w:val="18"/>
              </w:rPr>
              <w:t>lesion</w:t>
            </w:r>
          </w:p>
          <w:p>
            <w:pPr>
              <w:pStyle w:val="TableParagraph"/>
              <w:spacing w:line="278" w:lineRule="auto" w:before="153"/>
              <w:ind w:left="468" w:right="99"/>
              <w:rPr>
                <w:sz w:val="18"/>
              </w:rPr>
            </w:pPr>
            <w:r>
              <w:rPr>
                <w:sz w:val="18"/>
              </w:rPr>
              <w:t>on ultrasound within the cardiovascular system (mild</w:t>
            </w:r>
            <w:r>
              <w:rPr>
                <w:spacing w:val="-6"/>
                <w:sz w:val="18"/>
              </w:rPr>
              <w:t> </w:t>
            </w:r>
            <w:r>
              <w:rPr>
                <w:sz w:val="18"/>
              </w:rPr>
              <w:t>laminar</w:t>
            </w:r>
            <w:r>
              <w:rPr>
                <w:spacing w:val="-6"/>
                <w:sz w:val="18"/>
              </w:rPr>
              <w:t> </w:t>
            </w:r>
            <w:r>
              <w:rPr>
                <w:sz w:val="18"/>
              </w:rPr>
              <w:t>thickening</w:t>
            </w:r>
            <w:r>
              <w:rPr>
                <w:spacing w:val="-6"/>
                <w:sz w:val="18"/>
              </w:rPr>
              <w:t> </w:t>
            </w:r>
            <w:r>
              <w:rPr>
                <w:sz w:val="18"/>
              </w:rPr>
              <w:t>of</w:t>
            </w:r>
            <w:r>
              <w:rPr>
                <w:spacing w:val="-6"/>
                <w:sz w:val="18"/>
              </w:rPr>
              <w:t> </w:t>
            </w:r>
            <w:r>
              <w:rPr>
                <w:sz w:val="18"/>
              </w:rPr>
              <w:t>the</w:t>
            </w:r>
            <w:r>
              <w:rPr>
                <w:spacing w:val="-6"/>
                <w:sz w:val="18"/>
              </w:rPr>
              <w:t> </w:t>
            </w:r>
            <w:r>
              <w:rPr>
                <w:sz w:val="18"/>
              </w:rPr>
              <w:t>internal</w:t>
            </w:r>
            <w:r>
              <w:rPr>
                <w:spacing w:val="-6"/>
                <w:sz w:val="18"/>
              </w:rPr>
              <w:t> </w:t>
            </w:r>
            <w:r>
              <w:rPr>
                <w:sz w:val="18"/>
              </w:rPr>
              <w:t>surface</w:t>
            </w:r>
            <w:r>
              <w:rPr>
                <w:spacing w:val="-6"/>
                <w:sz w:val="18"/>
              </w:rPr>
              <w:t> </w:t>
            </w:r>
            <w:r>
              <w:rPr>
                <w:sz w:val="18"/>
              </w:rPr>
              <w:t>of the</w:t>
            </w:r>
            <w:r>
              <w:rPr>
                <w:spacing w:val="-2"/>
                <w:sz w:val="18"/>
              </w:rPr>
              <w:t> </w:t>
            </w:r>
            <w:r>
              <w:rPr>
                <w:sz w:val="18"/>
              </w:rPr>
              <w:t>Fontan</w:t>
            </w:r>
          </w:p>
          <w:p>
            <w:pPr>
              <w:pStyle w:val="TableParagraph"/>
              <w:spacing w:line="278" w:lineRule="auto" w:before="162"/>
              <w:ind w:left="468"/>
              <w:rPr>
                <w:sz w:val="18"/>
              </w:rPr>
            </w:pPr>
            <w:r>
              <w:rPr>
                <w:sz w:val="18"/>
              </w:rPr>
              <w:t>pathway</w:t>
            </w:r>
            <w:r>
              <w:rPr>
                <w:spacing w:val="-5"/>
                <w:sz w:val="18"/>
              </w:rPr>
              <w:t> </w:t>
            </w:r>
            <w:r>
              <w:rPr>
                <w:sz w:val="18"/>
              </w:rPr>
              <w:t>was</w:t>
            </w:r>
            <w:r>
              <w:rPr>
                <w:spacing w:val="-6"/>
                <w:sz w:val="18"/>
              </w:rPr>
              <w:t> </w:t>
            </w:r>
            <w:r>
              <w:rPr>
                <w:sz w:val="18"/>
              </w:rPr>
              <w:t>not</w:t>
            </w:r>
            <w:r>
              <w:rPr>
                <w:spacing w:val="-5"/>
                <w:sz w:val="18"/>
              </w:rPr>
              <w:t> </w:t>
            </w:r>
            <w:r>
              <w:rPr>
                <w:sz w:val="18"/>
              </w:rPr>
              <w:t>included)</w:t>
            </w:r>
            <w:r>
              <w:rPr>
                <w:spacing w:val="-5"/>
                <w:sz w:val="18"/>
              </w:rPr>
              <w:t> </w:t>
            </w:r>
            <w:r>
              <w:rPr>
                <w:sz w:val="18"/>
              </w:rPr>
              <w:t>or</w:t>
            </w:r>
            <w:r>
              <w:rPr>
                <w:spacing w:val="-5"/>
                <w:sz w:val="18"/>
              </w:rPr>
              <w:t> </w:t>
            </w:r>
            <w:r>
              <w:rPr>
                <w:sz w:val="18"/>
              </w:rPr>
              <w:t>the</w:t>
            </w:r>
            <w:r>
              <w:rPr>
                <w:spacing w:val="-4"/>
                <w:sz w:val="18"/>
              </w:rPr>
              <w:t> </w:t>
            </w:r>
            <w:r>
              <w:rPr>
                <w:sz w:val="18"/>
              </w:rPr>
              <w:t>occurrence</w:t>
            </w:r>
            <w:r>
              <w:rPr>
                <w:spacing w:val="-6"/>
                <w:sz w:val="18"/>
              </w:rPr>
              <w:t> </w:t>
            </w:r>
            <w:r>
              <w:rPr>
                <w:sz w:val="18"/>
              </w:rPr>
              <w:t>of</w:t>
            </w:r>
            <w:r>
              <w:rPr>
                <w:spacing w:val="-6"/>
                <w:sz w:val="18"/>
              </w:rPr>
              <w:t> </w:t>
            </w:r>
            <w:r>
              <w:rPr>
                <w:sz w:val="18"/>
              </w:rPr>
              <w:t>a </w:t>
            </w:r>
            <w:r>
              <w:rPr>
                <w:spacing w:val="-2"/>
                <w:sz w:val="18"/>
              </w:rPr>
              <w:t>clinical</w:t>
            </w:r>
          </w:p>
          <w:p>
            <w:pPr>
              <w:pStyle w:val="TableParagraph"/>
              <w:spacing w:line="280" w:lineRule="auto" w:before="160"/>
              <w:ind w:left="468" w:right="99" w:firstLine="40"/>
              <w:rPr>
                <w:sz w:val="18"/>
              </w:rPr>
            </w:pPr>
            <w:r>
              <w:rPr>
                <w:sz w:val="18"/>
              </w:rPr>
              <w:t>event</w:t>
            </w:r>
            <w:r>
              <w:rPr>
                <w:spacing w:val="-7"/>
                <w:sz w:val="18"/>
              </w:rPr>
              <w:t> </w:t>
            </w:r>
            <w:r>
              <w:rPr>
                <w:sz w:val="18"/>
              </w:rPr>
              <w:t>known</w:t>
            </w:r>
            <w:r>
              <w:rPr>
                <w:spacing w:val="-8"/>
                <w:sz w:val="18"/>
              </w:rPr>
              <w:t> </w:t>
            </w:r>
            <w:r>
              <w:rPr>
                <w:sz w:val="18"/>
              </w:rPr>
              <w:t>to</w:t>
            </w:r>
            <w:r>
              <w:rPr>
                <w:spacing w:val="-7"/>
                <w:sz w:val="18"/>
              </w:rPr>
              <w:t> </w:t>
            </w:r>
            <w:r>
              <w:rPr>
                <w:sz w:val="18"/>
              </w:rPr>
              <w:t>be</w:t>
            </w:r>
            <w:r>
              <w:rPr>
                <w:spacing w:val="-6"/>
                <w:sz w:val="18"/>
              </w:rPr>
              <w:t> </w:t>
            </w:r>
            <w:r>
              <w:rPr>
                <w:sz w:val="18"/>
              </w:rPr>
              <w:t>strongly</w:t>
            </w:r>
            <w:r>
              <w:rPr>
                <w:spacing w:val="-7"/>
                <w:sz w:val="18"/>
              </w:rPr>
              <w:t> </w:t>
            </w:r>
            <w:r>
              <w:rPr>
                <w:sz w:val="18"/>
              </w:rPr>
              <w:t>associated</w:t>
            </w:r>
            <w:r>
              <w:rPr>
                <w:spacing w:val="-8"/>
                <w:sz w:val="18"/>
              </w:rPr>
              <w:t> </w:t>
            </w:r>
            <w:r>
              <w:rPr>
                <w:sz w:val="18"/>
              </w:rPr>
              <w:t>with thrombus (stroke, pulmonary embolism)</w:t>
            </w:r>
          </w:p>
          <w:p>
            <w:pPr>
              <w:pStyle w:val="TableParagraph"/>
              <w:numPr>
                <w:ilvl w:val="0"/>
                <w:numId w:val="34"/>
              </w:numPr>
              <w:tabs>
                <w:tab w:pos="330" w:val="left" w:leader="none"/>
              </w:tabs>
              <w:spacing w:line="240" w:lineRule="auto" w:before="158" w:after="0"/>
              <w:ind w:left="330" w:right="0" w:hanging="222"/>
              <w:jc w:val="left"/>
              <w:rPr>
                <w:rFonts w:ascii="Symbol" w:hAnsi="Symbol"/>
                <w:sz w:val="18"/>
              </w:rPr>
            </w:pPr>
            <w:r>
              <w:rPr>
                <w:b/>
                <w:sz w:val="18"/>
              </w:rPr>
              <w:t>Hemorrhage</w:t>
            </w:r>
            <w:r>
              <w:rPr>
                <w:position w:val="5"/>
                <w:sz w:val="12"/>
              </w:rPr>
              <w:t>5</w:t>
            </w:r>
            <w:r>
              <w:rPr>
                <w:spacing w:val="9"/>
                <w:position w:val="5"/>
                <w:sz w:val="12"/>
              </w:rPr>
              <w:t> </w:t>
            </w:r>
            <w:r>
              <w:rPr>
                <w:sz w:val="18"/>
              </w:rPr>
              <w:t>(</w:t>
            </w:r>
            <w:r>
              <w:rPr>
                <w:i/>
                <w:sz w:val="18"/>
              </w:rPr>
              <w:t>major</w:t>
            </w:r>
            <w:r>
              <w:rPr>
                <w:i/>
                <w:spacing w:val="-3"/>
                <w:sz w:val="18"/>
              </w:rPr>
              <w:t> </w:t>
            </w:r>
            <w:r>
              <w:rPr>
                <w:i/>
                <w:sz w:val="18"/>
              </w:rPr>
              <w:t>bleeding</w:t>
            </w:r>
            <w:r>
              <w:rPr>
                <w:i/>
                <w:spacing w:val="-2"/>
                <w:sz w:val="18"/>
              </w:rPr>
              <w:t> </w:t>
            </w:r>
            <w:r>
              <w:rPr>
                <w:sz w:val="18"/>
              </w:rPr>
              <w:t>and</w:t>
            </w:r>
            <w:r>
              <w:rPr>
                <w:spacing w:val="-3"/>
                <w:sz w:val="18"/>
              </w:rPr>
              <w:t> </w:t>
            </w:r>
            <w:r>
              <w:rPr>
                <w:i/>
                <w:sz w:val="18"/>
              </w:rPr>
              <w:t>minor</w:t>
            </w:r>
            <w:r>
              <w:rPr>
                <w:i/>
                <w:spacing w:val="-3"/>
                <w:sz w:val="18"/>
              </w:rPr>
              <w:t> </w:t>
            </w:r>
            <w:r>
              <w:rPr>
                <w:i/>
                <w:spacing w:val="-2"/>
                <w:sz w:val="18"/>
              </w:rPr>
              <w:t>bleeding</w:t>
            </w:r>
            <w:r>
              <w:rPr>
                <w:spacing w:val="-2"/>
                <w:sz w:val="18"/>
              </w:rPr>
              <w:t>)</w:t>
            </w:r>
          </w:p>
          <w:p>
            <w:pPr>
              <w:pStyle w:val="TableParagraph"/>
              <w:numPr>
                <w:ilvl w:val="0"/>
                <w:numId w:val="34"/>
              </w:numPr>
              <w:tabs>
                <w:tab w:pos="331" w:val="left" w:leader="none"/>
              </w:tabs>
              <w:spacing w:line="240" w:lineRule="auto" w:before="35" w:after="0"/>
              <w:ind w:left="331" w:right="0" w:hanging="223"/>
              <w:jc w:val="left"/>
              <w:rPr>
                <w:rFonts w:ascii="Symbol" w:hAnsi="Symbol"/>
                <w:sz w:val="14"/>
              </w:rPr>
            </w:pPr>
            <w:r>
              <w:rPr>
                <w:b/>
                <w:spacing w:val="-2"/>
                <w:sz w:val="18"/>
              </w:rPr>
              <w:t>Mortality</w:t>
            </w:r>
            <w:r>
              <w:rPr>
                <w:spacing w:val="-2"/>
                <w:position w:val="5"/>
                <w:sz w:val="12"/>
              </w:rPr>
              <w:t>5</w:t>
            </w:r>
          </w:p>
        </w:tc>
        <w:tc>
          <w:tcPr>
            <w:tcW w:w="1843" w:type="dxa"/>
          </w:tcPr>
          <w:p>
            <w:pPr>
              <w:pStyle w:val="TableParagraph"/>
              <w:spacing w:line="278" w:lineRule="auto"/>
              <w:ind w:left="106" w:right="91"/>
              <w:jc w:val="both"/>
              <w:rPr>
                <w:sz w:val="18"/>
              </w:rPr>
            </w:pPr>
            <w:r>
              <w:rPr>
                <w:sz w:val="18"/>
              </w:rPr>
              <w:t>Research grant from the Heart and Stroke Foundation</w:t>
            </w:r>
            <w:r>
              <w:rPr>
                <w:spacing w:val="-3"/>
                <w:sz w:val="18"/>
              </w:rPr>
              <w:t> </w:t>
            </w:r>
            <w:r>
              <w:rPr>
                <w:sz w:val="18"/>
              </w:rPr>
              <w:t>of</w:t>
            </w:r>
            <w:r>
              <w:rPr>
                <w:spacing w:val="-2"/>
                <w:sz w:val="18"/>
              </w:rPr>
              <w:t> </w:t>
            </w:r>
            <w:r>
              <w:rPr>
                <w:spacing w:val="-2"/>
                <w:sz w:val="18"/>
              </w:rPr>
              <w:t>Ontario</w:t>
            </w:r>
          </w:p>
          <w:p>
            <w:pPr>
              <w:pStyle w:val="TableParagraph"/>
              <w:spacing w:line="278" w:lineRule="auto" w:before="160"/>
              <w:ind w:left="106" w:right="101" w:firstLine="40"/>
              <w:rPr>
                <w:sz w:val="18"/>
              </w:rPr>
            </w:pPr>
            <w:r>
              <w:rPr>
                <w:sz w:val="18"/>
              </w:rPr>
              <w:t>(grant-in-aid</w:t>
            </w:r>
            <w:r>
              <w:rPr>
                <w:spacing w:val="-2"/>
                <w:sz w:val="18"/>
              </w:rPr>
              <w:t> </w:t>
            </w:r>
            <w:r>
              <w:rPr>
                <w:sz w:val="18"/>
              </w:rPr>
              <w:t>NA-3565),</w:t>
            </w:r>
            <w:r>
              <w:rPr>
                <w:spacing w:val="-11"/>
                <w:sz w:val="18"/>
              </w:rPr>
              <w:t> </w:t>
            </w:r>
            <w:r>
              <w:rPr>
                <w:sz w:val="18"/>
              </w:rPr>
              <w:t>National</w:t>
            </w:r>
            <w:r>
              <w:rPr>
                <w:spacing w:val="-10"/>
                <w:sz w:val="18"/>
              </w:rPr>
              <w:t> </w:t>
            </w:r>
            <w:r>
              <w:rPr>
                <w:sz w:val="18"/>
              </w:rPr>
              <w:t>Heart Foundation</w:t>
            </w:r>
            <w:r>
              <w:rPr>
                <w:spacing w:val="-2"/>
                <w:sz w:val="18"/>
              </w:rPr>
              <w:t> </w:t>
            </w:r>
            <w:r>
              <w:rPr>
                <w:sz w:val="18"/>
              </w:rPr>
              <w:t>of Australia</w:t>
            </w:r>
            <w:r>
              <w:rPr>
                <w:spacing w:val="-2"/>
                <w:sz w:val="18"/>
              </w:rPr>
              <w:t> </w:t>
            </w:r>
            <w:r>
              <w:rPr>
                <w:sz w:val="18"/>
              </w:rPr>
              <w:t>project grant, the</w:t>
            </w:r>
          </w:p>
          <w:p>
            <w:pPr>
              <w:pStyle w:val="TableParagraph"/>
              <w:spacing w:line="278" w:lineRule="auto" w:before="164"/>
              <w:ind w:left="106" w:firstLine="40"/>
              <w:rPr>
                <w:sz w:val="18"/>
              </w:rPr>
            </w:pPr>
            <w:r>
              <w:rPr>
                <w:sz w:val="18"/>
              </w:rPr>
              <w:t>Henderson</w:t>
            </w:r>
            <w:r>
              <w:rPr>
                <w:spacing w:val="-2"/>
                <w:sz w:val="18"/>
              </w:rPr>
              <w:t> </w:t>
            </w:r>
            <w:r>
              <w:rPr>
                <w:sz w:val="18"/>
              </w:rPr>
              <w:t>Research Centre,</w:t>
            </w:r>
            <w:r>
              <w:rPr>
                <w:spacing w:val="-11"/>
                <w:sz w:val="18"/>
              </w:rPr>
              <w:t> </w:t>
            </w:r>
            <w:r>
              <w:rPr>
                <w:sz w:val="18"/>
              </w:rPr>
              <w:t>Hamilton,</w:t>
            </w:r>
            <w:r>
              <w:rPr>
                <w:spacing w:val="-10"/>
                <w:sz w:val="18"/>
              </w:rPr>
              <w:t> </w:t>
            </w:r>
            <w:r>
              <w:rPr>
                <w:sz w:val="18"/>
              </w:rPr>
              <w:t>and the CIBC World</w:t>
            </w:r>
          </w:p>
          <w:p>
            <w:pPr>
              <w:pStyle w:val="TableParagraph"/>
              <w:spacing w:before="1"/>
              <w:ind w:left="106"/>
              <w:rPr>
                <w:sz w:val="18"/>
              </w:rPr>
            </w:pPr>
            <w:r>
              <w:rPr>
                <w:sz w:val="18"/>
              </w:rPr>
              <w:t>Markets</w:t>
            </w:r>
            <w:r>
              <w:rPr>
                <w:spacing w:val="-5"/>
                <w:sz w:val="18"/>
              </w:rPr>
              <w:t> </w:t>
            </w:r>
            <w:r>
              <w:rPr>
                <w:spacing w:val="-2"/>
                <w:sz w:val="18"/>
              </w:rPr>
              <w:t>Children’s</w:t>
            </w:r>
          </w:p>
          <w:p>
            <w:pPr>
              <w:pStyle w:val="TableParagraph"/>
              <w:spacing w:before="37"/>
              <w:ind w:left="106"/>
              <w:rPr>
                <w:sz w:val="18"/>
              </w:rPr>
            </w:pPr>
            <w:r>
              <w:rPr>
                <w:sz w:val="18"/>
              </w:rPr>
              <w:t>Miracle</w:t>
            </w:r>
            <w:r>
              <w:rPr>
                <w:spacing w:val="-3"/>
                <w:sz w:val="18"/>
              </w:rPr>
              <w:t> </w:t>
            </w:r>
            <w:r>
              <w:rPr>
                <w:spacing w:val="-2"/>
                <w:sz w:val="18"/>
              </w:rPr>
              <w:t>Foundation</w:t>
            </w:r>
          </w:p>
          <w:p>
            <w:pPr>
              <w:pStyle w:val="TableParagraph"/>
              <w:rPr>
                <w:sz w:val="18"/>
              </w:rPr>
            </w:pPr>
          </w:p>
          <w:p>
            <w:pPr>
              <w:pStyle w:val="TableParagraph"/>
              <w:spacing w:before="171"/>
              <w:rPr>
                <w:sz w:val="18"/>
              </w:rPr>
            </w:pPr>
          </w:p>
          <w:p>
            <w:pPr>
              <w:pStyle w:val="TableParagraph"/>
              <w:ind w:left="106"/>
              <w:rPr>
                <w:sz w:val="18"/>
              </w:rPr>
            </w:pPr>
            <w:r>
              <w:rPr>
                <w:sz w:val="18"/>
                <w:u w:val="single"/>
              </w:rPr>
              <w:t>Conflicts</w:t>
            </w:r>
            <w:r>
              <w:rPr>
                <w:spacing w:val="-3"/>
                <w:sz w:val="18"/>
                <w:u w:val="single"/>
              </w:rPr>
              <w:t> </w:t>
            </w:r>
            <w:r>
              <w:rPr>
                <w:sz w:val="18"/>
                <w:u w:val="single"/>
              </w:rPr>
              <w:t>of</w:t>
            </w:r>
            <w:r>
              <w:rPr>
                <w:spacing w:val="-2"/>
                <w:sz w:val="18"/>
                <w:u w:val="single"/>
              </w:rPr>
              <w:t> interest</w:t>
            </w:r>
          </w:p>
          <w:p>
            <w:pPr>
              <w:pStyle w:val="TableParagraph"/>
              <w:spacing w:line="278" w:lineRule="auto" w:before="196"/>
              <w:ind w:left="106" w:right="101"/>
              <w:rPr>
                <w:sz w:val="18"/>
              </w:rPr>
            </w:pPr>
            <w:r>
              <w:rPr>
                <w:sz w:val="18"/>
              </w:rPr>
              <w:t>Mr. Roberts is a statistical consultant for Coaxia Inc. and Bayer Healthcare. All other authors have reported that they have no relationships relevant to the contents</w:t>
            </w:r>
            <w:r>
              <w:rPr>
                <w:spacing w:val="-11"/>
                <w:sz w:val="18"/>
              </w:rPr>
              <w:t> </w:t>
            </w:r>
            <w:r>
              <w:rPr>
                <w:sz w:val="18"/>
              </w:rPr>
              <w:t>of</w:t>
            </w:r>
            <w:r>
              <w:rPr>
                <w:spacing w:val="-10"/>
                <w:sz w:val="18"/>
              </w:rPr>
              <w:t> </w:t>
            </w:r>
            <w:r>
              <w:rPr>
                <w:sz w:val="18"/>
              </w:rPr>
              <w:t>this</w:t>
            </w:r>
            <w:r>
              <w:rPr>
                <w:spacing w:val="-10"/>
                <w:sz w:val="18"/>
              </w:rPr>
              <w:t> </w:t>
            </w:r>
            <w:r>
              <w:rPr>
                <w:sz w:val="18"/>
              </w:rPr>
              <w:t>paper to disclose</w:t>
            </w:r>
          </w:p>
        </w:tc>
        <w:tc>
          <w:tcPr>
            <w:tcW w:w="1982" w:type="dxa"/>
          </w:tcPr>
          <w:p>
            <w:pPr>
              <w:pStyle w:val="TableParagraph"/>
              <w:rPr>
                <w:rFonts w:ascii="Times New Roman"/>
                <w:sz w:val="16"/>
              </w:rPr>
            </w:pPr>
          </w:p>
        </w:tc>
      </w:tr>
      <w:tr>
        <w:trPr>
          <w:trHeight w:val="1521" w:hRule="atLeast"/>
        </w:trPr>
        <w:tc>
          <w:tcPr>
            <w:tcW w:w="1260" w:type="dxa"/>
          </w:tcPr>
          <w:p>
            <w:pPr>
              <w:pStyle w:val="TableParagraph"/>
              <w:spacing w:line="218" w:lineRule="exact"/>
              <w:ind w:left="105"/>
              <w:rPr>
                <w:sz w:val="18"/>
              </w:rPr>
            </w:pPr>
            <w:r>
              <w:rPr>
                <w:sz w:val="18"/>
              </w:rPr>
              <w:t>Potter,</w:t>
            </w:r>
            <w:r>
              <w:rPr>
                <w:spacing w:val="-2"/>
                <w:sz w:val="18"/>
              </w:rPr>
              <w:t> </w:t>
            </w:r>
            <w:r>
              <w:rPr>
                <w:spacing w:val="-4"/>
                <w:sz w:val="18"/>
              </w:rPr>
              <w:t>2013</w:t>
            </w:r>
          </w:p>
        </w:tc>
        <w:tc>
          <w:tcPr>
            <w:tcW w:w="2248" w:type="dxa"/>
          </w:tcPr>
          <w:p>
            <w:pPr>
              <w:pStyle w:val="TableParagraph"/>
              <w:spacing w:line="218" w:lineRule="exact"/>
              <w:ind w:left="105"/>
              <w:rPr>
                <w:sz w:val="18"/>
              </w:rPr>
            </w:pPr>
            <w:r>
              <w:rPr>
                <w:sz w:val="18"/>
                <w:u w:val="single"/>
              </w:rPr>
              <w:t>N</w:t>
            </w:r>
            <w:r>
              <w:rPr>
                <w:spacing w:val="-3"/>
                <w:sz w:val="18"/>
                <w:u w:val="single"/>
              </w:rPr>
              <w:t> </w:t>
            </w:r>
            <w:r>
              <w:rPr>
                <w:sz w:val="18"/>
                <w:u w:val="single"/>
              </w:rPr>
              <w:t>at </w:t>
            </w:r>
            <w:r>
              <w:rPr>
                <w:spacing w:val="-2"/>
                <w:sz w:val="18"/>
                <w:u w:val="single"/>
              </w:rPr>
              <w:t>baseline</w:t>
            </w:r>
          </w:p>
          <w:p>
            <w:pPr>
              <w:pStyle w:val="TableParagraph"/>
              <w:numPr>
                <w:ilvl w:val="0"/>
                <w:numId w:val="35"/>
              </w:numPr>
              <w:tabs>
                <w:tab w:pos="327" w:val="left" w:leader="none"/>
              </w:tabs>
              <w:spacing w:line="240" w:lineRule="auto" w:before="196" w:after="0"/>
              <w:ind w:left="327" w:right="0" w:hanging="222"/>
              <w:jc w:val="left"/>
              <w:rPr>
                <w:sz w:val="18"/>
              </w:rPr>
            </w:pPr>
            <w:r>
              <w:rPr>
                <w:sz w:val="18"/>
              </w:rPr>
              <w:t>Aspirin:</w:t>
            </w:r>
            <w:r>
              <w:rPr>
                <w:spacing w:val="-5"/>
                <w:sz w:val="18"/>
              </w:rPr>
              <w:t> 51</w:t>
            </w:r>
          </w:p>
          <w:p>
            <w:pPr>
              <w:pStyle w:val="TableParagraph"/>
              <w:numPr>
                <w:ilvl w:val="0"/>
                <w:numId w:val="35"/>
              </w:numPr>
              <w:tabs>
                <w:tab w:pos="327" w:val="left" w:leader="none"/>
              </w:tabs>
              <w:spacing w:line="240" w:lineRule="auto" w:before="37" w:after="0"/>
              <w:ind w:left="327" w:right="0" w:hanging="222"/>
              <w:jc w:val="left"/>
              <w:rPr>
                <w:sz w:val="18"/>
              </w:rPr>
            </w:pPr>
            <w:r>
              <w:rPr>
                <w:sz w:val="18"/>
              </w:rPr>
              <w:t>Warfarin:</w:t>
            </w:r>
            <w:r>
              <w:rPr>
                <w:spacing w:val="-2"/>
                <w:sz w:val="18"/>
              </w:rPr>
              <w:t> </w:t>
            </w:r>
            <w:r>
              <w:rPr>
                <w:spacing w:val="-5"/>
                <w:sz w:val="18"/>
              </w:rPr>
              <w:t>54</w:t>
            </w:r>
          </w:p>
        </w:tc>
        <w:tc>
          <w:tcPr>
            <w:tcW w:w="1677" w:type="dxa"/>
          </w:tcPr>
          <w:p>
            <w:pPr>
              <w:pStyle w:val="TableParagraph"/>
              <w:numPr>
                <w:ilvl w:val="0"/>
                <w:numId w:val="36"/>
              </w:numPr>
              <w:tabs>
                <w:tab w:pos="326" w:val="left" w:leader="none"/>
              </w:tabs>
              <w:spacing w:line="228" w:lineRule="exact" w:before="0" w:after="0"/>
              <w:ind w:left="326" w:right="0" w:hanging="222"/>
              <w:jc w:val="left"/>
              <w:rPr>
                <w:sz w:val="18"/>
              </w:rPr>
            </w:pPr>
            <w:r>
              <w:rPr>
                <w:spacing w:val="-2"/>
                <w:sz w:val="18"/>
              </w:rPr>
              <w:t>Aspirin</w:t>
            </w:r>
          </w:p>
          <w:p>
            <w:pPr>
              <w:pStyle w:val="TableParagraph"/>
              <w:numPr>
                <w:ilvl w:val="0"/>
                <w:numId w:val="36"/>
              </w:numPr>
              <w:tabs>
                <w:tab w:pos="326" w:val="left" w:leader="none"/>
              </w:tabs>
              <w:spacing w:line="240" w:lineRule="auto" w:before="37" w:after="0"/>
              <w:ind w:left="326" w:right="0" w:hanging="222"/>
              <w:jc w:val="left"/>
              <w:rPr>
                <w:sz w:val="18"/>
              </w:rPr>
            </w:pPr>
            <w:r>
              <w:rPr>
                <w:spacing w:val="-2"/>
                <w:sz w:val="18"/>
              </w:rPr>
              <w:t>Warfarin</w:t>
            </w:r>
          </w:p>
        </w:tc>
        <w:tc>
          <w:tcPr>
            <w:tcW w:w="767" w:type="dxa"/>
          </w:tcPr>
          <w:p>
            <w:pPr>
              <w:pStyle w:val="TableParagraph"/>
              <w:spacing w:line="218" w:lineRule="exact"/>
              <w:ind w:left="105"/>
              <w:rPr>
                <w:sz w:val="18"/>
              </w:rPr>
            </w:pPr>
            <w:r>
              <w:rPr>
                <w:spacing w:val="-4"/>
                <w:sz w:val="18"/>
              </w:rPr>
              <w:t>14.5</w:t>
            </w:r>
          </w:p>
          <w:p>
            <w:pPr>
              <w:pStyle w:val="TableParagraph"/>
              <w:spacing w:line="278" w:lineRule="auto" w:before="37"/>
              <w:ind w:left="105" w:right="246"/>
              <w:rPr>
                <w:sz w:val="18"/>
              </w:rPr>
            </w:pPr>
            <w:r>
              <w:rPr>
                <w:spacing w:val="-2"/>
                <w:sz w:val="18"/>
              </w:rPr>
              <w:t>years</w:t>
            </w:r>
            <w:r>
              <w:rPr>
                <w:sz w:val="18"/>
              </w:rPr>
              <w:t> </w:t>
            </w:r>
            <w:r>
              <w:rPr>
                <w:spacing w:val="-4"/>
                <w:sz w:val="18"/>
              </w:rPr>
              <w:t>(IQR</w:t>
            </w:r>
            <w:r>
              <w:rPr>
                <w:sz w:val="18"/>
              </w:rPr>
              <w:t> </w:t>
            </w:r>
            <w:r>
              <w:rPr>
                <w:spacing w:val="-4"/>
                <w:sz w:val="18"/>
              </w:rPr>
              <w:t>8.7–</w:t>
            </w:r>
          </w:p>
        </w:tc>
        <w:tc>
          <w:tcPr>
            <w:tcW w:w="4387" w:type="dxa"/>
          </w:tcPr>
          <w:p>
            <w:pPr>
              <w:pStyle w:val="TableParagraph"/>
              <w:numPr>
                <w:ilvl w:val="0"/>
                <w:numId w:val="37"/>
              </w:numPr>
              <w:tabs>
                <w:tab w:pos="329" w:val="left" w:leader="none"/>
                <w:tab w:pos="331" w:val="left" w:leader="none"/>
              </w:tabs>
              <w:spacing w:line="278" w:lineRule="auto" w:before="0" w:after="0"/>
              <w:ind w:left="331" w:right="156" w:hanging="224"/>
              <w:jc w:val="left"/>
              <w:rPr>
                <w:sz w:val="18"/>
              </w:rPr>
            </w:pPr>
            <w:r>
              <w:rPr>
                <w:b/>
                <w:sz w:val="18"/>
              </w:rPr>
              <w:t>Thrombotic complications </w:t>
            </w:r>
            <w:r>
              <w:rPr>
                <w:sz w:val="18"/>
              </w:rPr>
              <w:t>(occurrence of a fatal or non-fatal</w:t>
            </w:r>
            <w:r>
              <w:rPr>
                <w:spacing w:val="-9"/>
                <w:sz w:val="18"/>
              </w:rPr>
              <w:t> </w:t>
            </w:r>
            <w:r>
              <w:rPr>
                <w:sz w:val="18"/>
              </w:rPr>
              <w:t>thromboembolic</w:t>
            </w:r>
            <w:r>
              <w:rPr>
                <w:spacing w:val="-8"/>
                <w:sz w:val="18"/>
              </w:rPr>
              <w:t> </w:t>
            </w:r>
            <w:r>
              <w:rPr>
                <w:sz w:val="18"/>
              </w:rPr>
              <w:t>event,</w:t>
            </w:r>
            <w:r>
              <w:rPr>
                <w:spacing w:val="-7"/>
                <w:sz w:val="18"/>
              </w:rPr>
              <w:t> </w:t>
            </w:r>
            <w:r>
              <w:rPr>
                <w:sz w:val="18"/>
              </w:rPr>
              <w:t>whether</w:t>
            </w:r>
            <w:r>
              <w:rPr>
                <w:spacing w:val="-8"/>
                <w:sz w:val="18"/>
              </w:rPr>
              <w:t> </w:t>
            </w:r>
            <w:r>
              <w:rPr>
                <w:sz w:val="18"/>
              </w:rPr>
              <w:t>within</w:t>
            </w:r>
            <w:r>
              <w:rPr>
                <w:spacing w:val="-9"/>
                <w:sz w:val="18"/>
              </w:rPr>
              <w:t> </w:t>
            </w:r>
            <w:r>
              <w:rPr>
                <w:sz w:val="18"/>
              </w:rPr>
              <w:t>the systemic or pulmonary circulation)</w:t>
            </w:r>
          </w:p>
        </w:tc>
        <w:tc>
          <w:tcPr>
            <w:tcW w:w="1843" w:type="dxa"/>
          </w:tcPr>
          <w:p>
            <w:pPr>
              <w:pStyle w:val="TableParagraph"/>
              <w:spacing w:line="218" w:lineRule="exact"/>
              <w:ind w:left="106"/>
              <w:rPr>
                <w:sz w:val="18"/>
              </w:rPr>
            </w:pPr>
            <w:r>
              <w:rPr>
                <w:spacing w:val="-2"/>
                <w:sz w:val="18"/>
                <w:u w:val="single"/>
              </w:rPr>
              <w:t>Funding</w:t>
            </w:r>
          </w:p>
          <w:p>
            <w:pPr>
              <w:pStyle w:val="TableParagraph"/>
              <w:spacing w:before="196"/>
              <w:ind w:left="106"/>
              <w:rPr>
                <w:sz w:val="18"/>
              </w:rPr>
            </w:pPr>
            <w:r>
              <w:rPr>
                <w:sz w:val="18"/>
              </w:rPr>
              <w:t>Not</w:t>
            </w:r>
            <w:r>
              <w:rPr>
                <w:spacing w:val="-3"/>
                <w:sz w:val="18"/>
              </w:rPr>
              <w:t> </w:t>
            </w:r>
            <w:r>
              <w:rPr>
                <w:spacing w:val="-2"/>
                <w:sz w:val="18"/>
              </w:rPr>
              <w:t>reported</w:t>
            </w:r>
          </w:p>
        </w:tc>
        <w:tc>
          <w:tcPr>
            <w:tcW w:w="1982" w:type="dxa"/>
          </w:tcPr>
          <w:p>
            <w:pPr>
              <w:pStyle w:val="TableParagraph"/>
              <w:spacing w:line="280" w:lineRule="auto"/>
              <w:ind w:left="107"/>
              <w:rPr>
                <w:sz w:val="18"/>
              </w:rPr>
            </w:pPr>
            <w:r>
              <w:rPr>
                <w:b/>
                <w:sz w:val="18"/>
              </w:rPr>
              <w:t>Some</w:t>
            </w:r>
            <w:r>
              <w:rPr>
                <w:b/>
                <w:spacing w:val="-11"/>
                <w:sz w:val="18"/>
              </w:rPr>
              <w:t> </w:t>
            </w:r>
            <w:r>
              <w:rPr>
                <w:b/>
                <w:sz w:val="18"/>
              </w:rPr>
              <w:t>concerns</w:t>
            </w:r>
            <w:r>
              <w:rPr>
                <w:b/>
                <w:spacing w:val="-10"/>
                <w:sz w:val="18"/>
              </w:rPr>
              <w:t> </w:t>
            </w:r>
            <w:r>
              <w:rPr>
                <w:sz w:val="18"/>
              </w:rPr>
              <w:t>(for</w:t>
            </w:r>
            <w:r>
              <w:rPr>
                <w:spacing w:val="-10"/>
                <w:sz w:val="18"/>
              </w:rPr>
              <w:t> </w:t>
            </w:r>
            <w:r>
              <w:rPr>
                <w:sz w:val="18"/>
              </w:rPr>
              <w:t>all outcome</w:t>
            </w:r>
            <w:r>
              <w:rPr>
                <w:spacing w:val="-2"/>
                <w:sz w:val="18"/>
              </w:rPr>
              <w:t> </w:t>
            </w:r>
            <w:r>
              <w:rPr>
                <w:sz w:val="18"/>
              </w:rPr>
              <w:t>measures)</w:t>
            </w:r>
          </w:p>
        </w:tc>
      </w:tr>
    </w:tbl>
    <w:p>
      <w:pPr>
        <w:pStyle w:val="TableParagraph"/>
        <w:spacing w:after="0" w:line="280" w:lineRule="auto"/>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60"/>
        <w:gridCol w:w="2248"/>
        <w:gridCol w:w="1677"/>
        <w:gridCol w:w="767"/>
        <w:gridCol w:w="4387"/>
        <w:gridCol w:w="1843"/>
        <w:gridCol w:w="1982"/>
      </w:tblGrid>
      <w:tr>
        <w:trPr>
          <w:trHeight w:val="3554" w:hRule="atLeast"/>
        </w:trPr>
        <w:tc>
          <w:tcPr>
            <w:tcW w:w="1260" w:type="dxa"/>
          </w:tcPr>
          <w:p>
            <w:pPr>
              <w:pStyle w:val="TableParagraph"/>
              <w:rPr>
                <w:rFonts w:ascii="Times New Roman"/>
                <w:sz w:val="18"/>
              </w:rPr>
            </w:pPr>
          </w:p>
        </w:tc>
        <w:tc>
          <w:tcPr>
            <w:tcW w:w="2248" w:type="dxa"/>
          </w:tcPr>
          <w:p>
            <w:pPr>
              <w:pStyle w:val="TableParagraph"/>
              <w:spacing w:line="218" w:lineRule="exact"/>
              <w:ind w:left="105"/>
              <w:rPr>
                <w:sz w:val="18"/>
              </w:rPr>
            </w:pPr>
            <w:r>
              <w:rPr>
                <w:sz w:val="18"/>
                <w:u w:val="single"/>
              </w:rPr>
              <w:t>Age</w:t>
            </w:r>
            <w:r>
              <w:rPr>
                <w:spacing w:val="-6"/>
                <w:sz w:val="18"/>
                <w:u w:val="single"/>
              </w:rPr>
              <w:t> </w:t>
            </w:r>
            <w:r>
              <w:rPr>
                <w:sz w:val="18"/>
                <w:u w:val="single"/>
              </w:rPr>
              <w:t>(median</w:t>
            </w:r>
            <w:r>
              <w:rPr>
                <w:spacing w:val="-3"/>
                <w:sz w:val="18"/>
                <w:u w:val="single"/>
              </w:rPr>
              <w:t> </w:t>
            </w:r>
            <w:r>
              <w:rPr>
                <w:spacing w:val="-2"/>
                <w:sz w:val="18"/>
                <w:u w:val="single"/>
              </w:rPr>
              <w:t>(IQR))</w:t>
            </w:r>
          </w:p>
          <w:p>
            <w:pPr>
              <w:pStyle w:val="TableParagraph"/>
              <w:numPr>
                <w:ilvl w:val="0"/>
                <w:numId w:val="38"/>
              </w:numPr>
              <w:tabs>
                <w:tab w:pos="326" w:val="left" w:leader="none"/>
                <w:tab w:pos="328" w:val="left" w:leader="none"/>
              </w:tabs>
              <w:spacing w:line="278" w:lineRule="auto" w:before="195" w:after="0"/>
              <w:ind w:left="328" w:right="295" w:hanging="224"/>
              <w:jc w:val="left"/>
              <w:rPr>
                <w:sz w:val="18"/>
              </w:rPr>
            </w:pPr>
            <w:r>
              <w:rPr>
                <w:sz w:val="18"/>
              </w:rPr>
              <w:t>Aspirin:</w:t>
            </w:r>
            <w:r>
              <w:rPr>
                <w:spacing w:val="-11"/>
                <w:sz w:val="18"/>
              </w:rPr>
              <w:t> </w:t>
            </w:r>
            <w:r>
              <w:rPr>
                <w:sz w:val="18"/>
              </w:rPr>
              <w:t>6.8</w:t>
            </w:r>
            <w:r>
              <w:rPr>
                <w:spacing w:val="-10"/>
                <w:sz w:val="18"/>
              </w:rPr>
              <w:t> </w:t>
            </w:r>
            <w:r>
              <w:rPr>
                <w:sz w:val="18"/>
              </w:rPr>
              <w:t>(4.5,</w:t>
            </w:r>
            <w:r>
              <w:rPr>
                <w:spacing w:val="-10"/>
                <w:sz w:val="18"/>
              </w:rPr>
              <w:t> </w:t>
            </w:r>
            <w:r>
              <w:rPr>
                <w:sz w:val="18"/>
              </w:rPr>
              <w:t>15.9) </w:t>
            </w:r>
            <w:r>
              <w:rPr>
                <w:spacing w:val="-2"/>
                <w:sz w:val="18"/>
              </w:rPr>
              <w:t>years</w:t>
            </w:r>
          </w:p>
          <w:p>
            <w:pPr>
              <w:pStyle w:val="TableParagraph"/>
              <w:numPr>
                <w:ilvl w:val="0"/>
                <w:numId w:val="38"/>
              </w:numPr>
              <w:tabs>
                <w:tab w:pos="327" w:val="left" w:leader="none"/>
              </w:tabs>
              <w:spacing w:line="240" w:lineRule="auto" w:before="2" w:after="0"/>
              <w:ind w:left="327" w:right="0" w:hanging="222"/>
              <w:jc w:val="left"/>
              <w:rPr>
                <w:sz w:val="18"/>
              </w:rPr>
            </w:pPr>
            <w:r>
              <w:rPr>
                <w:sz w:val="18"/>
              </w:rPr>
              <w:t>Warfarin:</w:t>
            </w:r>
            <w:r>
              <w:rPr>
                <w:spacing w:val="-1"/>
                <w:sz w:val="18"/>
              </w:rPr>
              <w:t> </w:t>
            </w:r>
            <w:r>
              <w:rPr>
                <w:sz w:val="18"/>
              </w:rPr>
              <w:t>11.3</w:t>
            </w:r>
            <w:r>
              <w:rPr>
                <w:spacing w:val="-1"/>
                <w:sz w:val="18"/>
              </w:rPr>
              <w:t> </w:t>
            </w:r>
            <w:r>
              <w:rPr>
                <w:spacing w:val="-2"/>
                <w:sz w:val="18"/>
              </w:rPr>
              <w:t>(8.0,</w:t>
            </w:r>
          </w:p>
          <w:p>
            <w:pPr>
              <w:pStyle w:val="TableParagraph"/>
              <w:spacing w:before="37"/>
              <w:ind w:left="328"/>
              <w:rPr>
                <w:sz w:val="18"/>
              </w:rPr>
            </w:pPr>
            <w:r>
              <w:rPr>
                <w:sz w:val="18"/>
              </w:rPr>
              <w:t>17.6)</w:t>
            </w:r>
            <w:r>
              <w:rPr>
                <w:spacing w:val="-4"/>
                <w:sz w:val="18"/>
              </w:rPr>
              <w:t> </w:t>
            </w:r>
            <w:r>
              <w:rPr>
                <w:spacing w:val="-2"/>
                <w:sz w:val="18"/>
              </w:rPr>
              <w:t>years</w:t>
            </w:r>
          </w:p>
          <w:p>
            <w:pPr>
              <w:pStyle w:val="TableParagraph"/>
              <w:rPr>
                <w:sz w:val="18"/>
              </w:rPr>
            </w:pPr>
          </w:p>
          <w:p>
            <w:pPr>
              <w:pStyle w:val="TableParagraph"/>
              <w:spacing w:before="171"/>
              <w:rPr>
                <w:sz w:val="18"/>
              </w:rPr>
            </w:pPr>
          </w:p>
          <w:p>
            <w:pPr>
              <w:pStyle w:val="TableParagraph"/>
              <w:ind w:left="105"/>
              <w:rPr>
                <w:sz w:val="18"/>
              </w:rPr>
            </w:pPr>
            <w:r>
              <w:rPr>
                <w:spacing w:val="-5"/>
                <w:sz w:val="18"/>
                <w:u w:val="single"/>
              </w:rPr>
              <w:t>Sex</w:t>
            </w:r>
          </w:p>
          <w:p>
            <w:pPr>
              <w:pStyle w:val="TableParagraph"/>
              <w:numPr>
                <w:ilvl w:val="0"/>
                <w:numId w:val="39"/>
              </w:numPr>
              <w:tabs>
                <w:tab w:pos="327" w:val="left" w:leader="none"/>
              </w:tabs>
              <w:spacing w:line="240" w:lineRule="auto" w:before="196" w:after="0"/>
              <w:ind w:left="327" w:right="0" w:hanging="222"/>
              <w:jc w:val="left"/>
              <w:rPr>
                <w:sz w:val="18"/>
              </w:rPr>
            </w:pPr>
            <w:r>
              <w:rPr>
                <w:sz w:val="18"/>
              </w:rPr>
              <w:t>Aspirin:</w:t>
            </w:r>
            <w:r>
              <w:rPr>
                <w:spacing w:val="-3"/>
                <w:sz w:val="18"/>
              </w:rPr>
              <w:t> </w:t>
            </w:r>
            <w:r>
              <w:rPr>
                <w:sz w:val="18"/>
              </w:rPr>
              <w:t>49%</w:t>
            </w:r>
            <w:r>
              <w:rPr>
                <w:spacing w:val="-2"/>
                <w:sz w:val="18"/>
              </w:rPr>
              <w:t> female</w:t>
            </w:r>
          </w:p>
          <w:p>
            <w:pPr>
              <w:pStyle w:val="TableParagraph"/>
              <w:numPr>
                <w:ilvl w:val="0"/>
                <w:numId w:val="39"/>
              </w:numPr>
              <w:tabs>
                <w:tab w:pos="327" w:val="left" w:leader="none"/>
              </w:tabs>
              <w:spacing w:line="240" w:lineRule="auto" w:before="35" w:after="0"/>
              <w:ind w:left="327" w:right="0" w:hanging="222"/>
              <w:jc w:val="left"/>
              <w:rPr>
                <w:sz w:val="18"/>
              </w:rPr>
            </w:pPr>
            <w:r>
              <w:rPr>
                <w:sz w:val="18"/>
              </w:rPr>
              <w:t>Warfarin:</w:t>
            </w:r>
            <w:r>
              <w:rPr>
                <w:spacing w:val="-1"/>
                <w:sz w:val="18"/>
              </w:rPr>
              <w:t> </w:t>
            </w:r>
            <w:r>
              <w:rPr>
                <w:sz w:val="18"/>
              </w:rPr>
              <w:t>48%</w:t>
            </w:r>
            <w:r>
              <w:rPr>
                <w:spacing w:val="-1"/>
                <w:sz w:val="18"/>
              </w:rPr>
              <w:t> </w:t>
            </w:r>
            <w:r>
              <w:rPr>
                <w:spacing w:val="-2"/>
                <w:sz w:val="18"/>
              </w:rPr>
              <w:t>female</w:t>
            </w:r>
          </w:p>
        </w:tc>
        <w:tc>
          <w:tcPr>
            <w:tcW w:w="1677" w:type="dxa"/>
          </w:tcPr>
          <w:p>
            <w:pPr>
              <w:pStyle w:val="TableParagraph"/>
              <w:rPr>
                <w:rFonts w:ascii="Times New Roman"/>
                <w:sz w:val="18"/>
              </w:rPr>
            </w:pPr>
          </w:p>
        </w:tc>
        <w:tc>
          <w:tcPr>
            <w:tcW w:w="767" w:type="dxa"/>
          </w:tcPr>
          <w:p>
            <w:pPr>
              <w:pStyle w:val="TableParagraph"/>
              <w:spacing w:line="218" w:lineRule="exact"/>
              <w:ind w:left="105"/>
              <w:rPr>
                <w:sz w:val="18"/>
              </w:rPr>
            </w:pPr>
            <w:r>
              <w:rPr>
                <w:spacing w:val="-4"/>
                <w:sz w:val="18"/>
              </w:rPr>
              <w:t>18.4</w:t>
            </w:r>
          </w:p>
          <w:p>
            <w:pPr>
              <w:pStyle w:val="TableParagraph"/>
              <w:spacing w:before="37"/>
              <w:ind w:left="105"/>
              <w:rPr>
                <w:sz w:val="18"/>
              </w:rPr>
            </w:pPr>
            <w:r>
              <w:rPr>
                <w:spacing w:val="-2"/>
                <w:sz w:val="18"/>
              </w:rPr>
              <w:t>years)</w:t>
            </w:r>
          </w:p>
        </w:tc>
        <w:tc>
          <w:tcPr>
            <w:tcW w:w="4387" w:type="dxa"/>
          </w:tcPr>
          <w:p>
            <w:pPr>
              <w:pStyle w:val="TableParagraph"/>
              <w:rPr>
                <w:rFonts w:ascii="Times New Roman"/>
                <w:sz w:val="18"/>
              </w:rPr>
            </w:pPr>
          </w:p>
        </w:tc>
        <w:tc>
          <w:tcPr>
            <w:tcW w:w="1843" w:type="dxa"/>
          </w:tcPr>
          <w:p>
            <w:pPr>
              <w:pStyle w:val="TableParagraph"/>
              <w:spacing w:line="218" w:lineRule="exact"/>
              <w:ind w:left="106"/>
              <w:rPr>
                <w:sz w:val="18"/>
              </w:rPr>
            </w:pPr>
            <w:r>
              <w:rPr>
                <w:sz w:val="18"/>
                <w:u w:val="single"/>
              </w:rPr>
              <w:t>Conflicts</w:t>
            </w:r>
            <w:r>
              <w:rPr>
                <w:spacing w:val="-3"/>
                <w:sz w:val="18"/>
                <w:u w:val="single"/>
              </w:rPr>
              <w:t> </w:t>
            </w:r>
            <w:r>
              <w:rPr>
                <w:sz w:val="18"/>
                <w:u w:val="single"/>
              </w:rPr>
              <w:t>of</w:t>
            </w:r>
            <w:r>
              <w:rPr>
                <w:spacing w:val="-2"/>
                <w:sz w:val="18"/>
                <w:u w:val="single"/>
              </w:rPr>
              <w:t> interest</w:t>
            </w:r>
          </w:p>
          <w:p>
            <w:pPr>
              <w:pStyle w:val="TableParagraph"/>
              <w:spacing w:line="278" w:lineRule="auto" w:before="195"/>
              <w:ind w:left="106" w:right="97"/>
              <w:rPr>
                <w:sz w:val="18"/>
              </w:rPr>
            </w:pPr>
            <w:r>
              <w:rPr>
                <w:sz w:val="18"/>
              </w:rPr>
              <w:t>Dr. Khairy has received</w:t>
            </w:r>
            <w:r>
              <w:rPr>
                <w:spacing w:val="-2"/>
                <w:sz w:val="18"/>
              </w:rPr>
              <w:t> </w:t>
            </w:r>
            <w:r>
              <w:rPr>
                <w:sz w:val="18"/>
              </w:rPr>
              <w:t>research support for an investigator initiated grant from</w:t>
            </w:r>
            <w:r>
              <w:rPr>
                <w:spacing w:val="40"/>
                <w:sz w:val="18"/>
              </w:rPr>
              <w:t> </w:t>
            </w:r>
            <w:r>
              <w:rPr>
                <w:sz w:val="18"/>
              </w:rPr>
              <w:t>Boehringer</w:t>
            </w:r>
            <w:r>
              <w:rPr>
                <w:spacing w:val="-11"/>
                <w:sz w:val="18"/>
              </w:rPr>
              <w:t> </w:t>
            </w:r>
            <w:r>
              <w:rPr>
                <w:sz w:val="18"/>
              </w:rPr>
              <w:t>Ingelheim.</w:t>
            </w:r>
          </w:p>
        </w:tc>
        <w:tc>
          <w:tcPr>
            <w:tcW w:w="1982" w:type="dxa"/>
          </w:tcPr>
          <w:p>
            <w:pPr>
              <w:pStyle w:val="TableParagraph"/>
              <w:rPr>
                <w:rFonts w:ascii="Times New Roman"/>
                <w:sz w:val="18"/>
              </w:rPr>
            </w:pPr>
          </w:p>
        </w:tc>
      </w:tr>
    </w:tbl>
    <w:p>
      <w:pPr>
        <w:pStyle w:val="BodyText"/>
        <w:spacing w:before="203"/>
      </w:pPr>
    </w:p>
    <w:p>
      <w:pPr>
        <w:pStyle w:val="BodyText"/>
        <w:ind w:left="23"/>
      </w:pPr>
      <w:r>
        <w:rPr/>
        <w:t>Table</w:t>
      </w:r>
      <w:r>
        <w:rPr>
          <w:spacing w:val="-5"/>
        </w:rPr>
        <w:t> </w:t>
      </w:r>
      <w:r>
        <w:rPr/>
        <w:t>3.3.1.</w:t>
      </w:r>
      <w:r>
        <w:rPr>
          <w:spacing w:val="-5"/>
        </w:rPr>
        <w:t> </w:t>
      </w:r>
      <w:r>
        <w:rPr/>
        <w:t>Risk</w:t>
      </w:r>
      <w:r>
        <w:rPr>
          <w:spacing w:val="-5"/>
        </w:rPr>
        <w:t> </w:t>
      </w:r>
      <w:r>
        <w:rPr/>
        <w:t>of</w:t>
      </w:r>
      <w:r>
        <w:rPr>
          <w:spacing w:val="-3"/>
        </w:rPr>
        <w:t> </w:t>
      </w:r>
      <w:r>
        <w:rPr/>
        <w:t>bias</w:t>
      </w:r>
      <w:r>
        <w:rPr>
          <w:spacing w:val="-6"/>
        </w:rPr>
        <w:t> </w:t>
      </w:r>
      <w:r>
        <w:rPr/>
        <w:t>table</w:t>
      </w:r>
      <w:r>
        <w:rPr>
          <w:spacing w:val="-2"/>
        </w:rPr>
        <w:t> </w:t>
      </w:r>
      <w:r>
        <w:rPr/>
        <w:t>for</w:t>
      </w:r>
      <w:r>
        <w:rPr>
          <w:spacing w:val="-5"/>
        </w:rPr>
        <w:t> </w:t>
      </w:r>
      <w:r>
        <w:rPr/>
        <w:t>interventions</w:t>
      </w:r>
      <w:r>
        <w:rPr>
          <w:spacing w:val="-3"/>
        </w:rPr>
        <w:t> </w:t>
      </w:r>
      <w:r>
        <w:rPr/>
        <w:t>studies</w:t>
      </w:r>
      <w:r>
        <w:rPr>
          <w:spacing w:val="-5"/>
        </w:rPr>
        <w:t> </w:t>
      </w:r>
      <w:r>
        <w:rPr/>
        <w:t>(cohort</w:t>
      </w:r>
      <w:r>
        <w:rPr>
          <w:spacing w:val="-3"/>
        </w:rPr>
        <w:t> </w:t>
      </w:r>
      <w:r>
        <w:rPr/>
        <w:t>studies</w:t>
      </w:r>
      <w:r>
        <w:rPr>
          <w:spacing w:val="-3"/>
        </w:rPr>
        <w:t> </w:t>
      </w:r>
      <w:r>
        <w:rPr/>
        <w:t>based</w:t>
      </w:r>
      <w:r>
        <w:rPr>
          <w:spacing w:val="-3"/>
        </w:rPr>
        <w:t> </w:t>
      </w:r>
      <w:r>
        <w:rPr/>
        <w:t>on</w:t>
      </w:r>
      <w:r>
        <w:rPr>
          <w:spacing w:val="-4"/>
        </w:rPr>
        <w:t> </w:t>
      </w:r>
      <w:r>
        <w:rPr/>
        <w:t>risk</w:t>
      </w:r>
      <w:r>
        <w:rPr>
          <w:spacing w:val="-3"/>
        </w:rPr>
        <w:t> </w:t>
      </w:r>
      <w:r>
        <w:rPr/>
        <w:t>of</w:t>
      </w:r>
      <w:r>
        <w:rPr>
          <w:spacing w:val="-5"/>
        </w:rPr>
        <w:t> </w:t>
      </w:r>
      <w:r>
        <w:rPr/>
        <w:t>bias</w:t>
      </w:r>
      <w:r>
        <w:rPr>
          <w:spacing w:val="-3"/>
        </w:rPr>
        <w:t> </w:t>
      </w:r>
      <w:r>
        <w:rPr/>
        <w:t>tool</w:t>
      </w:r>
      <w:r>
        <w:rPr>
          <w:spacing w:val="-3"/>
        </w:rPr>
        <w:t> </w:t>
      </w:r>
      <w:r>
        <w:rPr/>
        <w:t>by</w:t>
      </w:r>
      <w:r>
        <w:rPr>
          <w:spacing w:val="-5"/>
        </w:rPr>
        <w:t> </w:t>
      </w:r>
      <w:r>
        <w:rPr/>
        <w:t>the</w:t>
      </w:r>
      <w:r>
        <w:rPr>
          <w:spacing w:val="-3"/>
        </w:rPr>
        <w:t> </w:t>
      </w:r>
      <w:r>
        <w:rPr/>
        <w:t>CLARITY</w:t>
      </w:r>
      <w:r>
        <w:rPr>
          <w:spacing w:val="-3"/>
        </w:rPr>
        <w:t> </w:t>
      </w:r>
      <w:r>
        <w:rPr/>
        <w:t>Group</w:t>
      </w:r>
      <w:r>
        <w:rPr>
          <w:spacing w:val="-4"/>
        </w:rPr>
        <w:t> </w:t>
      </w:r>
      <w:r>
        <w:rPr/>
        <w:t>at</w:t>
      </w:r>
      <w:r>
        <w:rPr>
          <w:spacing w:val="-5"/>
        </w:rPr>
        <w:t> </w:t>
      </w:r>
      <w:r>
        <w:rPr/>
        <w:t>McMaster</w:t>
      </w:r>
      <w:r>
        <w:rPr>
          <w:spacing w:val="-2"/>
        </w:rPr>
        <w:t> University)</w:t>
      </w:r>
    </w:p>
    <w:p>
      <w:pPr>
        <w:pStyle w:val="BodyText"/>
        <w:spacing w:before="7"/>
        <w:rPr>
          <w:sz w:val="16"/>
        </w:rPr>
      </w:pPr>
    </w:p>
    <w:tbl>
      <w:tblPr>
        <w:tblW w:w="0" w:type="auto"/>
        <w:jc w:val="left"/>
        <w:tblInd w:w="3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14"/>
        <w:gridCol w:w="1582"/>
        <w:gridCol w:w="1417"/>
        <w:gridCol w:w="1277"/>
        <w:gridCol w:w="1416"/>
        <w:gridCol w:w="1419"/>
        <w:gridCol w:w="1416"/>
        <w:gridCol w:w="1277"/>
        <w:gridCol w:w="1278"/>
        <w:gridCol w:w="1844"/>
      </w:tblGrid>
      <w:tr>
        <w:trPr>
          <w:trHeight w:val="3651" w:hRule="atLeast"/>
        </w:trPr>
        <w:tc>
          <w:tcPr>
            <w:tcW w:w="1114" w:type="dxa"/>
            <w:tcBorders>
              <w:bottom w:val="nil"/>
            </w:tcBorders>
            <w:shd w:val="clear" w:color="auto" w:fill="D9D9D9"/>
          </w:tcPr>
          <w:p>
            <w:pPr>
              <w:pStyle w:val="TableParagraph"/>
              <w:spacing w:before="74"/>
              <w:rPr>
                <w:sz w:val="18"/>
              </w:rPr>
            </w:pPr>
          </w:p>
          <w:p>
            <w:pPr>
              <w:pStyle w:val="TableParagraph"/>
              <w:ind w:left="112" w:right="415"/>
              <w:rPr>
                <w:b/>
                <w:sz w:val="18"/>
              </w:rPr>
            </w:pPr>
            <w:r>
              <w:rPr>
                <w:b/>
                <w:spacing w:val="-2"/>
                <w:sz w:val="18"/>
              </w:rPr>
              <w:t>Author,</w:t>
            </w:r>
            <w:r>
              <w:rPr>
                <w:b/>
                <w:sz w:val="18"/>
              </w:rPr>
              <w:t> </w:t>
            </w:r>
            <w:r>
              <w:rPr>
                <w:b/>
                <w:spacing w:val="-4"/>
                <w:sz w:val="18"/>
              </w:rPr>
              <w:t>year</w:t>
            </w:r>
          </w:p>
        </w:tc>
        <w:tc>
          <w:tcPr>
            <w:tcW w:w="1582" w:type="dxa"/>
            <w:tcBorders>
              <w:bottom w:val="nil"/>
            </w:tcBorders>
            <w:shd w:val="clear" w:color="auto" w:fill="D9D9D9"/>
          </w:tcPr>
          <w:p>
            <w:pPr>
              <w:pStyle w:val="TableParagraph"/>
              <w:spacing w:before="1"/>
              <w:ind w:left="102"/>
              <w:rPr>
                <w:b/>
                <w:sz w:val="18"/>
              </w:rPr>
            </w:pPr>
            <w:r>
              <w:rPr>
                <w:b/>
                <w:sz w:val="18"/>
              </w:rPr>
              <w:t>Selection</w:t>
            </w:r>
            <w:r>
              <w:rPr>
                <w:b/>
                <w:spacing w:val="-11"/>
                <w:sz w:val="18"/>
              </w:rPr>
              <w:t> </w:t>
            </w:r>
            <w:r>
              <w:rPr>
                <w:b/>
                <w:sz w:val="18"/>
              </w:rPr>
              <w:t>of </w:t>
            </w:r>
            <w:r>
              <w:rPr>
                <w:b/>
                <w:spacing w:val="-2"/>
                <w:sz w:val="18"/>
              </w:rPr>
              <w:t>participants</w:t>
            </w:r>
          </w:p>
          <w:p>
            <w:pPr>
              <w:pStyle w:val="TableParagraph"/>
              <w:spacing w:before="1"/>
              <w:rPr>
                <w:sz w:val="18"/>
              </w:rPr>
            </w:pPr>
          </w:p>
          <w:p>
            <w:pPr>
              <w:pStyle w:val="TableParagraph"/>
              <w:ind w:left="102"/>
              <w:rPr>
                <w:b/>
                <w:sz w:val="18"/>
              </w:rPr>
            </w:pPr>
            <w:r>
              <w:rPr>
                <w:b/>
                <w:sz w:val="18"/>
              </w:rPr>
              <w:t>Was selection of exposed</w:t>
            </w:r>
            <w:r>
              <w:rPr>
                <w:b/>
                <w:spacing w:val="-11"/>
                <w:sz w:val="18"/>
              </w:rPr>
              <w:t> </w:t>
            </w:r>
            <w:r>
              <w:rPr>
                <w:b/>
                <w:sz w:val="18"/>
              </w:rPr>
              <w:t>and</w:t>
            </w:r>
            <w:r>
              <w:rPr>
                <w:b/>
                <w:spacing w:val="-10"/>
                <w:sz w:val="18"/>
              </w:rPr>
              <w:t> </w:t>
            </w:r>
            <w:r>
              <w:rPr>
                <w:b/>
                <w:sz w:val="18"/>
              </w:rPr>
              <w:t>non-exposed</w:t>
            </w:r>
            <w:r>
              <w:rPr>
                <w:b/>
                <w:spacing w:val="-2"/>
                <w:sz w:val="18"/>
              </w:rPr>
              <w:t> </w:t>
            </w:r>
            <w:r>
              <w:rPr>
                <w:b/>
                <w:sz w:val="18"/>
              </w:rPr>
              <w:t>cohorts drawn from the </w:t>
            </w:r>
            <w:r>
              <w:rPr>
                <w:b/>
                <w:spacing w:val="-2"/>
                <w:sz w:val="18"/>
              </w:rPr>
              <w:t>same</w:t>
            </w:r>
            <w:r>
              <w:rPr>
                <w:b/>
                <w:spacing w:val="-9"/>
                <w:sz w:val="18"/>
              </w:rPr>
              <w:t> </w:t>
            </w:r>
            <w:r>
              <w:rPr>
                <w:b/>
                <w:spacing w:val="-2"/>
                <w:sz w:val="18"/>
              </w:rPr>
              <w:t>population?</w:t>
            </w:r>
          </w:p>
        </w:tc>
        <w:tc>
          <w:tcPr>
            <w:tcW w:w="1417" w:type="dxa"/>
            <w:tcBorders>
              <w:bottom w:val="nil"/>
            </w:tcBorders>
            <w:shd w:val="clear" w:color="auto" w:fill="D9D9D9"/>
          </w:tcPr>
          <w:p>
            <w:pPr>
              <w:pStyle w:val="TableParagraph"/>
              <w:spacing w:before="1"/>
              <w:ind w:left="102"/>
              <w:rPr>
                <w:b/>
                <w:sz w:val="18"/>
              </w:rPr>
            </w:pPr>
            <w:r>
              <w:rPr>
                <w:b/>
                <w:spacing w:val="-2"/>
                <w:sz w:val="18"/>
              </w:rPr>
              <w:t>Exposure</w:t>
            </w:r>
          </w:p>
          <w:p>
            <w:pPr>
              <w:pStyle w:val="TableParagraph"/>
              <w:rPr>
                <w:sz w:val="18"/>
              </w:rPr>
            </w:pPr>
          </w:p>
          <w:p>
            <w:pPr>
              <w:pStyle w:val="TableParagraph"/>
              <w:spacing w:before="1"/>
              <w:rPr>
                <w:sz w:val="18"/>
              </w:rPr>
            </w:pPr>
          </w:p>
          <w:p>
            <w:pPr>
              <w:pStyle w:val="TableParagraph"/>
              <w:ind w:left="102"/>
              <w:rPr>
                <w:b/>
                <w:sz w:val="18"/>
              </w:rPr>
            </w:pPr>
            <w:r>
              <w:rPr>
                <w:b/>
                <w:sz w:val="18"/>
              </w:rPr>
              <w:t>Can we be confident</w:t>
            </w:r>
            <w:r>
              <w:rPr>
                <w:b/>
                <w:spacing w:val="-11"/>
                <w:sz w:val="18"/>
              </w:rPr>
              <w:t> </w:t>
            </w:r>
            <w:r>
              <w:rPr>
                <w:b/>
                <w:sz w:val="18"/>
              </w:rPr>
              <w:t>in</w:t>
            </w:r>
            <w:r>
              <w:rPr>
                <w:b/>
                <w:spacing w:val="-10"/>
                <w:sz w:val="18"/>
              </w:rPr>
              <w:t> </w:t>
            </w:r>
            <w:r>
              <w:rPr>
                <w:b/>
                <w:sz w:val="18"/>
              </w:rPr>
              <w:t>the assessment of </w:t>
            </w:r>
            <w:r>
              <w:rPr>
                <w:b/>
                <w:spacing w:val="-2"/>
                <w:sz w:val="18"/>
              </w:rPr>
              <w:t>exposure?</w:t>
            </w:r>
          </w:p>
        </w:tc>
        <w:tc>
          <w:tcPr>
            <w:tcW w:w="1277" w:type="dxa"/>
            <w:tcBorders>
              <w:bottom w:val="nil"/>
            </w:tcBorders>
            <w:shd w:val="clear" w:color="auto" w:fill="D9D9D9"/>
          </w:tcPr>
          <w:p>
            <w:pPr>
              <w:pStyle w:val="TableParagraph"/>
              <w:spacing w:before="1"/>
              <w:ind w:left="104" w:right="264"/>
              <w:rPr>
                <w:b/>
                <w:sz w:val="18"/>
              </w:rPr>
            </w:pPr>
            <w:r>
              <w:rPr>
                <w:b/>
                <w:sz w:val="18"/>
              </w:rPr>
              <w:t>Outcome</w:t>
            </w:r>
            <w:r>
              <w:rPr>
                <w:b/>
                <w:spacing w:val="-11"/>
                <w:sz w:val="18"/>
              </w:rPr>
              <w:t> </w:t>
            </w:r>
            <w:r>
              <w:rPr>
                <w:b/>
                <w:sz w:val="18"/>
              </w:rPr>
              <w:t>of </w:t>
            </w:r>
            <w:r>
              <w:rPr>
                <w:b/>
                <w:spacing w:val="-2"/>
                <w:sz w:val="18"/>
              </w:rPr>
              <w:t>interest</w:t>
            </w:r>
          </w:p>
          <w:p>
            <w:pPr>
              <w:pStyle w:val="TableParagraph"/>
              <w:spacing w:before="1"/>
              <w:rPr>
                <w:sz w:val="18"/>
              </w:rPr>
            </w:pPr>
          </w:p>
          <w:p>
            <w:pPr>
              <w:pStyle w:val="TableParagraph"/>
              <w:ind w:left="104" w:right="95"/>
              <w:rPr>
                <w:b/>
                <w:sz w:val="18"/>
              </w:rPr>
            </w:pPr>
            <w:r>
              <w:rPr>
                <w:b/>
                <w:sz w:val="18"/>
              </w:rPr>
              <w:t>Can we be </w:t>
            </w:r>
            <w:r>
              <w:rPr>
                <w:b/>
                <w:spacing w:val="-2"/>
                <w:sz w:val="18"/>
              </w:rPr>
              <w:t>confident</w:t>
            </w:r>
            <w:r>
              <w:rPr>
                <w:b/>
                <w:spacing w:val="80"/>
                <w:sz w:val="18"/>
              </w:rPr>
              <w:t> </w:t>
            </w:r>
            <w:r>
              <w:rPr>
                <w:b/>
                <w:sz w:val="18"/>
              </w:rPr>
              <w:t>that the outcome of interest was not</w:t>
            </w:r>
            <w:r>
              <w:rPr>
                <w:b/>
                <w:spacing w:val="-11"/>
                <w:sz w:val="18"/>
              </w:rPr>
              <w:t> </w:t>
            </w:r>
            <w:r>
              <w:rPr>
                <w:b/>
                <w:sz w:val="18"/>
              </w:rPr>
              <w:t>present</w:t>
            </w:r>
            <w:r>
              <w:rPr>
                <w:b/>
                <w:spacing w:val="-10"/>
                <w:sz w:val="18"/>
              </w:rPr>
              <w:t> </w:t>
            </w:r>
            <w:r>
              <w:rPr>
                <w:b/>
                <w:sz w:val="18"/>
              </w:rPr>
              <w:t>at start of</w:t>
            </w:r>
            <w:r>
              <w:rPr>
                <w:b/>
                <w:spacing w:val="40"/>
                <w:sz w:val="18"/>
              </w:rPr>
              <w:t> </w:t>
            </w:r>
            <w:r>
              <w:rPr>
                <w:b/>
                <w:spacing w:val="-2"/>
                <w:sz w:val="18"/>
              </w:rPr>
              <w:t>study?</w:t>
            </w:r>
          </w:p>
        </w:tc>
        <w:tc>
          <w:tcPr>
            <w:tcW w:w="1416" w:type="dxa"/>
            <w:tcBorders>
              <w:bottom w:val="nil"/>
            </w:tcBorders>
            <w:shd w:val="clear" w:color="auto" w:fill="D9D9D9"/>
          </w:tcPr>
          <w:p>
            <w:pPr>
              <w:pStyle w:val="TableParagraph"/>
              <w:spacing w:before="1"/>
              <w:ind w:left="101"/>
              <w:rPr>
                <w:b/>
                <w:sz w:val="18"/>
              </w:rPr>
            </w:pPr>
            <w:r>
              <w:rPr>
                <w:b/>
                <w:spacing w:val="-2"/>
                <w:sz w:val="18"/>
              </w:rPr>
              <w:t>Confounding-assessment</w:t>
            </w:r>
          </w:p>
          <w:p>
            <w:pPr>
              <w:pStyle w:val="TableParagraph"/>
              <w:spacing w:before="1"/>
              <w:rPr>
                <w:sz w:val="18"/>
              </w:rPr>
            </w:pPr>
          </w:p>
          <w:p>
            <w:pPr>
              <w:pStyle w:val="TableParagraph"/>
              <w:ind w:left="101"/>
              <w:rPr>
                <w:b/>
                <w:sz w:val="18"/>
              </w:rPr>
            </w:pPr>
            <w:r>
              <w:rPr>
                <w:b/>
                <w:sz w:val="18"/>
              </w:rPr>
              <w:t>Can we be confident</w:t>
            </w:r>
            <w:r>
              <w:rPr>
                <w:b/>
                <w:spacing w:val="-11"/>
                <w:sz w:val="18"/>
              </w:rPr>
              <w:t> </w:t>
            </w:r>
            <w:r>
              <w:rPr>
                <w:b/>
                <w:sz w:val="18"/>
              </w:rPr>
              <w:t>in</w:t>
            </w:r>
            <w:r>
              <w:rPr>
                <w:b/>
                <w:spacing w:val="-10"/>
                <w:sz w:val="18"/>
              </w:rPr>
              <w:t> </w:t>
            </w:r>
            <w:r>
              <w:rPr>
                <w:b/>
                <w:sz w:val="18"/>
              </w:rPr>
              <w:t>the assessment of </w:t>
            </w:r>
            <w:r>
              <w:rPr>
                <w:b/>
                <w:spacing w:val="-2"/>
                <w:sz w:val="18"/>
              </w:rPr>
              <w:t>confounding</w:t>
            </w:r>
            <w:r>
              <w:rPr>
                <w:b/>
                <w:sz w:val="18"/>
              </w:rPr>
              <w:t> </w:t>
            </w:r>
            <w:r>
              <w:rPr>
                <w:b/>
                <w:spacing w:val="-2"/>
                <w:sz w:val="18"/>
              </w:rPr>
              <w:t>factors?</w:t>
            </w:r>
          </w:p>
        </w:tc>
        <w:tc>
          <w:tcPr>
            <w:tcW w:w="1419" w:type="dxa"/>
            <w:tcBorders>
              <w:bottom w:val="nil"/>
            </w:tcBorders>
            <w:shd w:val="clear" w:color="auto" w:fill="D9D9D9"/>
          </w:tcPr>
          <w:p>
            <w:pPr>
              <w:pStyle w:val="TableParagraph"/>
              <w:spacing w:before="1"/>
              <w:ind w:left="104" w:right="125"/>
              <w:rPr>
                <w:b/>
                <w:sz w:val="18"/>
              </w:rPr>
            </w:pPr>
            <w:r>
              <w:rPr>
                <w:b/>
                <w:spacing w:val="-2"/>
                <w:sz w:val="18"/>
              </w:rPr>
              <w:t>Confounding-analysis</w:t>
            </w:r>
          </w:p>
          <w:p>
            <w:pPr>
              <w:pStyle w:val="TableParagraph"/>
              <w:spacing w:before="1"/>
              <w:rPr>
                <w:sz w:val="18"/>
              </w:rPr>
            </w:pPr>
          </w:p>
          <w:p>
            <w:pPr>
              <w:pStyle w:val="TableParagraph"/>
              <w:ind w:left="104" w:right="125"/>
              <w:rPr>
                <w:b/>
                <w:sz w:val="18"/>
              </w:rPr>
            </w:pPr>
            <w:r>
              <w:rPr>
                <w:b/>
                <w:sz w:val="18"/>
              </w:rPr>
              <w:t>Did the study match</w:t>
            </w:r>
            <w:r>
              <w:rPr>
                <w:b/>
                <w:spacing w:val="-9"/>
                <w:sz w:val="18"/>
              </w:rPr>
              <w:t> </w:t>
            </w:r>
            <w:r>
              <w:rPr>
                <w:b/>
                <w:sz w:val="18"/>
              </w:rPr>
              <w:t>exposed and</w:t>
            </w:r>
            <w:r>
              <w:rPr>
                <w:b/>
                <w:spacing w:val="-11"/>
                <w:sz w:val="18"/>
              </w:rPr>
              <w:t> </w:t>
            </w:r>
            <w:r>
              <w:rPr>
                <w:b/>
                <w:sz w:val="18"/>
              </w:rPr>
              <w:t>unexposed for</w:t>
            </w:r>
            <w:r>
              <w:rPr>
                <w:b/>
                <w:spacing w:val="-11"/>
                <w:sz w:val="18"/>
              </w:rPr>
              <w:t> </w:t>
            </w:r>
            <w:r>
              <w:rPr>
                <w:b/>
                <w:sz w:val="18"/>
              </w:rPr>
              <w:t>all</w:t>
            </w:r>
            <w:r>
              <w:rPr>
                <w:b/>
                <w:spacing w:val="-10"/>
                <w:sz w:val="18"/>
              </w:rPr>
              <w:t> </w:t>
            </w:r>
            <w:r>
              <w:rPr>
                <w:b/>
                <w:sz w:val="18"/>
              </w:rPr>
              <w:t>variables that are associated</w:t>
            </w:r>
            <w:r>
              <w:rPr>
                <w:b/>
                <w:spacing w:val="-11"/>
                <w:sz w:val="18"/>
              </w:rPr>
              <w:t> </w:t>
            </w:r>
            <w:r>
              <w:rPr>
                <w:b/>
                <w:sz w:val="18"/>
              </w:rPr>
              <w:t>with the</w:t>
            </w:r>
            <w:r>
              <w:rPr>
                <w:b/>
                <w:spacing w:val="-11"/>
                <w:sz w:val="18"/>
              </w:rPr>
              <w:t> </w:t>
            </w:r>
            <w:r>
              <w:rPr>
                <w:b/>
                <w:sz w:val="18"/>
              </w:rPr>
              <w:t>outcome</w:t>
            </w:r>
            <w:r>
              <w:rPr>
                <w:b/>
                <w:spacing w:val="-10"/>
                <w:sz w:val="18"/>
              </w:rPr>
              <w:t> </w:t>
            </w:r>
            <w:r>
              <w:rPr>
                <w:b/>
                <w:sz w:val="18"/>
              </w:rPr>
              <w:t>of interest or did the statistical analysis adjust for these </w:t>
            </w:r>
            <w:r>
              <w:rPr>
                <w:b/>
                <w:spacing w:val="-2"/>
                <w:sz w:val="18"/>
              </w:rPr>
              <w:t>confounding</w:t>
            </w:r>
            <w:r>
              <w:rPr>
                <w:b/>
                <w:sz w:val="18"/>
              </w:rPr>
              <w:t> </w:t>
            </w:r>
            <w:r>
              <w:rPr>
                <w:b/>
                <w:spacing w:val="-2"/>
                <w:sz w:val="18"/>
              </w:rPr>
              <w:t>variables?</w:t>
            </w:r>
          </w:p>
        </w:tc>
        <w:tc>
          <w:tcPr>
            <w:tcW w:w="1416" w:type="dxa"/>
            <w:tcBorders>
              <w:bottom w:val="nil"/>
            </w:tcBorders>
            <w:shd w:val="clear" w:color="auto" w:fill="D9D9D9"/>
          </w:tcPr>
          <w:p>
            <w:pPr>
              <w:pStyle w:val="TableParagraph"/>
              <w:spacing w:before="1"/>
              <w:ind w:left="104" w:right="210"/>
              <w:rPr>
                <w:b/>
                <w:sz w:val="18"/>
              </w:rPr>
            </w:pPr>
            <w:r>
              <w:rPr>
                <w:b/>
                <w:sz w:val="18"/>
              </w:rPr>
              <w:t>Assessment</w:t>
            </w:r>
            <w:r>
              <w:rPr>
                <w:b/>
                <w:spacing w:val="-11"/>
                <w:sz w:val="18"/>
              </w:rPr>
              <w:t> </w:t>
            </w:r>
            <w:r>
              <w:rPr>
                <w:b/>
                <w:sz w:val="18"/>
              </w:rPr>
              <w:t>of </w:t>
            </w:r>
            <w:r>
              <w:rPr>
                <w:b/>
                <w:spacing w:val="-2"/>
                <w:sz w:val="18"/>
              </w:rPr>
              <w:t>outcome</w:t>
            </w:r>
          </w:p>
          <w:p>
            <w:pPr>
              <w:pStyle w:val="TableParagraph"/>
              <w:spacing w:before="1"/>
              <w:rPr>
                <w:sz w:val="18"/>
              </w:rPr>
            </w:pPr>
          </w:p>
          <w:p>
            <w:pPr>
              <w:pStyle w:val="TableParagraph"/>
              <w:ind w:left="104"/>
              <w:rPr>
                <w:b/>
                <w:sz w:val="18"/>
              </w:rPr>
            </w:pPr>
            <w:r>
              <w:rPr>
                <w:b/>
                <w:sz w:val="18"/>
              </w:rPr>
              <w:t>Can we be confident</w:t>
            </w:r>
            <w:r>
              <w:rPr>
                <w:b/>
                <w:spacing w:val="-11"/>
                <w:sz w:val="18"/>
              </w:rPr>
              <w:t> </w:t>
            </w:r>
            <w:r>
              <w:rPr>
                <w:b/>
                <w:sz w:val="18"/>
              </w:rPr>
              <w:t>in</w:t>
            </w:r>
            <w:r>
              <w:rPr>
                <w:b/>
                <w:spacing w:val="-10"/>
                <w:sz w:val="18"/>
              </w:rPr>
              <w:t> </w:t>
            </w:r>
            <w:r>
              <w:rPr>
                <w:b/>
                <w:sz w:val="18"/>
              </w:rPr>
              <w:t>the assessment of </w:t>
            </w:r>
            <w:r>
              <w:rPr>
                <w:b/>
                <w:spacing w:val="-2"/>
                <w:sz w:val="18"/>
              </w:rPr>
              <w:t>outcome?</w:t>
            </w:r>
          </w:p>
        </w:tc>
        <w:tc>
          <w:tcPr>
            <w:tcW w:w="1277" w:type="dxa"/>
            <w:tcBorders>
              <w:bottom w:val="nil"/>
            </w:tcBorders>
            <w:shd w:val="clear" w:color="auto" w:fill="D9D9D9"/>
          </w:tcPr>
          <w:p>
            <w:pPr>
              <w:pStyle w:val="TableParagraph"/>
              <w:spacing w:before="1"/>
              <w:ind w:left="104"/>
              <w:rPr>
                <w:b/>
                <w:sz w:val="18"/>
              </w:rPr>
            </w:pPr>
            <w:r>
              <w:rPr>
                <w:b/>
                <w:sz w:val="18"/>
              </w:rPr>
              <w:t>Follow</w:t>
            </w:r>
            <w:r>
              <w:rPr>
                <w:b/>
                <w:spacing w:val="-5"/>
                <w:sz w:val="18"/>
              </w:rPr>
              <w:t> up</w:t>
            </w:r>
          </w:p>
          <w:p>
            <w:pPr>
              <w:pStyle w:val="TableParagraph"/>
              <w:rPr>
                <w:sz w:val="18"/>
              </w:rPr>
            </w:pPr>
          </w:p>
          <w:p>
            <w:pPr>
              <w:pStyle w:val="TableParagraph"/>
              <w:spacing w:before="1"/>
              <w:rPr>
                <w:sz w:val="18"/>
              </w:rPr>
            </w:pPr>
          </w:p>
          <w:p>
            <w:pPr>
              <w:pStyle w:val="TableParagraph"/>
              <w:ind w:left="104" w:right="154"/>
              <w:rPr>
                <w:b/>
                <w:sz w:val="18"/>
              </w:rPr>
            </w:pPr>
            <w:r>
              <w:rPr>
                <w:b/>
                <w:sz w:val="18"/>
              </w:rPr>
              <w:t>Was the follow up of </w:t>
            </w:r>
            <w:r>
              <w:rPr>
                <w:b/>
                <w:spacing w:val="-2"/>
                <w:sz w:val="18"/>
              </w:rPr>
              <w:t>cohorts</w:t>
            </w:r>
            <w:r>
              <w:rPr>
                <w:b/>
                <w:sz w:val="18"/>
              </w:rPr>
              <w:t> adequate?</w:t>
            </w:r>
            <w:r>
              <w:rPr>
                <w:b/>
                <w:spacing w:val="-11"/>
                <w:sz w:val="18"/>
              </w:rPr>
              <w:t> </w:t>
            </w:r>
            <w:r>
              <w:rPr>
                <w:b/>
                <w:sz w:val="18"/>
              </w:rPr>
              <w:t>In </w:t>
            </w:r>
            <w:r>
              <w:rPr>
                <w:b/>
                <w:spacing w:val="-2"/>
                <w:sz w:val="18"/>
              </w:rPr>
              <w:t>particular,</w:t>
            </w:r>
            <w:r>
              <w:rPr>
                <w:b/>
                <w:sz w:val="18"/>
              </w:rPr>
              <w:t> </w:t>
            </w:r>
            <w:r>
              <w:rPr>
                <w:b/>
                <w:spacing w:val="-2"/>
                <w:sz w:val="18"/>
              </w:rPr>
              <w:t>was</w:t>
            </w:r>
            <w:r>
              <w:rPr>
                <w:b/>
                <w:spacing w:val="-9"/>
                <w:sz w:val="18"/>
              </w:rPr>
              <w:t> </w:t>
            </w:r>
            <w:r>
              <w:rPr>
                <w:b/>
                <w:spacing w:val="-2"/>
                <w:sz w:val="18"/>
              </w:rPr>
              <w:t>outcome</w:t>
            </w:r>
            <w:r>
              <w:rPr>
                <w:b/>
                <w:sz w:val="18"/>
              </w:rPr>
              <w:t> </w:t>
            </w:r>
            <w:r>
              <w:rPr>
                <w:b/>
                <w:spacing w:val="-4"/>
                <w:sz w:val="18"/>
              </w:rPr>
              <w:t>data</w:t>
            </w:r>
            <w:r>
              <w:rPr>
                <w:b/>
                <w:sz w:val="18"/>
              </w:rPr>
              <w:t> complete or </w:t>
            </w:r>
            <w:r>
              <w:rPr>
                <w:b/>
                <w:spacing w:val="-2"/>
                <w:sz w:val="18"/>
              </w:rPr>
              <w:t>imputed?</w:t>
            </w:r>
          </w:p>
        </w:tc>
        <w:tc>
          <w:tcPr>
            <w:tcW w:w="1278" w:type="dxa"/>
            <w:tcBorders>
              <w:bottom w:val="nil"/>
            </w:tcBorders>
            <w:shd w:val="clear" w:color="auto" w:fill="D9D9D9"/>
          </w:tcPr>
          <w:p>
            <w:pPr>
              <w:pStyle w:val="TableParagraph"/>
              <w:spacing w:before="1"/>
              <w:ind w:left="103" w:right="118"/>
              <w:rPr>
                <w:b/>
                <w:sz w:val="18"/>
              </w:rPr>
            </w:pPr>
            <w:r>
              <w:rPr>
                <w:b/>
                <w:spacing w:val="-4"/>
                <w:sz w:val="18"/>
              </w:rPr>
              <w:t>Co-</w:t>
            </w:r>
            <w:r>
              <w:rPr>
                <w:b/>
                <w:spacing w:val="-2"/>
                <w:sz w:val="18"/>
              </w:rPr>
              <w:t>interventions</w:t>
            </w:r>
          </w:p>
          <w:p>
            <w:pPr>
              <w:pStyle w:val="TableParagraph"/>
              <w:spacing w:before="1"/>
              <w:rPr>
                <w:sz w:val="18"/>
              </w:rPr>
            </w:pPr>
          </w:p>
          <w:p>
            <w:pPr>
              <w:pStyle w:val="TableParagraph"/>
              <w:ind w:left="103" w:right="118"/>
              <w:rPr>
                <w:b/>
                <w:sz w:val="18"/>
              </w:rPr>
            </w:pPr>
            <w:r>
              <w:rPr>
                <w:b/>
                <w:sz w:val="18"/>
              </w:rPr>
              <w:t>Were co-</w:t>
            </w:r>
            <w:r>
              <w:rPr>
                <w:b/>
                <w:spacing w:val="-2"/>
                <w:sz w:val="18"/>
              </w:rPr>
              <w:t>interventions</w:t>
            </w:r>
            <w:r>
              <w:rPr>
                <w:b/>
                <w:sz w:val="18"/>
              </w:rPr>
              <w:t> </w:t>
            </w:r>
            <w:r>
              <w:rPr>
                <w:b/>
                <w:spacing w:val="-2"/>
                <w:sz w:val="18"/>
              </w:rPr>
              <w:t>similar</w:t>
            </w:r>
            <w:r>
              <w:rPr>
                <w:b/>
                <w:sz w:val="18"/>
              </w:rPr>
              <w:t> </w:t>
            </w:r>
            <w:r>
              <w:rPr>
                <w:b/>
                <w:spacing w:val="-2"/>
                <w:sz w:val="18"/>
              </w:rPr>
              <w:t>between</w:t>
            </w:r>
            <w:r>
              <w:rPr>
                <w:b/>
                <w:sz w:val="18"/>
              </w:rPr>
              <w:t> </w:t>
            </w:r>
            <w:r>
              <w:rPr>
                <w:b/>
                <w:spacing w:val="-2"/>
                <w:sz w:val="18"/>
              </w:rPr>
              <w:t>groups?</w:t>
            </w:r>
          </w:p>
        </w:tc>
        <w:tc>
          <w:tcPr>
            <w:tcW w:w="1844" w:type="dxa"/>
            <w:tcBorders>
              <w:bottom w:val="nil"/>
            </w:tcBorders>
            <w:shd w:val="clear" w:color="auto" w:fill="D9D9D9"/>
          </w:tcPr>
          <w:p>
            <w:pPr>
              <w:pStyle w:val="TableParagraph"/>
              <w:spacing w:before="1"/>
              <w:ind w:left="100"/>
              <w:rPr>
                <w:b/>
                <w:sz w:val="18"/>
              </w:rPr>
            </w:pPr>
            <w:r>
              <w:rPr>
                <w:b/>
                <w:sz w:val="18"/>
              </w:rPr>
              <w:t>Overall</w:t>
            </w:r>
            <w:r>
              <w:rPr>
                <w:b/>
                <w:spacing w:val="-4"/>
                <w:sz w:val="18"/>
              </w:rPr>
              <w:t> </w:t>
            </w:r>
            <w:r>
              <w:rPr>
                <w:b/>
                <w:sz w:val="18"/>
              </w:rPr>
              <w:t>Risk</w:t>
            </w:r>
            <w:r>
              <w:rPr>
                <w:b/>
                <w:spacing w:val="-1"/>
                <w:sz w:val="18"/>
              </w:rPr>
              <w:t> </w:t>
            </w:r>
            <w:r>
              <w:rPr>
                <w:b/>
                <w:sz w:val="18"/>
              </w:rPr>
              <w:t>of</w:t>
            </w:r>
            <w:r>
              <w:rPr>
                <w:b/>
                <w:spacing w:val="-2"/>
                <w:sz w:val="18"/>
              </w:rPr>
              <w:t> </w:t>
            </w:r>
            <w:r>
              <w:rPr>
                <w:b/>
                <w:spacing w:val="-4"/>
                <w:sz w:val="18"/>
              </w:rPr>
              <w:t>bias</w:t>
            </w:r>
          </w:p>
        </w:tc>
      </w:tr>
      <w:tr>
        <w:trPr>
          <w:trHeight w:val="685" w:hRule="atLeast"/>
        </w:trPr>
        <w:tc>
          <w:tcPr>
            <w:tcW w:w="1114" w:type="dxa"/>
            <w:tcBorders>
              <w:top w:val="nil"/>
              <w:bottom w:val="single" w:sz="2" w:space="0" w:color="000000"/>
            </w:tcBorders>
            <w:shd w:val="clear" w:color="auto" w:fill="D9D9D9"/>
          </w:tcPr>
          <w:p>
            <w:pPr>
              <w:pStyle w:val="TableParagraph"/>
              <w:rPr>
                <w:rFonts w:ascii="Times New Roman"/>
                <w:sz w:val="18"/>
              </w:rPr>
            </w:pPr>
          </w:p>
        </w:tc>
        <w:tc>
          <w:tcPr>
            <w:tcW w:w="1582" w:type="dxa"/>
            <w:tcBorders>
              <w:top w:val="nil"/>
            </w:tcBorders>
            <w:shd w:val="clear" w:color="auto" w:fill="D9D9D9"/>
          </w:tcPr>
          <w:p>
            <w:pPr>
              <w:pStyle w:val="TableParagraph"/>
              <w:spacing w:before="101"/>
              <w:ind w:left="102" w:right="423"/>
              <w:rPr>
                <w:sz w:val="18"/>
              </w:rPr>
            </w:pPr>
            <w:r>
              <w:rPr>
                <w:sz w:val="18"/>
              </w:rPr>
              <w:t>Definitely</w:t>
            </w:r>
            <w:r>
              <w:rPr>
                <w:spacing w:val="-11"/>
                <w:sz w:val="18"/>
              </w:rPr>
              <w:t> </w:t>
            </w:r>
            <w:r>
              <w:rPr>
                <w:sz w:val="18"/>
              </w:rPr>
              <w:t>yes, probably yes,</w:t>
            </w:r>
          </w:p>
        </w:tc>
        <w:tc>
          <w:tcPr>
            <w:tcW w:w="1417" w:type="dxa"/>
            <w:tcBorders>
              <w:top w:val="nil"/>
            </w:tcBorders>
            <w:shd w:val="clear" w:color="auto" w:fill="D9D9D9"/>
          </w:tcPr>
          <w:p>
            <w:pPr>
              <w:pStyle w:val="TableParagraph"/>
              <w:spacing w:before="101"/>
              <w:ind w:left="102" w:right="258"/>
              <w:rPr>
                <w:sz w:val="18"/>
              </w:rPr>
            </w:pPr>
            <w:r>
              <w:rPr>
                <w:sz w:val="18"/>
              </w:rPr>
              <w:t>Definitely</w:t>
            </w:r>
            <w:r>
              <w:rPr>
                <w:spacing w:val="-11"/>
                <w:sz w:val="18"/>
              </w:rPr>
              <w:t> </w:t>
            </w:r>
            <w:r>
              <w:rPr>
                <w:sz w:val="18"/>
              </w:rPr>
              <w:t>yes, probably yes,</w:t>
            </w:r>
          </w:p>
        </w:tc>
        <w:tc>
          <w:tcPr>
            <w:tcW w:w="1277" w:type="dxa"/>
            <w:tcBorders>
              <w:top w:val="nil"/>
            </w:tcBorders>
            <w:shd w:val="clear" w:color="auto" w:fill="D9D9D9"/>
          </w:tcPr>
          <w:p>
            <w:pPr>
              <w:pStyle w:val="TableParagraph"/>
              <w:spacing w:before="101"/>
              <w:ind w:left="104" w:right="116"/>
              <w:rPr>
                <w:sz w:val="18"/>
              </w:rPr>
            </w:pPr>
            <w:r>
              <w:rPr>
                <w:sz w:val="18"/>
              </w:rPr>
              <w:t>Definitely</w:t>
            </w:r>
            <w:r>
              <w:rPr>
                <w:spacing w:val="-11"/>
                <w:sz w:val="18"/>
              </w:rPr>
              <w:t> </w:t>
            </w:r>
            <w:r>
              <w:rPr>
                <w:sz w:val="18"/>
              </w:rPr>
              <w:t>yes, probably yes,</w:t>
            </w:r>
          </w:p>
        </w:tc>
        <w:tc>
          <w:tcPr>
            <w:tcW w:w="1416" w:type="dxa"/>
            <w:tcBorders>
              <w:top w:val="nil"/>
            </w:tcBorders>
            <w:shd w:val="clear" w:color="auto" w:fill="D9D9D9"/>
          </w:tcPr>
          <w:p>
            <w:pPr>
              <w:pStyle w:val="TableParagraph"/>
              <w:spacing w:before="101"/>
              <w:ind w:left="101" w:right="258"/>
              <w:rPr>
                <w:sz w:val="18"/>
              </w:rPr>
            </w:pPr>
            <w:r>
              <w:rPr>
                <w:sz w:val="18"/>
              </w:rPr>
              <w:t>Definitely</w:t>
            </w:r>
            <w:r>
              <w:rPr>
                <w:spacing w:val="-11"/>
                <w:sz w:val="18"/>
              </w:rPr>
              <w:t> </w:t>
            </w:r>
            <w:r>
              <w:rPr>
                <w:sz w:val="18"/>
              </w:rPr>
              <w:t>yes, probably yes,</w:t>
            </w:r>
          </w:p>
        </w:tc>
        <w:tc>
          <w:tcPr>
            <w:tcW w:w="1419" w:type="dxa"/>
            <w:tcBorders>
              <w:top w:val="nil"/>
            </w:tcBorders>
            <w:shd w:val="clear" w:color="auto" w:fill="D9D9D9"/>
          </w:tcPr>
          <w:p>
            <w:pPr>
              <w:pStyle w:val="TableParagraph"/>
              <w:spacing w:before="101"/>
              <w:ind w:left="104" w:right="258"/>
              <w:rPr>
                <w:sz w:val="18"/>
              </w:rPr>
            </w:pPr>
            <w:r>
              <w:rPr>
                <w:sz w:val="18"/>
              </w:rPr>
              <w:t>Definitely</w:t>
            </w:r>
            <w:r>
              <w:rPr>
                <w:spacing w:val="-11"/>
                <w:sz w:val="18"/>
              </w:rPr>
              <w:t> </w:t>
            </w:r>
            <w:r>
              <w:rPr>
                <w:sz w:val="18"/>
              </w:rPr>
              <w:t>yes, probably yes,</w:t>
            </w:r>
          </w:p>
        </w:tc>
        <w:tc>
          <w:tcPr>
            <w:tcW w:w="1416" w:type="dxa"/>
            <w:tcBorders>
              <w:top w:val="nil"/>
            </w:tcBorders>
            <w:shd w:val="clear" w:color="auto" w:fill="D9D9D9"/>
          </w:tcPr>
          <w:p>
            <w:pPr>
              <w:pStyle w:val="TableParagraph"/>
              <w:spacing w:before="101"/>
              <w:ind w:left="104"/>
              <w:rPr>
                <w:sz w:val="18"/>
              </w:rPr>
            </w:pPr>
            <w:r>
              <w:rPr>
                <w:spacing w:val="-2"/>
                <w:sz w:val="18"/>
              </w:rPr>
              <w:t>Definitely</w:t>
            </w:r>
            <w:r>
              <w:rPr>
                <w:spacing w:val="-9"/>
                <w:sz w:val="18"/>
              </w:rPr>
              <w:t> </w:t>
            </w:r>
            <w:r>
              <w:rPr>
                <w:spacing w:val="-2"/>
                <w:sz w:val="18"/>
              </w:rPr>
              <w:t>yes,</w:t>
            </w:r>
            <w:r>
              <w:rPr>
                <w:sz w:val="18"/>
              </w:rPr>
              <w:t> probably</w:t>
            </w:r>
            <w:r>
              <w:rPr>
                <w:spacing w:val="-8"/>
                <w:sz w:val="18"/>
              </w:rPr>
              <w:t> </w:t>
            </w:r>
            <w:r>
              <w:rPr>
                <w:spacing w:val="-4"/>
                <w:sz w:val="18"/>
              </w:rPr>
              <w:t>yes,</w:t>
            </w:r>
          </w:p>
        </w:tc>
        <w:tc>
          <w:tcPr>
            <w:tcW w:w="1277" w:type="dxa"/>
            <w:tcBorders>
              <w:top w:val="nil"/>
            </w:tcBorders>
            <w:shd w:val="clear" w:color="auto" w:fill="D9D9D9"/>
          </w:tcPr>
          <w:p>
            <w:pPr>
              <w:pStyle w:val="TableParagraph"/>
              <w:spacing w:before="101"/>
              <w:ind w:left="104" w:right="95"/>
              <w:rPr>
                <w:sz w:val="18"/>
              </w:rPr>
            </w:pPr>
            <w:r>
              <w:rPr>
                <w:spacing w:val="-2"/>
                <w:sz w:val="18"/>
              </w:rPr>
              <w:t>Definitely</w:t>
            </w:r>
            <w:r>
              <w:rPr>
                <w:spacing w:val="-9"/>
                <w:sz w:val="18"/>
              </w:rPr>
              <w:t> </w:t>
            </w:r>
            <w:r>
              <w:rPr>
                <w:spacing w:val="-2"/>
                <w:sz w:val="18"/>
              </w:rPr>
              <w:t>yes,</w:t>
            </w:r>
            <w:r>
              <w:rPr>
                <w:sz w:val="18"/>
              </w:rPr>
              <w:t> probably</w:t>
            </w:r>
            <w:r>
              <w:rPr>
                <w:spacing w:val="-8"/>
                <w:sz w:val="18"/>
              </w:rPr>
              <w:t> </w:t>
            </w:r>
            <w:r>
              <w:rPr>
                <w:spacing w:val="-4"/>
                <w:sz w:val="18"/>
              </w:rPr>
              <w:t>yes,</w:t>
            </w:r>
          </w:p>
        </w:tc>
        <w:tc>
          <w:tcPr>
            <w:tcW w:w="1278" w:type="dxa"/>
            <w:tcBorders>
              <w:top w:val="nil"/>
            </w:tcBorders>
            <w:shd w:val="clear" w:color="auto" w:fill="D9D9D9"/>
          </w:tcPr>
          <w:p>
            <w:pPr>
              <w:pStyle w:val="TableParagraph"/>
              <w:spacing w:before="101"/>
              <w:ind w:left="103" w:right="118"/>
              <w:rPr>
                <w:sz w:val="18"/>
              </w:rPr>
            </w:pPr>
            <w:r>
              <w:rPr>
                <w:sz w:val="18"/>
              </w:rPr>
              <w:t>Definitely</w:t>
            </w:r>
            <w:r>
              <w:rPr>
                <w:spacing w:val="-11"/>
                <w:sz w:val="18"/>
              </w:rPr>
              <w:t> </w:t>
            </w:r>
            <w:r>
              <w:rPr>
                <w:sz w:val="18"/>
              </w:rPr>
              <w:t>yes, probably yes,</w:t>
            </w:r>
          </w:p>
        </w:tc>
        <w:tc>
          <w:tcPr>
            <w:tcW w:w="1844" w:type="dxa"/>
            <w:tcBorders>
              <w:top w:val="nil"/>
            </w:tcBorders>
            <w:shd w:val="clear" w:color="auto" w:fill="D9D9D9"/>
          </w:tcPr>
          <w:p>
            <w:pPr>
              <w:pStyle w:val="TableParagraph"/>
              <w:spacing w:before="101"/>
              <w:ind w:left="100"/>
              <w:rPr>
                <w:sz w:val="18"/>
              </w:rPr>
            </w:pPr>
            <w:r>
              <w:rPr>
                <w:sz w:val="18"/>
              </w:rPr>
              <w:t>Low,</w:t>
            </w:r>
            <w:r>
              <w:rPr>
                <w:spacing w:val="-11"/>
                <w:sz w:val="18"/>
              </w:rPr>
              <w:t> </w:t>
            </w:r>
            <w:r>
              <w:rPr>
                <w:sz w:val="18"/>
              </w:rPr>
              <w:t>Some</w:t>
            </w:r>
            <w:r>
              <w:rPr>
                <w:spacing w:val="-10"/>
                <w:sz w:val="18"/>
              </w:rPr>
              <w:t> </w:t>
            </w:r>
            <w:r>
              <w:rPr>
                <w:sz w:val="18"/>
              </w:rPr>
              <w:t>concerns, </w:t>
            </w:r>
            <w:r>
              <w:rPr>
                <w:spacing w:val="-4"/>
                <w:sz w:val="18"/>
              </w:rPr>
              <w:t>High</w:t>
            </w:r>
          </w:p>
        </w:tc>
      </w:tr>
    </w:tbl>
    <w:p>
      <w:pPr>
        <w:pStyle w:val="TableParagraph"/>
        <w:spacing w:after="0"/>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07"/>
        <w:gridCol w:w="1582"/>
        <w:gridCol w:w="1417"/>
        <w:gridCol w:w="1277"/>
        <w:gridCol w:w="1416"/>
        <w:gridCol w:w="1419"/>
        <w:gridCol w:w="1416"/>
        <w:gridCol w:w="1277"/>
        <w:gridCol w:w="1278"/>
        <w:gridCol w:w="1844"/>
      </w:tblGrid>
      <w:tr>
        <w:trPr>
          <w:trHeight w:val="585" w:hRule="atLeast"/>
        </w:trPr>
        <w:tc>
          <w:tcPr>
            <w:tcW w:w="1107" w:type="dxa"/>
            <w:tcBorders>
              <w:left w:val="single" w:sz="2" w:space="0" w:color="000000"/>
            </w:tcBorders>
            <w:shd w:val="clear" w:color="auto" w:fill="D9D9D9"/>
          </w:tcPr>
          <w:p>
            <w:pPr>
              <w:pStyle w:val="TableParagraph"/>
              <w:rPr>
                <w:rFonts w:ascii="Times New Roman"/>
                <w:sz w:val="18"/>
              </w:rPr>
            </w:pPr>
          </w:p>
        </w:tc>
        <w:tc>
          <w:tcPr>
            <w:tcW w:w="1582" w:type="dxa"/>
            <w:tcBorders>
              <w:top w:val="nil"/>
            </w:tcBorders>
            <w:shd w:val="clear" w:color="auto" w:fill="D9D9D9"/>
          </w:tcPr>
          <w:p>
            <w:pPr>
              <w:pStyle w:val="TableParagraph"/>
              <w:spacing w:before="1"/>
              <w:ind w:left="102" w:right="530"/>
              <w:rPr>
                <w:sz w:val="18"/>
              </w:rPr>
            </w:pPr>
            <w:r>
              <w:rPr>
                <w:sz w:val="18"/>
              </w:rPr>
              <w:t>probably</w:t>
            </w:r>
            <w:r>
              <w:rPr>
                <w:spacing w:val="-11"/>
                <w:sz w:val="18"/>
              </w:rPr>
              <w:t> </w:t>
            </w:r>
            <w:r>
              <w:rPr>
                <w:sz w:val="18"/>
              </w:rPr>
              <w:t>no, definitely</w:t>
            </w:r>
            <w:r>
              <w:rPr>
                <w:spacing w:val="-7"/>
                <w:sz w:val="18"/>
              </w:rPr>
              <w:t> </w:t>
            </w:r>
            <w:r>
              <w:rPr>
                <w:spacing w:val="-5"/>
                <w:sz w:val="18"/>
              </w:rPr>
              <w:t>no</w:t>
            </w:r>
          </w:p>
        </w:tc>
        <w:tc>
          <w:tcPr>
            <w:tcW w:w="1417" w:type="dxa"/>
            <w:tcBorders>
              <w:top w:val="nil"/>
            </w:tcBorders>
            <w:shd w:val="clear" w:color="auto" w:fill="D9D9D9"/>
          </w:tcPr>
          <w:p>
            <w:pPr>
              <w:pStyle w:val="TableParagraph"/>
              <w:spacing w:before="1"/>
              <w:ind w:left="102" w:right="365"/>
              <w:rPr>
                <w:sz w:val="18"/>
              </w:rPr>
            </w:pPr>
            <w:r>
              <w:rPr>
                <w:sz w:val="18"/>
              </w:rPr>
              <w:t>probably</w:t>
            </w:r>
            <w:r>
              <w:rPr>
                <w:spacing w:val="-11"/>
                <w:sz w:val="18"/>
              </w:rPr>
              <w:t> </w:t>
            </w:r>
            <w:r>
              <w:rPr>
                <w:sz w:val="18"/>
              </w:rPr>
              <w:t>no, definitely</w:t>
            </w:r>
            <w:r>
              <w:rPr>
                <w:spacing w:val="-7"/>
                <w:sz w:val="18"/>
              </w:rPr>
              <w:t> </w:t>
            </w:r>
            <w:r>
              <w:rPr>
                <w:spacing w:val="-5"/>
                <w:sz w:val="18"/>
              </w:rPr>
              <w:t>no</w:t>
            </w:r>
          </w:p>
        </w:tc>
        <w:tc>
          <w:tcPr>
            <w:tcW w:w="1277" w:type="dxa"/>
            <w:tcBorders>
              <w:top w:val="nil"/>
            </w:tcBorders>
            <w:shd w:val="clear" w:color="auto" w:fill="D9D9D9"/>
          </w:tcPr>
          <w:p>
            <w:pPr>
              <w:pStyle w:val="TableParagraph"/>
              <w:spacing w:before="1"/>
              <w:ind w:left="104" w:right="223"/>
              <w:rPr>
                <w:sz w:val="18"/>
              </w:rPr>
            </w:pPr>
            <w:r>
              <w:rPr>
                <w:sz w:val="18"/>
              </w:rPr>
              <w:t>probably</w:t>
            </w:r>
            <w:r>
              <w:rPr>
                <w:spacing w:val="-11"/>
                <w:sz w:val="18"/>
              </w:rPr>
              <w:t> </w:t>
            </w:r>
            <w:r>
              <w:rPr>
                <w:sz w:val="18"/>
              </w:rPr>
              <w:t>no, definitely</w:t>
            </w:r>
            <w:r>
              <w:rPr>
                <w:spacing w:val="-7"/>
                <w:sz w:val="18"/>
              </w:rPr>
              <w:t> </w:t>
            </w:r>
            <w:r>
              <w:rPr>
                <w:spacing w:val="-5"/>
                <w:sz w:val="18"/>
              </w:rPr>
              <w:t>no</w:t>
            </w:r>
          </w:p>
        </w:tc>
        <w:tc>
          <w:tcPr>
            <w:tcW w:w="1416" w:type="dxa"/>
            <w:tcBorders>
              <w:top w:val="nil"/>
            </w:tcBorders>
            <w:shd w:val="clear" w:color="auto" w:fill="D9D9D9"/>
          </w:tcPr>
          <w:p>
            <w:pPr>
              <w:pStyle w:val="TableParagraph"/>
              <w:spacing w:before="1"/>
              <w:ind w:left="101" w:right="365"/>
              <w:rPr>
                <w:sz w:val="18"/>
              </w:rPr>
            </w:pPr>
            <w:r>
              <w:rPr>
                <w:sz w:val="18"/>
              </w:rPr>
              <w:t>probably</w:t>
            </w:r>
            <w:r>
              <w:rPr>
                <w:spacing w:val="-11"/>
                <w:sz w:val="18"/>
              </w:rPr>
              <w:t> </w:t>
            </w:r>
            <w:r>
              <w:rPr>
                <w:sz w:val="18"/>
              </w:rPr>
              <w:t>no, definitely</w:t>
            </w:r>
            <w:r>
              <w:rPr>
                <w:spacing w:val="-7"/>
                <w:sz w:val="18"/>
              </w:rPr>
              <w:t> </w:t>
            </w:r>
            <w:r>
              <w:rPr>
                <w:spacing w:val="-5"/>
                <w:sz w:val="18"/>
              </w:rPr>
              <w:t>no</w:t>
            </w:r>
          </w:p>
        </w:tc>
        <w:tc>
          <w:tcPr>
            <w:tcW w:w="1419" w:type="dxa"/>
            <w:tcBorders>
              <w:top w:val="nil"/>
            </w:tcBorders>
            <w:shd w:val="clear" w:color="auto" w:fill="D9D9D9"/>
          </w:tcPr>
          <w:p>
            <w:pPr>
              <w:pStyle w:val="TableParagraph"/>
              <w:spacing w:before="1"/>
              <w:ind w:left="104" w:right="125"/>
              <w:rPr>
                <w:sz w:val="18"/>
              </w:rPr>
            </w:pPr>
            <w:r>
              <w:rPr>
                <w:spacing w:val="-2"/>
                <w:sz w:val="18"/>
              </w:rPr>
              <w:t>probably</w:t>
            </w:r>
            <w:r>
              <w:rPr>
                <w:spacing w:val="-9"/>
                <w:sz w:val="18"/>
              </w:rPr>
              <w:t> </w:t>
            </w:r>
            <w:r>
              <w:rPr>
                <w:spacing w:val="-2"/>
                <w:sz w:val="18"/>
              </w:rPr>
              <w:t>no,</w:t>
            </w:r>
            <w:r>
              <w:rPr>
                <w:sz w:val="18"/>
              </w:rPr>
              <w:t> definitely</w:t>
            </w:r>
            <w:r>
              <w:rPr>
                <w:spacing w:val="-7"/>
                <w:sz w:val="18"/>
              </w:rPr>
              <w:t> </w:t>
            </w:r>
            <w:r>
              <w:rPr>
                <w:spacing w:val="-5"/>
                <w:sz w:val="18"/>
              </w:rPr>
              <w:t>no</w:t>
            </w:r>
          </w:p>
        </w:tc>
        <w:tc>
          <w:tcPr>
            <w:tcW w:w="1416" w:type="dxa"/>
            <w:tcBorders>
              <w:top w:val="nil"/>
            </w:tcBorders>
            <w:shd w:val="clear" w:color="auto" w:fill="D9D9D9"/>
          </w:tcPr>
          <w:p>
            <w:pPr>
              <w:pStyle w:val="TableParagraph"/>
              <w:spacing w:before="1"/>
              <w:ind w:left="103" w:right="363"/>
              <w:rPr>
                <w:sz w:val="18"/>
              </w:rPr>
            </w:pPr>
            <w:r>
              <w:rPr>
                <w:sz w:val="18"/>
              </w:rPr>
              <w:t>probably</w:t>
            </w:r>
            <w:r>
              <w:rPr>
                <w:spacing w:val="-11"/>
                <w:sz w:val="18"/>
              </w:rPr>
              <w:t> </w:t>
            </w:r>
            <w:r>
              <w:rPr>
                <w:sz w:val="18"/>
              </w:rPr>
              <w:t>no, definitely</w:t>
            </w:r>
            <w:r>
              <w:rPr>
                <w:spacing w:val="-7"/>
                <w:sz w:val="18"/>
              </w:rPr>
              <w:t> </w:t>
            </w:r>
            <w:r>
              <w:rPr>
                <w:spacing w:val="-5"/>
                <w:sz w:val="18"/>
              </w:rPr>
              <w:t>no</w:t>
            </w:r>
          </w:p>
        </w:tc>
        <w:tc>
          <w:tcPr>
            <w:tcW w:w="1277" w:type="dxa"/>
            <w:tcBorders>
              <w:top w:val="nil"/>
            </w:tcBorders>
            <w:shd w:val="clear" w:color="auto" w:fill="D9D9D9"/>
          </w:tcPr>
          <w:p>
            <w:pPr>
              <w:pStyle w:val="TableParagraph"/>
              <w:spacing w:before="1"/>
              <w:ind w:left="103" w:right="224"/>
              <w:rPr>
                <w:sz w:val="18"/>
              </w:rPr>
            </w:pPr>
            <w:r>
              <w:rPr>
                <w:sz w:val="18"/>
              </w:rPr>
              <w:t>probably</w:t>
            </w:r>
            <w:r>
              <w:rPr>
                <w:spacing w:val="-11"/>
                <w:sz w:val="18"/>
              </w:rPr>
              <w:t> </w:t>
            </w:r>
            <w:r>
              <w:rPr>
                <w:sz w:val="18"/>
              </w:rPr>
              <w:t>no, definitely</w:t>
            </w:r>
            <w:r>
              <w:rPr>
                <w:spacing w:val="-7"/>
                <w:sz w:val="18"/>
              </w:rPr>
              <w:t> </w:t>
            </w:r>
            <w:r>
              <w:rPr>
                <w:spacing w:val="-5"/>
                <w:sz w:val="18"/>
              </w:rPr>
              <w:t>no</w:t>
            </w:r>
          </w:p>
        </w:tc>
        <w:tc>
          <w:tcPr>
            <w:tcW w:w="1278" w:type="dxa"/>
            <w:tcBorders>
              <w:top w:val="nil"/>
            </w:tcBorders>
            <w:shd w:val="clear" w:color="auto" w:fill="D9D9D9"/>
          </w:tcPr>
          <w:p>
            <w:pPr>
              <w:pStyle w:val="TableParagraph"/>
              <w:spacing w:before="1"/>
              <w:ind w:left="103" w:right="225"/>
              <w:rPr>
                <w:sz w:val="18"/>
              </w:rPr>
            </w:pPr>
            <w:r>
              <w:rPr>
                <w:sz w:val="18"/>
              </w:rPr>
              <w:t>probably</w:t>
            </w:r>
            <w:r>
              <w:rPr>
                <w:spacing w:val="-11"/>
                <w:sz w:val="18"/>
              </w:rPr>
              <w:t> </w:t>
            </w:r>
            <w:r>
              <w:rPr>
                <w:sz w:val="18"/>
              </w:rPr>
              <w:t>no, definitely</w:t>
            </w:r>
            <w:r>
              <w:rPr>
                <w:spacing w:val="-7"/>
                <w:sz w:val="18"/>
              </w:rPr>
              <w:t> </w:t>
            </w:r>
            <w:r>
              <w:rPr>
                <w:spacing w:val="-5"/>
                <w:sz w:val="18"/>
              </w:rPr>
              <w:t>no</w:t>
            </w:r>
          </w:p>
        </w:tc>
        <w:tc>
          <w:tcPr>
            <w:tcW w:w="1844" w:type="dxa"/>
            <w:tcBorders>
              <w:top w:val="nil"/>
            </w:tcBorders>
            <w:shd w:val="clear" w:color="auto" w:fill="D9D9D9"/>
          </w:tcPr>
          <w:p>
            <w:pPr>
              <w:pStyle w:val="TableParagraph"/>
              <w:rPr>
                <w:rFonts w:ascii="Times New Roman"/>
                <w:sz w:val="18"/>
              </w:rPr>
            </w:pPr>
          </w:p>
        </w:tc>
      </w:tr>
      <w:tr>
        <w:trPr>
          <w:trHeight w:val="456" w:hRule="atLeast"/>
        </w:trPr>
        <w:tc>
          <w:tcPr>
            <w:tcW w:w="1107" w:type="dxa"/>
            <w:tcBorders>
              <w:bottom w:val="nil"/>
            </w:tcBorders>
          </w:tcPr>
          <w:p>
            <w:pPr>
              <w:pStyle w:val="TableParagraph"/>
              <w:spacing w:line="219" w:lineRule="exact" w:before="1"/>
              <w:ind w:left="105"/>
              <w:rPr>
                <w:sz w:val="18"/>
              </w:rPr>
            </w:pPr>
            <w:r>
              <w:rPr>
                <w:spacing w:val="-2"/>
                <w:sz w:val="18"/>
              </w:rPr>
              <w:t>Ankola,</w:t>
            </w:r>
          </w:p>
          <w:p>
            <w:pPr>
              <w:pStyle w:val="TableParagraph"/>
              <w:spacing w:line="216" w:lineRule="exact"/>
              <w:ind w:left="105"/>
              <w:rPr>
                <w:sz w:val="18"/>
              </w:rPr>
            </w:pPr>
            <w:r>
              <w:rPr>
                <w:spacing w:val="-4"/>
                <w:sz w:val="18"/>
              </w:rPr>
              <w:t>2021</w:t>
            </w:r>
          </w:p>
        </w:tc>
        <w:tc>
          <w:tcPr>
            <w:tcW w:w="1582" w:type="dxa"/>
            <w:tcBorders>
              <w:bottom w:val="nil"/>
            </w:tcBorders>
          </w:tcPr>
          <w:p>
            <w:pPr>
              <w:pStyle w:val="TableParagraph"/>
              <w:spacing w:before="1"/>
              <w:ind w:left="102"/>
              <w:rPr>
                <w:sz w:val="18"/>
              </w:rPr>
            </w:pPr>
            <w:r>
              <w:rPr>
                <w:sz w:val="18"/>
              </w:rPr>
              <w:t>Definitely</w:t>
            </w:r>
            <w:r>
              <w:rPr>
                <w:spacing w:val="-7"/>
                <w:sz w:val="18"/>
              </w:rPr>
              <w:t> </w:t>
            </w:r>
            <w:r>
              <w:rPr>
                <w:spacing w:val="-4"/>
                <w:sz w:val="18"/>
              </w:rPr>
              <w:t>yes;</w:t>
            </w:r>
          </w:p>
        </w:tc>
        <w:tc>
          <w:tcPr>
            <w:tcW w:w="1417" w:type="dxa"/>
            <w:tcBorders>
              <w:bottom w:val="nil"/>
            </w:tcBorders>
          </w:tcPr>
          <w:p>
            <w:pPr>
              <w:pStyle w:val="TableParagraph"/>
              <w:spacing w:before="1"/>
              <w:ind w:left="102"/>
              <w:rPr>
                <w:sz w:val="18"/>
              </w:rPr>
            </w:pPr>
            <w:r>
              <w:rPr>
                <w:sz w:val="18"/>
              </w:rPr>
              <w:t>Definitely</w:t>
            </w:r>
            <w:r>
              <w:rPr>
                <w:spacing w:val="-7"/>
                <w:sz w:val="18"/>
              </w:rPr>
              <w:t> </w:t>
            </w:r>
            <w:r>
              <w:rPr>
                <w:spacing w:val="-4"/>
                <w:sz w:val="18"/>
              </w:rPr>
              <w:t>yes;</w:t>
            </w:r>
          </w:p>
        </w:tc>
        <w:tc>
          <w:tcPr>
            <w:tcW w:w="1277" w:type="dxa"/>
            <w:tcBorders>
              <w:bottom w:val="nil"/>
            </w:tcBorders>
          </w:tcPr>
          <w:p>
            <w:pPr>
              <w:pStyle w:val="TableParagraph"/>
              <w:spacing w:before="1"/>
              <w:ind w:right="125"/>
              <w:jc w:val="center"/>
              <w:rPr>
                <w:sz w:val="18"/>
              </w:rPr>
            </w:pPr>
            <w:r>
              <w:rPr>
                <w:sz w:val="18"/>
              </w:rPr>
              <w:t>Probably</w:t>
            </w:r>
            <w:r>
              <w:rPr>
                <w:spacing w:val="-5"/>
                <w:sz w:val="18"/>
              </w:rPr>
              <w:t> no;</w:t>
            </w:r>
          </w:p>
        </w:tc>
        <w:tc>
          <w:tcPr>
            <w:tcW w:w="1416" w:type="dxa"/>
            <w:tcBorders>
              <w:bottom w:val="nil"/>
            </w:tcBorders>
          </w:tcPr>
          <w:p>
            <w:pPr>
              <w:pStyle w:val="TableParagraph"/>
              <w:spacing w:before="1"/>
              <w:ind w:right="163"/>
              <w:jc w:val="center"/>
              <w:rPr>
                <w:sz w:val="18"/>
              </w:rPr>
            </w:pPr>
            <w:r>
              <w:rPr>
                <w:sz w:val="18"/>
              </w:rPr>
              <w:t>Definitely</w:t>
            </w:r>
            <w:r>
              <w:rPr>
                <w:spacing w:val="-7"/>
                <w:sz w:val="18"/>
              </w:rPr>
              <w:t> </w:t>
            </w:r>
            <w:r>
              <w:rPr>
                <w:spacing w:val="-4"/>
                <w:sz w:val="18"/>
              </w:rPr>
              <w:t>yes;</w:t>
            </w:r>
          </w:p>
        </w:tc>
        <w:tc>
          <w:tcPr>
            <w:tcW w:w="1419" w:type="dxa"/>
            <w:tcBorders>
              <w:bottom w:val="nil"/>
            </w:tcBorders>
          </w:tcPr>
          <w:p>
            <w:pPr>
              <w:pStyle w:val="TableParagraph"/>
              <w:spacing w:before="1"/>
              <w:ind w:left="104"/>
              <w:rPr>
                <w:sz w:val="18"/>
              </w:rPr>
            </w:pPr>
            <w:r>
              <w:rPr>
                <w:sz w:val="18"/>
              </w:rPr>
              <w:t>Probably</w:t>
            </w:r>
            <w:r>
              <w:rPr>
                <w:spacing w:val="-7"/>
                <w:sz w:val="18"/>
              </w:rPr>
              <w:t> </w:t>
            </w:r>
            <w:r>
              <w:rPr>
                <w:spacing w:val="-4"/>
                <w:sz w:val="18"/>
              </w:rPr>
              <w:t>yes;</w:t>
            </w:r>
          </w:p>
        </w:tc>
        <w:tc>
          <w:tcPr>
            <w:tcW w:w="1416" w:type="dxa"/>
            <w:tcBorders>
              <w:bottom w:val="nil"/>
            </w:tcBorders>
          </w:tcPr>
          <w:p>
            <w:pPr>
              <w:pStyle w:val="TableParagraph"/>
              <w:spacing w:before="1"/>
              <w:ind w:left="103"/>
              <w:rPr>
                <w:sz w:val="18"/>
              </w:rPr>
            </w:pPr>
            <w:r>
              <w:rPr>
                <w:sz w:val="18"/>
              </w:rPr>
              <w:t>Definitely</w:t>
            </w:r>
            <w:r>
              <w:rPr>
                <w:spacing w:val="-7"/>
                <w:sz w:val="18"/>
              </w:rPr>
              <w:t> </w:t>
            </w:r>
            <w:r>
              <w:rPr>
                <w:spacing w:val="-4"/>
                <w:sz w:val="18"/>
              </w:rPr>
              <w:t>yes;</w:t>
            </w:r>
          </w:p>
        </w:tc>
        <w:tc>
          <w:tcPr>
            <w:tcW w:w="1277" w:type="dxa"/>
            <w:tcBorders>
              <w:bottom w:val="nil"/>
            </w:tcBorders>
          </w:tcPr>
          <w:p>
            <w:pPr>
              <w:pStyle w:val="TableParagraph"/>
              <w:spacing w:before="1"/>
              <w:ind w:right="20"/>
              <w:jc w:val="center"/>
              <w:rPr>
                <w:sz w:val="18"/>
              </w:rPr>
            </w:pPr>
            <w:r>
              <w:rPr>
                <w:sz w:val="18"/>
              </w:rPr>
              <w:t>Definitely</w:t>
            </w:r>
            <w:r>
              <w:rPr>
                <w:spacing w:val="-7"/>
                <w:sz w:val="18"/>
              </w:rPr>
              <w:t> </w:t>
            </w:r>
            <w:r>
              <w:rPr>
                <w:spacing w:val="-4"/>
                <w:sz w:val="18"/>
              </w:rPr>
              <w:t>yes;</w:t>
            </w:r>
          </w:p>
        </w:tc>
        <w:tc>
          <w:tcPr>
            <w:tcW w:w="1278" w:type="dxa"/>
            <w:tcBorders>
              <w:bottom w:val="nil"/>
            </w:tcBorders>
          </w:tcPr>
          <w:p>
            <w:pPr>
              <w:pStyle w:val="TableParagraph"/>
              <w:spacing w:line="219" w:lineRule="exact" w:before="1"/>
              <w:ind w:left="103"/>
              <w:rPr>
                <w:sz w:val="18"/>
              </w:rPr>
            </w:pPr>
            <w:r>
              <w:rPr>
                <w:spacing w:val="-5"/>
                <w:sz w:val="18"/>
              </w:rPr>
              <w:t>No</w:t>
            </w:r>
          </w:p>
          <w:p>
            <w:pPr>
              <w:pStyle w:val="TableParagraph"/>
              <w:spacing w:line="216" w:lineRule="exact"/>
              <w:ind w:left="103"/>
              <w:rPr>
                <w:sz w:val="18"/>
              </w:rPr>
            </w:pPr>
            <w:r>
              <w:rPr>
                <w:spacing w:val="-2"/>
                <w:sz w:val="18"/>
              </w:rPr>
              <w:t>information</w:t>
            </w:r>
          </w:p>
        </w:tc>
        <w:tc>
          <w:tcPr>
            <w:tcW w:w="1844" w:type="dxa"/>
            <w:tcBorders>
              <w:bottom w:val="nil"/>
            </w:tcBorders>
          </w:tcPr>
          <w:p>
            <w:pPr>
              <w:pStyle w:val="TableParagraph"/>
              <w:spacing w:before="1"/>
              <w:ind w:left="100"/>
              <w:rPr>
                <w:b/>
                <w:sz w:val="18"/>
              </w:rPr>
            </w:pPr>
            <w:r>
              <w:rPr>
                <w:b/>
                <w:sz w:val="18"/>
              </w:rPr>
              <w:t>Some</w:t>
            </w:r>
            <w:r>
              <w:rPr>
                <w:b/>
                <w:spacing w:val="-4"/>
                <w:sz w:val="18"/>
              </w:rPr>
              <w:t> </w:t>
            </w:r>
            <w:r>
              <w:rPr>
                <w:b/>
                <w:spacing w:val="-2"/>
                <w:sz w:val="18"/>
              </w:rPr>
              <w:t>concerns;</w:t>
            </w:r>
          </w:p>
        </w:tc>
      </w:tr>
      <w:tr>
        <w:trPr>
          <w:trHeight w:val="1742" w:hRule="atLeast"/>
        </w:trPr>
        <w:tc>
          <w:tcPr>
            <w:tcW w:w="1107" w:type="dxa"/>
            <w:tcBorders>
              <w:top w:val="nil"/>
            </w:tcBorders>
          </w:tcPr>
          <w:p>
            <w:pPr>
              <w:pStyle w:val="TableParagraph"/>
              <w:rPr>
                <w:rFonts w:ascii="Times New Roman"/>
                <w:sz w:val="18"/>
              </w:rPr>
            </w:pPr>
          </w:p>
        </w:tc>
        <w:tc>
          <w:tcPr>
            <w:tcW w:w="1582" w:type="dxa"/>
            <w:tcBorders>
              <w:top w:val="nil"/>
            </w:tcBorders>
          </w:tcPr>
          <w:p>
            <w:pPr>
              <w:pStyle w:val="TableParagraph"/>
              <w:spacing w:line="203" w:lineRule="exact"/>
              <w:ind w:left="102"/>
              <w:rPr>
                <w:sz w:val="18"/>
              </w:rPr>
            </w:pPr>
            <w:r>
              <w:rPr>
                <w:spacing w:val="-2"/>
                <w:sz w:val="18"/>
              </w:rPr>
              <w:t>Reason:</w:t>
            </w:r>
          </w:p>
          <w:p>
            <w:pPr>
              <w:pStyle w:val="TableParagraph"/>
              <w:ind w:left="102"/>
              <w:rPr>
                <w:sz w:val="18"/>
              </w:rPr>
            </w:pPr>
            <w:r>
              <w:rPr>
                <w:sz w:val="18"/>
              </w:rPr>
              <w:t>All patients were selected</w:t>
            </w:r>
            <w:r>
              <w:rPr>
                <w:spacing w:val="-11"/>
                <w:sz w:val="18"/>
              </w:rPr>
              <w:t> </w:t>
            </w:r>
            <w:r>
              <w:rPr>
                <w:sz w:val="18"/>
              </w:rPr>
              <w:t>from</w:t>
            </w:r>
            <w:r>
              <w:rPr>
                <w:spacing w:val="-10"/>
                <w:sz w:val="18"/>
              </w:rPr>
              <w:t> </w:t>
            </w:r>
            <w:r>
              <w:rPr>
                <w:sz w:val="18"/>
              </w:rPr>
              <w:t>the same hospital</w:t>
            </w:r>
          </w:p>
        </w:tc>
        <w:tc>
          <w:tcPr>
            <w:tcW w:w="1417" w:type="dxa"/>
            <w:tcBorders>
              <w:top w:val="nil"/>
            </w:tcBorders>
          </w:tcPr>
          <w:p>
            <w:pPr>
              <w:pStyle w:val="TableParagraph"/>
              <w:spacing w:before="202"/>
              <w:ind w:left="102" w:right="163"/>
              <w:rPr>
                <w:sz w:val="18"/>
              </w:rPr>
            </w:pPr>
            <w:r>
              <w:rPr>
                <w:spacing w:val="-2"/>
                <w:sz w:val="18"/>
              </w:rPr>
              <w:t>Reason:</w:t>
            </w:r>
            <w:r>
              <w:rPr>
                <w:sz w:val="18"/>
              </w:rPr>
              <w:t> Medication</w:t>
            </w:r>
            <w:r>
              <w:rPr>
                <w:spacing w:val="-11"/>
                <w:sz w:val="18"/>
              </w:rPr>
              <w:t> </w:t>
            </w:r>
            <w:r>
              <w:rPr>
                <w:sz w:val="18"/>
              </w:rPr>
              <w:t>use was</w:t>
            </w:r>
            <w:r>
              <w:rPr>
                <w:spacing w:val="-2"/>
                <w:sz w:val="18"/>
              </w:rPr>
              <w:t> </w:t>
            </w:r>
            <w:r>
              <w:rPr>
                <w:sz w:val="18"/>
              </w:rPr>
              <w:t>registered for all patients</w:t>
            </w:r>
          </w:p>
        </w:tc>
        <w:tc>
          <w:tcPr>
            <w:tcW w:w="1277" w:type="dxa"/>
            <w:tcBorders>
              <w:top w:val="nil"/>
            </w:tcBorders>
          </w:tcPr>
          <w:p>
            <w:pPr>
              <w:pStyle w:val="TableParagraph"/>
              <w:spacing w:before="202"/>
              <w:ind w:left="104" w:right="217"/>
              <w:rPr>
                <w:sz w:val="18"/>
              </w:rPr>
            </w:pPr>
            <w:r>
              <w:rPr>
                <w:sz w:val="18"/>
              </w:rPr>
              <w:t>Reason: no </w:t>
            </w:r>
            <w:r>
              <w:rPr>
                <w:spacing w:val="-2"/>
                <w:sz w:val="18"/>
              </w:rPr>
              <w:t>exclusion</w:t>
            </w:r>
            <w:r>
              <w:rPr>
                <w:sz w:val="18"/>
              </w:rPr>
              <w:t> criteria</w:t>
            </w:r>
            <w:r>
              <w:rPr>
                <w:spacing w:val="-11"/>
                <w:sz w:val="18"/>
              </w:rPr>
              <w:t> </w:t>
            </w:r>
            <w:r>
              <w:rPr>
                <w:sz w:val="18"/>
              </w:rPr>
              <w:t>were </w:t>
            </w:r>
            <w:r>
              <w:rPr>
                <w:spacing w:val="-2"/>
                <w:sz w:val="18"/>
              </w:rPr>
              <w:t>defined</w:t>
            </w:r>
          </w:p>
        </w:tc>
        <w:tc>
          <w:tcPr>
            <w:tcW w:w="1416" w:type="dxa"/>
            <w:tcBorders>
              <w:top w:val="nil"/>
            </w:tcBorders>
          </w:tcPr>
          <w:p>
            <w:pPr>
              <w:pStyle w:val="TableParagraph"/>
              <w:spacing w:before="202"/>
              <w:ind w:left="101" w:right="333"/>
              <w:rPr>
                <w:sz w:val="18"/>
              </w:rPr>
            </w:pPr>
            <w:r>
              <w:rPr>
                <w:spacing w:val="-2"/>
                <w:sz w:val="18"/>
              </w:rPr>
              <w:t>Reason:</w:t>
            </w:r>
            <w:r>
              <w:rPr>
                <w:sz w:val="18"/>
              </w:rPr>
              <w:t> </w:t>
            </w:r>
            <w:r>
              <w:rPr>
                <w:spacing w:val="-2"/>
                <w:sz w:val="18"/>
              </w:rPr>
              <w:t>Several</w:t>
            </w:r>
            <w:r>
              <w:rPr>
                <w:sz w:val="18"/>
              </w:rPr>
              <w:t> </w:t>
            </w:r>
            <w:r>
              <w:rPr>
                <w:spacing w:val="-2"/>
                <w:sz w:val="18"/>
              </w:rPr>
              <w:t>confounding</w:t>
            </w:r>
            <w:r>
              <w:rPr>
                <w:sz w:val="18"/>
              </w:rPr>
              <w:t> factors</w:t>
            </w:r>
            <w:r>
              <w:rPr>
                <w:spacing w:val="-4"/>
                <w:sz w:val="18"/>
              </w:rPr>
              <w:t> </w:t>
            </w:r>
            <w:r>
              <w:rPr>
                <w:sz w:val="18"/>
              </w:rPr>
              <w:t>were assessed</w:t>
            </w:r>
            <w:r>
              <w:rPr>
                <w:spacing w:val="-11"/>
                <w:sz w:val="18"/>
              </w:rPr>
              <w:t> </w:t>
            </w:r>
            <w:r>
              <w:rPr>
                <w:sz w:val="18"/>
              </w:rPr>
              <w:t>and </w:t>
            </w:r>
            <w:r>
              <w:rPr>
                <w:spacing w:val="-2"/>
                <w:sz w:val="18"/>
              </w:rPr>
              <w:t>reported</w:t>
            </w:r>
          </w:p>
        </w:tc>
        <w:tc>
          <w:tcPr>
            <w:tcW w:w="1419" w:type="dxa"/>
            <w:tcBorders>
              <w:top w:val="nil"/>
            </w:tcBorders>
          </w:tcPr>
          <w:p>
            <w:pPr>
              <w:pStyle w:val="TableParagraph"/>
              <w:spacing w:before="202"/>
              <w:ind w:left="104" w:right="259"/>
              <w:rPr>
                <w:sz w:val="18"/>
              </w:rPr>
            </w:pPr>
            <w:r>
              <w:rPr>
                <w:spacing w:val="-2"/>
                <w:sz w:val="18"/>
              </w:rPr>
              <w:t>Reason:</w:t>
            </w:r>
            <w:r>
              <w:rPr>
                <w:sz w:val="18"/>
              </w:rPr>
              <w:t> </w:t>
            </w:r>
            <w:r>
              <w:rPr>
                <w:spacing w:val="-2"/>
                <w:sz w:val="18"/>
              </w:rPr>
              <w:t>Multivariable</w:t>
            </w:r>
            <w:r>
              <w:rPr>
                <w:sz w:val="18"/>
              </w:rPr>
              <w:t> </w:t>
            </w:r>
            <w:r>
              <w:rPr>
                <w:spacing w:val="-2"/>
                <w:sz w:val="18"/>
              </w:rPr>
              <w:t>statistical</w:t>
            </w:r>
            <w:r>
              <w:rPr>
                <w:sz w:val="18"/>
              </w:rPr>
              <w:t> analyses</w:t>
            </w:r>
            <w:r>
              <w:rPr>
                <w:spacing w:val="-11"/>
                <w:sz w:val="18"/>
              </w:rPr>
              <w:t> </w:t>
            </w:r>
            <w:r>
              <w:rPr>
                <w:sz w:val="18"/>
              </w:rPr>
              <w:t>were </w:t>
            </w:r>
            <w:r>
              <w:rPr>
                <w:spacing w:val="-2"/>
                <w:sz w:val="18"/>
              </w:rPr>
              <w:t>conducted</w:t>
            </w:r>
          </w:p>
        </w:tc>
        <w:tc>
          <w:tcPr>
            <w:tcW w:w="1416" w:type="dxa"/>
            <w:tcBorders>
              <w:top w:val="nil"/>
            </w:tcBorders>
          </w:tcPr>
          <w:p>
            <w:pPr>
              <w:pStyle w:val="TableParagraph"/>
              <w:spacing w:before="202"/>
              <w:ind w:left="103" w:right="229"/>
              <w:rPr>
                <w:sz w:val="18"/>
              </w:rPr>
            </w:pPr>
            <w:r>
              <w:rPr>
                <w:spacing w:val="-2"/>
                <w:sz w:val="18"/>
              </w:rPr>
              <w:t>Reason:</w:t>
            </w:r>
            <w:r>
              <w:rPr>
                <w:sz w:val="18"/>
              </w:rPr>
              <w:t> </w:t>
            </w:r>
            <w:r>
              <w:rPr>
                <w:spacing w:val="-2"/>
                <w:sz w:val="18"/>
              </w:rPr>
              <w:t>Adequate</w:t>
            </w:r>
            <w:r>
              <w:rPr>
                <w:sz w:val="18"/>
              </w:rPr>
              <w:t> methods</w:t>
            </w:r>
            <w:r>
              <w:rPr>
                <w:spacing w:val="-11"/>
                <w:sz w:val="18"/>
              </w:rPr>
              <w:t> </w:t>
            </w:r>
            <w:r>
              <w:rPr>
                <w:sz w:val="18"/>
              </w:rPr>
              <w:t>were used</w:t>
            </w:r>
            <w:r>
              <w:rPr>
                <w:spacing w:val="-11"/>
                <w:sz w:val="18"/>
              </w:rPr>
              <w:t> </w:t>
            </w:r>
            <w:r>
              <w:rPr>
                <w:sz w:val="18"/>
              </w:rPr>
              <w:t>to</w:t>
            </w:r>
            <w:r>
              <w:rPr>
                <w:spacing w:val="-10"/>
                <w:sz w:val="18"/>
              </w:rPr>
              <w:t> </w:t>
            </w:r>
            <w:r>
              <w:rPr>
                <w:sz w:val="18"/>
              </w:rPr>
              <w:t>assess the</w:t>
            </w:r>
            <w:r>
              <w:rPr>
                <w:spacing w:val="-2"/>
                <w:sz w:val="18"/>
              </w:rPr>
              <w:t> </w:t>
            </w:r>
            <w:r>
              <w:rPr>
                <w:sz w:val="18"/>
              </w:rPr>
              <w:t>outcome</w:t>
            </w:r>
          </w:p>
        </w:tc>
        <w:tc>
          <w:tcPr>
            <w:tcW w:w="1277" w:type="dxa"/>
            <w:tcBorders>
              <w:top w:val="nil"/>
            </w:tcBorders>
          </w:tcPr>
          <w:p>
            <w:pPr>
              <w:pStyle w:val="TableParagraph"/>
              <w:spacing w:before="202"/>
              <w:ind w:left="103" w:right="95"/>
              <w:rPr>
                <w:sz w:val="18"/>
              </w:rPr>
            </w:pPr>
            <w:r>
              <w:rPr>
                <w:spacing w:val="-2"/>
                <w:sz w:val="18"/>
              </w:rPr>
              <w:t>Reason:</w:t>
            </w:r>
            <w:r>
              <w:rPr>
                <w:sz w:val="18"/>
              </w:rPr>
              <w:t> Outcome</w:t>
            </w:r>
            <w:r>
              <w:rPr>
                <w:spacing w:val="-11"/>
                <w:sz w:val="18"/>
              </w:rPr>
              <w:t> </w:t>
            </w:r>
            <w:r>
              <w:rPr>
                <w:sz w:val="18"/>
              </w:rPr>
              <w:t>data was</w:t>
            </w:r>
            <w:r>
              <w:rPr>
                <w:spacing w:val="-2"/>
                <w:sz w:val="18"/>
              </w:rPr>
              <w:t> </w:t>
            </w:r>
            <w:r>
              <w:rPr>
                <w:sz w:val="18"/>
              </w:rPr>
              <w:t>available for</w:t>
            </w:r>
            <w:r>
              <w:rPr>
                <w:spacing w:val="-11"/>
                <w:sz w:val="18"/>
              </w:rPr>
              <w:t> </w:t>
            </w:r>
            <w:r>
              <w:rPr>
                <w:sz w:val="18"/>
              </w:rPr>
              <w:t>all</w:t>
            </w:r>
            <w:r>
              <w:rPr>
                <w:spacing w:val="-10"/>
                <w:sz w:val="18"/>
              </w:rPr>
              <w:t> </w:t>
            </w:r>
            <w:r>
              <w:rPr>
                <w:sz w:val="18"/>
              </w:rPr>
              <w:t>patients</w:t>
            </w:r>
          </w:p>
        </w:tc>
        <w:tc>
          <w:tcPr>
            <w:tcW w:w="1278" w:type="dxa"/>
            <w:tcBorders>
              <w:top w:val="nil"/>
            </w:tcBorders>
          </w:tcPr>
          <w:p>
            <w:pPr>
              <w:pStyle w:val="TableParagraph"/>
              <w:rPr>
                <w:rFonts w:ascii="Times New Roman"/>
                <w:sz w:val="18"/>
              </w:rPr>
            </w:pPr>
          </w:p>
        </w:tc>
        <w:tc>
          <w:tcPr>
            <w:tcW w:w="1844" w:type="dxa"/>
            <w:tcBorders>
              <w:top w:val="nil"/>
            </w:tcBorders>
          </w:tcPr>
          <w:p>
            <w:pPr>
              <w:pStyle w:val="TableParagraph"/>
              <w:spacing w:line="203" w:lineRule="exact"/>
              <w:ind w:left="100"/>
              <w:rPr>
                <w:b/>
                <w:sz w:val="18"/>
              </w:rPr>
            </w:pPr>
            <w:r>
              <w:rPr>
                <w:b/>
                <w:spacing w:val="-2"/>
                <w:sz w:val="18"/>
              </w:rPr>
              <w:t>Reason:</w:t>
            </w:r>
          </w:p>
          <w:p>
            <w:pPr>
              <w:pStyle w:val="TableParagraph"/>
              <w:ind w:left="100" w:right="200"/>
              <w:rPr>
                <w:b/>
                <w:sz w:val="18"/>
              </w:rPr>
            </w:pPr>
            <w:r>
              <w:rPr>
                <w:b/>
                <w:sz w:val="18"/>
              </w:rPr>
              <w:t>No</w:t>
            </w:r>
            <w:r>
              <w:rPr>
                <w:b/>
                <w:spacing w:val="-11"/>
                <w:sz w:val="18"/>
              </w:rPr>
              <w:t> </w:t>
            </w:r>
            <w:r>
              <w:rPr>
                <w:b/>
                <w:sz w:val="18"/>
              </w:rPr>
              <w:t>exclusion</w:t>
            </w:r>
            <w:r>
              <w:rPr>
                <w:b/>
                <w:spacing w:val="-10"/>
                <w:sz w:val="18"/>
              </w:rPr>
              <w:t> </w:t>
            </w:r>
            <w:r>
              <w:rPr>
                <w:b/>
                <w:sz w:val="18"/>
              </w:rPr>
              <w:t>criteria were</w:t>
            </w:r>
            <w:r>
              <w:rPr>
                <w:b/>
                <w:spacing w:val="-7"/>
                <w:sz w:val="18"/>
              </w:rPr>
              <w:t> </w:t>
            </w:r>
            <w:r>
              <w:rPr>
                <w:b/>
                <w:sz w:val="18"/>
              </w:rPr>
              <w:t>defined,</w:t>
            </w:r>
            <w:r>
              <w:rPr>
                <w:b/>
                <w:spacing w:val="-8"/>
                <w:sz w:val="18"/>
              </w:rPr>
              <w:t> </w:t>
            </w:r>
            <w:r>
              <w:rPr>
                <w:b/>
                <w:sz w:val="18"/>
              </w:rPr>
              <w:t>and</w:t>
            </w:r>
            <w:r>
              <w:rPr>
                <w:b/>
                <w:spacing w:val="-8"/>
                <w:sz w:val="18"/>
              </w:rPr>
              <w:t> </w:t>
            </w:r>
            <w:r>
              <w:rPr>
                <w:b/>
                <w:sz w:val="18"/>
              </w:rPr>
              <w:t>it is unclear whether the outcomes of interest were not present at the start</w:t>
            </w:r>
          </w:p>
          <w:p>
            <w:pPr>
              <w:pStyle w:val="TableParagraph"/>
              <w:spacing w:line="199" w:lineRule="exact" w:before="1"/>
              <w:ind w:left="100"/>
              <w:rPr>
                <w:b/>
                <w:sz w:val="18"/>
              </w:rPr>
            </w:pPr>
            <w:r>
              <w:rPr>
                <w:b/>
                <w:sz w:val="18"/>
              </w:rPr>
              <w:t>of</w:t>
            </w:r>
            <w:r>
              <w:rPr>
                <w:b/>
                <w:spacing w:val="-1"/>
                <w:sz w:val="18"/>
              </w:rPr>
              <w:t> </w:t>
            </w:r>
            <w:r>
              <w:rPr>
                <w:b/>
                <w:sz w:val="18"/>
              </w:rPr>
              <w:t>the</w:t>
            </w:r>
            <w:r>
              <w:rPr>
                <w:b/>
                <w:spacing w:val="-1"/>
                <w:sz w:val="18"/>
              </w:rPr>
              <w:t> </w:t>
            </w:r>
            <w:r>
              <w:rPr>
                <w:b/>
                <w:spacing w:val="-2"/>
                <w:sz w:val="18"/>
              </w:rPr>
              <w:t>study</w:t>
            </w:r>
          </w:p>
        </w:tc>
      </w:tr>
      <w:tr>
        <w:trPr>
          <w:trHeight w:val="456" w:hRule="atLeast"/>
        </w:trPr>
        <w:tc>
          <w:tcPr>
            <w:tcW w:w="1107" w:type="dxa"/>
            <w:tcBorders>
              <w:bottom w:val="nil"/>
            </w:tcBorders>
          </w:tcPr>
          <w:p>
            <w:pPr>
              <w:pStyle w:val="TableParagraph"/>
              <w:spacing w:line="219" w:lineRule="exact" w:before="1"/>
              <w:ind w:left="105"/>
              <w:rPr>
                <w:sz w:val="18"/>
              </w:rPr>
            </w:pPr>
            <w:r>
              <w:rPr>
                <w:spacing w:val="-2"/>
                <w:sz w:val="18"/>
              </w:rPr>
              <w:t>Al-Jazairi,</w:t>
            </w:r>
          </w:p>
          <w:p>
            <w:pPr>
              <w:pStyle w:val="TableParagraph"/>
              <w:spacing w:line="216" w:lineRule="exact"/>
              <w:ind w:left="105"/>
              <w:rPr>
                <w:sz w:val="18"/>
              </w:rPr>
            </w:pPr>
            <w:r>
              <w:rPr>
                <w:spacing w:val="-4"/>
                <w:sz w:val="18"/>
              </w:rPr>
              <w:t>2019</w:t>
            </w:r>
          </w:p>
        </w:tc>
        <w:tc>
          <w:tcPr>
            <w:tcW w:w="1582" w:type="dxa"/>
            <w:tcBorders>
              <w:bottom w:val="nil"/>
            </w:tcBorders>
          </w:tcPr>
          <w:p>
            <w:pPr>
              <w:pStyle w:val="TableParagraph"/>
              <w:spacing w:before="1"/>
              <w:ind w:left="102"/>
              <w:rPr>
                <w:sz w:val="18"/>
              </w:rPr>
            </w:pPr>
            <w:r>
              <w:rPr>
                <w:sz w:val="18"/>
              </w:rPr>
              <w:t>Definitely</w:t>
            </w:r>
            <w:r>
              <w:rPr>
                <w:spacing w:val="-7"/>
                <w:sz w:val="18"/>
              </w:rPr>
              <w:t> </w:t>
            </w:r>
            <w:r>
              <w:rPr>
                <w:spacing w:val="-4"/>
                <w:sz w:val="18"/>
              </w:rPr>
              <w:t>yes;</w:t>
            </w:r>
          </w:p>
        </w:tc>
        <w:tc>
          <w:tcPr>
            <w:tcW w:w="1417" w:type="dxa"/>
            <w:tcBorders>
              <w:bottom w:val="nil"/>
            </w:tcBorders>
          </w:tcPr>
          <w:p>
            <w:pPr>
              <w:pStyle w:val="TableParagraph"/>
              <w:spacing w:before="1"/>
              <w:ind w:left="102"/>
              <w:rPr>
                <w:sz w:val="18"/>
              </w:rPr>
            </w:pPr>
            <w:r>
              <w:rPr>
                <w:sz w:val="18"/>
              </w:rPr>
              <w:t>Definitely</w:t>
            </w:r>
            <w:r>
              <w:rPr>
                <w:spacing w:val="-7"/>
                <w:sz w:val="18"/>
              </w:rPr>
              <w:t> </w:t>
            </w:r>
            <w:r>
              <w:rPr>
                <w:spacing w:val="-4"/>
                <w:sz w:val="18"/>
              </w:rPr>
              <w:t>yes;</w:t>
            </w:r>
          </w:p>
        </w:tc>
        <w:tc>
          <w:tcPr>
            <w:tcW w:w="1277" w:type="dxa"/>
            <w:tcBorders>
              <w:bottom w:val="nil"/>
            </w:tcBorders>
          </w:tcPr>
          <w:p>
            <w:pPr>
              <w:pStyle w:val="TableParagraph"/>
              <w:spacing w:before="1"/>
              <w:ind w:right="125"/>
              <w:jc w:val="center"/>
              <w:rPr>
                <w:sz w:val="18"/>
              </w:rPr>
            </w:pPr>
            <w:r>
              <w:rPr>
                <w:sz w:val="18"/>
              </w:rPr>
              <w:t>Probably</w:t>
            </w:r>
            <w:r>
              <w:rPr>
                <w:spacing w:val="-5"/>
                <w:sz w:val="18"/>
              </w:rPr>
              <w:t> no;</w:t>
            </w:r>
          </w:p>
        </w:tc>
        <w:tc>
          <w:tcPr>
            <w:tcW w:w="1416" w:type="dxa"/>
            <w:tcBorders>
              <w:bottom w:val="nil"/>
            </w:tcBorders>
          </w:tcPr>
          <w:p>
            <w:pPr>
              <w:pStyle w:val="TableParagraph"/>
              <w:spacing w:before="1"/>
              <w:ind w:right="163"/>
              <w:jc w:val="center"/>
              <w:rPr>
                <w:sz w:val="18"/>
              </w:rPr>
            </w:pPr>
            <w:r>
              <w:rPr>
                <w:sz w:val="18"/>
              </w:rPr>
              <w:t>Definitely</w:t>
            </w:r>
            <w:r>
              <w:rPr>
                <w:spacing w:val="-7"/>
                <w:sz w:val="18"/>
              </w:rPr>
              <w:t> </w:t>
            </w:r>
            <w:r>
              <w:rPr>
                <w:spacing w:val="-4"/>
                <w:sz w:val="18"/>
              </w:rPr>
              <w:t>yes;</w:t>
            </w:r>
          </w:p>
        </w:tc>
        <w:tc>
          <w:tcPr>
            <w:tcW w:w="1419" w:type="dxa"/>
            <w:tcBorders>
              <w:bottom w:val="nil"/>
            </w:tcBorders>
          </w:tcPr>
          <w:p>
            <w:pPr>
              <w:pStyle w:val="TableParagraph"/>
              <w:spacing w:before="1"/>
              <w:ind w:left="104"/>
              <w:rPr>
                <w:sz w:val="18"/>
              </w:rPr>
            </w:pPr>
            <w:r>
              <w:rPr>
                <w:sz w:val="18"/>
              </w:rPr>
              <w:t>Probably</w:t>
            </w:r>
            <w:r>
              <w:rPr>
                <w:spacing w:val="-5"/>
                <w:sz w:val="18"/>
              </w:rPr>
              <w:t> no;</w:t>
            </w:r>
          </w:p>
        </w:tc>
        <w:tc>
          <w:tcPr>
            <w:tcW w:w="1416" w:type="dxa"/>
            <w:tcBorders>
              <w:bottom w:val="nil"/>
            </w:tcBorders>
          </w:tcPr>
          <w:p>
            <w:pPr>
              <w:pStyle w:val="TableParagraph"/>
              <w:spacing w:before="1"/>
              <w:ind w:left="103"/>
              <w:rPr>
                <w:sz w:val="18"/>
              </w:rPr>
            </w:pPr>
            <w:r>
              <w:rPr>
                <w:sz w:val="18"/>
              </w:rPr>
              <w:t>Definitely</w:t>
            </w:r>
            <w:r>
              <w:rPr>
                <w:spacing w:val="-7"/>
                <w:sz w:val="18"/>
              </w:rPr>
              <w:t> </w:t>
            </w:r>
            <w:r>
              <w:rPr>
                <w:spacing w:val="-4"/>
                <w:sz w:val="18"/>
              </w:rPr>
              <w:t>yes;</w:t>
            </w:r>
          </w:p>
        </w:tc>
        <w:tc>
          <w:tcPr>
            <w:tcW w:w="1277" w:type="dxa"/>
            <w:tcBorders>
              <w:bottom w:val="nil"/>
            </w:tcBorders>
          </w:tcPr>
          <w:p>
            <w:pPr>
              <w:pStyle w:val="TableParagraph"/>
              <w:spacing w:before="1"/>
              <w:ind w:right="20"/>
              <w:jc w:val="center"/>
              <w:rPr>
                <w:sz w:val="18"/>
              </w:rPr>
            </w:pPr>
            <w:r>
              <w:rPr>
                <w:sz w:val="18"/>
              </w:rPr>
              <w:t>Definitely</w:t>
            </w:r>
            <w:r>
              <w:rPr>
                <w:spacing w:val="-7"/>
                <w:sz w:val="18"/>
              </w:rPr>
              <w:t> </w:t>
            </w:r>
            <w:r>
              <w:rPr>
                <w:spacing w:val="-4"/>
                <w:sz w:val="18"/>
              </w:rPr>
              <w:t>yes;</w:t>
            </w:r>
          </w:p>
        </w:tc>
        <w:tc>
          <w:tcPr>
            <w:tcW w:w="1278" w:type="dxa"/>
            <w:tcBorders>
              <w:bottom w:val="nil"/>
            </w:tcBorders>
          </w:tcPr>
          <w:p>
            <w:pPr>
              <w:pStyle w:val="TableParagraph"/>
              <w:spacing w:line="219" w:lineRule="exact" w:before="1"/>
              <w:ind w:left="103"/>
              <w:rPr>
                <w:sz w:val="18"/>
              </w:rPr>
            </w:pPr>
            <w:r>
              <w:rPr>
                <w:spacing w:val="-5"/>
                <w:sz w:val="18"/>
              </w:rPr>
              <w:t>No</w:t>
            </w:r>
          </w:p>
          <w:p>
            <w:pPr>
              <w:pStyle w:val="TableParagraph"/>
              <w:spacing w:line="216" w:lineRule="exact"/>
              <w:ind w:left="103"/>
              <w:rPr>
                <w:sz w:val="18"/>
              </w:rPr>
            </w:pPr>
            <w:r>
              <w:rPr>
                <w:spacing w:val="-2"/>
                <w:sz w:val="18"/>
              </w:rPr>
              <w:t>information</w:t>
            </w:r>
          </w:p>
        </w:tc>
        <w:tc>
          <w:tcPr>
            <w:tcW w:w="1844" w:type="dxa"/>
            <w:tcBorders>
              <w:bottom w:val="nil"/>
            </w:tcBorders>
          </w:tcPr>
          <w:p>
            <w:pPr>
              <w:pStyle w:val="TableParagraph"/>
              <w:spacing w:before="1"/>
              <w:ind w:left="100"/>
              <w:rPr>
                <w:b/>
                <w:sz w:val="18"/>
              </w:rPr>
            </w:pPr>
            <w:r>
              <w:rPr>
                <w:b/>
                <w:sz w:val="18"/>
              </w:rPr>
              <w:t>Some</w:t>
            </w:r>
            <w:r>
              <w:rPr>
                <w:b/>
                <w:spacing w:val="-4"/>
                <w:sz w:val="18"/>
              </w:rPr>
              <w:t> </w:t>
            </w:r>
            <w:r>
              <w:rPr>
                <w:b/>
                <w:spacing w:val="-2"/>
                <w:sz w:val="18"/>
              </w:rPr>
              <w:t>concerns;</w:t>
            </w:r>
          </w:p>
        </w:tc>
      </w:tr>
      <w:tr>
        <w:trPr>
          <w:trHeight w:val="2399" w:hRule="atLeast"/>
        </w:trPr>
        <w:tc>
          <w:tcPr>
            <w:tcW w:w="1107" w:type="dxa"/>
            <w:tcBorders>
              <w:top w:val="nil"/>
            </w:tcBorders>
          </w:tcPr>
          <w:p>
            <w:pPr>
              <w:pStyle w:val="TableParagraph"/>
              <w:rPr>
                <w:rFonts w:ascii="Times New Roman"/>
                <w:sz w:val="18"/>
              </w:rPr>
            </w:pPr>
          </w:p>
        </w:tc>
        <w:tc>
          <w:tcPr>
            <w:tcW w:w="1582" w:type="dxa"/>
            <w:tcBorders>
              <w:top w:val="nil"/>
            </w:tcBorders>
          </w:tcPr>
          <w:p>
            <w:pPr>
              <w:pStyle w:val="TableParagraph"/>
              <w:spacing w:line="203" w:lineRule="exact"/>
              <w:ind w:left="102"/>
              <w:rPr>
                <w:sz w:val="18"/>
              </w:rPr>
            </w:pPr>
            <w:r>
              <w:rPr>
                <w:spacing w:val="-2"/>
                <w:sz w:val="18"/>
              </w:rPr>
              <w:t>Reason:</w:t>
            </w:r>
          </w:p>
          <w:p>
            <w:pPr>
              <w:pStyle w:val="TableParagraph"/>
              <w:ind w:left="102"/>
              <w:rPr>
                <w:sz w:val="18"/>
              </w:rPr>
            </w:pPr>
            <w:r>
              <w:rPr>
                <w:sz w:val="18"/>
              </w:rPr>
              <w:t>All patients were selected</w:t>
            </w:r>
            <w:r>
              <w:rPr>
                <w:spacing w:val="-11"/>
                <w:sz w:val="18"/>
              </w:rPr>
              <w:t> </w:t>
            </w:r>
            <w:r>
              <w:rPr>
                <w:sz w:val="18"/>
              </w:rPr>
              <w:t>from</w:t>
            </w:r>
            <w:r>
              <w:rPr>
                <w:spacing w:val="-10"/>
                <w:sz w:val="18"/>
              </w:rPr>
              <w:t> </w:t>
            </w:r>
            <w:r>
              <w:rPr>
                <w:sz w:val="18"/>
              </w:rPr>
              <w:t>the same hospital</w:t>
            </w:r>
          </w:p>
        </w:tc>
        <w:tc>
          <w:tcPr>
            <w:tcW w:w="1417" w:type="dxa"/>
            <w:tcBorders>
              <w:top w:val="nil"/>
            </w:tcBorders>
          </w:tcPr>
          <w:p>
            <w:pPr>
              <w:pStyle w:val="TableParagraph"/>
              <w:spacing w:before="202"/>
              <w:ind w:left="102" w:right="163"/>
              <w:rPr>
                <w:sz w:val="18"/>
              </w:rPr>
            </w:pPr>
            <w:r>
              <w:rPr>
                <w:spacing w:val="-2"/>
                <w:sz w:val="18"/>
              </w:rPr>
              <w:t>Reason:</w:t>
            </w:r>
            <w:r>
              <w:rPr>
                <w:sz w:val="18"/>
              </w:rPr>
              <w:t> Medication</w:t>
            </w:r>
            <w:r>
              <w:rPr>
                <w:spacing w:val="-11"/>
                <w:sz w:val="18"/>
              </w:rPr>
              <w:t> </w:t>
            </w:r>
            <w:r>
              <w:rPr>
                <w:sz w:val="18"/>
              </w:rPr>
              <w:t>use was</w:t>
            </w:r>
            <w:r>
              <w:rPr>
                <w:spacing w:val="-2"/>
                <w:sz w:val="18"/>
              </w:rPr>
              <w:t> </w:t>
            </w:r>
            <w:r>
              <w:rPr>
                <w:sz w:val="18"/>
              </w:rPr>
              <w:t>registered for all patients</w:t>
            </w:r>
          </w:p>
        </w:tc>
        <w:tc>
          <w:tcPr>
            <w:tcW w:w="1277" w:type="dxa"/>
            <w:tcBorders>
              <w:top w:val="nil"/>
            </w:tcBorders>
          </w:tcPr>
          <w:p>
            <w:pPr>
              <w:pStyle w:val="TableParagraph"/>
              <w:spacing w:before="202"/>
              <w:ind w:left="104"/>
              <w:rPr>
                <w:sz w:val="18"/>
              </w:rPr>
            </w:pPr>
            <w:r>
              <w:rPr>
                <w:spacing w:val="-2"/>
                <w:sz w:val="18"/>
              </w:rPr>
              <w:t>Reason:</w:t>
            </w:r>
          </w:p>
          <w:p>
            <w:pPr>
              <w:pStyle w:val="TableParagraph"/>
              <w:spacing w:before="1"/>
              <w:ind w:left="104" w:right="187"/>
              <w:rPr>
                <w:sz w:val="18"/>
              </w:rPr>
            </w:pPr>
            <w:r>
              <w:rPr>
                <w:sz w:val="18"/>
              </w:rPr>
              <w:t>Not</w:t>
            </w:r>
            <w:r>
              <w:rPr>
                <w:spacing w:val="-11"/>
                <w:sz w:val="18"/>
              </w:rPr>
              <w:t> </w:t>
            </w:r>
            <w:r>
              <w:rPr>
                <w:sz w:val="18"/>
              </w:rPr>
              <w:t>reported and not part of</w:t>
            </w:r>
            <w:r>
              <w:rPr>
                <w:spacing w:val="-2"/>
                <w:sz w:val="18"/>
              </w:rPr>
              <w:t> </w:t>
            </w:r>
            <w:r>
              <w:rPr>
                <w:sz w:val="18"/>
              </w:rPr>
              <w:t>exclusion </w:t>
            </w:r>
            <w:r>
              <w:rPr>
                <w:spacing w:val="-2"/>
                <w:sz w:val="18"/>
              </w:rPr>
              <w:t>criteria</w:t>
            </w:r>
          </w:p>
        </w:tc>
        <w:tc>
          <w:tcPr>
            <w:tcW w:w="1416" w:type="dxa"/>
            <w:tcBorders>
              <w:top w:val="nil"/>
            </w:tcBorders>
          </w:tcPr>
          <w:p>
            <w:pPr>
              <w:pStyle w:val="TableParagraph"/>
              <w:spacing w:before="202"/>
              <w:ind w:left="101" w:right="238"/>
              <w:rPr>
                <w:sz w:val="18"/>
              </w:rPr>
            </w:pPr>
            <w:r>
              <w:rPr>
                <w:spacing w:val="-2"/>
                <w:sz w:val="18"/>
              </w:rPr>
              <w:t>Reason:</w:t>
            </w:r>
            <w:r>
              <w:rPr>
                <w:sz w:val="18"/>
              </w:rPr>
              <w:t> </w:t>
            </w:r>
            <w:r>
              <w:rPr>
                <w:spacing w:val="-2"/>
                <w:sz w:val="18"/>
              </w:rPr>
              <w:t>Relevant</w:t>
            </w:r>
            <w:r>
              <w:rPr>
                <w:sz w:val="18"/>
              </w:rPr>
              <w:t> </w:t>
            </w:r>
            <w:r>
              <w:rPr>
                <w:spacing w:val="-2"/>
                <w:sz w:val="18"/>
              </w:rPr>
              <w:t>confounders</w:t>
            </w:r>
            <w:r>
              <w:rPr>
                <w:sz w:val="18"/>
              </w:rPr>
              <w:t> were</w:t>
            </w:r>
            <w:r>
              <w:rPr>
                <w:spacing w:val="-11"/>
                <w:sz w:val="18"/>
              </w:rPr>
              <w:t> </w:t>
            </w:r>
            <w:r>
              <w:rPr>
                <w:sz w:val="18"/>
              </w:rPr>
              <w:t>assessed and</w:t>
            </w:r>
            <w:r>
              <w:rPr>
                <w:spacing w:val="-2"/>
                <w:sz w:val="18"/>
              </w:rPr>
              <w:t> </w:t>
            </w:r>
            <w:r>
              <w:rPr>
                <w:sz w:val="18"/>
              </w:rPr>
              <w:t>reported</w:t>
            </w:r>
          </w:p>
        </w:tc>
        <w:tc>
          <w:tcPr>
            <w:tcW w:w="1419" w:type="dxa"/>
            <w:tcBorders>
              <w:top w:val="nil"/>
            </w:tcBorders>
          </w:tcPr>
          <w:p>
            <w:pPr>
              <w:pStyle w:val="TableParagraph"/>
              <w:spacing w:before="202"/>
              <w:ind w:left="104"/>
              <w:rPr>
                <w:sz w:val="18"/>
              </w:rPr>
            </w:pPr>
            <w:r>
              <w:rPr>
                <w:spacing w:val="-2"/>
                <w:sz w:val="18"/>
              </w:rPr>
              <w:t>Reason:</w:t>
            </w:r>
          </w:p>
          <w:p>
            <w:pPr>
              <w:pStyle w:val="TableParagraph"/>
              <w:spacing w:before="1"/>
              <w:ind w:left="104" w:right="375"/>
              <w:rPr>
                <w:sz w:val="18"/>
              </w:rPr>
            </w:pPr>
            <w:r>
              <w:rPr>
                <w:sz w:val="18"/>
              </w:rPr>
              <w:t>No clear reporting</w:t>
            </w:r>
            <w:r>
              <w:rPr>
                <w:spacing w:val="-11"/>
                <w:sz w:val="18"/>
              </w:rPr>
              <w:t> </w:t>
            </w:r>
            <w:r>
              <w:rPr>
                <w:sz w:val="18"/>
              </w:rPr>
              <w:t>on </w:t>
            </w:r>
            <w:r>
              <w:rPr>
                <w:spacing w:val="-2"/>
                <w:sz w:val="18"/>
              </w:rPr>
              <w:t>confounder</w:t>
            </w:r>
            <w:r>
              <w:rPr>
                <w:sz w:val="18"/>
              </w:rPr>
              <w:t> </w:t>
            </w:r>
            <w:r>
              <w:rPr>
                <w:spacing w:val="-2"/>
                <w:sz w:val="18"/>
              </w:rPr>
              <w:t>adjustment</w:t>
            </w:r>
            <w:r>
              <w:rPr>
                <w:sz w:val="18"/>
              </w:rPr>
              <w:t> </w:t>
            </w:r>
            <w:r>
              <w:rPr>
                <w:spacing w:val="-2"/>
                <w:sz w:val="18"/>
              </w:rPr>
              <w:t>through</w:t>
            </w:r>
            <w:r>
              <w:rPr>
                <w:sz w:val="18"/>
              </w:rPr>
              <w:t> </w:t>
            </w:r>
            <w:r>
              <w:rPr>
                <w:spacing w:val="-2"/>
                <w:sz w:val="18"/>
              </w:rPr>
              <w:t>statistical</w:t>
            </w:r>
            <w:r>
              <w:rPr>
                <w:sz w:val="18"/>
              </w:rPr>
              <w:t> </w:t>
            </w:r>
            <w:r>
              <w:rPr>
                <w:spacing w:val="-2"/>
                <w:sz w:val="18"/>
              </w:rPr>
              <w:t>analyses</w:t>
            </w:r>
          </w:p>
        </w:tc>
        <w:tc>
          <w:tcPr>
            <w:tcW w:w="1416" w:type="dxa"/>
            <w:tcBorders>
              <w:top w:val="nil"/>
            </w:tcBorders>
          </w:tcPr>
          <w:p>
            <w:pPr>
              <w:pStyle w:val="TableParagraph"/>
              <w:spacing w:before="202"/>
              <w:ind w:left="103" w:right="229"/>
              <w:rPr>
                <w:sz w:val="18"/>
              </w:rPr>
            </w:pPr>
            <w:r>
              <w:rPr>
                <w:spacing w:val="-2"/>
                <w:sz w:val="18"/>
              </w:rPr>
              <w:t>Reason:</w:t>
            </w:r>
            <w:r>
              <w:rPr>
                <w:sz w:val="18"/>
              </w:rPr>
              <w:t> </w:t>
            </w:r>
            <w:r>
              <w:rPr>
                <w:spacing w:val="-2"/>
                <w:sz w:val="18"/>
              </w:rPr>
              <w:t>Adequate</w:t>
            </w:r>
            <w:r>
              <w:rPr>
                <w:sz w:val="18"/>
              </w:rPr>
              <w:t> methods</w:t>
            </w:r>
            <w:r>
              <w:rPr>
                <w:spacing w:val="-11"/>
                <w:sz w:val="18"/>
              </w:rPr>
              <w:t> </w:t>
            </w:r>
            <w:r>
              <w:rPr>
                <w:sz w:val="18"/>
              </w:rPr>
              <w:t>were used</w:t>
            </w:r>
            <w:r>
              <w:rPr>
                <w:spacing w:val="-11"/>
                <w:sz w:val="18"/>
              </w:rPr>
              <w:t> </w:t>
            </w:r>
            <w:r>
              <w:rPr>
                <w:sz w:val="18"/>
              </w:rPr>
              <w:t>to</w:t>
            </w:r>
            <w:r>
              <w:rPr>
                <w:spacing w:val="-10"/>
                <w:sz w:val="18"/>
              </w:rPr>
              <w:t> </w:t>
            </w:r>
            <w:r>
              <w:rPr>
                <w:sz w:val="18"/>
              </w:rPr>
              <w:t>assess the</w:t>
            </w:r>
            <w:r>
              <w:rPr>
                <w:spacing w:val="-2"/>
                <w:sz w:val="18"/>
              </w:rPr>
              <w:t> </w:t>
            </w:r>
            <w:r>
              <w:rPr>
                <w:sz w:val="18"/>
              </w:rPr>
              <w:t>outcome</w:t>
            </w:r>
          </w:p>
        </w:tc>
        <w:tc>
          <w:tcPr>
            <w:tcW w:w="1277" w:type="dxa"/>
            <w:tcBorders>
              <w:top w:val="nil"/>
            </w:tcBorders>
          </w:tcPr>
          <w:p>
            <w:pPr>
              <w:pStyle w:val="TableParagraph"/>
              <w:spacing w:before="202"/>
              <w:ind w:left="103" w:right="95"/>
              <w:rPr>
                <w:sz w:val="18"/>
              </w:rPr>
            </w:pPr>
            <w:r>
              <w:rPr>
                <w:spacing w:val="-2"/>
                <w:sz w:val="18"/>
              </w:rPr>
              <w:t>Reason:</w:t>
            </w:r>
            <w:r>
              <w:rPr>
                <w:sz w:val="18"/>
              </w:rPr>
              <w:t> Outcome</w:t>
            </w:r>
            <w:r>
              <w:rPr>
                <w:spacing w:val="-11"/>
                <w:sz w:val="18"/>
              </w:rPr>
              <w:t> </w:t>
            </w:r>
            <w:r>
              <w:rPr>
                <w:sz w:val="18"/>
              </w:rPr>
              <w:t>data was</w:t>
            </w:r>
            <w:r>
              <w:rPr>
                <w:spacing w:val="-2"/>
                <w:sz w:val="18"/>
              </w:rPr>
              <w:t> </w:t>
            </w:r>
            <w:r>
              <w:rPr>
                <w:sz w:val="18"/>
              </w:rPr>
              <w:t>available for</w:t>
            </w:r>
            <w:r>
              <w:rPr>
                <w:spacing w:val="-11"/>
                <w:sz w:val="18"/>
              </w:rPr>
              <w:t> </w:t>
            </w:r>
            <w:r>
              <w:rPr>
                <w:sz w:val="18"/>
              </w:rPr>
              <w:t>all</w:t>
            </w:r>
            <w:r>
              <w:rPr>
                <w:spacing w:val="-10"/>
                <w:sz w:val="18"/>
              </w:rPr>
              <w:t> </w:t>
            </w:r>
            <w:r>
              <w:rPr>
                <w:sz w:val="18"/>
              </w:rPr>
              <w:t>patients</w:t>
            </w:r>
          </w:p>
        </w:tc>
        <w:tc>
          <w:tcPr>
            <w:tcW w:w="1278" w:type="dxa"/>
            <w:tcBorders>
              <w:top w:val="nil"/>
            </w:tcBorders>
          </w:tcPr>
          <w:p>
            <w:pPr>
              <w:pStyle w:val="TableParagraph"/>
              <w:rPr>
                <w:rFonts w:ascii="Times New Roman"/>
                <w:sz w:val="18"/>
              </w:rPr>
            </w:pPr>
          </w:p>
        </w:tc>
        <w:tc>
          <w:tcPr>
            <w:tcW w:w="1844" w:type="dxa"/>
            <w:tcBorders>
              <w:top w:val="nil"/>
            </w:tcBorders>
          </w:tcPr>
          <w:p>
            <w:pPr>
              <w:pStyle w:val="TableParagraph"/>
              <w:spacing w:line="203" w:lineRule="exact"/>
              <w:ind w:left="100"/>
              <w:rPr>
                <w:b/>
                <w:sz w:val="18"/>
              </w:rPr>
            </w:pPr>
            <w:r>
              <w:rPr>
                <w:b/>
                <w:spacing w:val="-2"/>
                <w:sz w:val="18"/>
              </w:rPr>
              <w:t>Reason:</w:t>
            </w:r>
          </w:p>
          <w:p>
            <w:pPr>
              <w:pStyle w:val="TableParagraph"/>
              <w:ind w:left="100" w:right="106"/>
              <w:rPr>
                <w:b/>
                <w:sz w:val="18"/>
              </w:rPr>
            </w:pPr>
            <w:r>
              <w:rPr>
                <w:b/>
                <w:sz w:val="18"/>
              </w:rPr>
              <w:t>It is not clear</w:t>
            </w:r>
            <w:r>
              <w:rPr>
                <w:b/>
                <w:spacing w:val="40"/>
                <w:sz w:val="18"/>
              </w:rPr>
              <w:t> </w:t>
            </w:r>
            <w:r>
              <w:rPr>
                <w:b/>
                <w:sz w:val="18"/>
              </w:rPr>
              <w:t>whether the outcomes of interest were not present at the</w:t>
            </w:r>
            <w:r>
              <w:rPr>
                <w:b/>
                <w:spacing w:val="-10"/>
                <w:sz w:val="18"/>
              </w:rPr>
              <w:t> </w:t>
            </w:r>
            <w:r>
              <w:rPr>
                <w:b/>
                <w:sz w:val="18"/>
              </w:rPr>
              <w:t>start</w:t>
            </w:r>
            <w:r>
              <w:rPr>
                <w:b/>
                <w:spacing w:val="-10"/>
                <w:sz w:val="18"/>
              </w:rPr>
              <w:t> </w:t>
            </w:r>
            <w:r>
              <w:rPr>
                <w:b/>
                <w:sz w:val="18"/>
              </w:rPr>
              <w:t>of</w:t>
            </w:r>
            <w:r>
              <w:rPr>
                <w:b/>
                <w:spacing w:val="-10"/>
                <w:sz w:val="18"/>
              </w:rPr>
              <w:t> </w:t>
            </w:r>
            <w:r>
              <w:rPr>
                <w:b/>
                <w:sz w:val="18"/>
              </w:rPr>
              <w:t>the</w:t>
            </w:r>
            <w:r>
              <w:rPr>
                <w:b/>
                <w:spacing w:val="-10"/>
                <w:sz w:val="18"/>
              </w:rPr>
              <w:t> </w:t>
            </w:r>
            <w:r>
              <w:rPr>
                <w:b/>
                <w:sz w:val="18"/>
              </w:rPr>
              <w:t>study, and</w:t>
            </w:r>
            <w:r>
              <w:rPr>
                <w:b/>
                <w:spacing w:val="-2"/>
                <w:sz w:val="18"/>
              </w:rPr>
              <w:t> </w:t>
            </w:r>
            <w:r>
              <w:rPr>
                <w:b/>
                <w:sz w:val="18"/>
              </w:rPr>
              <w:t>confounder adjustment in the statistical analyses, if performed, is not</w:t>
            </w:r>
          </w:p>
          <w:p>
            <w:pPr>
              <w:pStyle w:val="TableParagraph"/>
              <w:spacing w:line="199" w:lineRule="exact"/>
              <w:ind w:left="100"/>
              <w:rPr>
                <w:b/>
                <w:sz w:val="18"/>
              </w:rPr>
            </w:pPr>
            <w:r>
              <w:rPr>
                <w:b/>
                <w:sz w:val="18"/>
              </w:rPr>
              <w:t>clearly</w:t>
            </w:r>
            <w:r>
              <w:rPr>
                <w:b/>
                <w:spacing w:val="-6"/>
                <w:sz w:val="18"/>
              </w:rPr>
              <w:t> </w:t>
            </w:r>
            <w:r>
              <w:rPr>
                <w:b/>
                <w:spacing w:val="-2"/>
                <w:sz w:val="18"/>
              </w:rPr>
              <w:t>reported</w:t>
            </w:r>
          </w:p>
        </w:tc>
      </w:tr>
      <w:tr>
        <w:trPr>
          <w:trHeight w:val="457" w:hRule="atLeast"/>
        </w:trPr>
        <w:tc>
          <w:tcPr>
            <w:tcW w:w="1107" w:type="dxa"/>
            <w:tcBorders>
              <w:bottom w:val="nil"/>
            </w:tcBorders>
          </w:tcPr>
          <w:p>
            <w:pPr>
              <w:pStyle w:val="TableParagraph"/>
              <w:spacing w:line="220" w:lineRule="atLeast"/>
              <w:ind w:left="105"/>
              <w:rPr>
                <w:sz w:val="18"/>
              </w:rPr>
            </w:pPr>
            <w:r>
              <w:rPr>
                <w:spacing w:val="-2"/>
                <w:sz w:val="18"/>
              </w:rPr>
              <w:t>Kawamatsu,</w:t>
            </w:r>
            <w:r>
              <w:rPr>
                <w:sz w:val="18"/>
              </w:rPr>
              <w:t> </w:t>
            </w:r>
            <w:r>
              <w:rPr>
                <w:spacing w:val="-4"/>
                <w:sz w:val="18"/>
              </w:rPr>
              <w:t>2021</w:t>
            </w:r>
          </w:p>
        </w:tc>
        <w:tc>
          <w:tcPr>
            <w:tcW w:w="1582" w:type="dxa"/>
            <w:tcBorders>
              <w:bottom w:val="nil"/>
            </w:tcBorders>
          </w:tcPr>
          <w:p>
            <w:pPr>
              <w:pStyle w:val="TableParagraph"/>
              <w:spacing w:before="1"/>
              <w:ind w:left="102"/>
              <w:rPr>
                <w:sz w:val="18"/>
              </w:rPr>
            </w:pPr>
            <w:r>
              <w:rPr>
                <w:sz w:val="18"/>
              </w:rPr>
              <w:t>Definitely</w:t>
            </w:r>
            <w:r>
              <w:rPr>
                <w:spacing w:val="-7"/>
                <w:sz w:val="18"/>
              </w:rPr>
              <w:t> </w:t>
            </w:r>
            <w:r>
              <w:rPr>
                <w:spacing w:val="-4"/>
                <w:sz w:val="18"/>
              </w:rPr>
              <w:t>yes;</w:t>
            </w:r>
          </w:p>
        </w:tc>
        <w:tc>
          <w:tcPr>
            <w:tcW w:w="1417" w:type="dxa"/>
            <w:tcBorders>
              <w:bottom w:val="nil"/>
            </w:tcBorders>
          </w:tcPr>
          <w:p>
            <w:pPr>
              <w:pStyle w:val="TableParagraph"/>
              <w:spacing w:before="1"/>
              <w:ind w:left="102"/>
              <w:rPr>
                <w:sz w:val="18"/>
              </w:rPr>
            </w:pPr>
            <w:r>
              <w:rPr>
                <w:sz w:val="18"/>
              </w:rPr>
              <w:t>Definitely</w:t>
            </w:r>
            <w:r>
              <w:rPr>
                <w:spacing w:val="-7"/>
                <w:sz w:val="18"/>
              </w:rPr>
              <w:t> </w:t>
            </w:r>
            <w:r>
              <w:rPr>
                <w:spacing w:val="-4"/>
                <w:sz w:val="18"/>
              </w:rPr>
              <w:t>yes;</w:t>
            </w:r>
          </w:p>
        </w:tc>
        <w:tc>
          <w:tcPr>
            <w:tcW w:w="1277" w:type="dxa"/>
            <w:tcBorders>
              <w:bottom w:val="nil"/>
            </w:tcBorders>
          </w:tcPr>
          <w:p>
            <w:pPr>
              <w:pStyle w:val="TableParagraph"/>
              <w:spacing w:before="1"/>
              <w:ind w:right="125"/>
              <w:jc w:val="center"/>
              <w:rPr>
                <w:sz w:val="18"/>
              </w:rPr>
            </w:pPr>
            <w:r>
              <w:rPr>
                <w:sz w:val="18"/>
              </w:rPr>
              <w:t>Probably</w:t>
            </w:r>
            <w:r>
              <w:rPr>
                <w:spacing w:val="-5"/>
                <w:sz w:val="18"/>
              </w:rPr>
              <w:t> no;</w:t>
            </w:r>
          </w:p>
        </w:tc>
        <w:tc>
          <w:tcPr>
            <w:tcW w:w="1416" w:type="dxa"/>
            <w:tcBorders>
              <w:bottom w:val="nil"/>
            </w:tcBorders>
          </w:tcPr>
          <w:p>
            <w:pPr>
              <w:pStyle w:val="TableParagraph"/>
              <w:spacing w:before="1"/>
              <w:ind w:right="163"/>
              <w:jc w:val="center"/>
              <w:rPr>
                <w:sz w:val="18"/>
              </w:rPr>
            </w:pPr>
            <w:r>
              <w:rPr>
                <w:sz w:val="18"/>
              </w:rPr>
              <w:t>Definitely</w:t>
            </w:r>
            <w:r>
              <w:rPr>
                <w:spacing w:val="-7"/>
                <w:sz w:val="18"/>
              </w:rPr>
              <w:t> </w:t>
            </w:r>
            <w:r>
              <w:rPr>
                <w:spacing w:val="-4"/>
                <w:sz w:val="18"/>
              </w:rPr>
              <w:t>yes;</w:t>
            </w:r>
          </w:p>
        </w:tc>
        <w:tc>
          <w:tcPr>
            <w:tcW w:w="1419" w:type="dxa"/>
            <w:tcBorders>
              <w:bottom w:val="nil"/>
            </w:tcBorders>
          </w:tcPr>
          <w:p>
            <w:pPr>
              <w:pStyle w:val="TableParagraph"/>
              <w:spacing w:before="1"/>
              <w:ind w:left="104"/>
              <w:rPr>
                <w:sz w:val="18"/>
              </w:rPr>
            </w:pPr>
            <w:r>
              <w:rPr>
                <w:sz w:val="18"/>
              </w:rPr>
              <w:t>Probably</w:t>
            </w:r>
            <w:r>
              <w:rPr>
                <w:spacing w:val="-5"/>
                <w:sz w:val="18"/>
              </w:rPr>
              <w:t> no;</w:t>
            </w:r>
          </w:p>
        </w:tc>
        <w:tc>
          <w:tcPr>
            <w:tcW w:w="1416" w:type="dxa"/>
            <w:tcBorders>
              <w:bottom w:val="nil"/>
            </w:tcBorders>
          </w:tcPr>
          <w:p>
            <w:pPr>
              <w:pStyle w:val="TableParagraph"/>
              <w:spacing w:before="1"/>
              <w:ind w:left="103"/>
              <w:rPr>
                <w:sz w:val="18"/>
              </w:rPr>
            </w:pPr>
            <w:r>
              <w:rPr>
                <w:sz w:val="18"/>
              </w:rPr>
              <w:t>Definitely</w:t>
            </w:r>
            <w:r>
              <w:rPr>
                <w:spacing w:val="-7"/>
                <w:sz w:val="18"/>
              </w:rPr>
              <w:t> </w:t>
            </w:r>
            <w:r>
              <w:rPr>
                <w:spacing w:val="-4"/>
                <w:sz w:val="18"/>
              </w:rPr>
              <w:t>yes;</w:t>
            </w:r>
          </w:p>
        </w:tc>
        <w:tc>
          <w:tcPr>
            <w:tcW w:w="1277" w:type="dxa"/>
            <w:tcBorders>
              <w:bottom w:val="nil"/>
            </w:tcBorders>
          </w:tcPr>
          <w:p>
            <w:pPr>
              <w:pStyle w:val="TableParagraph"/>
              <w:spacing w:before="1"/>
              <w:ind w:right="20"/>
              <w:jc w:val="center"/>
              <w:rPr>
                <w:sz w:val="18"/>
              </w:rPr>
            </w:pPr>
            <w:r>
              <w:rPr>
                <w:sz w:val="18"/>
              </w:rPr>
              <w:t>Definitely</w:t>
            </w:r>
            <w:r>
              <w:rPr>
                <w:spacing w:val="-7"/>
                <w:sz w:val="18"/>
              </w:rPr>
              <w:t> </w:t>
            </w:r>
            <w:r>
              <w:rPr>
                <w:spacing w:val="-4"/>
                <w:sz w:val="18"/>
              </w:rPr>
              <w:t>yes;</w:t>
            </w:r>
          </w:p>
        </w:tc>
        <w:tc>
          <w:tcPr>
            <w:tcW w:w="1278" w:type="dxa"/>
            <w:tcBorders>
              <w:bottom w:val="nil"/>
            </w:tcBorders>
          </w:tcPr>
          <w:p>
            <w:pPr>
              <w:pStyle w:val="TableParagraph"/>
              <w:spacing w:before="1"/>
              <w:ind w:left="103"/>
              <w:rPr>
                <w:sz w:val="18"/>
              </w:rPr>
            </w:pPr>
            <w:r>
              <w:rPr>
                <w:sz w:val="18"/>
              </w:rPr>
              <w:t>Definitely</w:t>
            </w:r>
            <w:r>
              <w:rPr>
                <w:spacing w:val="-7"/>
                <w:sz w:val="18"/>
              </w:rPr>
              <w:t> </w:t>
            </w:r>
            <w:r>
              <w:rPr>
                <w:spacing w:val="-5"/>
                <w:sz w:val="18"/>
              </w:rPr>
              <w:t>no;</w:t>
            </w:r>
          </w:p>
        </w:tc>
        <w:tc>
          <w:tcPr>
            <w:tcW w:w="1844" w:type="dxa"/>
            <w:tcBorders>
              <w:bottom w:val="nil"/>
            </w:tcBorders>
          </w:tcPr>
          <w:p>
            <w:pPr>
              <w:pStyle w:val="TableParagraph"/>
              <w:spacing w:before="1"/>
              <w:ind w:left="100"/>
              <w:rPr>
                <w:b/>
                <w:sz w:val="18"/>
              </w:rPr>
            </w:pPr>
            <w:r>
              <w:rPr>
                <w:b/>
                <w:sz w:val="18"/>
              </w:rPr>
              <w:t>Some</w:t>
            </w:r>
            <w:r>
              <w:rPr>
                <w:b/>
                <w:spacing w:val="-4"/>
                <w:sz w:val="18"/>
              </w:rPr>
              <w:t> </w:t>
            </w:r>
            <w:r>
              <w:rPr>
                <w:b/>
                <w:spacing w:val="-2"/>
                <w:sz w:val="18"/>
              </w:rPr>
              <w:t>concerns;</w:t>
            </w:r>
          </w:p>
        </w:tc>
      </w:tr>
      <w:tr>
        <w:trPr>
          <w:trHeight w:val="2840" w:hRule="atLeast"/>
        </w:trPr>
        <w:tc>
          <w:tcPr>
            <w:tcW w:w="1107" w:type="dxa"/>
            <w:tcBorders>
              <w:top w:val="nil"/>
            </w:tcBorders>
          </w:tcPr>
          <w:p>
            <w:pPr>
              <w:pStyle w:val="TableParagraph"/>
              <w:rPr>
                <w:rFonts w:ascii="Times New Roman"/>
                <w:sz w:val="18"/>
              </w:rPr>
            </w:pPr>
          </w:p>
        </w:tc>
        <w:tc>
          <w:tcPr>
            <w:tcW w:w="1582" w:type="dxa"/>
            <w:tcBorders>
              <w:top w:val="nil"/>
            </w:tcBorders>
          </w:tcPr>
          <w:p>
            <w:pPr>
              <w:pStyle w:val="TableParagraph"/>
              <w:spacing w:line="203" w:lineRule="exact"/>
              <w:ind w:left="102"/>
              <w:rPr>
                <w:sz w:val="18"/>
              </w:rPr>
            </w:pPr>
            <w:r>
              <w:rPr>
                <w:spacing w:val="-2"/>
                <w:sz w:val="18"/>
              </w:rPr>
              <w:t>Reason:</w:t>
            </w:r>
          </w:p>
          <w:p>
            <w:pPr>
              <w:pStyle w:val="TableParagraph"/>
              <w:spacing w:before="1"/>
              <w:ind w:left="102"/>
              <w:rPr>
                <w:sz w:val="18"/>
              </w:rPr>
            </w:pPr>
            <w:r>
              <w:rPr>
                <w:sz w:val="18"/>
              </w:rPr>
              <w:t>All patients were selected</w:t>
            </w:r>
            <w:r>
              <w:rPr>
                <w:spacing w:val="-11"/>
                <w:sz w:val="18"/>
              </w:rPr>
              <w:t> </w:t>
            </w:r>
            <w:r>
              <w:rPr>
                <w:sz w:val="18"/>
              </w:rPr>
              <w:t>from</w:t>
            </w:r>
            <w:r>
              <w:rPr>
                <w:spacing w:val="-10"/>
                <w:sz w:val="18"/>
              </w:rPr>
              <w:t> </w:t>
            </w:r>
            <w:r>
              <w:rPr>
                <w:sz w:val="18"/>
              </w:rPr>
              <w:t>the same centers</w:t>
            </w:r>
          </w:p>
        </w:tc>
        <w:tc>
          <w:tcPr>
            <w:tcW w:w="1417" w:type="dxa"/>
            <w:tcBorders>
              <w:top w:val="nil"/>
            </w:tcBorders>
          </w:tcPr>
          <w:p>
            <w:pPr>
              <w:pStyle w:val="TableParagraph"/>
              <w:spacing w:before="203"/>
              <w:ind w:left="102" w:right="163"/>
              <w:rPr>
                <w:sz w:val="18"/>
              </w:rPr>
            </w:pPr>
            <w:r>
              <w:rPr>
                <w:spacing w:val="-2"/>
                <w:sz w:val="18"/>
              </w:rPr>
              <w:t>Reason:</w:t>
            </w:r>
            <w:r>
              <w:rPr>
                <w:sz w:val="18"/>
              </w:rPr>
              <w:t> Medication</w:t>
            </w:r>
            <w:r>
              <w:rPr>
                <w:spacing w:val="-11"/>
                <w:sz w:val="18"/>
              </w:rPr>
              <w:t> </w:t>
            </w:r>
            <w:r>
              <w:rPr>
                <w:sz w:val="18"/>
              </w:rPr>
              <w:t>use was</w:t>
            </w:r>
            <w:r>
              <w:rPr>
                <w:spacing w:val="-2"/>
                <w:sz w:val="18"/>
              </w:rPr>
              <w:t> </w:t>
            </w:r>
            <w:r>
              <w:rPr>
                <w:sz w:val="18"/>
              </w:rPr>
              <w:t>registered for all patients</w:t>
            </w:r>
          </w:p>
        </w:tc>
        <w:tc>
          <w:tcPr>
            <w:tcW w:w="1277" w:type="dxa"/>
            <w:tcBorders>
              <w:top w:val="nil"/>
            </w:tcBorders>
          </w:tcPr>
          <w:p>
            <w:pPr>
              <w:pStyle w:val="TableParagraph"/>
              <w:spacing w:line="219" w:lineRule="exact" w:before="203"/>
              <w:ind w:left="104"/>
              <w:rPr>
                <w:sz w:val="18"/>
              </w:rPr>
            </w:pPr>
            <w:r>
              <w:rPr>
                <w:spacing w:val="-2"/>
                <w:sz w:val="18"/>
              </w:rPr>
              <w:t>Reason:</w:t>
            </w:r>
          </w:p>
          <w:p>
            <w:pPr>
              <w:pStyle w:val="TableParagraph"/>
              <w:ind w:left="104" w:right="187"/>
              <w:rPr>
                <w:sz w:val="18"/>
              </w:rPr>
            </w:pPr>
            <w:r>
              <w:rPr>
                <w:sz w:val="18"/>
              </w:rPr>
              <w:t>Not</w:t>
            </w:r>
            <w:r>
              <w:rPr>
                <w:spacing w:val="-11"/>
                <w:sz w:val="18"/>
              </w:rPr>
              <w:t> </w:t>
            </w:r>
            <w:r>
              <w:rPr>
                <w:sz w:val="18"/>
              </w:rPr>
              <w:t>reported and not part of</w:t>
            </w:r>
            <w:r>
              <w:rPr>
                <w:spacing w:val="-2"/>
                <w:sz w:val="18"/>
              </w:rPr>
              <w:t> </w:t>
            </w:r>
            <w:r>
              <w:rPr>
                <w:sz w:val="18"/>
              </w:rPr>
              <w:t>exclusion </w:t>
            </w:r>
            <w:r>
              <w:rPr>
                <w:spacing w:val="-2"/>
                <w:sz w:val="18"/>
              </w:rPr>
              <w:t>criteria</w:t>
            </w:r>
          </w:p>
        </w:tc>
        <w:tc>
          <w:tcPr>
            <w:tcW w:w="1416" w:type="dxa"/>
            <w:tcBorders>
              <w:top w:val="nil"/>
            </w:tcBorders>
          </w:tcPr>
          <w:p>
            <w:pPr>
              <w:pStyle w:val="TableParagraph"/>
              <w:spacing w:before="203"/>
              <w:ind w:left="101" w:right="238"/>
              <w:rPr>
                <w:sz w:val="18"/>
              </w:rPr>
            </w:pPr>
            <w:r>
              <w:rPr>
                <w:spacing w:val="-2"/>
                <w:sz w:val="18"/>
              </w:rPr>
              <w:t>Reason:</w:t>
            </w:r>
            <w:r>
              <w:rPr>
                <w:sz w:val="18"/>
              </w:rPr>
              <w:t> </w:t>
            </w:r>
            <w:r>
              <w:rPr>
                <w:spacing w:val="-2"/>
                <w:sz w:val="18"/>
              </w:rPr>
              <w:t>Relevant</w:t>
            </w:r>
            <w:r>
              <w:rPr>
                <w:sz w:val="18"/>
              </w:rPr>
              <w:t> </w:t>
            </w:r>
            <w:r>
              <w:rPr>
                <w:spacing w:val="-2"/>
                <w:sz w:val="18"/>
              </w:rPr>
              <w:t>confounders</w:t>
            </w:r>
            <w:r>
              <w:rPr>
                <w:sz w:val="18"/>
              </w:rPr>
              <w:t> were</w:t>
            </w:r>
            <w:r>
              <w:rPr>
                <w:spacing w:val="-11"/>
                <w:sz w:val="18"/>
              </w:rPr>
              <w:t> </w:t>
            </w:r>
            <w:r>
              <w:rPr>
                <w:sz w:val="18"/>
              </w:rPr>
              <w:t>assessed and</w:t>
            </w:r>
            <w:r>
              <w:rPr>
                <w:spacing w:val="-2"/>
                <w:sz w:val="18"/>
              </w:rPr>
              <w:t> </w:t>
            </w:r>
            <w:r>
              <w:rPr>
                <w:sz w:val="18"/>
              </w:rPr>
              <w:t>reported</w:t>
            </w:r>
          </w:p>
        </w:tc>
        <w:tc>
          <w:tcPr>
            <w:tcW w:w="1419" w:type="dxa"/>
            <w:tcBorders>
              <w:top w:val="nil"/>
            </w:tcBorders>
          </w:tcPr>
          <w:p>
            <w:pPr>
              <w:pStyle w:val="TableParagraph"/>
              <w:spacing w:before="203"/>
              <w:ind w:left="104" w:right="137"/>
              <w:rPr>
                <w:sz w:val="18"/>
              </w:rPr>
            </w:pPr>
            <w:r>
              <w:rPr>
                <w:spacing w:val="-2"/>
                <w:sz w:val="18"/>
              </w:rPr>
              <w:t>Reason:</w:t>
            </w:r>
            <w:r>
              <w:rPr>
                <w:spacing w:val="80"/>
                <w:sz w:val="18"/>
              </w:rPr>
              <w:t> </w:t>
            </w:r>
            <w:r>
              <w:rPr>
                <w:spacing w:val="-2"/>
                <w:sz w:val="18"/>
              </w:rPr>
              <w:t>Limited</w:t>
            </w:r>
            <w:r>
              <w:rPr>
                <w:sz w:val="18"/>
              </w:rPr>
              <w:t> </w:t>
            </w:r>
            <w:r>
              <w:rPr>
                <w:spacing w:val="-2"/>
                <w:sz w:val="18"/>
              </w:rPr>
              <w:t>confounder</w:t>
            </w:r>
            <w:r>
              <w:rPr>
                <w:sz w:val="18"/>
              </w:rPr>
              <w:t> </w:t>
            </w:r>
            <w:r>
              <w:rPr>
                <w:spacing w:val="-2"/>
                <w:sz w:val="18"/>
              </w:rPr>
              <w:t>adjustment</w:t>
            </w:r>
            <w:r>
              <w:rPr>
                <w:spacing w:val="-9"/>
                <w:sz w:val="18"/>
              </w:rPr>
              <w:t> </w:t>
            </w:r>
            <w:r>
              <w:rPr>
                <w:spacing w:val="-2"/>
                <w:sz w:val="18"/>
              </w:rPr>
              <w:t>was</w:t>
            </w:r>
            <w:r>
              <w:rPr>
                <w:sz w:val="18"/>
              </w:rPr>
              <w:t> conducted</w:t>
            </w:r>
            <w:r>
              <w:rPr>
                <w:spacing w:val="-2"/>
                <w:sz w:val="18"/>
              </w:rPr>
              <w:t> </w:t>
            </w:r>
            <w:r>
              <w:rPr>
                <w:sz w:val="18"/>
              </w:rPr>
              <w:t>in the</w:t>
            </w:r>
            <w:r>
              <w:rPr>
                <w:spacing w:val="-2"/>
                <w:sz w:val="18"/>
              </w:rPr>
              <w:t> </w:t>
            </w:r>
            <w:r>
              <w:rPr>
                <w:sz w:val="18"/>
              </w:rPr>
              <w:t>statistical </w:t>
            </w:r>
            <w:r>
              <w:rPr>
                <w:spacing w:val="-2"/>
                <w:sz w:val="18"/>
              </w:rPr>
              <w:t>analyses</w:t>
            </w:r>
          </w:p>
        </w:tc>
        <w:tc>
          <w:tcPr>
            <w:tcW w:w="1416" w:type="dxa"/>
            <w:tcBorders>
              <w:top w:val="nil"/>
            </w:tcBorders>
          </w:tcPr>
          <w:p>
            <w:pPr>
              <w:pStyle w:val="TableParagraph"/>
              <w:spacing w:before="203"/>
              <w:ind w:left="103" w:right="229"/>
              <w:rPr>
                <w:sz w:val="18"/>
              </w:rPr>
            </w:pPr>
            <w:r>
              <w:rPr>
                <w:spacing w:val="-2"/>
                <w:sz w:val="18"/>
              </w:rPr>
              <w:t>Reason:</w:t>
            </w:r>
            <w:r>
              <w:rPr>
                <w:sz w:val="18"/>
              </w:rPr>
              <w:t> </w:t>
            </w:r>
            <w:r>
              <w:rPr>
                <w:spacing w:val="-2"/>
                <w:sz w:val="18"/>
              </w:rPr>
              <w:t>Adequate</w:t>
            </w:r>
            <w:r>
              <w:rPr>
                <w:sz w:val="18"/>
              </w:rPr>
              <w:t> methods</w:t>
            </w:r>
            <w:r>
              <w:rPr>
                <w:spacing w:val="-11"/>
                <w:sz w:val="18"/>
              </w:rPr>
              <w:t> </w:t>
            </w:r>
            <w:r>
              <w:rPr>
                <w:sz w:val="18"/>
              </w:rPr>
              <w:t>were used</w:t>
            </w:r>
            <w:r>
              <w:rPr>
                <w:spacing w:val="-11"/>
                <w:sz w:val="18"/>
              </w:rPr>
              <w:t> </w:t>
            </w:r>
            <w:r>
              <w:rPr>
                <w:sz w:val="18"/>
              </w:rPr>
              <w:t>to</w:t>
            </w:r>
            <w:r>
              <w:rPr>
                <w:spacing w:val="-10"/>
                <w:sz w:val="18"/>
              </w:rPr>
              <w:t> </w:t>
            </w:r>
            <w:r>
              <w:rPr>
                <w:sz w:val="18"/>
              </w:rPr>
              <w:t>assess the</w:t>
            </w:r>
            <w:r>
              <w:rPr>
                <w:spacing w:val="-2"/>
                <w:sz w:val="18"/>
              </w:rPr>
              <w:t> </w:t>
            </w:r>
            <w:r>
              <w:rPr>
                <w:sz w:val="18"/>
              </w:rPr>
              <w:t>outcome</w:t>
            </w:r>
          </w:p>
        </w:tc>
        <w:tc>
          <w:tcPr>
            <w:tcW w:w="1277" w:type="dxa"/>
            <w:tcBorders>
              <w:top w:val="nil"/>
            </w:tcBorders>
          </w:tcPr>
          <w:p>
            <w:pPr>
              <w:pStyle w:val="TableParagraph"/>
              <w:spacing w:before="203"/>
              <w:ind w:left="103" w:right="95"/>
              <w:rPr>
                <w:sz w:val="18"/>
              </w:rPr>
            </w:pPr>
            <w:r>
              <w:rPr>
                <w:spacing w:val="-2"/>
                <w:sz w:val="18"/>
              </w:rPr>
              <w:t>Reason:</w:t>
            </w:r>
            <w:r>
              <w:rPr>
                <w:sz w:val="18"/>
              </w:rPr>
              <w:t> Outcome</w:t>
            </w:r>
            <w:r>
              <w:rPr>
                <w:spacing w:val="-11"/>
                <w:sz w:val="18"/>
              </w:rPr>
              <w:t> </w:t>
            </w:r>
            <w:r>
              <w:rPr>
                <w:sz w:val="18"/>
              </w:rPr>
              <w:t>data was</w:t>
            </w:r>
            <w:r>
              <w:rPr>
                <w:spacing w:val="-2"/>
                <w:sz w:val="18"/>
              </w:rPr>
              <w:t> </w:t>
            </w:r>
            <w:r>
              <w:rPr>
                <w:sz w:val="18"/>
              </w:rPr>
              <w:t>available for</w:t>
            </w:r>
            <w:r>
              <w:rPr>
                <w:spacing w:val="-11"/>
                <w:sz w:val="18"/>
              </w:rPr>
              <w:t> </w:t>
            </w:r>
            <w:r>
              <w:rPr>
                <w:sz w:val="18"/>
              </w:rPr>
              <w:t>all</w:t>
            </w:r>
            <w:r>
              <w:rPr>
                <w:spacing w:val="-10"/>
                <w:sz w:val="18"/>
              </w:rPr>
              <w:t> </w:t>
            </w:r>
            <w:r>
              <w:rPr>
                <w:sz w:val="18"/>
              </w:rPr>
              <w:t>patients</w:t>
            </w:r>
          </w:p>
        </w:tc>
        <w:tc>
          <w:tcPr>
            <w:tcW w:w="1278" w:type="dxa"/>
            <w:tcBorders>
              <w:top w:val="nil"/>
            </w:tcBorders>
          </w:tcPr>
          <w:p>
            <w:pPr>
              <w:pStyle w:val="TableParagraph"/>
              <w:spacing w:before="203"/>
              <w:ind w:left="103" w:right="140"/>
              <w:rPr>
                <w:sz w:val="18"/>
              </w:rPr>
            </w:pPr>
            <w:r>
              <w:rPr>
                <w:spacing w:val="-2"/>
                <w:sz w:val="18"/>
              </w:rPr>
              <w:t>Reason:</w:t>
            </w:r>
            <w:r>
              <w:rPr>
                <w:sz w:val="18"/>
              </w:rPr>
              <w:t> Differences</w:t>
            </w:r>
            <w:r>
              <w:rPr>
                <w:spacing w:val="-11"/>
                <w:sz w:val="18"/>
              </w:rPr>
              <w:t> </w:t>
            </w:r>
            <w:r>
              <w:rPr>
                <w:sz w:val="18"/>
              </w:rPr>
              <w:t>in </w:t>
            </w:r>
            <w:r>
              <w:rPr>
                <w:spacing w:val="-2"/>
                <w:sz w:val="18"/>
              </w:rPr>
              <w:t>medication</w:t>
            </w:r>
            <w:r>
              <w:rPr>
                <w:sz w:val="18"/>
              </w:rPr>
              <w:t> use</w:t>
            </w:r>
            <w:r>
              <w:rPr>
                <w:spacing w:val="-2"/>
                <w:sz w:val="18"/>
              </w:rPr>
              <w:t> </w:t>
            </w:r>
            <w:r>
              <w:rPr>
                <w:sz w:val="18"/>
              </w:rPr>
              <w:t>between the</w:t>
            </w:r>
            <w:r>
              <w:rPr>
                <w:spacing w:val="-2"/>
                <w:sz w:val="18"/>
              </w:rPr>
              <w:t> </w:t>
            </w:r>
            <w:r>
              <w:rPr>
                <w:sz w:val="18"/>
              </w:rPr>
              <w:t>groups</w:t>
            </w:r>
          </w:p>
        </w:tc>
        <w:tc>
          <w:tcPr>
            <w:tcW w:w="1844" w:type="dxa"/>
            <w:tcBorders>
              <w:top w:val="nil"/>
            </w:tcBorders>
          </w:tcPr>
          <w:p>
            <w:pPr>
              <w:pStyle w:val="TableParagraph"/>
              <w:spacing w:line="203" w:lineRule="exact"/>
              <w:ind w:left="100"/>
              <w:rPr>
                <w:b/>
                <w:sz w:val="18"/>
              </w:rPr>
            </w:pPr>
            <w:r>
              <w:rPr>
                <w:b/>
                <w:spacing w:val="-2"/>
                <w:sz w:val="18"/>
              </w:rPr>
              <w:t>Reason:</w:t>
            </w:r>
          </w:p>
          <w:p>
            <w:pPr>
              <w:pStyle w:val="TableParagraph"/>
              <w:spacing w:before="1"/>
              <w:ind w:left="100" w:right="101"/>
              <w:rPr>
                <w:b/>
                <w:sz w:val="18"/>
              </w:rPr>
            </w:pPr>
            <w:r>
              <w:rPr>
                <w:b/>
                <w:sz w:val="18"/>
              </w:rPr>
              <w:t>It is not clear</w:t>
            </w:r>
            <w:r>
              <w:rPr>
                <w:b/>
                <w:spacing w:val="40"/>
                <w:sz w:val="18"/>
              </w:rPr>
              <w:t> </w:t>
            </w:r>
            <w:r>
              <w:rPr>
                <w:b/>
                <w:sz w:val="18"/>
              </w:rPr>
              <w:t>whether the outcomes of interest were not present at the</w:t>
            </w:r>
            <w:r>
              <w:rPr>
                <w:b/>
                <w:spacing w:val="-10"/>
                <w:sz w:val="18"/>
              </w:rPr>
              <w:t> </w:t>
            </w:r>
            <w:r>
              <w:rPr>
                <w:b/>
                <w:sz w:val="18"/>
              </w:rPr>
              <w:t>start</w:t>
            </w:r>
            <w:r>
              <w:rPr>
                <w:b/>
                <w:spacing w:val="-10"/>
                <w:sz w:val="18"/>
              </w:rPr>
              <w:t> </w:t>
            </w:r>
            <w:r>
              <w:rPr>
                <w:b/>
                <w:sz w:val="18"/>
              </w:rPr>
              <w:t>of</w:t>
            </w:r>
            <w:r>
              <w:rPr>
                <w:b/>
                <w:spacing w:val="-10"/>
                <w:sz w:val="18"/>
              </w:rPr>
              <w:t> </w:t>
            </w:r>
            <w:r>
              <w:rPr>
                <w:b/>
                <w:sz w:val="18"/>
              </w:rPr>
              <w:t>the</w:t>
            </w:r>
            <w:r>
              <w:rPr>
                <w:b/>
                <w:spacing w:val="-10"/>
                <w:sz w:val="18"/>
              </w:rPr>
              <w:t> </w:t>
            </w:r>
            <w:r>
              <w:rPr>
                <w:b/>
                <w:sz w:val="18"/>
              </w:rPr>
              <w:t>study, and</w:t>
            </w:r>
            <w:r>
              <w:rPr>
                <w:b/>
                <w:spacing w:val="-2"/>
                <w:sz w:val="18"/>
              </w:rPr>
              <w:t> </w:t>
            </w:r>
            <w:r>
              <w:rPr>
                <w:b/>
                <w:sz w:val="18"/>
              </w:rPr>
              <w:t>confounder adjustment in the statistical</w:t>
            </w:r>
            <w:r>
              <w:rPr>
                <w:b/>
                <w:spacing w:val="-4"/>
                <w:sz w:val="18"/>
              </w:rPr>
              <w:t> </w:t>
            </w:r>
            <w:r>
              <w:rPr>
                <w:b/>
                <w:sz w:val="18"/>
              </w:rPr>
              <w:t>analyses was limited, co-</w:t>
            </w:r>
            <w:r>
              <w:rPr>
                <w:b/>
                <w:spacing w:val="-2"/>
                <w:sz w:val="18"/>
              </w:rPr>
              <w:t>interventions</w:t>
            </w:r>
            <w:r>
              <w:rPr>
                <w:b/>
                <w:spacing w:val="80"/>
                <w:sz w:val="18"/>
              </w:rPr>
              <w:t> </w:t>
            </w:r>
            <w:r>
              <w:rPr>
                <w:b/>
                <w:sz w:val="18"/>
              </w:rPr>
              <w:t>differed</w:t>
            </w:r>
            <w:r>
              <w:rPr>
                <w:b/>
                <w:spacing w:val="-1"/>
                <w:sz w:val="18"/>
              </w:rPr>
              <w:t> </w:t>
            </w:r>
            <w:r>
              <w:rPr>
                <w:b/>
                <w:sz w:val="18"/>
              </w:rPr>
              <w:t>between</w:t>
            </w:r>
            <w:r>
              <w:rPr>
                <w:b/>
                <w:spacing w:val="-1"/>
                <w:sz w:val="18"/>
              </w:rPr>
              <w:t> </w:t>
            </w:r>
            <w:r>
              <w:rPr>
                <w:b/>
                <w:sz w:val="18"/>
              </w:rPr>
              <w:t>the</w:t>
            </w:r>
          </w:p>
          <w:p>
            <w:pPr>
              <w:pStyle w:val="TableParagraph"/>
              <w:spacing w:line="199" w:lineRule="exact"/>
              <w:ind w:left="100"/>
              <w:rPr>
                <w:b/>
                <w:sz w:val="18"/>
              </w:rPr>
            </w:pPr>
            <w:r>
              <w:rPr>
                <w:b/>
                <w:spacing w:val="-2"/>
                <w:sz w:val="18"/>
              </w:rPr>
              <w:t>groups</w:t>
            </w:r>
          </w:p>
        </w:tc>
      </w:tr>
    </w:tbl>
    <w:p>
      <w:pPr>
        <w:pStyle w:val="TableParagraph"/>
        <w:spacing w:after="0" w:line="199" w:lineRule="exact"/>
        <w:rPr>
          <w:b/>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07"/>
        <w:gridCol w:w="1582"/>
        <w:gridCol w:w="1417"/>
        <w:gridCol w:w="1277"/>
        <w:gridCol w:w="1416"/>
        <w:gridCol w:w="1419"/>
        <w:gridCol w:w="1416"/>
        <w:gridCol w:w="1277"/>
        <w:gridCol w:w="1278"/>
        <w:gridCol w:w="1844"/>
      </w:tblGrid>
      <w:tr>
        <w:trPr>
          <w:trHeight w:val="3955" w:hRule="atLeast"/>
        </w:trPr>
        <w:tc>
          <w:tcPr>
            <w:tcW w:w="1107" w:type="dxa"/>
          </w:tcPr>
          <w:p>
            <w:pPr>
              <w:pStyle w:val="TableParagraph"/>
              <w:spacing w:before="1"/>
              <w:ind w:left="105"/>
              <w:rPr>
                <w:sz w:val="18"/>
              </w:rPr>
            </w:pPr>
            <w:r>
              <w:rPr>
                <w:sz w:val="18"/>
              </w:rPr>
              <w:t>Egbe,</w:t>
            </w:r>
            <w:r>
              <w:rPr>
                <w:spacing w:val="-3"/>
                <w:sz w:val="18"/>
              </w:rPr>
              <w:t> </w:t>
            </w:r>
            <w:r>
              <w:rPr>
                <w:spacing w:val="-4"/>
                <w:sz w:val="18"/>
              </w:rPr>
              <w:t>2017</w:t>
            </w:r>
          </w:p>
        </w:tc>
        <w:tc>
          <w:tcPr>
            <w:tcW w:w="1582" w:type="dxa"/>
          </w:tcPr>
          <w:p>
            <w:pPr>
              <w:pStyle w:val="TableParagraph"/>
              <w:spacing w:before="1"/>
              <w:ind w:left="102"/>
              <w:rPr>
                <w:sz w:val="18"/>
              </w:rPr>
            </w:pPr>
            <w:r>
              <w:rPr>
                <w:sz w:val="18"/>
              </w:rPr>
              <w:t>Definitely</w:t>
            </w:r>
            <w:r>
              <w:rPr>
                <w:spacing w:val="-7"/>
                <w:sz w:val="18"/>
              </w:rPr>
              <w:t> </w:t>
            </w:r>
            <w:r>
              <w:rPr>
                <w:spacing w:val="-4"/>
                <w:sz w:val="18"/>
              </w:rPr>
              <w:t>yes;</w:t>
            </w:r>
          </w:p>
          <w:p>
            <w:pPr>
              <w:pStyle w:val="TableParagraph"/>
              <w:spacing w:line="219" w:lineRule="exact" w:before="219"/>
              <w:ind w:left="102"/>
              <w:rPr>
                <w:sz w:val="18"/>
              </w:rPr>
            </w:pPr>
            <w:r>
              <w:rPr>
                <w:spacing w:val="-2"/>
                <w:sz w:val="18"/>
              </w:rPr>
              <w:t>Reason:</w:t>
            </w:r>
          </w:p>
          <w:p>
            <w:pPr>
              <w:pStyle w:val="TableParagraph"/>
              <w:ind w:left="102"/>
              <w:rPr>
                <w:sz w:val="18"/>
              </w:rPr>
            </w:pPr>
            <w:r>
              <w:rPr>
                <w:sz w:val="18"/>
              </w:rPr>
              <w:t>All patients were selected</w:t>
            </w:r>
            <w:r>
              <w:rPr>
                <w:spacing w:val="-11"/>
                <w:sz w:val="18"/>
              </w:rPr>
              <w:t> </w:t>
            </w:r>
            <w:r>
              <w:rPr>
                <w:sz w:val="18"/>
              </w:rPr>
              <w:t>from</w:t>
            </w:r>
            <w:r>
              <w:rPr>
                <w:spacing w:val="-10"/>
                <w:sz w:val="18"/>
              </w:rPr>
              <w:t> </w:t>
            </w:r>
            <w:r>
              <w:rPr>
                <w:sz w:val="18"/>
              </w:rPr>
              <w:t>the same hospital</w:t>
            </w:r>
          </w:p>
        </w:tc>
        <w:tc>
          <w:tcPr>
            <w:tcW w:w="1417" w:type="dxa"/>
          </w:tcPr>
          <w:p>
            <w:pPr>
              <w:pStyle w:val="TableParagraph"/>
              <w:spacing w:before="1"/>
              <w:ind w:left="102"/>
              <w:rPr>
                <w:sz w:val="18"/>
              </w:rPr>
            </w:pPr>
            <w:r>
              <w:rPr>
                <w:sz w:val="18"/>
              </w:rPr>
              <w:t>Definitely</w:t>
            </w:r>
            <w:r>
              <w:rPr>
                <w:spacing w:val="-7"/>
                <w:sz w:val="18"/>
              </w:rPr>
              <w:t> </w:t>
            </w:r>
            <w:r>
              <w:rPr>
                <w:spacing w:val="-4"/>
                <w:sz w:val="18"/>
              </w:rPr>
              <w:t>yes;</w:t>
            </w:r>
          </w:p>
          <w:p>
            <w:pPr>
              <w:pStyle w:val="TableParagraph"/>
              <w:spacing w:before="218"/>
              <w:rPr>
                <w:sz w:val="18"/>
              </w:rPr>
            </w:pPr>
          </w:p>
          <w:p>
            <w:pPr>
              <w:pStyle w:val="TableParagraph"/>
              <w:ind w:left="102" w:right="163"/>
              <w:rPr>
                <w:sz w:val="18"/>
              </w:rPr>
            </w:pPr>
            <w:r>
              <w:rPr>
                <w:spacing w:val="-2"/>
                <w:sz w:val="18"/>
              </w:rPr>
              <w:t>Reason:</w:t>
            </w:r>
            <w:r>
              <w:rPr>
                <w:sz w:val="18"/>
              </w:rPr>
              <w:t> Medication</w:t>
            </w:r>
            <w:r>
              <w:rPr>
                <w:spacing w:val="-11"/>
                <w:sz w:val="18"/>
              </w:rPr>
              <w:t> </w:t>
            </w:r>
            <w:r>
              <w:rPr>
                <w:sz w:val="18"/>
              </w:rPr>
              <w:t>use was</w:t>
            </w:r>
            <w:r>
              <w:rPr>
                <w:spacing w:val="-2"/>
                <w:sz w:val="18"/>
              </w:rPr>
              <w:t> </w:t>
            </w:r>
            <w:r>
              <w:rPr>
                <w:sz w:val="18"/>
              </w:rPr>
              <w:t>registered for all patients</w:t>
            </w:r>
          </w:p>
        </w:tc>
        <w:tc>
          <w:tcPr>
            <w:tcW w:w="1277" w:type="dxa"/>
          </w:tcPr>
          <w:p>
            <w:pPr>
              <w:pStyle w:val="TableParagraph"/>
              <w:spacing w:before="1"/>
              <w:ind w:left="104"/>
              <w:rPr>
                <w:sz w:val="18"/>
              </w:rPr>
            </w:pPr>
            <w:r>
              <w:rPr>
                <w:sz w:val="18"/>
              </w:rPr>
              <w:t>Probably</w:t>
            </w:r>
            <w:r>
              <w:rPr>
                <w:spacing w:val="-5"/>
                <w:sz w:val="18"/>
              </w:rPr>
              <w:t> no;</w:t>
            </w:r>
          </w:p>
          <w:p>
            <w:pPr>
              <w:pStyle w:val="TableParagraph"/>
              <w:spacing w:before="218"/>
              <w:rPr>
                <w:sz w:val="18"/>
              </w:rPr>
            </w:pPr>
          </w:p>
          <w:p>
            <w:pPr>
              <w:pStyle w:val="TableParagraph"/>
              <w:ind w:left="104"/>
              <w:rPr>
                <w:sz w:val="18"/>
              </w:rPr>
            </w:pPr>
            <w:r>
              <w:rPr>
                <w:spacing w:val="-2"/>
                <w:sz w:val="18"/>
              </w:rPr>
              <w:t>Reason:</w:t>
            </w:r>
          </w:p>
          <w:p>
            <w:pPr>
              <w:pStyle w:val="TableParagraph"/>
              <w:spacing w:before="1"/>
              <w:ind w:left="104" w:right="187"/>
              <w:rPr>
                <w:sz w:val="18"/>
              </w:rPr>
            </w:pPr>
            <w:r>
              <w:rPr>
                <w:sz w:val="18"/>
              </w:rPr>
              <w:t>Not</w:t>
            </w:r>
            <w:r>
              <w:rPr>
                <w:spacing w:val="-11"/>
                <w:sz w:val="18"/>
              </w:rPr>
              <w:t> </w:t>
            </w:r>
            <w:r>
              <w:rPr>
                <w:sz w:val="18"/>
              </w:rPr>
              <w:t>reported and not part of</w:t>
            </w:r>
            <w:r>
              <w:rPr>
                <w:spacing w:val="-2"/>
                <w:sz w:val="18"/>
              </w:rPr>
              <w:t> </w:t>
            </w:r>
            <w:r>
              <w:rPr>
                <w:sz w:val="18"/>
              </w:rPr>
              <w:t>exclusion </w:t>
            </w:r>
            <w:r>
              <w:rPr>
                <w:spacing w:val="-2"/>
                <w:sz w:val="18"/>
              </w:rPr>
              <w:t>criteria</w:t>
            </w:r>
          </w:p>
        </w:tc>
        <w:tc>
          <w:tcPr>
            <w:tcW w:w="1416" w:type="dxa"/>
          </w:tcPr>
          <w:p>
            <w:pPr>
              <w:pStyle w:val="TableParagraph"/>
              <w:spacing w:before="1"/>
              <w:ind w:left="101"/>
              <w:rPr>
                <w:sz w:val="18"/>
              </w:rPr>
            </w:pPr>
            <w:r>
              <w:rPr>
                <w:sz w:val="18"/>
              </w:rPr>
              <w:t>Definitely</w:t>
            </w:r>
            <w:r>
              <w:rPr>
                <w:spacing w:val="-7"/>
                <w:sz w:val="18"/>
              </w:rPr>
              <w:t> </w:t>
            </w:r>
            <w:r>
              <w:rPr>
                <w:spacing w:val="-4"/>
                <w:sz w:val="18"/>
              </w:rPr>
              <w:t>yes;</w:t>
            </w:r>
          </w:p>
          <w:p>
            <w:pPr>
              <w:pStyle w:val="TableParagraph"/>
              <w:spacing w:before="218"/>
              <w:rPr>
                <w:sz w:val="18"/>
              </w:rPr>
            </w:pPr>
          </w:p>
          <w:p>
            <w:pPr>
              <w:pStyle w:val="TableParagraph"/>
              <w:ind w:left="101" w:right="238"/>
              <w:rPr>
                <w:sz w:val="18"/>
              </w:rPr>
            </w:pPr>
            <w:r>
              <w:rPr>
                <w:spacing w:val="-2"/>
                <w:sz w:val="18"/>
              </w:rPr>
              <w:t>Reason:</w:t>
            </w:r>
            <w:r>
              <w:rPr>
                <w:sz w:val="18"/>
              </w:rPr>
              <w:t> </w:t>
            </w:r>
            <w:r>
              <w:rPr>
                <w:spacing w:val="-2"/>
                <w:sz w:val="18"/>
              </w:rPr>
              <w:t>Relevant</w:t>
            </w:r>
            <w:r>
              <w:rPr>
                <w:sz w:val="18"/>
              </w:rPr>
              <w:t> </w:t>
            </w:r>
            <w:r>
              <w:rPr>
                <w:spacing w:val="-2"/>
                <w:sz w:val="18"/>
              </w:rPr>
              <w:t>confounders</w:t>
            </w:r>
            <w:r>
              <w:rPr>
                <w:sz w:val="18"/>
              </w:rPr>
              <w:t> were</w:t>
            </w:r>
            <w:r>
              <w:rPr>
                <w:spacing w:val="-11"/>
                <w:sz w:val="18"/>
              </w:rPr>
              <w:t> </w:t>
            </w:r>
            <w:r>
              <w:rPr>
                <w:sz w:val="18"/>
              </w:rPr>
              <w:t>assessed and</w:t>
            </w:r>
            <w:r>
              <w:rPr>
                <w:spacing w:val="-2"/>
                <w:sz w:val="18"/>
              </w:rPr>
              <w:t> </w:t>
            </w:r>
            <w:r>
              <w:rPr>
                <w:sz w:val="18"/>
              </w:rPr>
              <w:t>reported</w:t>
            </w:r>
          </w:p>
        </w:tc>
        <w:tc>
          <w:tcPr>
            <w:tcW w:w="1419" w:type="dxa"/>
          </w:tcPr>
          <w:p>
            <w:pPr>
              <w:pStyle w:val="TableParagraph"/>
              <w:spacing w:before="1"/>
              <w:ind w:left="104"/>
              <w:rPr>
                <w:sz w:val="18"/>
              </w:rPr>
            </w:pPr>
            <w:r>
              <w:rPr>
                <w:sz w:val="18"/>
              </w:rPr>
              <w:t>Probably</w:t>
            </w:r>
            <w:r>
              <w:rPr>
                <w:spacing w:val="-5"/>
                <w:sz w:val="18"/>
              </w:rPr>
              <w:t> no;</w:t>
            </w:r>
          </w:p>
          <w:p>
            <w:pPr>
              <w:pStyle w:val="TableParagraph"/>
              <w:spacing w:before="218"/>
              <w:rPr>
                <w:sz w:val="18"/>
              </w:rPr>
            </w:pPr>
          </w:p>
          <w:p>
            <w:pPr>
              <w:pStyle w:val="TableParagraph"/>
              <w:ind w:left="104" w:right="180"/>
              <w:rPr>
                <w:sz w:val="18"/>
              </w:rPr>
            </w:pPr>
            <w:r>
              <w:rPr>
                <w:spacing w:val="-2"/>
                <w:sz w:val="18"/>
              </w:rPr>
              <w:t>Reason:</w:t>
            </w:r>
            <w:r>
              <w:rPr>
                <w:sz w:val="18"/>
              </w:rPr>
              <w:t> </w:t>
            </w:r>
            <w:r>
              <w:rPr>
                <w:spacing w:val="-2"/>
                <w:sz w:val="18"/>
              </w:rPr>
              <w:t>Multivariable</w:t>
            </w:r>
            <w:r>
              <w:rPr>
                <w:sz w:val="18"/>
              </w:rPr>
              <w:t> </w:t>
            </w:r>
            <w:r>
              <w:rPr>
                <w:spacing w:val="-2"/>
                <w:sz w:val="18"/>
              </w:rPr>
              <w:t>statistical</w:t>
            </w:r>
            <w:r>
              <w:rPr>
                <w:sz w:val="18"/>
              </w:rPr>
              <w:t> analyses</w:t>
            </w:r>
            <w:r>
              <w:rPr>
                <w:spacing w:val="-2"/>
                <w:sz w:val="18"/>
              </w:rPr>
              <w:t> </w:t>
            </w:r>
            <w:r>
              <w:rPr>
                <w:sz w:val="18"/>
              </w:rPr>
              <w:t>were conducted,</w:t>
            </w:r>
            <w:r>
              <w:rPr>
                <w:spacing w:val="-11"/>
                <w:sz w:val="18"/>
              </w:rPr>
              <w:t> </w:t>
            </w:r>
            <w:r>
              <w:rPr>
                <w:sz w:val="18"/>
              </w:rPr>
              <w:t>but not</w:t>
            </w:r>
            <w:r>
              <w:rPr>
                <w:spacing w:val="-11"/>
                <w:sz w:val="18"/>
              </w:rPr>
              <w:t> </w:t>
            </w:r>
            <w:r>
              <w:rPr>
                <w:sz w:val="18"/>
              </w:rPr>
              <w:t>specifically for the comparison</w:t>
            </w:r>
            <w:r>
              <w:rPr>
                <w:spacing w:val="-2"/>
                <w:sz w:val="18"/>
              </w:rPr>
              <w:t> </w:t>
            </w:r>
            <w:r>
              <w:rPr>
                <w:sz w:val="18"/>
              </w:rPr>
              <w:t>of aspirin</w:t>
            </w:r>
            <w:r>
              <w:rPr>
                <w:spacing w:val="-2"/>
                <w:sz w:val="18"/>
              </w:rPr>
              <w:t> </w:t>
            </w:r>
            <w:r>
              <w:rPr>
                <w:sz w:val="18"/>
              </w:rPr>
              <w:t>and warfarin</w:t>
            </w:r>
            <w:r>
              <w:rPr>
                <w:spacing w:val="-2"/>
                <w:sz w:val="18"/>
              </w:rPr>
              <w:t> </w:t>
            </w:r>
            <w:r>
              <w:rPr>
                <w:sz w:val="18"/>
              </w:rPr>
              <w:t>(both aspirin</w:t>
            </w:r>
            <w:r>
              <w:rPr>
                <w:spacing w:val="-2"/>
                <w:sz w:val="18"/>
              </w:rPr>
              <w:t> </w:t>
            </w:r>
            <w:r>
              <w:rPr>
                <w:sz w:val="18"/>
              </w:rPr>
              <w:t>and warfarin</w:t>
            </w:r>
            <w:r>
              <w:rPr>
                <w:spacing w:val="-2"/>
                <w:sz w:val="18"/>
              </w:rPr>
              <w:t> </w:t>
            </w:r>
            <w:r>
              <w:rPr>
                <w:sz w:val="18"/>
              </w:rPr>
              <w:t>were included</w:t>
            </w:r>
            <w:r>
              <w:rPr>
                <w:spacing w:val="-2"/>
                <w:sz w:val="18"/>
              </w:rPr>
              <w:t> </w:t>
            </w:r>
            <w:r>
              <w:rPr>
                <w:sz w:val="18"/>
              </w:rPr>
              <w:t>as </w:t>
            </w:r>
            <w:r>
              <w:rPr>
                <w:spacing w:val="-2"/>
                <w:sz w:val="18"/>
              </w:rPr>
              <w:t>separate</w:t>
            </w:r>
          </w:p>
          <w:p>
            <w:pPr>
              <w:pStyle w:val="TableParagraph"/>
              <w:spacing w:line="199" w:lineRule="exact" w:before="1"/>
              <w:ind w:left="104"/>
              <w:rPr>
                <w:sz w:val="18"/>
              </w:rPr>
            </w:pPr>
            <w:r>
              <w:rPr>
                <w:spacing w:val="-2"/>
                <w:sz w:val="18"/>
              </w:rPr>
              <w:t>variables)</w:t>
            </w:r>
          </w:p>
        </w:tc>
        <w:tc>
          <w:tcPr>
            <w:tcW w:w="1416" w:type="dxa"/>
          </w:tcPr>
          <w:p>
            <w:pPr>
              <w:pStyle w:val="TableParagraph"/>
              <w:spacing w:before="1"/>
              <w:ind w:left="103"/>
              <w:rPr>
                <w:sz w:val="18"/>
              </w:rPr>
            </w:pPr>
            <w:r>
              <w:rPr>
                <w:sz w:val="18"/>
              </w:rPr>
              <w:t>Definitely</w:t>
            </w:r>
            <w:r>
              <w:rPr>
                <w:spacing w:val="-7"/>
                <w:sz w:val="18"/>
              </w:rPr>
              <w:t> </w:t>
            </w:r>
            <w:r>
              <w:rPr>
                <w:spacing w:val="-4"/>
                <w:sz w:val="18"/>
              </w:rPr>
              <w:t>yes;</w:t>
            </w:r>
          </w:p>
          <w:p>
            <w:pPr>
              <w:pStyle w:val="TableParagraph"/>
              <w:spacing w:before="218"/>
              <w:rPr>
                <w:sz w:val="18"/>
              </w:rPr>
            </w:pPr>
          </w:p>
          <w:p>
            <w:pPr>
              <w:pStyle w:val="TableParagraph"/>
              <w:ind w:left="103" w:right="229"/>
              <w:rPr>
                <w:sz w:val="18"/>
              </w:rPr>
            </w:pPr>
            <w:r>
              <w:rPr>
                <w:spacing w:val="-2"/>
                <w:sz w:val="18"/>
              </w:rPr>
              <w:t>Reason:</w:t>
            </w:r>
            <w:r>
              <w:rPr>
                <w:sz w:val="18"/>
              </w:rPr>
              <w:t> </w:t>
            </w:r>
            <w:r>
              <w:rPr>
                <w:spacing w:val="-2"/>
                <w:sz w:val="18"/>
              </w:rPr>
              <w:t>Adequate</w:t>
            </w:r>
            <w:r>
              <w:rPr>
                <w:sz w:val="18"/>
              </w:rPr>
              <w:t> methods</w:t>
            </w:r>
            <w:r>
              <w:rPr>
                <w:spacing w:val="-11"/>
                <w:sz w:val="18"/>
              </w:rPr>
              <w:t> </w:t>
            </w:r>
            <w:r>
              <w:rPr>
                <w:sz w:val="18"/>
              </w:rPr>
              <w:t>were used</w:t>
            </w:r>
            <w:r>
              <w:rPr>
                <w:spacing w:val="-11"/>
                <w:sz w:val="18"/>
              </w:rPr>
              <w:t> </w:t>
            </w:r>
            <w:r>
              <w:rPr>
                <w:sz w:val="18"/>
              </w:rPr>
              <w:t>to</w:t>
            </w:r>
            <w:r>
              <w:rPr>
                <w:spacing w:val="-10"/>
                <w:sz w:val="18"/>
              </w:rPr>
              <w:t> </w:t>
            </w:r>
            <w:r>
              <w:rPr>
                <w:sz w:val="18"/>
              </w:rPr>
              <w:t>assess the</w:t>
            </w:r>
            <w:r>
              <w:rPr>
                <w:spacing w:val="-2"/>
                <w:sz w:val="18"/>
              </w:rPr>
              <w:t> </w:t>
            </w:r>
            <w:r>
              <w:rPr>
                <w:sz w:val="18"/>
              </w:rPr>
              <w:t>outcome</w:t>
            </w:r>
          </w:p>
        </w:tc>
        <w:tc>
          <w:tcPr>
            <w:tcW w:w="1277" w:type="dxa"/>
          </w:tcPr>
          <w:p>
            <w:pPr>
              <w:pStyle w:val="TableParagraph"/>
              <w:spacing w:before="1"/>
              <w:ind w:left="103"/>
              <w:rPr>
                <w:sz w:val="18"/>
              </w:rPr>
            </w:pPr>
            <w:r>
              <w:rPr>
                <w:sz w:val="18"/>
              </w:rPr>
              <w:t>Definitely</w:t>
            </w:r>
            <w:r>
              <w:rPr>
                <w:spacing w:val="-7"/>
                <w:sz w:val="18"/>
              </w:rPr>
              <w:t> </w:t>
            </w:r>
            <w:r>
              <w:rPr>
                <w:spacing w:val="-4"/>
                <w:sz w:val="18"/>
              </w:rPr>
              <w:t>yes;</w:t>
            </w:r>
          </w:p>
          <w:p>
            <w:pPr>
              <w:pStyle w:val="TableParagraph"/>
              <w:spacing w:before="218"/>
              <w:rPr>
                <w:sz w:val="18"/>
              </w:rPr>
            </w:pPr>
          </w:p>
          <w:p>
            <w:pPr>
              <w:pStyle w:val="TableParagraph"/>
              <w:ind w:left="103" w:right="95"/>
              <w:rPr>
                <w:sz w:val="18"/>
              </w:rPr>
            </w:pPr>
            <w:r>
              <w:rPr>
                <w:spacing w:val="-2"/>
                <w:sz w:val="18"/>
              </w:rPr>
              <w:t>Reason:</w:t>
            </w:r>
            <w:r>
              <w:rPr>
                <w:sz w:val="18"/>
              </w:rPr>
              <w:t> Outcome</w:t>
            </w:r>
            <w:r>
              <w:rPr>
                <w:spacing w:val="-11"/>
                <w:sz w:val="18"/>
              </w:rPr>
              <w:t> </w:t>
            </w:r>
            <w:r>
              <w:rPr>
                <w:sz w:val="18"/>
              </w:rPr>
              <w:t>data was</w:t>
            </w:r>
            <w:r>
              <w:rPr>
                <w:spacing w:val="-2"/>
                <w:sz w:val="18"/>
              </w:rPr>
              <w:t> </w:t>
            </w:r>
            <w:r>
              <w:rPr>
                <w:sz w:val="18"/>
              </w:rPr>
              <w:t>available for</w:t>
            </w:r>
            <w:r>
              <w:rPr>
                <w:spacing w:val="-11"/>
                <w:sz w:val="18"/>
              </w:rPr>
              <w:t> </w:t>
            </w:r>
            <w:r>
              <w:rPr>
                <w:sz w:val="18"/>
              </w:rPr>
              <w:t>all</w:t>
            </w:r>
            <w:r>
              <w:rPr>
                <w:spacing w:val="-10"/>
                <w:sz w:val="18"/>
              </w:rPr>
              <w:t> </w:t>
            </w:r>
            <w:r>
              <w:rPr>
                <w:sz w:val="18"/>
              </w:rPr>
              <w:t>patients</w:t>
            </w:r>
          </w:p>
        </w:tc>
        <w:tc>
          <w:tcPr>
            <w:tcW w:w="1278" w:type="dxa"/>
          </w:tcPr>
          <w:p>
            <w:pPr>
              <w:pStyle w:val="TableParagraph"/>
              <w:spacing w:before="1"/>
              <w:ind w:left="103" w:right="225"/>
              <w:rPr>
                <w:sz w:val="18"/>
              </w:rPr>
            </w:pPr>
            <w:r>
              <w:rPr>
                <w:spacing w:val="-6"/>
                <w:sz w:val="18"/>
              </w:rPr>
              <w:t>No</w:t>
            </w:r>
            <w:r>
              <w:rPr>
                <w:sz w:val="18"/>
              </w:rPr>
              <w:t> </w:t>
            </w:r>
            <w:r>
              <w:rPr>
                <w:spacing w:val="-2"/>
                <w:sz w:val="18"/>
              </w:rPr>
              <w:t>information</w:t>
            </w:r>
          </w:p>
        </w:tc>
        <w:tc>
          <w:tcPr>
            <w:tcW w:w="1844" w:type="dxa"/>
          </w:tcPr>
          <w:p>
            <w:pPr>
              <w:pStyle w:val="TableParagraph"/>
              <w:spacing w:before="1"/>
              <w:ind w:left="100"/>
              <w:rPr>
                <w:b/>
                <w:sz w:val="18"/>
              </w:rPr>
            </w:pPr>
            <w:r>
              <w:rPr>
                <w:b/>
                <w:sz w:val="18"/>
              </w:rPr>
              <w:t>Some</w:t>
            </w:r>
            <w:r>
              <w:rPr>
                <w:b/>
                <w:spacing w:val="-4"/>
                <w:sz w:val="18"/>
              </w:rPr>
              <w:t> </w:t>
            </w:r>
            <w:r>
              <w:rPr>
                <w:b/>
                <w:spacing w:val="-2"/>
                <w:sz w:val="18"/>
              </w:rPr>
              <w:t>concerns;</w:t>
            </w:r>
          </w:p>
          <w:p>
            <w:pPr>
              <w:pStyle w:val="TableParagraph"/>
              <w:spacing w:line="219" w:lineRule="exact" w:before="219"/>
              <w:ind w:left="100"/>
              <w:rPr>
                <w:b/>
                <w:sz w:val="18"/>
              </w:rPr>
            </w:pPr>
            <w:r>
              <w:rPr>
                <w:b/>
                <w:spacing w:val="-2"/>
                <w:sz w:val="18"/>
              </w:rPr>
              <w:t>Reason:</w:t>
            </w:r>
          </w:p>
          <w:p>
            <w:pPr>
              <w:pStyle w:val="TableParagraph"/>
              <w:ind w:left="100" w:right="106"/>
              <w:rPr>
                <w:b/>
                <w:sz w:val="18"/>
              </w:rPr>
            </w:pPr>
            <w:r>
              <w:rPr>
                <w:b/>
                <w:sz w:val="18"/>
              </w:rPr>
              <w:t>It is not clear</w:t>
            </w:r>
            <w:r>
              <w:rPr>
                <w:b/>
                <w:spacing w:val="40"/>
                <w:sz w:val="18"/>
              </w:rPr>
              <w:t> </w:t>
            </w:r>
            <w:r>
              <w:rPr>
                <w:b/>
                <w:sz w:val="18"/>
              </w:rPr>
              <w:t>whether the outcomes of interest were not present at the</w:t>
            </w:r>
            <w:r>
              <w:rPr>
                <w:b/>
                <w:spacing w:val="-10"/>
                <w:sz w:val="18"/>
              </w:rPr>
              <w:t> </w:t>
            </w:r>
            <w:r>
              <w:rPr>
                <w:b/>
                <w:sz w:val="18"/>
              </w:rPr>
              <w:t>start</w:t>
            </w:r>
            <w:r>
              <w:rPr>
                <w:b/>
                <w:spacing w:val="-10"/>
                <w:sz w:val="18"/>
              </w:rPr>
              <w:t> </w:t>
            </w:r>
            <w:r>
              <w:rPr>
                <w:b/>
                <w:sz w:val="18"/>
              </w:rPr>
              <w:t>of</w:t>
            </w:r>
            <w:r>
              <w:rPr>
                <w:b/>
                <w:spacing w:val="-10"/>
                <w:sz w:val="18"/>
              </w:rPr>
              <w:t> </w:t>
            </w:r>
            <w:r>
              <w:rPr>
                <w:b/>
                <w:sz w:val="18"/>
              </w:rPr>
              <w:t>the</w:t>
            </w:r>
            <w:r>
              <w:rPr>
                <w:b/>
                <w:spacing w:val="-10"/>
                <w:sz w:val="18"/>
              </w:rPr>
              <w:t> </w:t>
            </w:r>
            <w:r>
              <w:rPr>
                <w:b/>
                <w:sz w:val="18"/>
              </w:rPr>
              <w:t>study, and</w:t>
            </w:r>
            <w:r>
              <w:rPr>
                <w:b/>
                <w:spacing w:val="-2"/>
                <w:sz w:val="18"/>
              </w:rPr>
              <w:t> </w:t>
            </w:r>
            <w:r>
              <w:rPr>
                <w:b/>
                <w:sz w:val="18"/>
              </w:rPr>
              <w:t>confounder adjustment was not </w:t>
            </w:r>
            <w:r>
              <w:rPr>
                <w:b/>
                <w:spacing w:val="-2"/>
                <w:sz w:val="18"/>
              </w:rPr>
              <w:t>performed</w:t>
            </w:r>
            <w:r>
              <w:rPr>
                <w:b/>
                <w:spacing w:val="40"/>
                <w:sz w:val="18"/>
              </w:rPr>
              <w:t> </w:t>
            </w:r>
            <w:r>
              <w:rPr>
                <w:b/>
                <w:sz w:val="18"/>
              </w:rPr>
              <w:t>specifically for the comparison</w:t>
            </w:r>
            <w:r>
              <w:rPr>
                <w:b/>
                <w:spacing w:val="-11"/>
                <w:sz w:val="18"/>
              </w:rPr>
              <w:t> </w:t>
            </w:r>
            <w:r>
              <w:rPr>
                <w:b/>
                <w:sz w:val="18"/>
              </w:rPr>
              <w:t>of</w:t>
            </w:r>
            <w:r>
              <w:rPr>
                <w:b/>
                <w:spacing w:val="-10"/>
                <w:sz w:val="18"/>
              </w:rPr>
              <w:t> </w:t>
            </w:r>
            <w:r>
              <w:rPr>
                <w:b/>
                <w:sz w:val="18"/>
              </w:rPr>
              <w:t>aspirin and</w:t>
            </w:r>
            <w:r>
              <w:rPr>
                <w:b/>
                <w:spacing w:val="-2"/>
                <w:sz w:val="18"/>
              </w:rPr>
              <w:t> </w:t>
            </w:r>
            <w:r>
              <w:rPr>
                <w:b/>
                <w:sz w:val="18"/>
              </w:rPr>
              <w:t>warfarin</w:t>
            </w:r>
          </w:p>
        </w:tc>
      </w:tr>
      <w:tr>
        <w:trPr>
          <w:trHeight w:val="2198" w:hRule="atLeast"/>
        </w:trPr>
        <w:tc>
          <w:tcPr>
            <w:tcW w:w="1107" w:type="dxa"/>
          </w:tcPr>
          <w:p>
            <w:pPr>
              <w:pStyle w:val="TableParagraph"/>
              <w:spacing w:before="1"/>
              <w:ind w:left="105" w:right="396"/>
              <w:rPr>
                <w:sz w:val="18"/>
              </w:rPr>
            </w:pPr>
            <w:r>
              <w:rPr>
                <w:spacing w:val="-2"/>
                <w:sz w:val="18"/>
              </w:rPr>
              <w:t>Iyengar,</w:t>
            </w:r>
            <w:r>
              <w:rPr>
                <w:sz w:val="18"/>
              </w:rPr>
              <w:t> </w:t>
            </w:r>
            <w:r>
              <w:rPr>
                <w:spacing w:val="-4"/>
                <w:sz w:val="18"/>
              </w:rPr>
              <w:t>2016</w:t>
            </w:r>
          </w:p>
        </w:tc>
        <w:tc>
          <w:tcPr>
            <w:tcW w:w="1582" w:type="dxa"/>
          </w:tcPr>
          <w:p>
            <w:pPr>
              <w:pStyle w:val="TableParagraph"/>
              <w:spacing w:before="1"/>
              <w:ind w:left="102"/>
              <w:rPr>
                <w:sz w:val="18"/>
              </w:rPr>
            </w:pPr>
            <w:r>
              <w:rPr>
                <w:sz w:val="18"/>
              </w:rPr>
              <w:t>Definitely</w:t>
            </w:r>
            <w:r>
              <w:rPr>
                <w:spacing w:val="-7"/>
                <w:sz w:val="18"/>
              </w:rPr>
              <w:t> </w:t>
            </w:r>
            <w:r>
              <w:rPr>
                <w:spacing w:val="-4"/>
                <w:sz w:val="18"/>
              </w:rPr>
              <w:t>yes;</w:t>
            </w:r>
          </w:p>
          <w:p>
            <w:pPr>
              <w:pStyle w:val="TableParagraph"/>
              <w:spacing w:before="219"/>
              <w:ind w:left="102"/>
              <w:rPr>
                <w:sz w:val="18"/>
              </w:rPr>
            </w:pPr>
            <w:r>
              <w:rPr>
                <w:spacing w:val="-2"/>
                <w:sz w:val="18"/>
              </w:rPr>
              <w:t>Reason:</w:t>
            </w:r>
          </w:p>
          <w:p>
            <w:pPr>
              <w:pStyle w:val="TableParagraph"/>
              <w:spacing w:before="1"/>
              <w:ind w:left="102"/>
              <w:rPr>
                <w:sz w:val="18"/>
              </w:rPr>
            </w:pPr>
            <w:r>
              <w:rPr>
                <w:sz w:val="18"/>
              </w:rPr>
              <w:t>All patients were selected</w:t>
            </w:r>
            <w:r>
              <w:rPr>
                <w:spacing w:val="-11"/>
                <w:sz w:val="18"/>
              </w:rPr>
              <w:t> </w:t>
            </w:r>
            <w:r>
              <w:rPr>
                <w:sz w:val="18"/>
              </w:rPr>
              <w:t>from</w:t>
            </w:r>
            <w:r>
              <w:rPr>
                <w:spacing w:val="-10"/>
                <w:sz w:val="18"/>
              </w:rPr>
              <w:t> </w:t>
            </w:r>
            <w:r>
              <w:rPr>
                <w:sz w:val="18"/>
              </w:rPr>
              <w:t>the same registry</w:t>
            </w:r>
          </w:p>
        </w:tc>
        <w:tc>
          <w:tcPr>
            <w:tcW w:w="1417" w:type="dxa"/>
          </w:tcPr>
          <w:p>
            <w:pPr>
              <w:pStyle w:val="TableParagraph"/>
              <w:spacing w:before="1"/>
              <w:ind w:left="102"/>
              <w:rPr>
                <w:sz w:val="18"/>
              </w:rPr>
            </w:pPr>
            <w:r>
              <w:rPr>
                <w:sz w:val="18"/>
              </w:rPr>
              <w:t>Definitely</w:t>
            </w:r>
            <w:r>
              <w:rPr>
                <w:spacing w:val="-7"/>
                <w:sz w:val="18"/>
              </w:rPr>
              <w:t> </w:t>
            </w:r>
            <w:r>
              <w:rPr>
                <w:spacing w:val="-4"/>
                <w:sz w:val="18"/>
              </w:rPr>
              <w:t>yes;</w:t>
            </w:r>
          </w:p>
          <w:p>
            <w:pPr>
              <w:pStyle w:val="TableParagraph"/>
              <w:rPr>
                <w:sz w:val="18"/>
              </w:rPr>
            </w:pPr>
          </w:p>
          <w:p>
            <w:pPr>
              <w:pStyle w:val="TableParagraph"/>
              <w:rPr>
                <w:sz w:val="18"/>
              </w:rPr>
            </w:pPr>
          </w:p>
          <w:p>
            <w:pPr>
              <w:pStyle w:val="TableParagraph"/>
              <w:spacing w:before="1"/>
              <w:ind w:left="102" w:right="163"/>
              <w:rPr>
                <w:sz w:val="18"/>
              </w:rPr>
            </w:pPr>
            <w:r>
              <w:rPr>
                <w:spacing w:val="-2"/>
                <w:sz w:val="18"/>
              </w:rPr>
              <w:t>Reason:</w:t>
            </w:r>
            <w:r>
              <w:rPr>
                <w:sz w:val="18"/>
              </w:rPr>
              <w:t> Medication</w:t>
            </w:r>
            <w:r>
              <w:rPr>
                <w:spacing w:val="-11"/>
                <w:sz w:val="18"/>
              </w:rPr>
              <w:t> </w:t>
            </w:r>
            <w:r>
              <w:rPr>
                <w:sz w:val="18"/>
              </w:rPr>
              <w:t>use was</w:t>
            </w:r>
            <w:r>
              <w:rPr>
                <w:spacing w:val="-2"/>
                <w:sz w:val="18"/>
              </w:rPr>
              <w:t> </w:t>
            </w:r>
            <w:r>
              <w:rPr>
                <w:sz w:val="18"/>
              </w:rPr>
              <w:t>registered for all patients</w:t>
            </w:r>
          </w:p>
        </w:tc>
        <w:tc>
          <w:tcPr>
            <w:tcW w:w="1277" w:type="dxa"/>
          </w:tcPr>
          <w:p>
            <w:pPr>
              <w:pStyle w:val="TableParagraph"/>
              <w:spacing w:before="1"/>
              <w:ind w:left="104"/>
              <w:rPr>
                <w:sz w:val="18"/>
              </w:rPr>
            </w:pPr>
            <w:r>
              <w:rPr>
                <w:sz w:val="18"/>
              </w:rPr>
              <w:t>Probably</w:t>
            </w:r>
            <w:r>
              <w:rPr>
                <w:spacing w:val="-5"/>
                <w:sz w:val="18"/>
              </w:rPr>
              <w:t> no;</w:t>
            </w:r>
          </w:p>
          <w:p>
            <w:pPr>
              <w:pStyle w:val="TableParagraph"/>
              <w:rPr>
                <w:sz w:val="18"/>
              </w:rPr>
            </w:pPr>
          </w:p>
          <w:p>
            <w:pPr>
              <w:pStyle w:val="TableParagraph"/>
              <w:rPr>
                <w:sz w:val="18"/>
              </w:rPr>
            </w:pPr>
          </w:p>
          <w:p>
            <w:pPr>
              <w:pStyle w:val="TableParagraph"/>
              <w:spacing w:line="219" w:lineRule="exact" w:before="1"/>
              <w:ind w:left="104"/>
              <w:rPr>
                <w:sz w:val="18"/>
              </w:rPr>
            </w:pPr>
            <w:r>
              <w:rPr>
                <w:spacing w:val="-2"/>
                <w:sz w:val="18"/>
              </w:rPr>
              <w:t>Reason:</w:t>
            </w:r>
          </w:p>
          <w:p>
            <w:pPr>
              <w:pStyle w:val="TableParagraph"/>
              <w:ind w:left="104" w:right="187"/>
              <w:rPr>
                <w:sz w:val="18"/>
              </w:rPr>
            </w:pPr>
            <w:r>
              <w:rPr>
                <w:sz w:val="18"/>
              </w:rPr>
              <w:t>Not</w:t>
            </w:r>
            <w:r>
              <w:rPr>
                <w:spacing w:val="-11"/>
                <w:sz w:val="18"/>
              </w:rPr>
              <w:t> </w:t>
            </w:r>
            <w:r>
              <w:rPr>
                <w:sz w:val="18"/>
              </w:rPr>
              <w:t>reported and not part of</w:t>
            </w:r>
            <w:r>
              <w:rPr>
                <w:spacing w:val="-2"/>
                <w:sz w:val="18"/>
              </w:rPr>
              <w:t> </w:t>
            </w:r>
            <w:r>
              <w:rPr>
                <w:sz w:val="18"/>
              </w:rPr>
              <w:t>exclusion </w:t>
            </w:r>
            <w:r>
              <w:rPr>
                <w:spacing w:val="-2"/>
                <w:sz w:val="18"/>
              </w:rPr>
              <w:t>criteria</w:t>
            </w:r>
          </w:p>
        </w:tc>
        <w:tc>
          <w:tcPr>
            <w:tcW w:w="1416" w:type="dxa"/>
          </w:tcPr>
          <w:p>
            <w:pPr>
              <w:pStyle w:val="TableParagraph"/>
              <w:spacing w:before="1"/>
              <w:ind w:left="101"/>
              <w:rPr>
                <w:sz w:val="18"/>
              </w:rPr>
            </w:pPr>
            <w:r>
              <w:rPr>
                <w:sz w:val="18"/>
              </w:rPr>
              <w:t>Definitely</w:t>
            </w:r>
            <w:r>
              <w:rPr>
                <w:spacing w:val="-7"/>
                <w:sz w:val="18"/>
              </w:rPr>
              <w:t> </w:t>
            </w:r>
            <w:r>
              <w:rPr>
                <w:spacing w:val="-4"/>
                <w:sz w:val="18"/>
              </w:rPr>
              <w:t>yes;</w:t>
            </w:r>
          </w:p>
          <w:p>
            <w:pPr>
              <w:pStyle w:val="TableParagraph"/>
              <w:rPr>
                <w:sz w:val="18"/>
              </w:rPr>
            </w:pPr>
          </w:p>
          <w:p>
            <w:pPr>
              <w:pStyle w:val="TableParagraph"/>
              <w:rPr>
                <w:sz w:val="18"/>
              </w:rPr>
            </w:pPr>
          </w:p>
          <w:p>
            <w:pPr>
              <w:pStyle w:val="TableParagraph"/>
              <w:spacing w:before="1"/>
              <w:ind w:left="101" w:right="238"/>
              <w:rPr>
                <w:sz w:val="18"/>
              </w:rPr>
            </w:pPr>
            <w:r>
              <w:rPr>
                <w:spacing w:val="-2"/>
                <w:sz w:val="18"/>
              </w:rPr>
              <w:t>Reason:</w:t>
            </w:r>
            <w:r>
              <w:rPr>
                <w:sz w:val="18"/>
              </w:rPr>
              <w:t> </w:t>
            </w:r>
            <w:r>
              <w:rPr>
                <w:spacing w:val="-2"/>
                <w:sz w:val="18"/>
              </w:rPr>
              <w:t>Relevant</w:t>
            </w:r>
            <w:r>
              <w:rPr>
                <w:sz w:val="18"/>
              </w:rPr>
              <w:t> </w:t>
            </w:r>
            <w:r>
              <w:rPr>
                <w:spacing w:val="-2"/>
                <w:sz w:val="18"/>
              </w:rPr>
              <w:t>confounders</w:t>
            </w:r>
            <w:r>
              <w:rPr>
                <w:sz w:val="18"/>
              </w:rPr>
              <w:t> were</w:t>
            </w:r>
            <w:r>
              <w:rPr>
                <w:spacing w:val="-11"/>
                <w:sz w:val="18"/>
              </w:rPr>
              <w:t> </w:t>
            </w:r>
            <w:r>
              <w:rPr>
                <w:sz w:val="18"/>
              </w:rPr>
              <w:t>assessed and</w:t>
            </w:r>
            <w:r>
              <w:rPr>
                <w:spacing w:val="-2"/>
                <w:sz w:val="18"/>
              </w:rPr>
              <w:t> </w:t>
            </w:r>
            <w:r>
              <w:rPr>
                <w:sz w:val="18"/>
              </w:rPr>
              <w:t>reported</w:t>
            </w:r>
          </w:p>
        </w:tc>
        <w:tc>
          <w:tcPr>
            <w:tcW w:w="1419" w:type="dxa"/>
          </w:tcPr>
          <w:p>
            <w:pPr>
              <w:pStyle w:val="TableParagraph"/>
              <w:spacing w:before="1"/>
              <w:ind w:left="104"/>
              <w:rPr>
                <w:sz w:val="18"/>
              </w:rPr>
            </w:pPr>
            <w:r>
              <w:rPr>
                <w:sz w:val="18"/>
              </w:rPr>
              <w:t>Definitely</w:t>
            </w:r>
            <w:r>
              <w:rPr>
                <w:spacing w:val="-7"/>
                <w:sz w:val="18"/>
              </w:rPr>
              <w:t> </w:t>
            </w:r>
            <w:r>
              <w:rPr>
                <w:spacing w:val="-4"/>
                <w:sz w:val="18"/>
              </w:rPr>
              <w:t>yes;</w:t>
            </w:r>
          </w:p>
          <w:p>
            <w:pPr>
              <w:pStyle w:val="TableParagraph"/>
              <w:rPr>
                <w:sz w:val="18"/>
              </w:rPr>
            </w:pPr>
          </w:p>
          <w:p>
            <w:pPr>
              <w:pStyle w:val="TableParagraph"/>
              <w:rPr>
                <w:sz w:val="18"/>
              </w:rPr>
            </w:pPr>
          </w:p>
          <w:p>
            <w:pPr>
              <w:pStyle w:val="TableParagraph"/>
              <w:spacing w:before="1"/>
              <w:ind w:left="104" w:right="125"/>
              <w:rPr>
                <w:sz w:val="18"/>
              </w:rPr>
            </w:pPr>
            <w:r>
              <w:rPr>
                <w:spacing w:val="-2"/>
                <w:sz w:val="18"/>
              </w:rPr>
              <w:t>Reason:</w:t>
            </w:r>
            <w:r>
              <w:rPr>
                <w:sz w:val="18"/>
              </w:rPr>
              <w:t> </w:t>
            </w:r>
            <w:r>
              <w:rPr>
                <w:spacing w:val="-2"/>
                <w:sz w:val="18"/>
              </w:rPr>
              <w:t>Multivariable</w:t>
            </w:r>
            <w:r>
              <w:rPr>
                <w:sz w:val="18"/>
              </w:rPr>
              <w:t> analyses</w:t>
            </w:r>
            <w:r>
              <w:rPr>
                <w:spacing w:val="-2"/>
                <w:sz w:val="18"/>
              </w:rPr>
              <w:t> </w:t>
            </w:r>
            <w:r>
              <w:rPr>
                <w:sz w:val="18"/>
              </w:rPr>
              <w:t>were </w:t>
            </w:r>
            <w:r>
              <w:rPr>
                <w:spacing w:val="-2"/>
                <w:sz w:val="18"/>
              </w:rPr>
              <w:t>conducted,</w:t>
            </w:r>
            <w:r>
              <w:rPr>
                <w:spacing w:val="-9"/>
                <w:sz w:val="18"/>
              </w:rPr>
              <w:t> </w:t>
            </w:r>
            <w:r>
              <w:rPr>
                <w:spacing w:val="-2"/>
                <w:sz w:val="18"/>
              </w:rPr>
              <w:t>and</w:t>
            </w:r>
            <w:r>
              <w:rPr>
                <w:sz w:val="18"/>
              </w:rPr>
              <w:t> </w:t>
            </w:r>
            <w:r>
              <w:rPr>
                <w:spacing w:val="-2"/>
                <w:sz w:val="18"/>
              </w:rPr>
              <w:t>comprehensive</w:t>
            </w:r>
            <w:r>
              <w:rPr>
                <w:sz w:val="18"/>
              </w:rPr>
              <w:t> matching</w:t>
            </w:r>
            <w:r>
              <w:rPr>
                <w:spacing w:val="-2"/>
                <w:sz w:val="18"/>
              </w:rPr>
              <w:t> </w:t>
            </w:r>
            <w:r>
              <w:rPr>
                <w:sz w:val="18"/>
              </w:rPr>
              <w:t>was</w:t>
            </w:r>
          </w:p>
          <w:p>
            <w:pPr>
              <w:pStyle w:val="TableParagraph"/>
              <w:spacing w:line="199" w:lineRule="exact"/>
              <w:ind w:left="104"/>
              <w:rPr>
                <w:sz w:val="18"/>
              </w:rPr>
            </w:pPr>
            <w:r>
              <w:rPr>
                <w:spacing w:val="-2"/>
                <w:sz w:val="18"/>
              </w:rPr>
              <w:t>applied</w:t>
            </w:r>
          </w:p>
        </w:tc>
        <w:tc>
          <w:tcPr>
            <w:tcW w:w="1416" w:type="dxa"/>
          </w:tcPr>
          <w:p>
            <w:pPr>
              <w:pStyle w:val="TableParagraph"/>
              <w:spacing w:before="1"/>
              <w:ind w:left="103"/>
              <w:rPr>
                <w:sz w:val="18"/>
              </w:rPr>
            </w:pPr>
            <w:r>
              <w:rPr>
                <w:sz w:val="18"/>
              </w:rPr>
              <w:t>Definitely</w:t>
            </w:r>
            <w:r>
              <w:rPr>
                <w:spacing w:val="-7"/>
                <w:sz w:val="18"/>
              </w:rPr>
              <w:t> </w:t>
            </w:r>
            <w:r>
              <w:rPr>
                <w:spacing w:val="-4"/>
                <w:sz w:val="18"/>
              </w:rPr>
              <w:t>yes;</w:t>
            </w:r>
          </w:p>
          <w:p>
            <w:pPr>
              <w:pStyle w:val="TableParagraph"/>
              <w:rPr>
                <w:sz w:val="18"/>
              </w:rPr>
            </w:pPr>
          </w:p>
          <w:p>
            <w:pPr>
              <w:pStyle w:val="TableParagraph"/>
              <w:rPr>
                <w:sz w:val="18"/>
              </w:rPr>
            </w:pPr>
          </w:p>
          <w:p>
            <w:pPr>
              <w:pStyle w:val="TableParagraph"/>
              <w:spacing w:before="1"/>
              <w:ind w:left="103" w:right="229"/>
              <w:rPr>
                <w:sz w:val="18"/>
              </w:rPr>
            </w:pPr>
            <w:r>
              <w:rPr>
                <w:spacing w:val="-2"/>
                <w:sz w:val="18"/>
              </w:rPr>
              <w:t>Reason:</w:t>
            </w:r>
            <w:r>
              <w:rPr>
                <w:sz w:val="18"/>
              </w:rPr>
              <w:t> </w:t>
            </w:r>
            <w:r>
              <w:rPr>
                <w:spacing w:val="-2"/>
                <w:sz w:val="18"/>
              </w:rPr>
              <w:t>Adequate</w:t>
            </w:r>
            <w:r>
              <w:rPr>
                <w:sz w:val="18"/>
              </w:rPr>
              <w:t> methods</w:t>
            </w:r>
            <w:r>
              <w:rPr>
                <w:spacing w:val="-11"/>
                <w:sz w:val="18"/>
              </w:rPr>
              <w:t> </w:t>
            </w:r>
            <w:r>
              <w:rPr>
                <w:sz w:val="18"/>
              </w:rPr>
              <w:t>were used</w:t>
            </w:r>
            <w:r>
              <w:rPr>
                <w:spacing w:val="-11"/>
                <w:sz w:val="18"/>
              </w:rPr>
              <w:t> </w:t>
            </w:r>
            <w:r>
              <w:rPr>
                <w:sz w:val="18"/>
              </w:rPr>
              <w:t>to</w:t>
            </w:r>
            <w:r>
              <w:rPr>
                <w:spacing w:val="-10"/>
                <w:sz w:val="18"/>
              </w:rPr>
              <w:t> </w:t>
            </w:r>
            <w:r>
              <w:rPr>
                <w:sz w:val="18"/>
              </w:rPr>
              <w:t>assess the</w:t>
            </w:r>
            <w:r>
              <w:rPr>
                <w:spacing w:val="-2"/>
                <w:sz w:val="18"/>
              </w:rPr>
              <w:t> </w:t>
            </w:r>
            <w:r>
              <w:rPr>
                <w:sz w:val="18"/>
              </w:rPr>
              <w:t>outcome</w:t>
            </w:r>
          </w:p>
        </w:tc>
        <w:tc>
          <w:tcPr>
            <w:tcW w:w="1277" w:type="dxa"/>
          </w:tcPr>
          <w:p>
            <w:pPr>
              <w:pStyle w:val="TableParagraph"/>
              <w:spacing w:before="1"/>
              <w:ind w:left="103"/>
              <w:rPr>
                <w:sz w:val="18"/>
              </w:rPr>
            </w:pPr>
            <w:r>
              <w:rPr>
                <w:sz w:val="18"/>
              </w:rPr>
              <w:t>Definitely</w:t>
            </w:r>
            <w:r>
              <w:rPr>
                <w:spacing w:val="-7"/>
                <w:sz w:val="18"/>
              </w:rPr>
              <w:t> </w:t>
            </w:r>
            <w:r>
              <w:rPr>
                <w:spacing w:val="-4"/>
                <w:sz w:val="18"/>
              </w:rPr>
              <w:t>yes;</w:t>
            </w:r>
          </w:p>
          <w:p>
            <w:pPr>
              <w:pStyle w:val="TableParagraph"/>
              <w:rPr>
                <w:sz w:val="18"/>
              </w:rPr>
            </w:pPr>
          </w:p>
          <w:p>
            <w:pPr>
              <w:pStyle w:val="TableParagraph"/>
              <w:rPr>
                <w:sz w:val="18"/>
              </w:rPr>
            </w:pPr>
          </w:p>
          <w:p>
            <w:pPr>
              <w:pStyle w:val="TableParagraph"/>
              <w:spacing w:before="1"/>
              <w:ind w:left="103" w:right="95"/>
              <w:rPr>
                <w:sz w:val="18"/>
              </w:rPr>
            </w:pPr>
            <w:r>
              <w:rPr>
                <w:spacing w:val="-2"/>
                <w:sz w:val="18"/>
              </w:rPr>
              <w:t>Reason:</w:t>
            </w:r>
            <w:r>
              <w:rPr>
                <w:sz w:val="18"/>
              </w:rPr>
              <w:t> Outcome</w:t>
            </w:r>
            <w:r>
              <w:rPr>
                <w:spacing w:val="-11"/>
                <w:sz w:val="18"/>
              </w:rPr>
              <w:t> </w:t>
            </w:r>
            <w:r>
              <w:rPr>
                <w:sz w:val="18"/>
              </w:rPr>
              <w:t>data was</w:t>
            </w:r>
            <w:r>
              <w:rPr>
                <w:spacing w:val="-2"/>
                <w:sz w:val="18"/>
              </w:rPr>
              <w:t> </w:t>
            </w:r>
            <w:r>
              <w:rPr>
                <w:sz w:val="18"/>
              </w:rPr>
              <w:t>available for</w:t>
            </w:r>
            <w:r>
              <w:rPr>
                <w:spacing w:val="-11"/>
                <w:sz w:val="18"/>
              </w:rPr>
              <w:t> </w:t>
            </w:r>
            <w:r>
              <w:rPr>
                <w:sz w:val="18"/>
              </w:rPr>
              <w:t>all</w:t>
            </w:r>
            <w:r>
              <w:rPr>
                <w:spacing w:val="-10"/>
                <w:sz w:val="18"/>
              </w:rPr>
              <w:t> </w:t>
            </w:r>
            <w:r>
              <w:rPr>
                <w:sz w:val="18"/>
              </w:rPr>
              <w:t>patients</w:t>
            </w:r>
          </w:p>
        </w:tc>
        <w:tc>
          <w:tcPr>
            <w:tcW w:w="1278" w:type="dxa"/>
          </w:tcPr>
          <w:p>
            <w:pPr>
              <w:pStyle w:val="TableParagraph"/>
              <w:spacing w:before="1"/>
              <w:ind w:left="103"/>
              <w:rPr>
                <w:sz w:val="18"/>
              </w:rPr>
            </w:pPr>
            <w:r>
              <w:rPr>
                <w:sz w:val="18"/>
              </w:rPr>
              <w:t>Probably</w:t>
            </w:r>
            <w:r>
              <w:rPr>
                <w:spacing w:val="-7"/>
                <w:sz w:val="18"/>
              </w:rPr>
              <w:t> </w:t>
            </w:r>
            <w:r>
              <w:rPr>
                <w:spacing w:val="-4"/>
                <w:sz w:val="18"/>
              </w:rPr>
              <w:t>yes;</w:t>
            </w:r>
          </w:p>
          <w:p>
            <w:pPr>
              <w:pStyle w:val="TableParagraph"/>
              <w:rPr>
                <w:sz w:val="18"/>
              </w:rPr>
            </w:pPr>
          </w:p>
          <w:p>
            <w:pPr>
              <w:pStyle w:val="TableParagraph"/>
              <w:rPr>
                <w:sz w:val="18"/>
              </w:rPr>
            </w:pPr>
          </w:p>
          <w:p>
            <w:pPr>
              <w:pStyle w:val="TableParagraph"/>
              <w:spacing w:line="219" w:lineRule="exact" w:before="1"/>
              <w:ind w:left="103"/>
              <w:rPr>
                <w:sz w:val="18"/>
              </w:rPr>
            </w:pPr>
            <w:r>
              <w:rPr>
                <w:spacing w:val="-2"/>
                <w:sz w:val="18"/>
              </w:rPr>
              <w:t>Reason:</w:t>
            </w:r>
          </w:p>
          <w:p>
            <w:pPr>
              <w:pStyle w:val="TableParagraph"/>
              <w:ind w:left="103" w:right="118"/>
              <w:rPr>
                <w:sz w:val="18"/>
              </w:rPr>
            </w:pPr>
            <w:r>
              <w:rPr>
                <w:spacing w:val="-4"/>
                <w:sz w:val="18"/>
              </w:rPr>
              <w:t>Co-</w:t>
            </w:r>
            <w:r>
              <w:rPr>
                <w:spacing w:val="-2"/>
                <w:sz w:val="18"/>
              </w:rPr>
              <w:t>interventions</w:t>
            </w:r>
            <w:r>
              <w:rPr>
                <w:sz w:val="18"/>
              </w:rPr>
              <w:t> were</w:t>
            </w:r>
            <w:r>
              <w:rPr>
                <w:spacing w:val="-4"/>
                <w:sz w:val="18"/>
              </w:rPr>
              <w:t> </w:t>
            </w:r>
            <w:r>
              <w:rPr>
                <w:sz w:val="18"/>
              </w:rPr>
              <w:t>similar</w:t>
            </w:r>
          </w:p>
        </w:tc>
        <w:tc>
          <w:tcPr>
            <w:tcW w:w="1844" w:type="dxa"/>
          </w:tcPr>
          <w:p>
            <w:pPr>
              <w:pStyle w:val="TableParagraph"/>
              <w:spacing w:before="1"/>
              <w:ind w:left="100"/>
              <w:rPr>
                <w:b/>
                <w:sz w:val="18"/>
              </w:rPr>
            </w:pPr>
            <w:r>
              <w:rPr>
                <w:b/>
                <w:sz w:val="18"/>
              </w:rPr>
              <w:t>Some</w:t>
            </w:r>
            <w:r>
              <w:rPr>
                <w:b/>
                <w:spacing w:val="-4"/>
                <w:sz w:val="18"/>
              </w:rPr>
              <w:t> </w:t>
            </w:r>
            <w:r>
              <w:rPr>
                <w:b/>
                <w:spacing w:val="-2"/>
                <w:sz w:val="18"/>
              </w:rPr>
              <w:t>concerns;</w:t>
            </w:r>
          </w:p>
          <w:p>
            <w:pPr>
              <w:pStyle w:val="TableParagraph"/>
              <w:spacing w:before="219"/>
              <w:ind w:left="100"/>
              <w:rPr>
                <w:b/>
                <w:sz w:val="18"/>
              </w:rPr>
            </w:pPr>
            <w:r>
              <w:rPr>
                <w:b/>
                <w:spacing w:val="-2"/>
                <w:sz w:val="18"/>
              </w:rPr>
              <w:t>Reason:</w:t>
            </w:r>
          </w:p>
          <w:p>
            <w:pPr>
              <w:pStyle w:val="TableParagraph"/>
              <w:spacing w:before="1"/>
              <w:ind w:left="100" w:right="146"/>
              <w:rPr>
                <w:b/>
                <w:sz w:val="18"/>
              </w:rPr>
            </w:pPr>
            <w:r>
              <w:rPr>
                <w:b/>
                <w:sz w:val="18"/>
              </w:rPr>
              <w:t>It is not clear whether the outcomes</w:t>
            </w:r>
            <w:r>
              <w:rPr>
                <w:b/>
                <w:spacing w:val="-7"/>
                <w:sz w:val="18"/>
              </w:rPr>
              <w:t> </w:t>
            </w:r>
            <w:r>
              <w:rPr>
                <w:b/>
                <w:sz w:val="18"/>
              </w:rPr>
              <w:t>of</w:t>
            </w:r>
            <w:r>
              <w:rPr>
                <w:b/>
                <w:spacing w:val="-8"/>
                <w:sz w:val="18"/>
              </w:rPr>
              <w:t> </w:t>
            </w:r>
            <w:r>
              <w:rPr>
                <w:b/>
                <w:sz w:val="18"/>
              </w:rPr>
              <w:t>interest were not present at the</w:t>
            </w:r>
            <w:r>
              <w:rPr>
                <w:b/>
                <w:spacing w:val="-10"/>
                <w:sz w:val="18"/>
              </w:rPr>
              <w:t> </w:t>
            </w:r>
            <w:r>
              <w:rPr>
                <w:b/>
                <w:sz w:val="18"/>
              </w:rPr>
              <w:t>start</w:t>
            </w:r>
            <w:r>
              <w:rPr>
                <w:b/>
                <w:spacing w:val="-10"/>
                <w:sz w:val="18"/>
              </w:rPr>
              <w:t> </w:t>
            </w:r>
            <w:r>
              <w:rPr>
                <w:b/>
                <w:sz w:val="18"/>
              </w:rPr>
              <w:t>of</w:t>
            </w:r>
            <w:r>
              <w:rPr>
                <w:b/>
                <w:spacing w:val="-10"/>
                <w:sz w:val="18"/>
              </w:rPr>
              <w:t> </w:t>
            </w:r>
            <w:r>
              <w:rPr>
                <w:b/>
                <w:sz w:val="18"/>
              </w:rPr>
              <w:t>the</w:t>
            </w:r>
            <w:r>
              <w:rPr>
                <w:b/>
                <w:spacing w:val="-10"/>
                <w:sz w:val="18"/>
              </w:rPr>
              <w:t> </w:t>
            </w:r>
            <w:r>
              <w:rPr>
                <w:b/>
                <w:sz w:val="18"/>
              </w:rPr>
              <w:t>study</w:t>
            </w:r>
          </w:p>
        </w:tc>
      </w:tr>
      <w:tr>
        <w:trPr>
          <w:trHeight w:val="2637" w:hRule="atLeast"/>
        </w:trPr>
        <w:tc>
          <w:tcPr>
            <w:tcW w:w="1107" w:type="dxa"/>
          </w:tcPr>
          <w:p>
            <w:pPr>
              <w:pStyle w:val="TableParagraph"/>
              <w:spacing w:before="1"/>
              <w:ind w:left="105" w:right="475"/>
              <w:rPr>
                <w:sz w:val="18"/>
              </w:rPr>
            </w:pPr>
            <w:r>
              <w:rPr>
                <w:spacing w:val="-2"/>
                <w:sz w:val="18"/>
              </w:rPr>
              <w:t>Potter,</w:t>
            </w:r>
            <w:r>
              <w:rPr>
                <w:sz w:val="18"/>
              </w:rPr>
              <w:t> </w:t>
            </w:r>
            <w:r>
              <w:rPr>
                <w:spacing w:val="-4"/>
                <w:sz w:val="18"/>
              </w:rPr>
              <w:t>2013</w:t>
            </w:r>
          </w:p>
        </w:tc>
        <w:tc>
          <w:tcPr>
            <w:tcW w:w="1582" w:type="dxa"/>
          </w:tcPr>
          <w:p>
            <w:pPr>
              <w:pStyle w:val="TableParagraph"/>
              <w:spacing w:before="1"/>
              <w:ind w:left="102"/>
              <w:rPr>
                <w:sz w:val="18"/>
              </w:rPr>
            </w:pPr>
            <w:r>
              <w:rPr>
                <w:sz w:val="18"/>
              </w:rPr>
              <w:t>Definitely</w:t>
            </w:r>
            <w:r>
              <w:rPr>
                <w:spacing w:val="-7"/>
                <w:sz w:val="18"/>
              </w:rPr>
              <w:t> </w:t>
            </w:r>
            <w:r>
              <w:rPr>
                <w:spacing w:val="-4"/>
                <w:sz w:val="18"/>
              </w:rPr>
              <w:t>yes;</w:t>
            </w:r>
          </w:p>
          <w:p>
            <w:pPr>
              <w:pStyle w:val="TableParagraph"/>
              <w:spacing w:line="219" w:lineRule="exact" w:before="219"/>
              <w:ind w:left="102"/>
              <w:rPr>
                <w:sz w:val="18"/>
              </w:rPr>
            </w:pPr>
            <w:r>
              <w:rPr>
                <w:spacing w:val="-2"/>
                <w:sz w:val="18"/>
              </w:rPr>
              <w:t>Reason:</w:t>
            </w:r>
          </w:p>
          <w:p>
            <w:pPr>
              <w:pStyle w:val="TableParagraph"/>
              <w:ind w:left="102"/>
              <w:rPr>
                <w:sz w:val="18"/>
              </w:rPr>
            </w:pPr>
            <w:r>
              <w:rPr>
                <w:sz w:val="18"/>
              </w:rPr>
              <w:t>All patients were selected</w:t>
            </w:r>
            <w:r>
              <w:rPr>
                <w:spacing w:val="-11"/>
                <w:sz w:val="18"/>
              </w:rPr>
              <w:t> </w:t>
            </w:r>
            <w:r>
              <w:rPr>
                <w:sz w:val="18"/>
              </w:rPr>
              <w:t>from</w:t>
            </w:r>
            <w:r>
              <w:rPr>
                <w:spacing w:val="-10"/>
                <w:sz w:val="18"/>
              </w:rPr>
              <w:t> </w:t>
            </w:r>
            <w:r>
              <w:rPr>
                <w:sz w:val="18"/>
              </w:rPr>
              <w:t>the same hospital</w:t>
            </w:r>
          </w:p>
        </w:tc>
        <w:tc>
          <w:tcPr>
            <w:tcW w:w="1417" w:type="dxa"/>
          </w:tcPr>
          <w:p>
            <w:pPr>
              <w:pStyle w:val="TableParagraph"/>
              <w:spacing w:before="1"/>
              <w:ind w:left="102"/>
              <w:rPr>
                <w:sz w:val="18"/>
              </w:rPr>
            </w:pPr>
            <w:r>
              <w:rPr>
                <w:sz w:val="18"/>
              </w:rPr>
              <w:t>Definitely</w:t>
            </w:r>
            <w:r>
              <w:rPr>
                <w:spacing w:val="-7"/>
                <w:sz w:val="18"/>
              </w:rPr>
              <w:t> </w:t>
            </w:r>
            <w:r>
              <w:rPr>
                <w:spacing w:val="-4"/>
                <w:sz w:val="18"/>
              </w:rPr>
              <w:t>yes;</w:t>
            </w:r>
          </w:p>
          <w:p>
            <w:pPr>
              <w:pStyle w:val="TableParagraph"/>
              <w:spacing w:before="218"/>
              <w:rPr>
                <w:sz w:val="18"/>
              </w:rPr>
            </w:pPr>
          </w:p>
          <w:p>
            <w:pPr>
              <w:pStyle w:val="TableParagraph"/>
              <w:ind w:left="102" w:right="163"/>
              <w:rPr>
                <w:sz w:val="18"/>
              </w:rPr>
            </w:pPr>
            <w:r>
              <w:rPr>
                <w:spacing w:val="-2"/>
                <w:sz w:val="18"/>
              </w:rPr>
              <w:t>Reason:</w:t>
            </w:r>
            <w:r>
              <w:rPr>
                <w:sz w:val="18"/>
              </w:rPr>
              <w:t> Medication</w:t>
            </w:r>
            <w:r>
              <w:rPr>
                <w:spacing w:val="-11"/>
                <w:sz w:val="18"/>
              </w:rPr>
              <w:t> </w:t>
            </w:r>
            <w:r>
              <w:rPr>
                <w:sz w:val="18"/>
              </w:rPr>
              <w:t>use was</w:t>
            </w:r>
            <w:r>
              <w:rPr>
                <w:spacing w:val="-2"/>
                <w:sz w:val="18"/>
              </w:rPr>
              <w:t> </w:t>
            </w:r>
            <w:r>
              <w:rPr>
                <w:sz w:val="18"/>
              </w:rPr>
              <w:t>registered for all patients</w:t>
            </w:r>
          </w:p>
        </w:tc>
        <w:tc>
          <w:tcPr>
            <w:tcW w:w="1277" w:type="dxa"/>
          </w:tcPr>
          <w:p>
            <w:pPr>
              <w:pStyle w:val="TableParagraph"/>
              <w:spacing w:before="1"/>
              <w:ind w:left="104"/>
              <w:rPr>
                <w:sz w:val="18"/>
              </w:rPr>
            </w:pPr>
            <w:r>
              <w:rPr>
                <w:sz w:val="18"/>
              </w:rPr>
              <w:t>Definitely</w:t>
            </w:r>
            <w:r>
              <w:rPr>
                <w:spacing w:val="-7"/>
                <w:sz w:val="18"/>
              </w:rPr>
              <w:t> </w:t>
            </w:r>
            <w:r>
              <w:rPr>
                <w:spacing w:val="-4"/>
                <w:sz w:val="18"/>
              </w:rPr>
              <w:t>yes;</w:t>
            </w:r>
          </w:p>
          <w:p>
            <w:pPr>
              <w:pStyle w:val="TableParagraph"/>
              <w:spacing w:before="218"/>
              <w:rPr>
                <w:sz w:val="18"/>
              </w:rPr>
            </w:pPr>
          </w:p>
          <w:p>
            <w:pPr>
              <w:pStyle w:val="TableParagraph"/>
              <w:ind w:left="104" w:right="95"/>
              <w:rPr>
                <w:sz w:val="18"/>
              </w:rPr>
            </w:pPr>
            <w:r>
              <w:rPr>
                <w:spacing w:val="-2"/>
                <w:sz w:val="18"/>
              </w:rPr>
              <w:t>Reason:</w:t>
            </w:r>
            <w:r>
              <w:rPr>
                <w:sz w:val="18"/>
              </w:rPr>
              <w:t> patients</w:t>
            </w:r>
            <w:r>
              <w:rPr>
                <w:spacing w:val="-4"/>
                <w:sz w:val="18"/>
              </w:rPr>
              <w:t> </w:t>
            </w:r>
            <w:r>
              <w:rPr>
                <w:sz w:val="18"/>
              </w:rPr>
              <w:t>with very early </w:t>
            </w:r>
            <w:r>
              <w:rPr>
                <w:spacing w:val="-2"/>
                <w:sz w:val="18"/>
              </w:rPr>
              <w:t>postoperative</w:t>
            </w:r>
            <w:r>
              <w:rPr>
                <w:sz w:val="18"/>
              </w:rPr>
              <w:t> </w:t>
            </w:r>
            <w:r>
              <w:rPr>
                <w:spacing w:val="-2"/>
                <w:sz w:val="18"/>
              </w:rPr>
              <w:t>thrombotic</w:t>
            </w:r>
            <w:r>
              <w:rPr>
                <w:sz w:val="18"/>
              </w:rPr>
              <w:t> events</w:t>
            </w:r>
            <w:r>
              <w:rPr>
                <w:spacing w:val="-4"/>
                <w:sz w:val="18"/>
              </w:rPr>
              <w:t> </w:t>
            </w:r>
            <w:r>
              <w:rPr>
                <w:sz w:val="18"/>
              </w:rPr>
              <w:t>were </w:t>
            </w:r>
            <w:r>
              <w:rPr>
                <w:spacing w:val="-2"/>
                <w:sz w:val="18"/>
              </w:rPr>
              <w:t>excluded</w:t>
            </w:r>
          </w:p>
        </w:tc>
        <w:tc>
          <w:tcPr>
            <w:tcW w:w="1416" w:type="dxa"/>
          </w:tcPr>
          <w:p>
            <w:pPr>
              <w:pStyle w:val="TableParagraph"/>
              <w:spacing w:before="1"/>
              <w:ind w:left="101"/>
              <w:rPr>
                <w:sz w:val="18"/>
              </w:rPr>
            </w:pPr>
            <w:r>
              <w:rPr>
                <w:sz w:val="18"/>
              </w:rPr>
              <w:t>Definitely</w:t>
            </w:r>
            <w:r>
              <w:rPr>
                <w:spacing w:val="-7"/>
                <w:sz w:val="18"/>
              </w:rPr>
              <w:t> </w:t>
            </w:r>
            <w:r>
              <w:rPr>
                <w:spacing w:val="-4"/>
                <w:sz w:val="18"/>
              </w:rPr>
              <w:t>yes;</w:t>
            </w:r>
          </w:p>
          <w:p>
            <w:pPr>
              <w:pStyle w:val="TableParagraph"/>
              <w:spacing w:before="218"/>
              <w:rPr>
                <w:sz w:val="18"/>
              </w:rPr>
            </w:pPr>
          </w:p>
          <w:p>
            <w:pPr>
              <w:pStyle w:val="TableParagraph"/>
              <w:ind w:left="101" w:right="238"/>
              <w:rPr>
                <w:sz w:val="18"/>
              </w:rPr>
            </w:pPr>
            <w:r>
              <w:rPr>
                <w:spacing w:val="-2"/>
                <w:sz w:val="18"/>
              </w:rPr>
              <w:t>Reason:</w:t>
            </w:r>
            <w:r>
              <w:rPr>
                <w:sz w:val="18"/>
              </w:rPr>
              <w:t> </w:t>
            </w:r>
            <w:r>
              <w:rPr>
                <w:spacing w:val="-2"/>
                <w:sz w:val="18"/>
              </w:rPr>
              <w:t>Relevant</w:t>
            </w:r>
            <w:r>
              <w:rPr>
                <w:sz w:val="18"/>
              </w:rPr>
              <w:t> </w:t>
            </w:r>
            <w:r>
              <w:rPr>
                <w:spacing w:val="-2"/>
                <w:sz w:val="18"/>
              </w:rPr>
              <w:t>confounders</w:t>
            </w:r>
            <w:r>
              <w:rPr>
                <w:sz w:val="18"/>
              </w:rPr>
              <w:t> were</w:t>
            </w:r>
            <w:r>
              <w:rPr>
                <w:spacing w:val="-11"/>
                <w:sz w:val="18"/>
              </w:rPr>
              <w:t> </w:t>
            </w:r>
            <w:r>
              <w:rPr>
                <w:sz w:val="18"/>
              </w:rPr>
              <w:t>assessed and</w:t>
            </w:r>
            <w:r>
              <w:rPr>
                <w:spacing w:val="-2"/>
                <w:sz w:val="18"/>
              </w:rPr>
              <w:t> </w:t>
            </w:r>
            <w:r>
              <w:rPr>
                <w:sz w:val="18"/>
              </w:rPr>
              <w:t>reported</w:t>
            </w:r>
          </w:p>
        </w:tc>
        <w:tc>
          <w:tcPr>
            <w:tcW w:w="1419" w:type="dxa"/>
          </w:tcPr>
          <w:p>
            <w:pPr>
              <w:pStyle w:val="TableParagraph"/>
              <w:spacing w:before="1"/>
              <w:ind w:left="104"/>
              <w:rPr>
                <w:sz w:val="18"/>
              </w:rPr>
            </w:pPr>
            <w:r>
              <w:rPr>
                <w:sz w:val="18"/>
              </w:rPr>
              <w:t>Probably</w:t>
            </w:r>
            <w:r>
              <w:rPr>
                <w:spacing w:val="-5"/>
                <w:sz w:val="18"/>
              </w:rPr>
              <w:t> no;</w:t>
            </w:r>
          </w:p>
          <w:p>
            <w:pPr>
              <w:pStyle w:val="TableParagraph"/>
              <w:spacing w:before="218"/>
              <w:rPr>
                <w:sz w:val="18"/>
              </w:rPr>
            </w:pPr>
          </w:p>
          <w:p>
            <w:pPr>
              <w:pStyle w:val="TableParagraph"/>
              <w:ind w:left="104" w:right="180"/>
              <w:rPr>
                <w:sz w:val="18"/>
              </w:rPr>
            </w:pPr>
            <w:r>
              <w:rPr>
                <w:spacing w:val="-2"/>
                <w:sz w:val="18"/>
              </w:rPr>
              <w:t>Reason:</w:t>
            </w:r>
            <w:r>
              <w:rPr>
                <w:sz w:val="18"/>
              </w:rPr>
              <w:t> </w:t>
            </w:r>
            <w:r>
              <w:rPr>
                <w:spacing w:val="-2"/>
                <w:sz w:val="18"/>
              </w:rPr>
              <w:t>Multivariable</w:t>
            </w:r>
            <w:r>
              <w:rPr>
                <w:sz w:val="18"/>
              </w:rPr>
              <w:t> analyses</w:t>
            </w:r>
            <w:r>
              <w:rPr>
                <w:spacing w:val="-2"/>
                <w:sz w:val="18"/>
              </w:rPr>
              <w:t> </w:t>
            </w:r>
            <w:r>
              <w:rPr>
                <w:sz w:val="18"/>
              </w:rPr>
              <w:t>were conducted,</w:t>
            </w:r>
            <w:r>
              <w:rPr>
                <w:spacing w:val="-11"/>
                <w:sz w:val="18"/>
              </w:rPr>
              <w:t> </w:t>
            </w:r>
            <w:r>
              <w:rPr>
                <w:sz w:val="18"/>
              </w:rPr>
              <w:t>but exact</w:t>
            </w:r>
            <w:r>
              <w:rPr>
                <w:spacing w:val="-11"/>
                <w:sz w:val="18"/>
              </w:rPr>
              <w:t> </w:t>
            </w:r>
            <w:r>
              <w:rPr>
                <w:sz w:val="18"/>
              </w:rPr>
              <w:t>numbers for the comparison</w:t>
            </w:r>
            <w:r>
              <w:rPr>
                <w:spacing w:val="-2"/>
                <w:sz w:val="18"/>
              </w:rPr>
              <w:t> </w:t>
            </w:r>
            <w:r>
              <w:rPr>
                <w:sz w:val="18"/>
              </w:rPr>
              <w:t>of aspirin</w:t>
            </w:r>
            <w:r>
              <w:rPr>
                <w:spacing w:val="-2"/>
                <w:sz w:val="18"/>
              </w:rPr>
              <w:t> </w:t>
            </w:r>
            <w:r>
              <w:rPr>
                <w:sz w:val="18"/>
              </w:rPr>
              <w:t>and</w:t>
            </w:r>
          </w:p>
          <w:p>
            <w:pPr>
              <w:pStyle w:val="TableParagraph"/>
              <w:spacing w:line="199" w:lineRule="exact" w:before="2"/>
              <w:ind w:left="104"/>
              <w:rPr>
                <w:sz w:val="18"/>
              </w:rPr>
            </w:pPr>
            <w:r>
              <w:rPr>
                <w:sz w:val="18"/>
              </w:rPr>
              <w:t>warfarin</w:t>
            </w:r>
            <w:r>
              <w:rPr>
                <w:spacing w:val="-2"/>
                <w:sz w:val="18"/>
              </w:rPr>
              <w:t> </w:t>
            </w:r>
            <w:r>
              <w:rPr>
                <w:spacing w:val="-4"/>
                <w:sz w:val="18"/>
              </w:rPr>
              <w:t>were</w:t>
            </w:r>
          </w:p>
        </w:tc>
        <w:tc>
          <w:tcPr>
            <w:tcW w:w="1416" w:type="dxa"/>
          </w:tcPr>
          <w:p>
            <w:pPr>
              <w:pStyle w:val="TableParagraph"/>
              <w:spacing w:before="1"/>
              <w:ind w:left="103"/>
              <w:rPr>
                <w:sz w:val="18"/>
              </w:rPr>
            </w:pPr>
            <w:r>
              <w:rPr>
                <w:sz w:val="18"/>
              </w:rPr>
              <w:t>Definitely</w:t>
            </w:r>
            <w:r>
              <w:rPr>
                <w:spacing w:val="-7"/>
                <w:sz w:val="18"/>
              </w:rPr>
              <w:t> </w:t>
            </w:r>
            <w:r>
              <w:rPr>
                <w:spacing w:val="-4"/>
                <w:sz w:val="18"/>
              </w:rPr>
              <w:t>yes;</w:t>
            </w:r>
          </w:p>
          <w:p>
            <w:pPr>
              <w:pStyle w:val="TableParagraph"/>
              <w:spacing w:before="218"/>
              <w:rPr>
                <w:sz w:val="18"/>
              </w:rPr>
            </w:pPr>
          </w:p>
          <w:p>
            <w:pPr>
              <w:pStyle w:val="TableParagraph"/>
              <w:ind w:left="103" w:right="229"/>
              <w:rPr>
                <w:sz w:val="18"/>
              </w:rPr>
            </w:pPr>
            <w:r>
              <w:rPr>
                <w:spacing w:val="-2"/>
                <w:sz w:val="18"/>
              </w:rPr>
              <w:t>Reason:</w:t>
            </w:r>
            <w:r>
              <w:rPr>
                <w:sz w:val="18"/>
              </w:rPr>
              <w:t> </w:t>
            </w:r>
            <w:r>
              <w:rPr>
                <w:spacing w:val="-2"/>
                <w:sz w:val="18"/>
              </w:rPr>
              <w:t>Adequate</w:t>
            </w:r>
            <w:r>
              <w:rPr>
                <w:sz w:val="18"/>
              </w:rPr>
              <w:t> methods</w:t>
            </w:r>
            <w:r>
              <w:rPr>
                <w:spacing w:val="-11"/>
                <w:sz w:val="18"/>
              </w:rPr>
              <w:t> </w:t>
            </w:r>
            <w:r>
              <w:rPr>
                <w:sz w:val="18"/>
              </w:rPr>
              <w:t>were used</w:t>
            </w:r>
            <w:r>
              <w:rPr>
                <w:spacing w:val="-11"/>
                <w:sz w:val="18"/>
              </w:rPr>
              <w:t> </w:t>
            </w:r>
            <w:r>
              <w:rPr>
                <w:sz w:val="18"/>
              </w:rPr>
              <w:t>to</w:t>
            </w:r>
            <w:r>
              <w:rPr>
                <w:spacing w:val="-10"/>
                <w:sz w:val="18"/>
              </w:rPr>
              <w:t> </w:t>
            </w:r>
            <w:r>
              <w:rPr>
                <w:sz w:val="18"/>
              </w:rPr>
              <w:t>assess the</w:t>
            </w:r>
            <w:r>
              <w:rPr>
                <w:spacing w:val="-2"/>
                <w:sz w:val="18"/>
              </w:rPr>
              <w:t> </w:t>
            </w:r>
            <w:r>
              <w:rPr>
                <w:sz w:val="18"/>
              </w:rPr>
              <w:t>outcome</w:t>
            </w:r>
          </w:p>
        </w:tc>
        <w:tc>
          <w:tcPr>
            <w:tcW w:w="1277" w:type="dxa"/>
          </w:tcPr>
          <w:p>
            <w:pPr>
              <w:pStyle w:val="TableParagraph"/>
              <w:spacing w:before="1"/>
              <w:ind w:left="103"/>
              <w:rPr>
                <w:sz w:val="18"/>
              </w:rPr>
            </w:pPr>
            <w:r>
              <w:rPr>
                <w:sz w:val="18"/>
              </w:rPr>
              <w:t>Definitely</w:t>
            </w:r>
            <w:r>
              <w:rPr>
                <w:spacing w:val="-7"/>
                <w:sz w:val="18"/>
              </w:rPr>
              <w:t> </w:t>
            </w:r>
            <w:r>
              <w:rPr>
                <w:spacing w:val="-4"/>
                <w:sz w:val="18"/>
              </w:rPr>
              <w:t>yes;</w:t>
            </w:r>
          </w:p>
          <w:p>
            <w:pPr>
              <w:pStyle w:val="TableParagraph"/>
              <w:spacing w:before="218"/>
              <w:rPr>
                <w:sz w:val="18"/>
              </w:rPr>
            </w:pPr>
          </w:p>
          <w:p>
            <w:pPr>
              <w:pStyle w:val="TableParagraph"/>
              <w:ind w:left="103" w:right="95"/>
              <w:rPr>
                <w:sz w:val="18"/>
              </w:rPr>
            </w:pPr>
            <w:r>
              <w:rPr>
                <w:spacing w:val="-2"/>
                <w:sz w:val="18"/>
              </w:rPr>
              <w:t>Reason:</w:t>
            </w:r>
            <w:r>
              <w:rPr>
                <w:sz w:val="18"/>
              </w:rPr>
              <w:t> Outcome</w:t>
            </w:r>
            <w:r>
              <w:rPr>
                <w:spacing w:val="-11"/>
                <w:sz w:val="18"/>
              </w:rPr>
              <w:t> </w:t>
            </w:r>
            <w:r>
              <w:rPr>
                <w:sz w:val="18"/>
              </w:rPr>
              <w:t>data was</w:t>
            </w:r>
            <w:r>
              <w:rPr>
                <w:spacing w:val="-2"/>
                <w:sz w:val="18"/>
              </w:rPr>
              <w:t> </w:t>
            </w:r>
            <w:r>
              <w:rPr>
                <w:sz w:val="18"/>
              </w:rPr>
              <w:t>available for</w:t>
            </w:r>
            <w:r>
              <w:rPr>
                <w:spacing w:val="-11"/>
                <w:sz w:val="18"/>
              </w:rPr>
              <w:t> </w:t>
            </w:r>
            <w:r>
              <w:rPr>
                <w:sz w:val="18"/>
              </w:rPr>
              <w:t>all</w:t>
            </w:r>
            <w:r>
              <w:rPr>
                <w:spacing w:val="-10"/>
                <w:sz w:val="18"/>
              </w:rPr>
              <w:t> </w:t>
            </w:r>
            <w:r>
              <w:rPr>
                <w:sz w:val="18"/>
              </w:rPr>
              <w:t>patients</w:t>
            </w:r>
          </w:p>
        </w:tc>
        <w:tc>
          <w:tcPr>
            <w:tcW w:w="1278" w:type="dxa"/>
          </w:tcPr>
          <w:p>
            <w:pPr>
              <w:pStyle w:val="TableParagraph"/>
              <w:spacing w:before="1"/>
              <w:ind w:left="103" w:right="225"/>
              <w:rPr>
                <w:sz w:val="18"/>
              </w:rPr>
            </w:pPr>
            <w:r>
              <w:rPr>
                <w:spacing w:val="-6"/>
                <w:sz w:val="18"/>
              </w:rPr>
              <w:t>No</w:t>
            </w:r>
            <w:r>
              <w:rPr>
                <w:sz w:val="18"/>
              </w:rPr>
              <w:t> </w:t>
            </w:r>
            <w:r>
              <w:rPr>
                <w:spacing w:val="-2"/>
                <w:sz w:val="18"/>
              </w:rPr>
              <w:t>information</w:t>
            </w:r>
          </w:p>
        </w:tc>
        <w:tc>
          <w:tcPr>
            <w:tcW w:w="1844" w:type="dxa"/>
          </w:tcPr>
          <w:p>
            <w:pPr>
              <w:pStyle w:val="TableParagraph"/>
              <w:spacing w:before="1"/>
              <w:ind w:left="100"/>
              <w:rPr>
                <w:b/>
                <w:sz w:val="18"/>
              </w:rPr>
            </w:pPr>
            <w:r>
              <w:rPr>
                <w:b/>
                <w:sz w:val="18"/>
              </w:rPr>
              <w:t>Some</w:t>
            </w:r>
            <w:r>
              <w:rPr>
                <w:b/>
                <w:spacing w:val="-4"/>
                <w:sz w:val="18"/>
              </w:rPr>
              <w:t> </w:t>
            </w:r>
            <w:r>
              <w:rPr>
                <w:b/>
                <w:spacing w:val="-2"/>
                <w:sz w:val="18"/>
              </w:rPr>
              <w:t>concerns;</w:t>
            </w:r>
          </w:p>
          <w:p>
            <w:pPr>
              <w:pStyle w:val="TableParagraph"/>
              <w:spacing w:line="219" w:lineRule="exact" w:before="219"/>
              <w:ind w:left="100"/>
              <w:rPr>
                <w:b/>
                <w:sz w:val="18"/>
              </w:rPr>
            </w:pPr>
            <w:r>
              <w:rPr>
                <w:b/>
                <w:spacing w:val="-2"/>
                <w:sz w:val="18"/>
              </w:rPr>
              <w:t>Reason:</w:t>
            </w:r>
          </w:p>
          <w:p>
            <w:pPr>
              <w:pStyle w:val="TableParagraph"/>
              <w:ind w:left="100" w:right="324"/>
              <w:rPr>
                <w:b/>
                <w:sz w:val="18"/>
              </w:rPr>
            </w:pPr>
            <w:r>
              <w:rPr>
                <w:b/>
                <w:sz w:val="18"/>
              </w:rPr>
              <w:t>Results regarding </w:t>
            </w:r>
            <w:r>
              <w:rPr>
                <w:b/>
                <w:spacing w:val="-2"/>
                <w:sz w:val="18"/>
              </w:rPr>
              <w:t>multivariate</w:t>
            </w:r>
            <w:r>
              <w:rPr>
                <w:b/>
                <w:sz w:val="18"/>
              </w:rPr>
              <w:t> statistical</w:t>
            </w:r>
            <w:r>
              <w:rPr>
                <w:b/>
                <w:spacing w:val="-11"/>
                <w:sz w:val="18"/>
              </w:rPr>
              <w:t> </w:t>
            </w:r>
            <w:r>
              <w:rPr>
                <w:b/>
                <w:sz w:val="18"/>
              </w:rPr>
              <w:t>analyses for aspirin versus warfarin were not clearly reported</w:t>
            </w:r>
          </w:p>
        </w:tc>
      </w:tr>
    </w:tbl>
    <w:p>
      <w:pPr>
        <w:pStyle w:val="TableParagraph"/>
        <w:spacing w:after="0"/>
        <w:rPr>
          <w:b/>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07"/>
        <w:gridCol w:w="1582"/>
        <w:gridCol w:w="1417"/>
        <w:gridCol w:w="1277"/>
        <w:gridCol w:w="1416"/>
        <w:gridCol w:w="1419"/>
        <w:gridCol w:w="1416"/>
        <w:gridCol w:w="1277"/>
        <w:gridCol w:w="1278"/>
        <w:gridCol w:w="1844"/>
      </w:tblGrid>
      <w:tr>
        <w:trPr>
          <w:trHeight w:val="877" w:hRule="atLeast"/>
        </w:trPr>
        <w:tc>
          <w:tcPr>
            <w:tcW w:w="1107" w:type="dxa"/>
          </w:tcPr>
          <w:p>
            <w:pPr>
              <w:pStyle w:val="TableParagraph"/>
              <w:rPr>
                <w:rFonts w:ascii="Times New Roman"/>
                <w:sz w:val="18"/>
              </w:rPr>
            </w:pPr>
          </w:p>
        </w:tc>
        <w:tc>
          <w:tcPr>
            <w:tcW w:w="1582" w:type="dxa"/>
          </w:tcPr>
          <w:p>
            <w:pPr>
              <w:pStyle w:val="TableParagraph"/>
              <w:rPr>
                <w:rFonts w:ascii="Times New Roman"/>
                <w:sz w:val="18"/>
              </w:rPr>
            </w:pPr>
          </w:p>
        </w:tc>
        <w:tc>
          <w:tcPr>
            <w:tcW w:w="1417" w:type="dxa"/>
          </w:tcPr>
          <w:p>
            <w:pPr>
              <w:pStyle w:val="TableParagraph"/>
              <w:rPr>
                <w:rFonts w:ascii="Times New Roman"/>
                <w:sz w:val="18"/>
              </w:rPr>
            </w:pPr>
          </w:p>
        </w:tc>
        <w:tc>
          <w:tcPr>
            <w:tcW w:w="1277" w:type="dxa"/>
          </w:tcPr>
          <w:p>
            <w:pPr>
              <w:pStyle w:val="TableParagraph"/>
              <w:rPr>
                <w:rFonts w:ascii="Times New Roman"/>
                <w:sz w:val="18"/>
              </w:rPr>
            </w:pPr>
          </w:p>
        </w:tc>
        <w:tc>
          <w:tcPr>
            <w:tcW w:w="1416" w:type="dxa"/>
          </w:tcPr>
          <w:p>
            <w:pPr>
              <w:pStyle w:val="TableParagraph"/>
              <w:rPr>
                <w:rFonts w:ascii="Times New Roman"/>
                <w:sz w:val="18"/>
              </w:rPr>
            </w:pPr>
          </w:p>
        </w:tc>
        <w:tc>
          <w:tcPr>
            <w:tcW w:w="1419" w:type="dxa"/>
          </w:tcPr>
          <w:p>
            <w:pPr>
              <w:pStyle w:val="TableParagraph"/>
              <w:spacing w:before="1"/>
              <w:ind w:left="104" w:right="245"/>
              <w:rPr>
                <w:sz w:val="18"/>
              </w:rPr>
            </w:pPr>
            <w:r>
              <w:rPr>
                <w:sz w:val="18"/>
              </w:rPr>
              <w:t>not clearly </w:t>
            </w:r>
            <w:r>
              <w:rPr>
                <w:spacing w:val="-2"/>
                <w:sz w:val="18"/>
              </w:rPr>
              <w:t>reported</w:t>
            </w:r>
            <w:r>
              <w:rPr>
                <w:spacing w:val="-9"/>
                <w:sz w:val="18"/>
              </w:rPr>
              <w:t> </w:t>
            </w:r>
            <w:r>
              <w:rPr>
                <w:spacing w:val="-2"/>
                <w:sz w:val="18"/>
              </w:rPr>
              <w:t>(only</w:t>
            </w:r>
            <w:r>
              <w:rPr>
                <w:sz w:val="18"/>
              </w:rPr>
              <w:t> p-value</w:t>
            </w:r>
            <w:r>
              <w:rPr>
                <w:spacing w:val="-2"/>
                <w:sz w:val="18"/>
              </w:rPr>
              <w:t> </w:t>
            </w:r>
            <w:r>
              <w:rPr>
                <w:sz w:val="18"/>
              </w:rPr>
              <w:t>is</w:t>
            </w:r>
          </w:p>
          <w:p>
            <w:pPr>
              <w:pStyle w:val="TableParagraph"/>
              <w:spacing w:line="198" w:lineRule="exact"/>
              <w:ind w:left="104"/>
              <w:rPr>
                <w:sz w:val="18"/>
              </w:rPr>
            </w:pPr>
            <w:r>
              <w:rPr>
                <w:spacing w:val="-2"/>
                <w:sz w:val="18"/>
              </w:rPr>
              <w:t>provided)</w:t>
            </w:r>
          </w:p>
        </w:tc>
        <w:tc>
          <w:tcPr>
            <w:tcW w:w="1416" w:type="dxa"/>
          </w:tcPr>
          <w:p>
            <w:pPr>
              <w:pStyle w:val="TableParagraph"/>
              <w:rPr>
                <w:rFonts w:ascii="Times New Roman"/>
                <w:sz w:val="18"/>
              </w:rPr>
            </w:pPr>
          </w:p>
        </w:tc>
        <w:tc>
          <w:tcPr>
            <w:tcW w:w="1277" w:type="dxa"/>
          </w:tcPr>
          <w:p>
            <w:pPr>
              <w:pStyle w:val="TableParagraph"/>
              <w:rPr>
                <w:rFonts w:ascii="Times New Roman"/>
                <w:sz w:val="18"/>
              </w:rPr>
            </w:pPr>
          </w:p>
        </w:tc>
        <w:tc>
          <w:tcPr>
            <w:tcW w:w="1278" w:type="dxa"/>
          </w:tcPr>
          <w:p>
            <w:pPr>
              <w:pStyle w:val="TableParagraph"/>
              <w:rPr>
                <w:rFonts w:ascii="Times New Roman"/>
                <w:sz w:val="18"/>
              </w:rPr>
            </w:pPr>
          </w:p>
        </w:tc>
        <w:tc>
          <w:tcPr>
            <w:tcW w:w="1844" w:type="dxa"/>
          </w:tcPr>
          <w:p>
            <w:pPr>
              <w:pStyle w:val="TableParagraph"/>
              <w:rPr>
                <w:rFonts w:ascii="Times New Roman"/>
                <w:sz w:val="18"/>
              </w:rPr>
            </w:pPr>
          </w:p>
        </w:tc>
      </w:tr>
      <w:tr>
        <w:trPr>
          <w:trHeight w:val="2640" w:hRule="atLeast"/>
        </w:trPr>
        <w:tc>
          <w:tcPr>
            <w:tcW w:w="1107" w:type="dxa"/>
          </w:tcPr>
          <w:p>
            <w:pPr>
              <w:pStyle w:val="TableParagraph"/>
              <w:spacing w:before="1"/>
              <w:ind w:left="105" w:right="438"/>
              <w:rPr>
                <w:sz w:val="18"/>
              </w:rPr>
            </w:pPr>
            <w:r>
              <w:rPr>
                <w:spacing w:val="-2"/>
                <w:sz w:val="18"/>
              </w:rPr>
              <w:t>Seipelt,</w:t>
            </w:r>
            <w:r>
              <w:rPr>
                <w:sz w:val="18"/>
              </w:rPr>
              <w:t> </w:t>
            </w:r>
            <w:r>
              <w:rPr>
                <w:spacing w:val="-4"/>
                <w:sz w:val="18"/>
              </w:rPr>
              <w:t>2002</w:t>
            </w:r>
          </w:p>
        </w:tc>
        <w:tc>
          <w:tcPr>
            <w:tcW w:w="1582" w:type="dxa"/>
          </w:tcPr>
          <w:p>
            <w:pPr>
              <w:pStyle w:val="TableParagraph"/>
              <w:spacing w:before="1"/>
              <w:ind w:left="102"/>
              <w:rPr>
                <w:sz w:val="18"/>
              </w:rPr>
            </w:pPr>
            <w:r>
              <w:rPr>
                <w:sz w:val="18"/>
              </w:rPr>
              <w:t>Probably</w:t>
            </w:r>
            <w:r>
              <w:rPr>
                <w:spacing w:val="-7"/>
                <w:sz w:val="18"/>
              </w:rPr>
              <w:t> </w:t>
            </w:r>
            <w:r>
              <w:rPr>
                <w:spacing w:val="-4"/>
                <w:sz w:val="18"/>
              </w:rPr>
              <w:t>yes;</w:t>
            </w:r>
          </w:p>
          <w:p>
            <w:pPr>
              <w:pStyle w:val="TableParagraph"/>
              <w:spacing w:before="219"/>
              <w:ind w:left="102"/>
              <w:rPr>
                <w:sz w:val="18"/>
              </w:rPr>
            </w:pPr>
            <w:r>
              <w:rPr>
                <w:spacing w:val="-2"/>
                <w:sz w:val="18"/>
              </w:rPr>
              <w:t>Reason:</w:t>
            </w:r>
          </w:p>
          <w:p>
            <w:pPr>
              <w:pStyle w:val="TableParagraph"/>
              <w:spacing w:before="1"/>
              <w:ind w:left="102" w:right="99"/>
              <w:rPr>
                <w:sz w:val="18"/>
              </w:rPr>
            </w:pPr>
            <w:r>
              <w:rPr>
                <w:sz w:val="18"/>
              </w:rPr>
              <w:t>All</w:t>
            </w:r>
            <w:r>
              <w:rPr>
                <w:spacing w:val="-11"/>
                <w:sz w:val="18"/>
              </w:rPr>
              <w:t> </w:t>
            </w:r>
            <w:r>
              <w:rPr>
                <w:sz w:val="18"/>
              </w:rPr>
              <w:t>patients</w:t>
            </w:r>
            <w:r>
              <w:rPr>
                <w:spacing w:val="-10"/>
                <w:sz w:val="18"/>
              </w:rPr>
              <w:t> </w:t>
            </w:r>
            <w:r>
              <w:rPr>
                <w:sz w:val="18"/>
              </w:rPr>
              <w:t>were likely selected from the same </w:t>
            </w:r>
            <w:r>
              <w:rPr>
                <w:spacing w:val="-2"/>
                <w:sz w:val="18"/>
              </w:rPr>
              <w:t>hospital</w:t>
            </w:r>
          </w:p>
        </w:tc>
        <w:tc>
          <w:tcPr>
            <w:tcW w:w="1417" w:type="dxa"/>
          </w:tcPr>
          <w:p>
            <w:pPr>
              <w:pStyle w:val="TableParagraph"/>
              <w:spacing w:before="1"/>
              <w:ind w:left="102"/>
              <w:rPr>
                <w:sz w:val="18"/>
              </w:rPr>
            </w:pPr>
            <w:r>
              <w:rPr>
                <w:sz w:val="18"/>
              </w:rPr>
              <w:t>Definitely</w:t>
            </w:r>
            <w:r>
              <w:rPr>
                <w:spacing w:val="-7"/>
                <w:sz w:val="18"/>
              </w:rPr>
              <w:t> </w:t>
            </w:r>
            <w:r>
              <w:rPr>
                <w:spacing w:val="-4"/>
                <w:sz w:val="18"/>
              </w:rPr>
              <w:t>yes;</w:t>
            </w:r>
          </w:p>
          <w:p>
            <w:pPr>
              <w:pStyle w:val="TableParagraph"/>
              <w:rPr>
                <w:sz w:val="18"/>
              </w:rPr>
            </w:pPr>
          </w:p>
          <w:p>
            <w:pPr>
              <w:pStyle w:val="TableParagraph"/>
              <w:rPr>
                <w:sz w:val="18"/>
              </w:rPr>
            </w:pPr>
          </w:p>
          <w:p>
            <w:pPr>
              <w:pStyle w:val="TableParagraph"/>
              <w:spacing w:before="1"/>
              <w:ind w:left="102" w:right="163"/>
              <w:rPr>
                <w:sz w:val="18"/>
              </w:rPr>
            </w:pPr>
            <w:r>
              <w:rPr>
                <w:spacing w:val="-2"/>
                <w:sz w:val="18"/>
              </w:rPr>
              <w:t>Reason:</w:t>
            </w:r>
            <w:r>
              <w:rPr>
                <w:sz w:val="18"/>
              </w:rPr>
              <w:t> Medication</w:t>
            </w:r>
            <w:r>
              <w:rPr>
                <w:spacing w:val="-11"/>
                <w:sz w:val="18"/>
              </w:rPr>
              <w:t> </w:t>
            </w:r>
            <w:r>
              <w:rPr>
                <w:sz w:val="18"/>
              </w:rPr>
              <w:t>use was</w:t>
            </w:r>
            <w:r>
              <w:rPr>
                <w:spacing w:val="-2"/>
                <w:sz w:val="18"/>
              </w:rPr>
              <w:t> </w:t>
            </w:r>
            <w:r>
              <w:rPr>
                <w:sz w:val="18"/>
              </w:rPr>
              <w:t>registered for all patients</w:t>
            </w:r>
          </w:p>
        </w:tc>
        <w:tc>
          <w:tcPr>
            <w:tcW w:w="1277" w:type="dxa"/>
          </w:tcPr>
          <w:p>
            <w:pPr>
              <w:pStyle w:val="TableParagraph"/>
              <w:spacing w:before="1"/>
              <w:ind w:left="104"/>
              <w:rPr>
                <w:sz w:val="18"/>
              </w:rPr>
            </w:pPr>
            <w:r>
              <w:rPr>
                <w:sz w:val="18"/>
              </w:rPr>
              <w:t>Probably</w:t>
            </w:r>
            <w:r>
              <w:rPr>
                <w:spacing w:val="-5"/>
                <w:sz w:val="18"/>
              </w:rPr>
              <w:t> no;</w:t>
            </w:r>
          </w:p>
          <w:p>
            <w:pPr>
              <w:pStyle w:val="TableParagraph"/>
              <w:rPr>
                <w:sz w:val="18"/>
              </w:rPr>
            </w:pPr>
          </w:p>
          <w:p>
            <w:pPr>
              <w:pStyle w:val="TableParagraph"/>
              <w:rPr>
                <w:sz w:val="18"/>
              </w:rPr>
            </w:pPr>
          </w:p>
          <w:p>
            <w:pPr>
              <w:pStyle w:val="TableParagraph"/>
              <w:spacing w:line="219" w:lineRule="exact" w:before="1"/>
              <w:ind w:left="104"/>
              <w:rPr>
                <w:sz w:val="18"/>
              </w:rPr>
            </w:pPr>
            <w:r>
              <w:rPr>
                <w:spacing w:val="-2"/>
                <w:sz w:val="18"/>
              </w:rPr>
              <w:t>Reason:</w:t>
            </w:r>
          </w:p>
          <w:p>
            <w:pPr>
              <w:pStyle w:val="TableParagraph"/>
              <w:ind w:left="104" w:right="187"/>
              <w:rPr>
                <w:sz w:val="18"/>
              </w:rPr>
            </w:pPr>
            <w:r>
              <w:rPr>
                <w:sz w:val="18"/>
              </w:rPr>
              <w:t>Not</w:t>
            </w:r>
            <w:r>
              <w:rPr>
                <w:spacing w:val="-11"/>
                <w:sz w:val="18"/>
              </w:rPr>
              <w:t> </w:t>
            </w:r>
            <w:r>
              <w:rPr>
                <w:sz w:val="18"/>
              </w:rPr>
              <w:t>reported and not part of</w:t>
            </w:r>
            <w:r>
              <w:rPr>
                <w:spacing w:val="-2"/>
                <w:sz w:val="18"/>
              </w:rPr>
              <w:t> </w:t>
            </w:r>
            <w:r>
              <w:rPr>
                <w:sz w:val="18"/>
              </w:rPr>
              <w:t>exclusion </w:t>
            </w:r>
            <w:r>
              <w:rPr>
                <w:spacing w:val="-2"/>
                <w:sz w:val="18"/>
              </w:rPr>
              <w:t>criteria</w:t>
            </w:r>
          </w:p>
        </w:tc>
        <w:tc>
          <w:tcPr>
            <w:tcW w:w="1416" w:type="dxa"/>
          </w:tcPr>
          <w:p>
            <w:pPr>
              <w:pStyle w:val="TableParagraph"/>
              <w:spacing w:before="1"/>
              <w:ind w:left="101"/>
              <w:rPr>
                <w:sz w:val="18"/>
              </w:rPr>
            </w:pPr>
            <w:r>
              <w:rPr>
                <w:sz w:val="18"/>
              </w:rPr>
              <w:t>Probably</w:t>
            </w:r>
            <w:r>
              <w:rPr>
                <w:spacing w:val="-7"/>
                <w:sz w:val="18"/>
              </w:rPr>
              <w:t> </w:t>
            </w:r>
            <w:r>
              <w:rPr>
                <w:spacing w:val="-4"/>
                <w:sz w:val="18"/>
              </w:rPr>
              <w:t>yes;</w:t>
            </w:r>
          </w:p>
          <w:p>
            <w:pPr>
              <w:pStyle w:val="TableParagraph"/>
              <w:spacing w:before="219"/>
              <w:ind w:left="101" w:right="238"/>
              <w:rPr>
                <w:sz w:val="18"/>
              </w:rPr>
            </w:pPr>
            <w:r>
              <w:rPr>
                <w:spacing w:val="-2"/>
                <w:sz w:val="18"/>
              </w:rPr>
              <w:t>Reason:</w:t>
            </w:r>
            <w:r>
              <w:rPr>
                <w:sz w:val="18"/>
              </w:rPr>
              <w:t> </w:t>
            </w:r>
            <w:r>
              <w:rPr>
                <w:spacing w:val="-2"/>
                <w:sz w:val="18"/>
              </w:rPr>
              <w:t>Relevant</w:t>
            </w:r>
            <w:r>
              <w:rPr>
                <w:sz w:val="18"/>
              </w:rPr>
              <w:t> </w:t>
            </w:r>
            <w:r>
              <w:rPr>
                <w:spacing w:val="-2"/>
                <w:sz w:val="18"/>
              </w:rPr>
              <w:t>confounders</w:t>
            </w:r>
            <w:r>
              <w:rPr>
                <w:sz w:val="18"/>
              </w:rPr>
              <w:t> were</w:t>
            </w:r>
            <w:r>
              <w:rPr>
                <w:spacing w:val="-11"/>
                <w:sz w:val="18"/>
              </w:rPr>
              <w:t> </w:t>
            </w:r>
            <w:r>
              <w:rPr>
                <w:sz w:val="18"/>
              </w:rPr>
              <w:t>assessed and</w:t>
            </w:r>
            <w:r>
              <w:rPr>
                <w:spacing w:val="-2"/>
                <w:sz w:val="18"/>
              </w:rPr>
              <w:t> </w:t>
            </w:r>
            <w:r>
              <w:rPr>
                <w:sz w:val="18"/>
              </w:rPr>
              <w:t>reported</w:t>
            </w:r>
          </w:p>
        </w:tc>
        <w:tc>
          <w:tcPr>
            <w:tcW w:w="1419" w:type="dxa"/>
          </w:tcPr>
          <w:p>
            <w:pPr>
              <w:pStyle w:val="TableParagraph"/>
              <w:spacing w:before="1"/>
              <w:ind w:left="104"/>
              <w:rPr>
                <w:sz w:val="18"/>
              </w:rPr>
            </w:pPr>
            <w:r>
              <w:rPr>
                <w:sz w:val="18"/>
              </w:rPr>
              <w:t>Probably</w:t>
            </w:r>
            <w:r>
              <w:rPr>
                <w:spacing w:val="-5"/>
                <w:sz w:val="18"/>
              </w:rPr>
              <w:t> no;</w:t>
            </w:r>
          </w:p>
          <w:p>
            <w:pPr>
              <w:pStyle w:val="TableParagraph"/>
              <w:spacing w:before="219"/>
              <w:ind w:left="104"/>
              <w:rPr>
                <w:sz w:val="18"/>
              </w:rPr>
            </w:pPr>
            <w:r>
              <w:rPr>
                <w:spacing w:val="-2"/>
                <w:sz w:val="18"/>
              </w:rPr>
              <w:t>Reason:</w:t>
            </w:r>
          </w:p>
          <w:p>
            <w:pPr>
              <w:pStyle w:val="TableParagraph"/>
              <w:spacing w:before="1"/>
              <w:ind w:left="104" w:right="180"/>
              <w:rPr>
                <w:sz w:val="18"/>
              </w:rPr>
            </w:pPr>
            <w:r>
              <w:rPr>
                <w:sz w:val="18"/>
              </w:rPr>
              <w:t>It</w:t>
            </w:r>
            <w:r>
              <w:rPr>
                <w:spacing w:val="-11"/>
                <w:sz w:val="18"/>
              </w:rPr>
              <w:t> </w:t>
            </w:r>
            <w:r>
              <w:rPr>
                <w:sz w:val="18"/>
              </w:rPr>
              <w:t>is</w:t>
            </w:r>
            <w:r>
              <w:rPr>
                <w:spacing w:val="-10"/>
                <w:sz w:val="18"/>
              </w:rPr>
              <w:t> </w:t>
            </w:r>
            <w:r>
              <w:rPr>
                <w:sz w:val="18"/>
              </w:rPr>
              <w:t>stated</w:t>
            </w:r>
            <w:r>
              <w:rPr>
                <w:spacing w:val="-10"/>
                <w:sz w:val="18"/>
              </w:rPr>
              <w:t> </w:t>
            </w:r>
            <w:r>
              <w:rPr>
                <w:sz w:val="18"/>
              </w:rPr>
              <w:t>that </w:t>
            </w:r>
            <w:r>
              <w:rPr>
                <w:spacing w:val="-2"/>
                <w:sz w:val="18"/>
              </w:rPr>
              <w:t>multivariable</w:t>
            </w:r>
            <w:r>
              <w:rPr>
                <w:sz w:val="18"/>
              </w:rPr>
              <w:t> analyses</w:t>
            </w:r>
            <w:r>
              <w:rPr>
                <w:spacing w:val="-2"/>
                <w:sz w:val="18"/>
              </w:rPr>
              <w:t> </w:t>
            </w:r>
            <w:r>
              <w:rPr>
                <w:sz w:val="18"/>
              </w:rPr>
              <w:t>were conducted,</w:t>
            </w:r>
            <w:r>
              <w:rPr>
                <w:spacing w:val="-11"/>
                <w:sz w:val="18"/>
              </w:rPr>
              <w:t> </w:t>
            </w:r>
            <w:r>
              <w:rPr>
                <w:sz w:val="18"/>
              </w:rPr>
              <w:t>but the results of these</w:t>
            </w:r>
            <w:r>
              <w:rPr>
                <w:spacing w:val="-2"/>
                <w:sz w:val="18"/>
              </w:rPr>
              <w:t> </w:t>
            </w:r>
            <w:r>
              <w:rPr>
                <w:sz w:val="18"/>
              </w:rPr>
              <w:t>analyses are not clearly </w:t>
            </w:r>
            <w:r>
              <w:rPr>
                <w:spacing w:val="-2"/>
                <w:sz w:val="18"/>
              </w:rPr>
              <w:t>reported</w:t>
            </w:r>
          </w:p>
        </w:tc>
        <w:tc>
          <w:tcPr>
            <w:tcW w:w="1416" w:type="dxa"/>
          </w:tcPr>
          <w:p>
            <w:pPr>
              <w:pStyle w:val="TableParagraph"/>
              <w:spacing w:before="1"/>
              <w:ind w:left="103"/>
              <w:rPr>
                <w:sz w:val="18"/>
              </w:rPr>
            </w:pPr>
            <w:r>
              <w:rPr>
                <w:sz w:val="18"/>
              </w:rPr>
              <w:t>Definitely</w:t>
            </w:r>
            <w:r>
              <w:rPr>
                <w:spacing w:val="-7"/>
                <w:sz w:val="18"/>
              </w:rPr>
              <w:t> </w:t>
            </w:r>
            <w:r>
              <w:rPr>
                <w:spacing w:val="-4"/>
                <w:sz w:val="18"/>
              </w:rPr>
              <w:t>yes;</w:t>
            </w:r>
          </w:p>
          <w:p>
            <w:pPr>
              <w:pStyle w:val="TableParagraph"/>
              <w:rPr>
                <w:sz w:val="18"/>
              </w:rPr>
            </w:pPr>
          </w:p>
          <w:p>
            <w:pPr>
              <w:pStyle w:val="TableParagraph"/>
              <w:rPr>
                <w:sz w:val="18"/>
              </w:rPr>
            </w:pPr>
          </w:p>
          <w:p>
            <w:pPr>
              <w:pStyle w:val="TableParagraph"/>
              <w:spacing w:before="1"/>
              <w:ind w:left="103" w:right="229"/>
              <w:rPr>
                <w:sz w:val="18"/>
              </w:rPr>
            </w:pPr>
            <w:r>
              <w:rPr>
                <w:spacing w:val="-2"/>
                <w:sz w:val="18"/>
              </w:rPr>
              <w:t>Reason:</w:t>
            </w:r>
            <w:r>
              <w:rPr>
                <w:sz w:val="18"/>
              </w:rPr>
              <w:t> </w:t>
            </w:r>
            <w:r>
              <w:rPr>
                <w:spacing w:val="-2"/>
                <w:sz w:val="18"/>
              </w:rPr>
              <w:t>Adequate</w:t>
            </w:r>
            <w:r>
              <w:rPr>
                <w:sz w:val="18"/>
              </w:rPr>
              <w:t> methods</w:t>
            </w:r>
            <w:r>
              <w:rPr>
                <w:spacing w:val="-11"/>
                <w:sz w:val="18"/>
              </w:rPr>
              <w:t> </w:t>
            </w:r>
            <w:r>
              <w:rPr>
                <w:sz w:val="18"/>
              </w:rPr>
              <w:t>were used</w:t>
            </w:r>
            <w:r>
              <w:rPr>
                <w:spacing w:val="-11"/>
                <w:sz w:val="18"/>
              </w:rPr>
              <w:t> </w:t>
            </w:r>
            <w:r>
              <w:rPr>
                <w:sz w:val="18"/>
              </w:rPr>
              <w:t>to</w:t>
            </w:r>
            <w:r>
              <w:rPr>
                <w:spacing w:val="-10"/>
                <w:sz w:val="18"/>
              </w:rPr>
              <w:t> </w:t>
            </w:r>
            <w:r>
              <w:rPr>
                <w:sz w:val="18"/>
              </w:rPr>
              <w:t>assess the</w:t>
            </w:r>
            <w:r>
              <w:rPr>
                <w:spacing w:val="-2"/>
                <w:sz w:val="18"/>
              </w:rPr>
              <w:t> </w:t>
            </w:r>
            <w:r>
              <w:rPr>
                <w:sz w:val="18"/>
              </w:rPr>
              <w:t>outcome</w:t>
            </w:r>
          </w:p>
        </w:tc>
        <w:tc>
          <w:tcPr>
            <w:tcW w:w="1277" w:type="dxa"/>
          </w:tcPr>
          <w:p>
            <w:pPr>
              <w:pStyle w:val="TableParagraph"/>
              <w:spacing w:before="1"/>
              <w:ind w:left="103"/>
              <w:rPr>
                <w:sz w:val="18"/>
              </w:rPr>
            </w:pPr>
            <w:r>
              <w:rPr>
                <w:sz w:val="18"/>
              </w:rPr>
              <w:t>Definitely</w:t>
            </w:r>
            <w:r>
              <w:rPr>
                <w:spacing w:val="-7"/>
                <w:sz w:val="18"/>
              </w:rPr>
              <w:t> </w:t>
            </w:r>
            <w:r>
              <w:rPr>
                <w:spacing w:val="-4"/>
                <w:sz w:val="18"/>
              </w:rPr>
              <w:t>yes;</w:t>
            </w:r>
          </w:p>
          <w:p>
            <w:pPr>
              <w:pStyle w:val="TableParagraph"/>
              <w:rPr>
                <w:sz w:val="18"/>
              </w:rPr>
            </w:pPr>
          </w:p>
          <w:p>
            <w:pPr>
              <w:pStyle w:val="TableParagraph"/>
              <w:rPr>
                <w:sz w:val="18"/>
              </w:rPr>
            </w:pPr>
          </w:p>
          <w:p>
            <w:pPr>
              <w:pStyle w:val="TableParagraph"/>
              <w:spacing w:before="1"/>
              <w:ind w:left="103" w:right="95"/>
              <w:rPr>
                <w:sz w:val="18"/>
              </w:rPr>
            </w:pPr>
            <w:r>
              <w:rPr>
                <w:spacing w:val="-2"/>
                <w:sz w:val="18"/>
              </w:rPr>
              <w:t>Reason:</w:t>
            </w:r>
            <w:r>
              <w:rPr>
                <w:sz w:val="18"/>
              </w:rPr>
              <w:t> Outcome</w:t>
            </w:r>
            <w:r>
              <w:rPr>
                <w:spacing w:val="-11"/>
                <w:sz w:val="18"/>
              </w:rPr>
              <w:t> </w:t>
            </w:r>
            <w:r>
              <w:rPr>
                <w:sz w:val="18"/>
              </w:rPr>
              <w:t>data was</w:t>
            </w:r>
            <w:r>
              <w:rPr>
                <w:spacing w:val="-2"/>
                <w:sz w:val="18"/>
              </w:rPr>
              <w:t> </w:t>
            </w:r>
            <w:r>
              <w:rPr>
                <w:sz w:val="18"/>
              </w:rPr>
              <w:t>available for</w:t>
            </w:r>
            <w:r>
              <w:rPr>
                <w:spacing w:val="-11"/>
                <w:sz w:val="18"/>
              </w:rPr>
              <w:t> </w:t>
            </w:r>
            <w:r>
              <w:rPr>
                <w:sz w:val="18"/>
              </w:rPr>
              <w:t>all</w:t>
            </w:r>
            <w:r>
              <w:rPr>
                <w:spacing w:val="-10"/>
                <w:sz w:val="18"/>
              </w:rPr>
              <w:t> </w:t>
            </w:r>
            <w:r>
              <w:rPr>
                <w:sz w:val="18"/>
              </w:rPr>
              <w:t>patients</w:t>
            </w:r>
          </w:p>
        </w:tc>
        <w:tc>
          <w:tcPr>
            <w:tcW w:w="1278" w:type="dxa"/>
          </w:tcPr>
          <w:p>
            <w:pPr>
              <w:pStyle w:val="TableParagraph"/>
              <w:spacing w:before="1"/>
              <w:ind w:left="103" w:right="225"/>
              <w:rPr>
                <w:sz w:val="18"/>
              </w:rPr>
            </w:pPr>
            <w:r>
              <w:rPr>
                <w:spacing w:val="-6"/>
                <w:sz w:val="18"/>
              </w:rPr>
              <w:t>No</w:t>
            </w:r>
            <w:r>
              <w:rPr>
                <w:sz w:val="18"/>
              </w:rPr>
              <w:t> </w:t>
            </w:r>
            <w:r>
              <w:rPr>
                <w:spacing w:val="-2"/>
                <w:sz w:val="18"/>
              </w:rPr>
              <w:t>information</w:t>
            </w:r>
          </w:p>
        </w:tc>
        <w:tc>
          <w:tcPr>
            <w:tcW w:w="1844" w:type="dxa"/>
          </w:tcPr>
          <w:p>
            <w:pPr>
              <w:pStyle w:val="TableParagraph"/>
              <w:spacing w:before="1"/>
              <w:ind w:left="100"/>
              <w:rPr>
                <w:b/>
                <w:sz w:val="18"/>
              </w:rPr>
            </w:pPr>
            <w:r>
              <w:rPr>
                <w:b/>
                <w:sz w:val="18"/>
              </w:rPr>
              <w:t>Some</w:t>
            </w:r>
            <w:r>
              <w:rPr>
                <w:b/>
                <w:spacing w:val="-4"/>
                <w:sz w:val="18"/>
              </w:rPr>
              <w:t> </w:t>
            </w:r>
            <w:r>
              <w:rPr>
                <w:b/>
                <w:spacing w:val="-2"/>
                <w:sz w:val="18"/>
              </w:rPr>
              <w:t>concerns;</w:t>
            </w:r>
          </w:p>
          <w:p>
            <w:pPr>
              <w:pStyle w:val="TableParagraph"/>
              <w:spacing w:before="219"/>
              <w:ind w:left="100"/>
              <w:rPr>
                <w:b/>
                <w:sz w:val="18"/>
              </w:rPr>
            </w:pPr>
            <w:r>
              <w:rPr>
                <w:b/>
                <w:spacing w:val="-2"/>
                <w:sz w:val="18"/>
              </w:rPr>
              <w:t>Reason:</w:t>
            </w:r>
          </w:p>
          <w:p>
            <w:pPr>
              <w:pStyle w:val="TableParagraph"/>
              <w:spacing w:before="1"/>
              <w:ind w:left="100" w:right="106"/>
              <w:rPr>
                <w:b/>
                <w:sz w:val="18"/>
              </w:rPr>
            </w:pPr>
            <w:r>
              <w:rPr>
                <w:b/>
                <w:sz w:val="18"/>
              </w:rPr>
              <w:t>It is not clear</w:t>
            </w:r>
            <w:r>
              <w:rPr>
                <w:b/>
                <w:spacing w:val="40"/>
                <w:sz w:val="18"/>
              </w:rPr>
              <w:t> </w:t>
            </w:r>
            <w:r>
              <w:rPr>
                <w:b/>
                <w:sz w:val="18"/>
              </w:rPr>
              <w:t>whether the outcomes of interest were not present at the</w:t>
            </w:r>
            <w:r>
              <w:rPr>
                <w:b/>
                <w:spacing w:val="-10"/>
                <w:sz w:val="18"/>
              </w:rPr>
              <w:t> </w:t>
            </w:r>
            <w:r>
              <w:rPr>
                <w:b/>
                <w:sz w:val="18"/>
              </w:rPr>
              <w:t>start</w:t>
            </w:r>
            <w:r>
              <w:rPr>
                <w:b/>
                <w:spacing w:val="-10"/>
                <w:sz w:val="18"/>
              </w:rPr>
              <w:t> </w:t>
            </w:r>
            <w:r>
              <w:rPr>
                <w:b/>
                <w:sz w:val="18"/>
              </w:rPr>
              <w:t>of</w:t>
            </w:r>
            <w:r>
              <w:rPr>
                <w:b/>
                <w:spacing w:val="-10"/>
                <w:sz w:val="18"/>
              </w:rPr>
              <w:t> </w:t>
            </w:r>
            <w:r>
              <w:rPr>
                <w:b/>
                <w:sz w:val="18"/>
              </w:rPr>
              <w:t>the</w:t>
            </w:r>
            <w:r>
              <w:rPr>
                <w:b/>
                <w:spacing w:val="-10"/>
                <w:sz w:val="18"/>
              </w:rPr>
              <w:t> </w:t>
            </w:r>
            <w:r>
              <w:rPr>
                <w:b/>
                <w:sz w:val="18"/>
              </w:rPr>
              <w:t>study, it is unclear whether </w:t>
            </w:r>
            <w:r>
              <w:rPr>
                <w:b/>
                <w:spacing w:val="-2"/>
                <w:sz w:val="18"/>
              </w:rPr>
              <w:t>multivariable</w:t>
            </w:r>
            <w:r>
              <w:rPr>
                <w:b/>
                <w:spacing w:val="40"/>
                <w:sz w:val="18"/>
              </w:rPr>
              <w:t> </w:t>
            </w:r>
            <w:r>
              <w:rPr>
                <w:b/>
                <w:sz w:val="18"/>
              </w:rPr>
              <w:t>analyses were</w:t>
            </w:r>
          </w:p>
          <w:p>
            <w:pPr>
              <w:pStyle w:val="TableParagraph"/>
              <w:spacing w:line="201" w:lineRule="exact"/>
              <w:ind w:left="100"/>
              <w:rPr>
                <w:b/>
                <w:sz w:val="18"/>
              </w:rPr>
            </w:pPr>
            <w:r>
              <w:rPr>
                <w:b/>
                <w:spacing w:val="-2"/>
                <w:sz w:val="18"/>
              </w:rPr>
              <w:t>conducted</w:t>
            </w:r>
          </w:p>
        </w:tc>
      </w:tr>
    </w:tbl>
    <w:p>
      <w:pPr>
        <w:pStyle w:val="BodyText"/>
        <w:spacing w:before="201"/>
      </w:pPr>
    </w:p>
    <w:p>
      <w:pPr>
        <w:pStyle w:val="BodyText"/>
        <w:spacing w:line="278" w:lineRule="auto"/>
        <w:ind w:left="23" w:right="335"/>
      </w:pPr>
      <w:r>
        <w:rPr/>
        <w:t>Table</w:t>
      </w:r>
      <w:r>
        <w:rPr>
          <w:spacing w:val="-7"/>
        </w:rPr>
        <w:t> </w:t>
      </w:r>
      <w:r>
        <w:rPr/>
        <w:t>3.3.2.</w:t>
      </w:r>
      <w:r>
        <w:rPr>
          <w:spacing w:val="-6"/>
        </w:rPr>
        <w:t> </w:t>
      </w:r>
      <w:r>
        <w:rPr/>
        <w:t>Risk</w:t>
      </w:r>
      <w:r>
        <w:rPr>
          <w:spacing w:val="-7"/>
        </w:rPr>
        <w:t> </w:t>
      </w:r>
      <w:r>
        <w:rPr/>
        <w:t>of</w:t>
      </w:r>
      <w:r>
        <w:rPr>
          <w:spacing w:val="-8"/>
        </w:rPr>
        <w:t> </w:t>
      </w:r>
      <w:r>
        <w:rPr/>
        <w:t>bias</w:t>
      </w:r>
      <w:r>
        <w:rPr>
          <w:spacing w:val="-8"/>
        </w:rPr>
        <w:t> </w:t>
      </w:r>
      <w:r>
        <w:rPr/>
        <w:t>table</w:t>
      </w:r>
      <w:r>
        <w:rPr>
          <w:spacing w:val="-5"/>
        </w:rPr>
        <w:t> </w:t>
      </w:r>
      <w:r>
        <w:rPr/>
        <w:t>for</w:t>
      </w:r>
      <w:r>
        <w:rPr>
          <w:spacing w:val="-8"/>
        </w:rPr>
        <w:t> </w:t>
      </w:r>
      <w:r>
        <w:rPr/>
        <w:t>intervention</w:t>
      </w:r>
      <w:r>
        <w:rPr>
          <w:spacing w:val="-6"/>
        </w:rPr>
        <w:t> </w:t>
      </w:r>
      <w:r>
        <w:rPr/>
        <w:t>studies</w:t>
      </w:r>
      <w:r>
        <w:rPr>
          <w:spacing w:val="-8"/>
        </w:rPr>
        <w:t> </w:t>
      </w:r>
      <w:r>
        <w:rPr/>
        <w:t>(randomized</w:t>
      </w:r>
      <w:r>
        <w:rPr>
          <w:spacing w:val="-8"/>
        </w:rPr>
        <w:t> </w:t>
      </w:r>
      <w:r>
        <w:rPr/>
        <w:t>controlled</w:t>
      </w:r>
      <w:r>
        <w:rPr>
          <w:spacing w:val="-8"/>
        </w:rPr>
        <w:t> </w:t>
      </w:r>
      <w:r>
        <w:rPr/>
        <w:t>trials;</w:t>
      </w:r>
      <w:r>
        <w:rPr>
          <w:spacing w:val="-5"/>
        </w:rPr>
        <w:t> </w:t>
      </w:r>
      <w:r>
        <w:rPr/>
        <w:t>based</w:t>
      </w:r>
      <w:r>
        <w:rPr>
          <w:spacing w:val="-8"/>
        </w:rPr>
        <w:t> </w:t>
      </w:r>
      <w:r>
        <w:rPr/>
        <w:t>on</w:t>
      </w:r>
      <w:r>
        <w:rPr>
          <w:spacing w:val="-9"/>
        </w:rPr>
        <w:t> </w:t>
      </w:r>
      <w:r>
        <w:rPr/>
        <w:t>Cochrane</w:t>
      </w:r>
      <w:r>
        <w:rPr>
          <w:spacing w:val="-5"/>
        </w:rPr>
        <w:t> </w:t>
      </w:r>
      <w:r>
        <w:rPr/>
        <w:t>risk</w:t>
      </w:r>
      <w:r>
        <w:rPr>
          <w:spacing w:val="-8"/>
        </w:rPr>
        <w:t> </w:t>
      </w:r>
      <w:r>
        <w:rPr/>
        <w:t>of</w:t>
      </w:r>
      <w:r>
        <w:rPr>
          <w:spacing w:val="-11"/>
        </w:rPr>
        <w:t> </w:t>
      </w:r>
      <w:r>
        <w:rPr/>
        <w:t>bias</w:t>
      </w:r>
      <w:r>
        <w:rPr>
          <w:spacing w:val="-6"/>
        </w:rPr>
        <w:t> </w:t>
      </w:r>
      <w:r>
        <w:rPr/>
        <w:t>tool</w:t>
      </w:r>
      <w:r>
        <w:rPr>
          <w:spacing w:val="-8"/>
        </w:rPr>
        <w:t> </w:t>
      </w:r>
      <w:r>
        <w:rPr/>
        <w:t>and</w:t>
      </w:r>
      <w:r>
        <w:rPr>
          <w:spacing w:val="-9"/>
        </w:rPr>
        <w:t> </w:t>
      </w:r>
      <w:r>
        <w:rPr/>
        <w:t>suggestions</w:t>
      </w:r>
      <w:r>
        <w:rPr>
          <w:spacing w:val="-6"/>
        </w:rPr>
        <w:t> </w:t>
      </w:r>
      <w:r>
        <w:rPr/>
        <w:t>by</w:t>
      </w:r>
      <w:r>
        <w:rPr>
          <w:spacing w:val="-7"/>
        </w:rPr>
        <w:t> </w:t>
      </w:r>
      <w:r>
        <w:rPr/>
        <w:t>the</w:t>
      </w:r>
      <w:r>
        <w:rPr>
          <w:spacing w:val="-8"/>
        </w:rPr>
        <w:t> </w:t>
      </w:r>
      <w:r>
        <w:rPr/>
        <w:t>CLARITY</w:t>
      </w:r>
      <w:r>
        <w:rPr>
          <w:spacing w:val="-8"/>
        </w:rPr>
        <w:t> </w:t>
      </w:r>
      <w:r>
        <w:rPr/>
        <w:t>Group at McMaster University)</w:t>
      </w:r>
    </w:p>
    <w:p>
      <w:pPr>
        <w:pStyle w:val="BodyText"/>
        <w:spacing w:before="4"/>
        <w:rPr>
          <w:sz w:val="13"/>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19"/>
        <w:gridCol w:w="2136"/>
        <w:gridCol w:w="2127"/>
        <w:gridCol w:w="2835"/>
        <w:gridCol w:w="1416"/>
        <w:gridCol w:w="1277"/>
        <w:gridCol w:w="1278"/>
        <w:gridCol w:w="1844"/>
      </w:tblGrid>
      <w:tr>
        <w:trPr>
          <w:trHeight w:val="4092" w:hRule="atLeast"/>
        </w:trPr>
        <w:tc>
          <w:tcPr>
            <w:tcW w:w="1119" w:type="dxa"/>
            <w:shd w:val="clear" w:color="auto" w:fill="BEBEBE"/>
          </w:tcPr>
          <w:p>
            <w:pPr>
              <w:pStyle w:val="TableParagraph"/>
              <w:spacing w:line="280" w:lineRule="auto"/>
              <w:ind w:left="105" w:right="277"/>
              <w:rPr>
                <w:b/>
                <w:sz w:val="18"/>
              </w:rPr>
            </w:pPr>
            <w:r>
              <w:rPr>
                <w:b/>
                <w:spacing w:val="-2"/>
                <w:sz w:val="18"/>
              </w:rPr>
              <w:t>Study</w:t>
            </w:r>
            <w:r>
              <w:rPr>
                <w:b/>
                <w:sz w:val="18"/>
              </w:rPr>
              <w:t> </w:t>
            </w:r>
            <w:r>
              <w:rPr>
                <w:b/>
                <w:spacing w:val="-2"/>
                <w:sz w:val="18"/>
              </w:rPr>
              <w:t>reference</w:t>
            </w:r>
          </w:p>
          <w:p>
            <w:pPr>
              <w:pStyle w:val="TableParagraph"/>
              <w:rPr>
                <w:sz w:val="18"/>
              </w:rPr>
            </w:pPr>
          </w:p>
          <w:p>
            <w:pPr>
              <w:pStyle w:val="TableParagraph"/>
              <w:spacing w:before="132"/>
              <w:rPr>
                <w:sz w:val="18"/>
              </w:rPr>
            </w:pPr>
          </w:p>
          <w:p>
            <w:pPr>
              <w:pStyle w:val="TableParagraph"/>
              <w:spacing w:line="278" w:lineRule="auto"/>
              <w:ind w:left="105" w:right="162"/>
              <w:rPr>
                <w:sz w:val="18"/>
              </w:rPr>
            </w:pPr>
            <w:r>
              <w:rPr>
                <w:spacing w:val="-2"/>
                <w:sz w:val="18"/>
              </w:rPr>
              <w:t>(first</w:t>
            </w:r>
            <w:r>
              <w:rPr>
                <w:sz w:val="18"/>
              </w:rPr>
              <w:t> </w:t>
            </w:r>
            <w:r>
              <w:rPr>
                <w:spacing w:val="-2"/>
                <w:sz w:val="18"/>
              </w:rPr>
              <w:t>author,</w:t>
            </w:r>
            <w:r>
              <w:rPr>
                <w:sz w:val="18"/>
              </w:rPr>
              <w:t> </w:t>
            </w:r>
            <w:r>
              <w:rPr>
                <w:spacing w:val="-2"/>
                <w:sz w:val="18"/>
              </w:rPr>
              <w:t>publication</w:t>
            </w:r>
            <w:r>
              <w:rPr>
                <w:sz w:val="18"/>
              </w:rPr>
              <w:t> </w:t>
            </w:r>
            <w:r>
              <w:rPr>
                <w:spacing w:val="-2"/>
                <w:sz w:val="18"/>
              </w:rPr>
              <w:t>year)</w:t>
            </w:r>
          </w:p>
        </w:tc>
        <w:tc>
          <w:tcPr>
            <w:tcW w:w="2136" w:type="dxa"/>
            <w:shd w:val="clear" w:color="auto" w:fill="BEBEBE"/>
          </w:tcPr>
          <w:p>
            <w:pPr>
              <w:pStyle w:val="TableParagraph"/>
              <w:spacing w:line="278" w:lineRule="auto"/>
              <w:ind w:left="105"/>
              <w:rPr>
                <w:b/>
                <w:sz w:val="18"/>
              </w:rPr>
            </w:pPr>
            <w:r>
              <w:rPr>
                <w:b/>
                <w:sz w:val="18"/>
              </w:rPr>
              <w:t>Was the allocation </w:t>
            </w:r>
            <w:r>
              <w:rPr>
                <w:b/>
                <w:spacing w:val="-2"/>
                <w:sz w:val="18"/>
              </w:rPr>
              <w:t>sequence</w:t>
            </w:r>
            <w:r>
              <w:rPr>
                <w:b/>
                <w:spacing w:val="-6"/>
                <w:sz w:val="18"/>
              </w:rPr>
              <w:t> </w:t>
            </w:r>
            <w:r>
              <w:rPr>
                <w:b/>
                <w:spacing w:val="-2"/>
                <w:sz w:val="18"/>
              </w:rPr>
              <w:t>adequately</w:t>
            </w:r>
            <w:r>
              <w:rPr>
                <w:b/>
                <w:sz w:val="18"/>
              </w:rPr>
              <w:t> </w:t>
            </w:r>
            <w:r>
              <w:rPr>
                <w:b/>
                <w:spacing w:val="-2"/>
                <w:sz w:val="18"/>
              </w:rPr>
              <w:t>generated?</w:t>
            </w:r>
          </w:p>
        </w:tc>
        <w:tc>
          <w:tcPr>
            <w:tcW w:w="2127" w:type="dxa"/>
            <w:shd w:val="clear" w:color="auto" w:fill="BEBEBE"/>
          </w:tcPr>
          <w:p>
            <w:pPr>
              <w:pStyle w:val="TableParagraph"/>
              <w:spacing w:line="280" w:lineRule="auto"/>
              <w:ind w:left="105" w:right="278"/>
              <w:rPr>
                <w:b/>
                <w:sz w:val="18"/>
              </w:rPr>
            </w:pPr>
            <w:r>
              <w:rPr>
                <w:b/>
                <w:sz w:val="18"/>
              </w:rPr>
              <w:t>Was the allocation adequately</w:t>
            </w:r>
            <w:r>
              <w:rPr>
                <w:b/>
                <w:spacing w:val="-11"/>
                <w:sz w:val="18"/>
              </w:rPr>
              <w:t> </w:t>
            </w:r>
            <w:r>
              <w:rPr>
                <w:b/>
                <w:sz w:val="18"/>
              </w:rPr>
              <w:t>concealed?</w:t>
            </w:r>
          </w:p>
        </w:tc>
        <w:tc>
          <w:tcPr>
            <w:tcW w:w="2835" w:type="dxa"/>
            <w:shd w:val="clear" w:color="auto" w:fill="BEBEBE"/>
          </w:tcPr>
          <w:p>
            <w:pPr>
              <w:pStyle w:val="TableParagraph"/>
              <w:spacing w:line="280" w:lineRule="auto"/>
              <w:ind w:left="102" w:right="128"/>
              <w:rPr>
                <w:b/>
                <w:sz w:val="18"/>
              </w:rPr>
            </w:pPr>
            <w:r>
              <w:rPr>
                <w:b/>
                <w:sz w:val="18"/>
              </w:rPr>
              <w:t>Blinding:</w:t>
            </w:r>
            <w:r>
              <w:rPr>
                <w:b/>
                <w:spacing w:val="-10"/>
                <w:sz w:val="18"/>
              </w:rPr>
              <w:t> </w:t>
            </w:r>
            <w:r>
              <w:rPr>
                <w:b/>
                <w:sz w:val="18"/>
              </w:rPr>
              <w:t>Was</w:t>
            </w:r>
            <w:r>
              <w:rPr>
                <w:b/>
                <w:spacing w:val="-10"/>
                <w:sz w:val="18"/>
              </w:rPr>
              <w:t> </w:t>
            </w:r>
            <w:r>
              <w:rPr>
                <w:b/>
                <w:sz w:val="18"/>
              </w:rPr>
              <w:t>knowledge</w:t>
            </w:r>
            <w:r>
              <w:rPr>
                <w:b/>
                <w:spacing w:val="-10"/>
                <w:sz w:val="18"/>
              </w:rPr>
              <w:t> </w:t>
            </w:r>
            <w:r>
              <w:rPr>
                <w:b/>
                <w:sz w:val="18"/>
              </w:rPr>
              <w:t>of</w:t>
            </w:r>
            <w:r>
              <w:rPr>
                <w:b/>
                <w:spacing w:val="-10"/>
                <w:sz w:val="18"/>
              </w:rPr>
              <w:t> </w:t>
            </w:r>
            <w:r>
              <w:rPr>
                <w:b/>
                <w:sz w:val="18"/>
              </w:rPr>
              <w:t>the </w:t>
            </w:r>
            <w:r>
              <w:rPr>
                <w:b/>
                <w:spacing w:val="-2"/>
                <w:sz w:val="18"/>
              </w:rPr>
              <w:t>allocated</w:t>
            </w:r>
          </w:p>
          <w:p>
            <w:pPr>
              <w:pStyle w:val="TableParagraph"/>
              <w:spacing w:line="278" w:lineRule="auto" w:before="157"/>
              <w:ind w:left="102" w:right="128"/>
              <w:rPr>
                <w:b/>
                <w:sz w:val="18"/>
              </w:rPr>
            </w:pPr>
            <w:r>
              <w:rPr>
                <w:b/>
                <w:spacing w:val="-2"/>
                <w:sz w:val="18"/>
              </w:rPr>
              <w:t>interventions </w:t>
            </w:r>
            <w:r>
              <w:rPr>
                <w:b/>
                <w:spacing w:val="-2"/>
                <w:sz w:val="18"/>
              </w:rPr>
              <w:t>adequately</w:t>
            </w:r>
            <w:r>
              <w:rPr>
                <w:b/>
                <w:sz w:val="18"/>
              </w:rPr>
              <w:t> </w:t>
            </w:r>
            <w:r>
              <w:rPr>
                <w:b/>
                <w:spacing w:val="-2"/>
                <w:sz w:val="18"/>
              </w:rPr>
              <w:t>prevented?</w:t>
            </w:r>
          </w:p>
          <w:p>
            <w:pPr>
              <w:pStyle w:val="TableParagraph"/>
              <w:spacing w:before="159"/>
              <w:ind w:left="102"/>
              <w:rPr>
                <w:b/>
                <w:sz w:val="18"/>
              </w:rPr>
            </w:pPr>
            <w:r>
              <w:rPr>
                <w:b/>
                <w:sz w:val="18"/>
              </w:rPr>
              <w:t>Were</w:t>
            </w:r>
            <w:r>
              <w:rPr>
                <w:b/>
                <w:spacing w:val="-3"/>
                <w:sz w:val="18"/>
              </w:rPr>
              <w:t> </w:t>
            </w:r>
            <w:r>
              <w:rPr>
                <w:b/>
                <w:sz w:val="18"/>
              </w:rPr>
              <w:t>patients</w:t>
            </w:r>
            <w:r>
              <w:rPr>
                <w:b/>
                <w:spacing w:val="-2"/>
                <w:sz w:val="18"/>
              </w:rPr>
              <w:t> blinded?</w:t>
            </w:r>
          </w:p>
          <w:p>
            <w:pPr>
              <w:pStyle w:val="TableParagraph"/>
              <w:spacing w:line="278" w:lineRule="auto" w:before="198"/>
              <w:ind w:left="102" w:right="128"/>
              <w:rPr>
                <w:b/>
                <w:sz w:val="18"/>
              </w:rPr>
            </w:pPr>
            <w:r>
              <w:rPr>
                <w:b/>
                <w:sz w:val="18"/>
              </w:rPr>
              <w:t>Were</w:t>
            </w:r>
            <w:r>
              <w:rPr>
                <w:b/>
                <w:spacing w:val="-11"/>
                <w:sz w:val="18"/>
              </w:rPr>
              <w:t> </w:t>
            </w:r>
            <w:r>
              <w:rPr>
                <w:b/>
                <w:sz w:val="18"/>
              </w:rPr>
              <w:t>healthcare</w:t>
            </w:r>
            <w:r>
              <w:rPr>
                <w:b/>
                <w:spacing w:val="-10"/>
                <w:sz w:val="18"/>
              </w:rPr>
              <w:t> </w:t>
            </w:r>
            <w:r>
              <w:rPr>
                <w:b/>
                <w:sz w:val="18"/>
              </w:rPr>
              <w:t>providers </w:t>
            </w:r>
            <w:r>
              <w:rPr>
                <w:b/>
                <w:spacing w:val="-2"/>
                <w:sz w:val="18"/>
              </w:rPr>
              <w:t>blinded?</w:t>
            </w:r>
          </w:p>
          <w:p>
            <w:pPr>
              <w:pStyle w:val="TableParagraph"/>
              <w:spacing w:line="453" w:lineRule="auto" w:before="160"/>
              <w:ind w:left="102" w:right="128"/>
              <w:rPr>
                <w:b/>
                <w:sz w:val="18"/>
              </w:rPr>
            </w:pPr>
            <w:r>
              <w:rPr>
                <w:b/>
                <w:sz w:val="18"/>
              </w:rPr>
              <w:t>Were data collectors blinded? Were</w:t>
            </w:r>
            <w:r>
              <w:rPr>
                <w:b/>
                <w:spacing w:val="-11"/>
                <w:sz w:val="18"/>
              </w:rPr>
              <w:t> </w:t>
            </w:r>
            <w:r>
              <w:rPr>
                <w:b/>
                <w:sz w:val="18"/>
              </w:rPr>
              <w:t>outcome</w:t>
            </w:r>
            <w:r>
              <w:rPr>
                <w:b/>
                <w:spacing w:val="-10"/>
                <w:sz w:val="18"/>
              </w:rPr>
              <w:t> </w:t>
            </w:r>
            <w:r>
              <w:rPr>
                <w:b/>
                <w:sz w:val="18"/>
              </w:rPr>
              <w:t>assessors</w:t>
            </w:r>
            <w:r>
              <w:rPr>
                <w:b/>
                <w:spacing w:val="-10"/>
                <w:sz w:val="18"/>
              </w:rPr>
              <w:t> </w:t>
            </w:r>
            <w:r>
              <w:rPr>
                <w:b/>
                <w:sz w:val="18"/>
              </w:rPr>
              <w:t>blinded? Were data analysts blinded?</w:t>
            </w:r>
          </w:p>
        </w:tc>
        <w:tc>
          <w:tcPr>
            <w:tcW w:w="1416" w:type="dxa"/>
            <w:shd w:val="clear" w:color="auto" w:fill="BEBEBE"/>
          </w:tcPr>
          <w:p>
            <w:pPr>
              <w:pStyle w:val="TableParagraph"/>
              <w:spacing w:line="278" w:lineRule="auto"/>
              <w:ind w:left="104" w:right="197"/>
              <w:rPr>
                <w:b/>
                <w:sz w:val="18"/>
              </w:rPr>
            </w:pPr>
            <w:r>
              <w:rPr>
                <w:b/>
                <w:sz w:val="18"/>
              </w:rPr>
              <w:t>Was loss to </w:t>
            </w:r>
            <w:r>
              <w:rPr>
                <w:b/>
                <w:spacing w:val="-2"/>
                <w:sz w:val="18"/>
              </w:rPr>
              <w:t>follow-up</w:t>
            </w:r>
            <w:r>
              <w:rPr>
                <w:b/>
                <w:sz w:val="18"/>
              </w:rPr>
              <w:t> </w:t>
            </w:r>
            <w:r>
              <w:rPr>
                <w:b/>
                <w:spacing w:val="-2"/>
                <w:sz w:val="18"/>
              </w:rPr>
              <w:t>(missing</w:t>
            </w:r>
            <w:r>
              <w:rPr>
                <w:b/>
                <w:sz w:val="18"/>
              </w:rPr>
              <w:t> outcome</w:t>
            </w:r>
            <w:r>
              <w:rPr>
                <w:b/>
                <w:spacing w:val="-11"/>
                <w:sz w:val="18"/>
              </w:rPr>
              <w:t> </w:t>
            </w:r>
            <w:r>
              <w:rPr>
                <w:b/>
                <w:sz w:val="18"/>
              </w:rPr>
              <w:t>data) </w:t>
            </w:r>
            <w:r>
              <w:rPr>
                <w:b/>
                <w:spacing w:val="-2"/>
                <w:sz w:val="18"/>
              </w:rPr>
              <w:t>infrequent?</w:t>
            </w:r>
          </w:p>
        </w:tc>
        <w:tc>
          <w:tcPr>
            <w:tcW w:w="1277" w:type="dxa"/>
            <w:shd w:val="clear" w:color="auto" w:fill="BEBEBE"/>
          </w:tcPr>
          <w:p>
            <w:pPr>
              <w:pStyle w:val="TableParagraph"/>
              <w:spacing w:line="278" w:lineRule="auto"/>
              <w:ind w:left="104" w:right="95"/>
              <w:rPr>
                <w:b/>
                <w:sz w:val="18"/>
              </w:rPr>
            </w:pPr>
            <w:r>
              <w:rPr>
                <w:b/>
                <w:sz w:val="18"/>
              </w:rPr>
              <w:t>Are</w:t>
            </w:r>
            <w:r>
              <w:rPr>
                <w:b/>
                <w:spacing w:val="-11"/>
                <w:sz w:val="18"/>
              </w:rPr>
              <w:t> </w:t>
            </w:r>
            <w:r>
              <w:rPr>
                <w:b/>
                <w:sz w:val="18"/>
              </w:rPr>
              <w:t>reports</w:t>
            </w:r>
            <w:r>
              <w:rPr>
                <w:b/>
                <w:spacing w:val="-10"/>
                <w:sz w:val="18"/>
              </w:rPr>
              <w:t> </w:t>
            </w:r>
            <w:r>
              <w:rPr>
                <w:b/>
                <w:sz w:val="18"/>
              </w:rPr>
              <w:t>of the</w:t>
            </w:r>
            <w:r>
              <w:rPr>
                <w:b/>
                <w:spacing w:val="-11"/>
                <w:sz w:val="18"/>
              </w:rPr>
              <w:t> </w:t>
            </w:r>
            <w:r>
              <w:rPr>
                <w:b/>
                <w:sz w:val="18"/>
              </w:rPr>
              <w:t>study</w:t>
            </w:r>
            <w:r>
              <w:rPr>
                <w:b/>
                <w:spacing w:val="-10"/>
                <w:sz w:val="18"/>
              </w:rPr>
              <w:t> </w:t>
            </w:r>
            <w:r>
              <w:rPr>
                <w:b/>
                <w:sz w:val="18"/>
              </w:rPr>
              <w:t>free of selective </w:t>
            </w:r>
            <w:r>
              <w:rPr>
                <w:b/>
                <w:spacing w:val="-2"/>
                <w:sz w:val="18"/>
              </w:rPr>
              <w:t>outcome</w:t>
            </w:r>
            <w:r>
              <w:rPr>
                <w:b/>
                <w:sz w:val="18"/>
              </w:rPr>
              <w:t> </w:t>
            </w:r>
            <w:r>
              <w:rPr>
                <w:b/>
                <w:spacing w:val="-2"/>
                <w:sz w:val="18"/>
              </w:rPr>
              <w:t>reporting?</w:t>
            </w:r>
          </w:p>
        </w:tc>
        <w:tc>
          <w:tcPr>
            <w:tcW w:w="1278" w:type="dxa"/>
            <w:shd w:val="clear" w:color="auto" w:fill="BEBEBE"/>
          </w:tcPr>
          <w:p>
            <w:pPr>
              <w:pStyle w:val="TableParagraph"/>
              <w:spacing w:line="278" w:lineRule="auto"/>
              <w:ind w:left="104" w:right="100"/>
              <w:rPr>
                <w:b/>
                <w:sz w:val="18"/>
              </w:rPr>
            </w:pPr>
            <w:r>
              <w:rPr>
                <w:b/>
                <w:sz w:val="18"/>
              </w:rPr>
              <w:t>Was the</w:t>
            </w:r>
            <w:r>
              <w:rPr>
                <w:b/>
                <w:spacing w:val="80"/>
                <w:sz w:val="18"/>
              </w:rPr>
              <w:t> </w:t>
            </w:r>
            <w:r>
              <w:rPr>
                <w:b/>
                <w:spacing w:val="-2"/>
                <w:sz w:val="18"/>
              </w:rPr>
              <w:t>study</w:t>
            </w:r>
            <w:r>
              <w:rPr>
                <w:b/>
                <w:sz w:val="18"/>
              </w:rPr>
              <w:t> </w:t>
            </w:r>
            <w:r>
              <w:rPr>
                <w:b/>
                <w:spacing w:val="-2"/>
                <w:sz w:val="18"/>
              </w:rPr>
              <w:t>apparently</w:t>
            </w:r>
            <w:r>
              <w:rPr>
                <w:b/>
                <w:sz w:val="18"/>
              </w:rPr>
              <w:t> free of other problems</w:t>
            </w:r>
            <w:r>
              <w:rPr>
                <w:b/>
                <w:spacing w:val="-11"/>
                <w:sz w:val="18"/>
              </w:rPr>
              <w:t> </w:t>
            </w:r>
            <w:r>
              <w:rPr>
                <w:b/>
                <w:sz w:val="18"/>
              </w:rPr>
              <w:t>that could</w:t>
            </w:r>
            <w:r>
              <w:rPr>
                <w:b/>
                <w:spacing w:val="-10"/>
                <w:sz w:val="18"/>
              </w:rPr>
              <w:t> </w:t>
            </w:r>
            <w:r>
              <w:rPr>
                <w:b/>
                <w:sz w:val="18"/>
              </w:rPr>
              <w:t>put</w:t>
            </w:r>
            <w:r>
              <w:rPr>
                <w:b/>
                <w:spacing w:val="-9"/>
                <w:sz w:val="18"/>
              </w:rPr>
              <w:t> </w:t>
            </w:r>
            <w:r>
              <w:rPr>
                <w:b/>
                <w:sz w:val="18"/>
              </w:rPr>
              <w:t>it</w:t>
            </w:r>
            <w:r>
              <w:rPr>
                <w:b/>
                <w:spacing w:val="-9"/>
                <w:sz w:val="18"/>
              </w:rPr>
              <w:t> </w:t>
            </w:r>
            <w:r>
              <w:rPr>
                <w:b/>
                <w:sz w:val="18"/>
              </w:rPr>
              <w:t>at a</w:t>
            </w:r>
            <w:r>
              <w:rPr>
                <w:b/>
                <w:spacing w:val="-1"/>
                <w:sz w:val="18"/>
              </w:rPr>
              <w:t> </w:t>
            </w:r>
            <w:r>
              <w:rPr>
                <w:b/>
                <w:sz w:val="18"/>
              </w:rPr>
              <w:t>risk</w:t>
            </w:r>
            <w:r>
              <w:rPr>
                <w:b/>
                <w:spacing w:val="-1"/>
                <w:sz w:val="18"/>
              </w:rPr>
              <w:t> </w:t>
            </w:r>
            <w:r>
              <w:rPr>
                <w:b/>
                <w:sz w:val="18"/>
              </w:rPr>
              <w:t>of</w:t>
            </w:r>
            <w:r>
              <w:rPr>
                <w:b/>
                <w:spacing w:val="-1"/>
                <w:sz w:val="18"/>
              </w:rPr>
              <w:t> </w:t>
            </w:r>
            <w:r>
              <w:rPr>
                <w:b/>
                <w:spacing w:val="-2"/>
                <w:sz w:val="18"/>
              </w:rPr>
              <w:t>bias?</w:t>
            </w:r>
          </w:p>
        </w:tc>
        <w:tc>
          <w:tcPr>
            <w:tcW w:w="1844" w:type="dxa"/>
            <w:shd w:val="clear" w:color="auto" w:fill="BEBEBE"/>
          </w:tcPr>
          <w:p>
            <w:pPr>
              <w:pStyle w:val="TableParagraph"/>
              <w:spacing w:line="218" w:lineRule="exact"/>
              <w:ind w:left="101"/>
              <w:rPr>
                <w:b/>
                <w:sz w:val="18"/>
              </w:rPr>
            </w:pPr>
            <w:r>
              <w:rPr>
                <w:b/>
                <w:sz w:val="18"/>
              </w:rPr>
              <w:t>Overall</w:t>
            </w:r>
            <w:r>
              <w:rPr>
                <w:b/>
                <w:spacing w:val="-5"/>
                <w:sz w:val="18"/>
              </w:rPr>
              <w:t> </w:t>
            </w:r>
            <w:r>
              <w:rPr>
                <w:b/>
                <w:sz w:val="18"/>
              </w:rPr>
              <w:t>risk</w:t>
            </w:r>
            <w:r>
              <w:rPr>
                <w:b/>
                <w:spacing w:val="-1"/>
                <w:sz w:val="18"/>
              </w:rPr>
              <w:t> </w:t>
            </w:r>
            <w:r>
              <w:rPr>
                <w:b/>
                <w:sz w:val="18"/>
              </w:rPr>
              <w:t>of</w:t>
            </w:r>
            <w:r>
              <w:rPr>
                <w:b/>
                <w:spacing w:val="-2"/>
                <w:sz w:val="18"/>
              </w:rPr>
              <w:t> </w:t>
            </w:r>
            <w:r>
              <w:rPr>
                <w:b/>
                <w:spacing w:val="-4"/>
                <w:sz w:val="18"/>
              </w:rPr>
              <w:t>bias</w:t>
            </w:r>
          </w:p>
          <w:p>
            <w:pPr>
              <w:pStyle w:val="TableParagraph"/>
              <w:spacing w:line="278" w:lineRule="auto" w:before="198"/>
              <w:ind w:left="101" w:right="116"/>
              <w:rPr>
                <w:b/>
                <w:sz w:val="18"/>
              </w:rPr>
            </w:pPr>
            <w:r>
              <w:rPr>
                <w:b/>
                <w:spacing w:val="-6"/>
                <w:sz w:val="18"/>
              </w:rPr>
              <w:t>If</w:t>
            </w:r>
            <w:r>
              <w:rPr>
                <w:b/>
                <w:sz w:val="18"/>
              </w:rPr>
              <w:t> </w:t>
            </w:r>
            <w:r>
              <w:rPr>
                <w:b/>
                <w:spacing w:val="-2"/>
                <w:sz w:val="18"/>
              </w:rPr>
              <w:t>applicable/necessary,</w:t>
            </w:r>
            <w:r>
              <w:rPr>
                <w:b/>
                <w:sz w:val="18"/>
              </w:rPr>
              <w:t> per outcome</w:t>
            </w:r>
            <w:r>
              <w:rPr>
                <w:b/>
                <w:spacing w:val="40"/>
                <w:sz w:val="18"/>
              </w:rPr>
              <w:t> </w:t>
            </w:r>
            <w:r>
              <w:rPr>
                <w:b/>
                <w:spacing w:val="-2"/>
                <w:sz w:val="18"/>
              </w:rPr>
              <w:t>measure</w:t>
            </w:r>
          </w:p>
        </w:tc>
      </w:tr>
    </w:tbl>
    <w:p>
      <w:pPr>
        <w:pStyle w:val="TableParagraph"/>
        <w:spacing w:after="0" w:line="278" w:lineRule="auto"/>
        <w:rPr>
          <w:b/>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19"/>
        <w:gridCol w:w="2136"/>
        <w:gridCol w:w="2127"/>
        <w:gridCol w:w="2835"/>
        <w:gridCol w:w="1416"/>
        <w:gridCol w:w="1277"/>
        <w:gridCol w:w="1278"/>
        <w:gridCol w:w="1844"/>
      </w:tblGrid>
      <w:tr>
        <w:trPr>
          <w:trHeight w:val="1662" w:hRule="atLeast"/>
        </w:trPr>
        <w:tc>
          <w:tcPr>
            <w:tcW w:w="1119" w:type="dxa"/>
            <w:shd w:val="clear" w:color="auto" w:fill="BEBEBE"/>
          </w:tcPr>
          <w:p>
            <w:pPr>
              <w:pStyle w:val="TableParagraph"/>
              <w:rPr>
                <w:rFonts w:ascii="Times New Roman"/>
                <w:sz w:val="18"/>
              </w:rPr>
            </w:pPr>
          </w:p>
        </w:tc>
        <w:tc>
          <w:tcPr>
            <w:tcW w:w="2136" w:type="dxa"/>
            <w:shd w:val="clear" w:color="auto" w:fill="BEBEBE"/>
          </w:tcPr>
          <w:p>
            <w:pPr>
              <w:pStyle w:val="TableParagraph"/>
              <w:spacing w:line="453" w:lineRule="auto"/>
              <w:ind w:left="105" w:right="456"/>
              <w:rPr>
                <w:sz w:val="18"/>
              </w:rPr>
            </w:pPr>
            <w:r>
              <w:rPr>
                <w:spacing w:val="-2"/>
                <w:sz w:val="18"/>
              </w:rPr>
              <w:t>Definitely</w:t>
            </w:r>
            <w:r>
              <w:rPr>
                <w:spacing w:val="-9"/>
                <w:sz w:val="18"/>
              </w:rPr>
              <w:t> </w:t>
            </w:r>
            <w:r>
              <w:rPr>
                <w:spacing w:val="-2"/>
                <w:sz w:val="18"/>
              </w:rPr>
              <w:t>yes</w:t>
            </w:r>
            <w:r>
              <w:rPr>
                <w:sz w:val="18"/>
              </w:rPr>
              <w:t> Probably yes Probably no</w:t>
            </w:r>
          </w:p>
          <w:p>
            <w:pPr>
              <w:pStyle w:val="TableParagraph"/>
              <w:spacing w:before="1"/>
              <w:ind w:left="105"/>
              <w:rPr>
                <w:sz w:val="18"/>
              </w:rPr>
            </w:pPr>
            <w:r>
              <w:rPr>
                <w:sz w:val="18"/>
              </w:rPr>
              <w:t>Definitely</w:t>
            </w:r>
            <w:r>
              <w:rPr>
                <w:spacing w:val="-7"/>
                <w:sz w:val="18"/>
              </w:rPr>
              <w:t> </w:t>
            </w:r>
            <w:r>
              <w:rPr>
                <w:spacing w:val="-5"/>
                <w:sz w:val="18"/>
              </w:rPr>
              <w:t>no</w:t>
            </w:r>
          </w:p>
        </w:tc>
        <w:tc>
          <w:tcPr>
            <w:tcW w:w="2127" w:type="dxa"/>
            <w:shd w:val="clear" w:color="auto" w:fill="BEBEBE"/>
          </w:tcPr>
          <w:p>
            <w:pPr>
              <w:pStyle w:val="TableParagraph"/>
              <w:spacing w:line="453" w:lineRule="auto"/>
              <w:ind w:left="105" w:right="447"/>
              <w:rPr>
                <w:sz w:val="18"/>
              </w:rPr>
            </w:pPr>
            <w:r>
              <w:rPr>
                <w:spacing w:val="-2"/>
                <w:sz w:val="18"/>
              </w:rPr>
              <w:t>Definitely</w:t>
            </w:r>
            <w:r>
              <w:rPr>
                <w:spacing w:val="-9"/>
                <w:sz w:val="18"/>
              </w:rPr>
              <w:t> </w:t>
            </w:r>
            <w:r>
              <w:rPr>
                <w:spacing w:val="-2"/>
                <w:sz w:val="18"/>
              </w:rPr>
              <w:t>yes</w:t>
            </w:r>
            <w:r>
              <w:rPr>
                <w:sz w:val="18"/>
              </w:rPr>
              <w:t> Probably yes Probably no</w:t>
            </w:r>
          </w:p>
          <w:p>
            <w:pPr>
              <w:pStyle w:val="TableParagraph"/>
              <w:spacing w:before="1"/>
              <w:ind w:left="105"/>
              <w:rPr>
                <w:sz w:val="18"/>
              </w:rPr>
            </w:pPr>
            <w:r>
              <w:rPr>
                <w:sz w:val="18"/>
              </w:rPr>
              <w:t>Definitely</w:t>
            </w:r>
            <w:r>
              <w:rPr>
                <w:spacing w:val="-7"/>
                <w:sz w:val="18"/>
              </w:rPr>
              <w:t> </w:t>
            </w:r>
            <w:r>
              <w:rPr>
                <w:spacing w:val="-5"/>
                <w:sz w:val="18"/>
              </w:rPr>
              <w:t>no</w:t>
            </w:r>
          </w:p>
        </w:tc>
        <w:tc>
          <w:tcPr>
            <w:tcW w:w="2835" w:type="dxa"/>
            <w:shd w:val="clear" w:color="auto" w:fill="BEBEBE"/>
          </w:tcPr>
          <w:p>
            <w:pPr>
              <w:pStyle w:val="TableParagraph"/>
              <w:spacing w:line="453" w:lineRule="auto"/>
              <w:ind w:left="102" w:right="1721"/>
              <w:rPr>
                <w:sz w:val="18"/>
              </w:rPr>
            </w:pPr>
            <w:r>
              <w:rPr>
                <w:sz w:val="18"/>
              </w:rPr>
              <w:t>Definitely</w:t>
            </w:r>
            <w:r>
              <w:rPr>
                <w:spacing w:val="-11"/>
                <w:sz w:val="18"/>
              </w:rPr>
              <w:t> </w:t>
            </w:r>
            <w:r>
              <w:rPr>
                <w:sz w:val="18"/>
              </w:rPr>
              <w:t>yes Probably yes Probably no</w:t>
            </w:r>
          </w:p>
          <w:p>
            <w:pPr>
              <w:pStyle w:val="TableParagraph"/>
              <w:spacing w:before="1"/>
              <w:ind w:left="102"/>
              <w:rPr>
                <w:sz w:val="18"/>
              </w:rPr>
            </w:pPr>
            <w:r>
              <w:rPr>
                <w:sz w:val="18"/>
              </w:rPr>
              <w:t>Definitely</w:t>
            </w:r>
            <w:r>
              <w:rPr>
                <w:spacing w:val="-7"/>
                <w:sz w:val="18"/>
              </w:rPr>
              <w:t> </w:t>
            </w:r>
            <w:r>
              <w:rPr>
                <w:spacing w:val="-5"/>
                <w:sz w:val="18"/>
              </w:rPr>
              <w:t>no</w:t>
            </w:r>
          </w:p>
        </w:tc>
        <w:tc>
          <w:tcPr>
            <w:tcW w:w="1416" w:type="dxa"/>
            <w:shd w:val="clear" w:color="auto" w:fill="BEBEBE"/>
          </w:tcPr>
          <w:p>
            <w:pPr>
              <w:pStyle w:val="TableParagraph"/>
              <w:spacing w:line="453" w:lineRule="auto"/>
              <w:ind w:left="104" w:right="300"/>
              <w:rPr>
                <w:sz w:val="18"/>
              </w:rPr>
            </w:pPr>
            <w:r>
              <w:rPr>
                <w:sz w:val="18"/>
              </w:rPr>
              <w:t>Definitely</w:t>
            </w:r>
            <w:r>
              <w:rPr>
                <w:spacing w:val="-11"/>
                <w:sz w:val="18"/>
              </w:rPr>
              <w:t> </w:t>
            </w:r>
            <w:r>
              <w:rPr>
                <w:sz w:val="18"/>
              </w:rPr>
              <w:t>yes Probably yes Probably no</w:t>
            </w:r>
          </w:p>
          <w:p>
            <w:pPr>
              <w:pStyle w:val="TableParagraph"/>
              <w:spacing w:before="1"/>
              <w:ind w:left="104"/>
              <w:rPr>
                <w:sz w:val="18"/>
              </w:rPr>
            </w:pPr>
            <w:r>
              <w:rPr>
                <w:sz w:val="18"/>
              </w:rPr>
              <w:t>Definitely</w:t>
            </w:r>
            <w:r>
              <w:rPr>
                <w:spacing w:val="-7"/>
                <w:sz w:val="18"/>
              </w:rPr>
              <w:t> </w:t>
            </w:r>
            <w:r>
              <w:rPr>
                <w:spacing w:val="-5"/>
                <w:sz w:val="18"/>
              </w:rPr>
              <w:t>no</w:t>
            </w:r>
          </w:p>
        </w:tc>
        <w:tc>
          <w:tcPr>
            <w:tcW w:w="1277" w:type="dxa"/>
            <w:shd w:val="clear" w:color="auto" w:fill="BEBEBE"/>
          </w:tcPr>
          <w:p>
            <w:pPr>
              <w:pStyle w:val="TableParagraph"/>
              <w:spacing w:line="453" w:lineRule="auto"/>
              <w:ind w:left="104" w:right="161"/>
              <w:rPr>
                <w:sz w:val="18"/>
              </w:rPr>
            </w:pPr>
            <w:r>
              <w:rPr>
                <w:sz w:val="18"/>
              </w:rPr>
              <w:t>Definitely</w:t>
            </w:r>
            <w:r>
              <w:rPr>
                <w:spacing w:val="-11"/>
                <w:sz w:val="18"/>
              </w:rPr>
              <w:t> </w:t>
            </w:r>
            <w:r>
              <w:rPr>
                <w:sz w:val="18"/>
              </w:rPr>
              <w:t>yes Probably yes Probably no</w:t>
            </w:r>
          </w:p>
          <w:p>
            <w:pPr>
              <w:pStyle w:val="TableParagraph"/>
              <w:spacing w:before="1"/>
              <w:ind w:left="104"/>
              <w:rPr>
                <w:sz w:val="18"/>
              </w:rPr>
            </w:pPr>
            <w:r>
              <w:rPr>
                <w:sz w:val="18"/>
              </w:rPr>
              <w:t>Definitely</w:t>
            </w:r>
            <w:r>
              <w:rPr>
                <w:spacing w:val="-7"/>
                <w:sz w:val="18"/>
              </w:rPr>
              <w:t> </w:t>
            </w:r>
            <w:r>
              <w:rPr>
                <w:spacing w:val="-5"/>
                <w:sz w:val="18"/>
              </w:rPr>
              <w:t>no</w:t>
            </w:r>
          </w:p>
        </w:tc>
        <w:tc>
          <w:tcPr>
            <w:tcW w:w="1278" w:type="dxa"/>
            <w:shd w:val="clear" w:color="auto" w:fill="BEBEBE"/>
          </w:tcPr>
          <w:p>
            <w:pPr>
              <w:pStyle w:val="TableParagraph"/>
              <w:spacing w:line="453" w:lineRule="auto"/>
              <w:ind w:left="104" w:right="171"/>
              <w:rPr>
                <w:sz w:val="18"/>
              </w:rPr>
            </w:pPr>
            <w:r>
              <w:rPr>
                <w:sz w:val="18"/>
              </w:rPr>
              <w:t>Definitely</w:t>
            </w:r>
            <w:r>
              <w:rPr>
                <w:spacing w:val="-11"/>
                <w:sz w:val="18"/>
              </w:rPr>
              <w:t> </w:t>
            </w:r>
            <w:r>
              <w:rPr>
                <w:sz w:val="18"/>
              </w:rPr>
              <w:t>yes Probably yes Probably no</w:t>
            </w:r>
          </w:p>
          <w:p>
            <w:pPr>
              <w:pStyle w:val="TableParagraph"/>
              <w:spacing w:before="1"/>
              <w:ind w:left="104"/>
              <w:rPr>
                <w:sz w:val="18"/>
              </w:rPr>
            </w:pPr>
            <w:r>
              <w:rPr>
                <w:sz w:val="18"/>
              </w:rPr>
              <w:t>Definitely</w:t>
            </w:r>
            <w:r>
              <w:rPr>
                <w:spacing w:val="-7"/>
                <w:sz w:val="18"/>
              </w:rPr>
              <w:t> </w:t>
            </w:r>
            <w:r>
              <w:rPr>
                <w:spacing w:val="-5"/>
                <w:sz w:val="18"/>
              </w:rPr>
              <w:t>no</w:t>
            </w:r>
          </w:p>
        </w:tc>
        <w:tc>
          <w:tcPr>
            <w:tcW w:w="1844" w:type="dxa"/>
            <w:shd w:val="clear" w:color="auto" w:fill="BEBEBE"/>
          </w:tcPr>
          <w:p>
            <w:pPr>
              <w:pStyle w:val="TableParagraph"/>
              <w:spacing w:line="218" w:lineRule="exact"/>
              <w:ind w:left="101"/>
              <w:rPr>
                <w:b/>
                <w:sz w:val="18"/>
              </w:rPr>
            </w:pPr>
            <w:r>
              <w:rPr>
                <w:b/>
                <w:spacing w:val="-5"/>
                <w:sz w:val="18"/>
              </w:rPr>
              <w:t>LOW</w:t>
            </w:r>
          </w:p>
          <w:p>
            <w:pPr>
              <w:pStyle w:val="TableParagraph"/>
              <w:spacing w:line="453" w:lineRule="auto" w:before="195"/>
              <w:ind w:left="101" w:right="592"/>
              <w:rPr>
                <w:b/>
                <w:sz w:val="18"/>
              </w:rPr>
            </w:pPr>
            <w:r>
              <w:rPr>
                <w:b/>
                <w:sz w:val="18"/>
              </w:rPr>
              <w:t>Some</w:t>
            </w:r>
            <w:r>
              <w:rPr>
                <w:b/>
                <w:spacing w:val="-11"/>
                <w:sz w:val="18"/>
              </w:rPr>
              <w:t> </w:t>
            </w:r>
            <w:r>
              <w:rPr>
                <w:b/>
                <w:sz w:val="18"/>
              </w:rPr>
              <w:t>concerns </w:t>
            </w:r>
            <w:r>
              <w:rPr>
                <w:b/>
                <w:spacing w:val="-4"/>
                <w:sz w:val="18"/>
              </w:rPr>
              <w:t>HIGH</w:t>
            </w:r>
          </w:p>
        </w:tc>
      </w:tr>
      <w:tr>
        <w:trPr>
          <w:trHeight w:val="2937" w:hRule="atLeast"/>
        </w:trPr>
        <w:tc>
          <w:tcPr>
            <w:tcW w:w="1119" w:type="dxa"/>
          </w:tcPr>
          <w:p>
            <w:pPr>
              <w:pStyle w:val="TableParagraph"/>
              <w:spacing w:line="278" w:lineRule="auto"/>
              <w:ind w:left="105" w:right="162"/>
              <w:rPr>
                <w:sz w:val="18"/>
              </w:rPr>
            </w:pPr>
            <w:r>
              <w:rPr>
                <w:spacing w:val="-2"/>
                <w:sz w:val="18"/>
              </w:rPr>
              <w:t>McCrindle,</w:t>
            </w:r>
            <w:r>
              <w:rPr>
                <w:sz w:val="18"/>
              </w:rPr>
              <w:t> </w:t>
            </w:r>
            <w:r>
              <w:rPr>
                <w:spacing w:val="-4"/>
                <w:sz w:val="18"/>
              </w:rPr>
              <w:t>2021</w:t>
            </w:r>
          </w:p>
        </w:tc>
        <w:tc>
          <w:tcPr>
            <w:tcW w:w="2136" w:type="dxa"/>
          </w:tcPr>
          <w:p>
            <w:pPr>
              <w:pStyle w:val="TableParagraph"/>
              <w:spacing w:line="218" w:lineRule="exact"/>
              <w:ind w:left="105"/>
              <w:rPr>
                <w:sz w:val="18"/>
              </w:rPr>
            </w:pPr>
            <w:r>
              <w:rPr>
                <w:sz w:val="18"/>
              </w:rPr>
              <w:t>Probably</w:t>
            </w:r>
            <w:r>
              <w:rPr>
                <w:spacing w:val="-5"/>
                <w:sz w:val="18"/>
              </w:rPr>
              <w:t> no;</w:t>
            </w:r>
          </w:p>
          <w:p>
            <w:pPr>
              <w:pStyle w:val="TableParagraph"/>
              <w:rPr>
                <w:sz w:val="18"/>
              </w:rPr>
            </w:pPr>
          </w:p>
          <w:p>
            <w:pPr>
              <w:pStyle w:val="TableParagraph"/>
              <w:spacing w:before="171"/>
              <w:rPr>
                <w:sz w:val="18"/>
              </w:rPr>
            </w:pPr>
          </w:p>
          <w:p>
            <w:pPr>
              <w:pStyle w:val="TableParagraph"/>
              <w:spacing w:before="1"/>
              <w:ind w:left="105"/>
              <w:rPr>
                <w:sz w:val="18"/>
              </w:rPr>
            </w:pPr>
            <w:r>
              <w:rPr>
                <w:spacing w:val="-2"/>
                <w:sz w:val="18"/>
              </w:rPr>
              <w:t>Reason:</w:t>
            </w:r>
          </w:p>
          <w:p>
            <w:pPr>
              <w:pStyle w:val="TableParagraph"/>
              <w:spacing w:line="280" w:lineRule="auto" w:before="195"/>
              <w:ind w:left="105" w:right="59"/>
              <w:rPr>
                <w:sz w:val="18"/>
              </w:rPr>
            </w:pPr>
            <w:r>
              <w:rPr>
                <w:sz w:val="18"/>
              </w:rPr>
              <w:t>Method</w:t>
            </w:r>
            <w:r>
              <w:rPr>
                <w:spacing w:val="-11"/>
                <w:sz w:val="18"/>
              </w:rPr>
              <w:t> </w:t>
            </w:r>
            <w:r>
              <w:rPr>
                <w:sz w:val="18"/>
              </w:rPr>
              <w:t>of</w:t>
            </w:r>
            <w:r>
              <w:rPr>
                <w:spacing w:val="-10"/>
                <w:sz w:val="18"/>
              </w:rPr>
              <w:t> </w:t>
            </w:r>
            <w:r>
              <w:rPr>
                <w:sz w:val="18"/>
              </w:rPr>
              <w:t>randomization is not reported</w:t>
            </w:r>
          </w:p>
        </w:tc>
        <w:tc>
          <w:tcPr>
            <w:tcW w:w="2127" w:type="dxa"/>
          </w:tcPr>
          <w:p>
            <w:pPr>
              <w:pStyle w:val="TableParagraph"/>
              <w:spacing w:line="218" w:lineRule="exact"/>
              <w:ind w:left="105"/>
              <w:rPr>
                <w:sz w:val="18"/>
              </w:rPr>
            </w:pPr>
            <w:r>
              <w:rPr>
                <w:sz w:val="18"/>
              </w:rPr>
              <w:t>Probably</w:t>
            </w:r>
            <w:r>
              <w:rPr>
                <w:spacing w:val="-5"/>
                <w:sz w:val="18"/>
              </w:rPr>
              <w:t> no;</w:t>
            </w:r>
          </w:p>
          <w:p>
            <w:pPr>
              <w:pStyle w:val="TableParagraph"/>
              <w:rPr>
                <w:sz w:val="18"/>
              </w:rPr>
            </w:pPr>
          </w:p>
          <w:p>
            <w:pPr>
              <w:pStyle w:val="TableParagraph"/>
              <w:spacing w:before="171"/>
              <w:rPr>
                <w:sz w:val="18"/>
              </w:rPr>
            </w:pPr>
          </w:p>
          <w:p>
            <w:pPr>
              <w:pStyle w:val="TableParagraph"/>
              <w:spacing w:line="453" w:lineRule="auto" w:before="1"/>
              <w:ind w:left="105" w:right="1419"/>
              <w:rPr>
                <w:sz w:val="18"/>
              </w:rPr>
            </w:pPr>
            <w:r>
              <w:rPr>
                <w:spacing w:val="-2"/>
                <w:sz w:val="18"/>
              </w:rPr>
              <w:t>Reason:</w:t>
            </w:r>
            <w:r>
              <w:rPr>
                <w:sz w:val="18"/>
              </w:rPr>
              <w:t> </w:t>
            </w:r>
            <w:r>
              <w:rPr>
                <w:spacing w:val="-2"/>
                <w:sz w:val="18"/>
              </w:rPr>
              <w:t>Unclear</w:t>
            </w:r>
          </w:p>
        </w:tc>
        <w:tc>
          <w:tcPr>
            <w:tcW w:w="2835" w:type="dxa"/>
          </w:tcPr>
          <w:p>
            <w:pPr>
              <w:pStyle w:val="TableParagraph"/>
              <w:spacing w:line="218" w:lineRule="exact"/>
              <w:ind w:left="102"/>
              <w:rPr>
                <w:sz w:val="18"/>
              </w:rPr>
            </w:pPr>
            <w:r>
              <w:rPr>
                <w:sz w:val="18"/>
              </w:rPr>
              <w:t>Definitely</w:t>
            </w:r>
            <w:r>
              <w:rPr>
                <w:spacing w:val="-7"/>
                <w:sz w:val="18"/>
              </w:rPr>
              <w:t> </w:t>
            </w:r>
            <w:r>
              <w:rPr>
                <w:spacing w:val="-5"/>
                <w:sz w:val="18"/>
              </w:rPr>
              <w:t>no;</w:t>
            </w:r>
          </w:p>
          <w:p>
            <w:pPr>
              <w:pStyle w:val="TableParagraph"/>
              <w:rPr>
                <w:sz w:val="18"/>
              </w:rPr>
            </w:pPr>
          </w:p>
          <w:p>
            <w:pPr>
              <w:pStyle w:val="TableParagraph"/>
              <w:spacing w:before="171"/>
              <w:rPr>
                <w:sz w:val="18"/>
              </w:rPr>
            </w:pPr>
          </w:p>
          <w:p>
            <w:pPr>
              <w:pStyle w:val="TableParagraph"/>
              <w:spacing w:before="1"/>
              <w:ind w:left="102"/>
              <w:rPr>
                <w:sz w:val="18"/>
              </w:rPr>
            </w:pPr>
            <w:r>
              <w:rPr>
                <w:spacing w:val="-2"/>
                <w:sz w:val="18"/>
              </w:rPr>
              <w:t>Reason:</w:t>
            </w:r>
          </w:p>
          <w:p>
            <w:pPr>
              <w:pStyle w:val="TableParagraph"/>
              <w:spacing w:before="195"/>
              <w:ind w:left="102"/>
              <w:rPr>
                <w:sz w:val="18"/>
              </w:rPr>
            </w:pPr>
            <w:r>
              <w:rPr>
                <w:sz w:val="18"/>
              </w:rPr>
              <w:t>All</w:t>
            </w:r>
            <w:r>
              <w:rPr>
                <w:spacing w:val="-3"/>
                <w:sz w:val="18"/>
              </w:rPr>
              <w:t> </w:t>
            </w:r>
            <w:r>
              <w:rPr>
                <w:sz w:val="18"/>
              </w:rPr>
              <w:t>medication</w:t>
            </w:r>
            <w:r>
              <w:rPr>
                <w:spacing w:val="-2"/>
                <w:sz w:val="18"/>
              </w:rPr>
              <w:t> </w:t>
            </w:r>
            <w:r>
              <w:rPr>
                <w:sz w:val="18"/>
              </w:rPr>
              <w:t>use</w:t>
            </w:r>
            <w:r>
              <w:rPr>
                <w:spacing w:val="-3"/>
                <w:sz w:val="18"/>
              </w:rPr>
              <w:t> </w:t>
            </w:r>
            <w:r>
              <w:rPr>
                <w:sz w:val="18"/>
              </w:rPr>
              <w:t>was</w:t>
            </w:r>
            <w:r>
              <w:rPr>
                <w:spacing w:val="-2"/>
                <w:sz w:val="18"/>
              </w:rPr>
              <w:t> </w:t>
            </w:r>
            <w:r>
              <w:rPr>
                <w:sz w:val="18"/>
              </w:rPr>
              <w:t>open</w:t>
            </w:r>
            <w:r>
              <w:rPr>
                <w:spacing w:val="-2"/>
                <w:sz w:val="18"/>
              </w:rPr>
              <w:t> </w:t>
            </w:r>
            <w:r>
              <w:rPr>
                <w:spacing w:val="-4"/>
                <w:sz w:val="18"/>
              </w:rPr>
              <w:t>label</w:t>
            </w:r>
          </w:p>
        </w:tc>
        <w:tc>
          <w:tcPr>
            <w:tcW w:w="1416" w:type="dxa"/>
          </w:tcPr>
          <w:p>
            <w:pPr>
              <w:pStyle w:val="TableParagraph"/>
              <w:spacing w:line="218" w:lineRule="exact"/>
              <w:ind w:left="104"/>
              <w:rPr>
                <w:sz w:val="18"/>
              </w:rPr>
            </w:pPr>
            <w:r>
              <w:rPr>
                <w:sz w:val="18"/>
              </w:rPr>
              <w:t>Definitely</w:t>
            </w:r>
            <w:r>
              <w:rPr>
                <w:spacing w:val="-7"/>
                <w:sz w:val="18"/>
              </w:rPr>
              <w:t> </w:t>
            </w:r>
            <w:r>
              <w:rPr>
                <w:spacing w:val="-4"/>
                <w:sz w:val="18"/>
              </w:rPr>
              <w:t>yes;</w:t>
            </w:r>
          </w:p>
          <w:p>
            <w:pPr>
              <w:pStyle w:val="TableParagraph"/>
              <w:rPr>
                <w:sz w:val="18"/>
              </w:rPr>
            </w:pPr>
          </w:p>
          <w:p>
            <w:pPr>
              <w:pStyle w:val="TableParagraph"/>
              <w:spacing w:before="171"/>
              <w:rPr>
                <w:sz w:val="18"/>
              </w:rPr>
            </w:pPr>
          </w:p>
          <w:p>
            <w:pPr>
              <w:pStyle w:val="TableParagraph"/>
              <w:spacing w:before="1"/>
              <w:ind w:left="104"/>
              <w:rPr>
                <w:sz w:val="18"/>
              </w:rPr>
            </w:pPr>
            <w:r>
              <w:rPr>
                <w:spacing w:val="-2"/>
                <w:sz w:val="18"/>
              </w:rPr>
              <w:t>Reason:</w:t>
            </w:r>
          </w:p>
          <w:p>
            <w:pPr>
              <w:pStyle w:val="TableParagraph"/>
              <w:spacing w:line="280" w:lineRule="auto" w:before="195"/>
              <w:ind w:left="104" w:right="570"/>
              <w:rPr>
                <w:sz w:val="18"/>
              </w:rPr>
            </w:pPr>
            <w:r>
              <w:rPr>
                <w:sz w:val="18"/>
              </w:rPr>
              <w:t>No</w:t>
            </w:r>
            <w:r>
              <w:rPr>
                <w:spacing w:val="-11"/>
                <w:sz w:val="18"/>
              </w:rPr>
              <w:t> </w:t>
            </w:r>
            <w:r>
              <w:rPr>
                <w:sz w:val="18"/>
              </w:rPr>
              <w:t>loss</w:t>
            </w:r>
            <w:r>
              <w:rPr>
                <w:spacing w:val="-10"/>
                <w:sz w:val="18"/>
              </w:rPr>
              <w:t> </w:t>
            </w:r>
            <w:r>
              <w:rPr>
                <w:sz w:val="18"/>
              </w:rPr>
              <w:t>to </w:t>
            </w:r>
            <w:r>
              <w:rPr>
                <w:spacing w:val="-2"/>
                <w:sz w:val="18"/>
              </w:rPr>
              <w:t>follow-</w:t>
            </w:r>
            <w:r>
              <w:rPr>
                <w:spacing w:val="-5"/>
                <w:sz w:val="18"/>
              </w:rPr>
              <w:t>up</w:t>
            </w:r>
          </w:p>
        </w:tc>
        <w:tc>
          <w:tcPr>
            <w:tcW w:w="1277" w:type="dxa"/>
          </w:tcPr>
          <w:p>
            <w:pPr>
              <w:pStyle w:val="TableParagraph"/>
              <w:spacing w:line="218" w:lineRule="exact"/>
              <w:ind w:left="104"/>
              <w:rPr>
                <w:sz w:val="18"/>
              </w:rPr>
            </w:pPr>
            <w:r>
              <w:rPr>
                <w:sz w:val="18"/>
              </w:rPr>
              <w:t>Definitely</w:t>
            </w:r>
            <w:r>
              <w:rPr>
                <w:spacing w:val="-7"/>
                <w:sz w:val="18"/>
              </w:rPr>
              <w:t> </w:t>
            </w:r>
            <w:r>
              <w:rPr>
                <w:spacing w:val="-4"/>
                <w:sz w:val="18"/>
              </w:rPr>
              <w:t>yes;</w:t>
            </w:r>
          </w:p>
          <w:p>
            <w:pPr>
              <w:pStyle w:val="TableParagraph"/>
              <w:rPr>
                <w:sz w:val="18"/>
              </w:rPr>
            </w:pPr>
          </w:p>
          <w:p>
            <w:pPr>
              <w:pStyle w:val="TableParagraph"/>
              <w:spacing w:before="171"/>
              <w:rPr>
                <w:sz w:val="18"/>
              </w:rPr>
            </w:pPr>
          </w:p>
          <w:p>
            <w:pPr>
              <w:pStyle w:val="TableParagraph"/>
              <w:spacing w:before="1"/>
              <w:ind w:left="104"/>
              <w:rPr>
                <w:sz w:val="18"/>
              </w:rPr>
            </w:pPr>
            <w:r>
              <w:rPr>
                <w:spacing w:val="-2"/>
                <w:sz w:val="18"/>
              </w:rPr>
              <w:t>Reason:</w:t>
            </w:r>
          </w:p>
          <w:p>
            <w:pPr>
              <w:pStyle w:val="TableParagraph"/>
              <w:spacing w:line="278" w:lineRule="auto" w:before="37"/>
              <w:ind w:left="104" w:right="88"/>
              <w:rPr>
                <w:sz w:val="18"/>
              </w:rPr>
            </w:pPr>
            <w:r>
              <w:rPr>
                <w:sz w:val="18"/>
              </w:rPr>
              <w:t>All</w:t>
            </w:r>
            <w:r>
              <w:rPr>
                <w:spacing w:val="-2"/>
                <w:sz w:val="18"/>
              </w:rPr>
              <w:t> </w:t>
            </w:r>
            <w:r>
              <w:rPr>
                <w:sz w:val="18"/>
              </w:rPr>
              <w:t>outcomes were</w:t>
            </w:r>
            <w:r>
              <w:rPr>
                <w:spacing w:val="-11"/>
                <w:sz w:val="18"/>
              </w:rPr>
              <w:t> </w:t>
            </w:r>
            <w:r>
              <w:rPr>
                <w:sz w:val="18"/>
              </w:rPr>
              <w:t>reported</w:t>
            </w:r>
          </w:p>
        </w:tc>
        <w:tc>
          <w:tcPr>
            <w:tcW w:w="1278" w:type="dxa"/>
          </w:tcPr>
          <w:p>
            <w:pPr>
              <w:pStyle w:val="TableParagraph"/>
              <w:spacing w:line="218" w:lineRule="exact"/>
              <w:ind w:left="104"/>
              <w:rPr>
                <w:sz w:val="18"/>
              </w:rPr>
            </w:pPr>
            <w:r>
              <w:rPr>
                <w:sz w:val="18"/>
              </w:rPr>
              <w:t>Definitely</w:t>
            </w:r>
            <w:r>
              <w:rPr>
                <w:spacing w:val="-7"/>
                <w:sz w:val="18"/>
              </w:rPr>
              <w:t> </w:t>
            </w:r>
            <w:r>
              <w:rPr>
                <w:spacing w:val="-4"/>
                <w:sz w:val="18"/>
              </w:rPr>
              <w:t>yes;</w:t>
            </w:r>
          </w:p>
          <w:p>
            <w:pPr>
              <w:pStyle w:val="TableParagraph"/>
              <w:rPr>
                <w:sz w:val="18"/>
              </w:rPr>
            </w:pPr>
          </w:p>
          <w:p>
            <w:pPr>
              <w:pStyle w:val="TableParagraph"/>
              <w:spacing w:before="171"/>
              <w:rPr>
                <w:sz w:val="18"/>
              </w:rPr>
            </w:pPr>
          </w:p>
          <w:p>
            <w:pPr>
              <w:pStyle w:val="TableParagraph"/>
              <w:spacing w:before="1"/>
              <w:ind w:left="104"/>
              <w:rPr>
                <w:sz w:val="18"/>
              </w:rPr>
            </w:pPr>
            <w:r>
              <w:rPr>
                <w:spacing w:val="-2"/>
                <w:sz w:val="18"/>
              </w:rPr>
              <w:t>Reason:</w:t>
            </w:r>
          </w:p>
          <w:p>
            <w:pPr>
              <w:pStyle w:val="TableParagraph"/>
              <w:spacing w:line="278" w:lineRule="auto" w:before="195"/>
              <w:ind w:left="104" w:right="304"/>
              <w:rPr>
                <w:sz w:val="18"/>
              </w:rPr>
            </w:pPr>
            <w:r>
              <w:rPr>
                <w:sz w:val="18"/>
              </w:rPr>
              <w:t>No other </w:t>
            </w:r>
            <w:r>
              <w:rPr>
                <w:spacing w:val="-2"/>
                <w:sz w:val="18"/>
              </w:rPr>
              <w:t>problems</w:t>
            </w:r>
            <w:r>
              <w:rPr>
                <w:sz w:val="18"/>
              </w:rPr>
              <w:t> were</w:t>
            </w:r>
            <w:r>
              <w:rPr>
                <w:spacing w:val="-11"/>
                <w:sz w:val="18"/>
              </w:rPr>
              <w:t> </w:t>
            </w:r>
            <w:r>
              <w:rPr>
                <w:sz w:val="18"/>
              </w:rPr>
              <w:t>noted</w:t>
            </w:r>
          </w:p>
        </w:tc>
        <w:tc>
          <w:tcPr>
            <w:tcW w:w="1844" w:type="dxa"/>
          </w:tcPr>
          <w:p>
            <w:pPr>
              <w:pStyle w:val="TableParagraph"/>
              <w:spacing w:line="218" w:lineRule="exact"/>
              <w:ind w:left="101"/>
              <w:rPr>
                <w:b/>
                <w:sz w:val="18"/>
              </w:rPr>
            </w:pPr>
            <w:r>
              <w:rPr>
                <w:b/>
                <w:sz w:val="18"/>
              </w:rPr>
              <w:t>Some</w:t>
            </w:r>
            <w:r>
              <w:rPr>
                <w:b/>
                <w:spacing w:val="-4"/>
                <w:sz w:val="18"/>
              </w:rPr>
              <w:t> </w:t>
            </w:r>
            <w:r>
              <w:rPr>
                <w:b/>
                <w:spacing w:val="-2"/>
                <w:sz w:val="18"/>
              </w:rPr>
              <w:t>concerns;</w:t>
            </w:r>
          </w:p>
          <w:p>
            <w:pPr>
              <w:pStyle w:val="TableParagraph"/>
              <w:rPr>
                <w:sz w:val="18"/>
              </w:rPr>
            </w:pPr>
          </w:p>
          <w:p>
            <w:pPr>
              <w:pStyle w:val="TableParagraph"/>
              <w:spacing w:before="171"/>
              <w:rPr>
                <w:sz w:val="18"/>
              </w:rPr>
            </w:pPr>
          </w:p>
          <w:p>
            <w:pPr>
              <w:pStyle w:val="TableParagraph"/>
              <w:spacing w:before="1"/>
              <w:ind w:left="101"/>
              <w:rPr>
                <w:b/>
                <w:sz w:val="18"/>
              </w:rPr>
            </w:pPr>
            <w:r>
              <w:rPr>
                <w:b/>
                <w:spacing w:val="-2"/>
                <w:sz w:val="18"/>
              </w:rPr>
              <w:t>Reason:</w:t>
            </w:r>
          </w:p>
          <w:p>
            <w:pPr>
              <w:pStyle w:val="TableParagraph"/>
              <w:spacing w:line="278" w:lineRule="auto" w:before="195"/>
              <w:ind w:left="101"/>
              <w:rPr>
                <w:b/>
                <w:sz w:val="18"/>
              </w:rPr>
            </w:pPr>
            <w:r>
              <w:rPr>
                <w:b/>
                <w:sz w:val="18"/>
              </w:rPr>
              <w:t>Method</w:t>
            </w:r>
            <w:r>
              <w:rPr>
                <w:b/>
                <w:spacing w:val="-2"/>
                <w:sz w:val="18"/>
              </w:rPr>
              <w:t> </w:t>
            </w:r>
            <w:r>
              <w:rPr>
                <w:b/>
                <w:sz w:val="18"/>
              </w:rPr>
              <w:t>of randomization</w:t>
            </w:r>
            <w:r>
              <w:rPr>
                <w:b/>
                <w:spacing w:val="-2"/>
                <w:sz w:val="18"/>
              </w:rPr>
              <w:t> </w:t>
            </w:r>
            <w:r>
              <w:rPr>
                <w:b/>
                <w:sz w:val="18"/>
              </w:rPr>
              <w:t>is unclear,</w:t>
            </w:r>
            <w:r>
              <w:rPr>
                <w:b/>
                <w:spacing w:val="-11"/>
                <w:sz w:val="18"/>
              </w:rPr>
              <w:t> </w:t>
            </w:r>
            <w:r>
              <w:rPr>
                <w:b/>
                <w:sz w:val="18"/>
              </w:rPr>
              <w:t>no</w:t>
            </w:r>
            <w:r>
              <w:rPr>
                <w:b/>
                <w:spacing w:val="-10"/>
                <w:sz w:val="18"/>
              </w:rPr>
              <w:t> </w:t>
            </w:r>
            <w:r>
              <w:rPr>
                <w:b/>
                <w:sz w:val="18"/>
              </w:rPr>
              <w:t>reporting on</w:t>
            </w:r>
            <w:r>
              <w:rPr>
                <w:b/>
                <w:spacing w:val="-2"/>
                <w:sz w:val="18"/>
              </w:rPr>
              <w:t> </w:t>
            </w:r>
            <w:r>
              <w:rPr>
                <w:b/>
                <w:sz w:val="18"/>
              </w:rPr>
              <w:t>allocation concealment,</w:t>
            </w:r>
            <w:r>
              <w:rPr>
                <w:b/>
                <w:spacing w:val="-2"/>
                <w:sz w:val="18"/>
              </w:rPr>
              <w:t> </w:t>
            </w:r>
            <w:r>
              <w:rPr>
                <w:b/>
                <w:sz w:val="18"/>
              </w:rPr>
              <w:t>and</w:t>
            </w:r>
          </w:p>
          <w:p>
            <w:pPr>
              <w:pStyle w:val="TableParagraph"/>
              <w:spacing w:before="2"/>
              <w:ind w:left="101"/>
              <w:rPr>
                <w:b/>
                <w:sz w:val="18"/>
              </w:rPr>
            </w:pPr>
            <w:r>
              <w:rPr>
                <w:b/>
                <w:sz w:val="18"/>
              </w:rPr>
              <w:t>no</w:t>
            </w:r>
            <w:r>
              <w:rPr>
                <w:b/>
                <w:spacing w:val="-4"/>
                <w:sz w:val="18"/>
              </w:rPr>
              <w:t> </w:t>
            </w:r>
            <w:r>
              <w:rPr>
                <w:b/>
                <w:spacing w:val="-2"/>
                <w:sz w:val="18"/>
              </w:rPr>
              <w:t>blinding</w:t>
            </w:r>
          </w:p>
        </w:tc>
      </w:tr>
      <w:tr>
        <w:trPr>
          <w:trHeight w:val="2428" w:hRule="atLeast"/>
        </w:trPr>
        <w:tc>
          <w:tcPr>
            <w:tcW w:w="1119" w:type="dxa"/>
          </w:tcPr>
          <w:p>
            <w:pPr>
              <w:pStyle w:val="TableParagraph"/>
              <w:spacing w:line="278" w:lineRule="auto" w:before="1"/>
              <w:ind w:left="105" w:right="162"/>
              <w:rPr>
                <w:sz w:val="18"/>
              </w:rPr>
            </w:pPr>
            <w:r>
              <w:rPr>
                <w:spacing w:val="-2"/>
                <w:sz w:val="18"/>
              </w:rPr>
              <w:t>McCrindle,</w:t>
            </w:r>
            <w:r>
              <w:rPr>
                <w:sz w:val="18"/>
              </w:rPr>
              <w:t> </w:t>
            </w:r>
            <w:r>
              <w:rPr>
                <w:spacing w:val="-4"/>
                <w:sz w:val="18"/>
              </w:rPr>
              <w:t>2013</w:t>
            </w:r>
          </w:p>
        </w:tc>
        <w:tc>
          <w:tcPr>
            <w:tcW w:w="2136" w:type="dxa"/>
          </w:tcPr>
          <w:p>
            <w:pPr>
              <w:pStyle w:val="TableParagraph"/>
              <w:spacing w:before="1"/>
              <w:ind w:left="105"/>
              <w:rPr>
                <w:sz w:val="18"/>
              </w:rPr>
            </w:pPr>
            <w:r>
              <w:rPr>
                <w:sz w:val="18"/>
              </w:rPr>
              <w:t>Probably</w:t>
            </w:r>
            <w:r>
              <w:rPr>
                <w:spacing w:val="-5"/>
                <w:sz w:val="18"/>
              </w:rPr>
              <w:t> no;</w:t>
            </w:r>
          </w:p>
          <w:p>
            <w:pPr>
              <w:pStyle w:val="TableParagraph"/>
              <w:rPr>
                <w:sz w:val="18"/>
              </w:rPr>
            </w:pPr>
          </w:p>
          <w:p>
            <w:pPr>
              <w:pStyle w:val="TableParagraph"/>
              <w:spacing w:before="171"/>
              <w:rPr>
                <w:sz w:val="18"/>
              </w:rPr>
            </w:pPr>
          </w:p>
          <w:p>
            <w:pPr>
              <w:pStyle w:val="TableParagraph"/>
              <w:ind w:left="105"/>
              <w:rPr>
                <w:sz w:val="18"/>
              </w:rPr>
            </w:pPr>
            <w:r>
              <w:rPr>
                <w:spacing w:val="-2"/>
                <w:sz w:val="18"/>
              </w:rPr>
              <w:t>Reason:</w:t>
            </w:r>
          </w:p>
          <w:p>
            <w:pPr>
              <w:pStyle w:val="TableParagraph"/>
              <w:spacing w:line="278" w:lineRule="auto" w:before="196"/>
              <w:ind w:left="105" w:right="59"/>
              <w:rPr>
                <w:sz w:val="18"/>
              </w:rPr>
            </w:pPr>
            <w:r>
              <w:rPr>
                <w:sz w:val="18"/>
              </w:rPr>
              <w:t>Method</w:t>
            </w:r>
            <w:r>
              <w:rPr>
                <w:spacing w:val="-11"/>
                <w:sz w:val="18"/>
              </w:rPr>
              <w:t> </w:t>
            </w:r>
            <w:r>
              <w:rPr>
                <w:sz w:val="18"/>
              </w:rPr>
              <w:t>of</w:t>
            </w:r>
            <w:r>
              <w:rPr>
                <w:spacing w:val="-10"/>
                <w:sz w:val="18"/>
              </w:rPr>
              <w:t> </w:t>
            </w:r>
            <w:r>
              <w:rPr>
                <w:sz w:val="18"/>
              </w:rPr>
              <w:t>randomization is not clearly reported</w:t>
            </w:r>
          </w:p>
        </w:tc>
        <w:tc>
          <w:tcPr>
            <w:tcW w:w="2127" w:type="dxa"/>
          </w:tcPr>
          <w:p>
            <w:pPr>
              <w:pStyle w:val="TableParagraph"/>
              <w:spacing w:before="1"/>
              <w:ind w:left="105"/>
              <w:rPr>
                <w:sz w:val="18"/>
              </w:rPr>
            </w:pPr>
            <w:r>
              <w:rPr>
                <w:sz w:val="18"/>
              </w:rPr>
              <w:t>Probably</w:t>
            </w:r>
            <w:r>
              <w:rPr>
                <w:spacing w:val="-7"/>
                <w:sz w:val="18"/>
              </w:rPr>
              <w:t> </w:t>
            </w:r>
            <w:r>
              <w:rPr>
                <w:spacing w:val="-4"/>
                <w:sz w:val="18"/>
              </w:rPr>
              <w:t>yes;</w:t>
            </w:r>
          </w:p>
          <w:p>
            <w:pPr>
              <w:pStyle w:val="TableParagraph"/>
              <w:rPr>
                <w:sz w:val="18"/>
              </w:rPr>
            </w:pPr>
          </w:p>
          <w:p>
            <w:pPr>
              <w:pStyle w:val="TableParagraph"/>
              <w:spacing w:before="171"/>
              <w:rPr>
                <w:sz w:val="18"/>
              </w:rPr>
            </w:pPr>
          </w:p>
          <w:p>
            <w:pPr>
              <w:pStyle w:val="TableParagraph"/>
              <w:ind w:left="105"/>
              <w:rPr>
                <w:sz w:val="18"/>
              </w:rPr>
            </w:pPr>
            <w:r>
              <w:rPr>
                <w:spacing w:val="-2"/>
                <w:sz w:val="18"/>
              </w:rPr>
              <w:t>Reason:</w:t>
            </w:r>
          </w:p>
          <w:p>
            <w:pPr>
              <w:pStyle w:val="TableParagraph"/>
              <w:spacing w:line="278" w:lineRule="auto" w:before="196"/>
              <w:ind w:left="105" w:right="278"/>
              <w:rPr>
                <w:sz w:val="18"/>
              </w:rPr>
            </w:pPr>
            <w:r>
              <w:rPr>
                <w:sz w:val="18"/>
              </w:rPr>
              <w:t>Randomization</w:t>
            </w:r>
            <w:r>
              <w:rPr>
                <w:spacing w:val="-7"/>
                <w:sz w:val="18"/>
              </w:rPr>
              <w:t> </w:t>
            </w:r>
            <w:r>
              <w:rPr>
                <w:sz w:val="18"/>
              </w:rPr>
              <w:t>was performed</w:t>
            </w:r>
            <w:r>
              <w:rPr>
                <w:spacing w:val="-6"/>
                <w:sz w:val="18"/>
              </w:rPr>
              <w:t> </w:t>
            </w:r>
            <w:r>
              <w:rPr>
                <w:spacing w:val="-2"/>
                <w:sz w:val="18"/>
              </w:rPr>
              <w:t>centrally</w:t>
            </w:r>
          </w:p>
        </w:tc>
        <w:tc>
          <w:tcPr>
            <w:tcW w:w="2835" w:type="dxa"/>
          </w:tcPr>
          <w:p>
            <w:pPr>
              <w:pStyle w:val="TableParagraph"/>
              <w:spacing w:before="1"/>
              <w:ind w:left="102"/>
              <w:rPr>
                <w:sz w:val="18"/>
              </w:rPr>
            </w:pPr>
            <w:r>
              <w:rPr>
                <w:sz w:val="18"/>
              </w:rPr>
              <w:t>Definitely</w:t>
            </w:r>
            <w:r>
              <w:rPr>
                <w:spacing w:val="-7"/>
                <w:sz w:val="18"/>
              </w:rPr>
              <w:t> </w:t>
            </w:r>
            <w:r>
              <w:rPr>
                <w:spacing w:val="-5"/>
                <w:sz w:val="18"/>
              </w:rPr>
              <w:t>no;</w:t>
            </w:r>
          </w:p>
          <w:p>
            <w:pPr>
              <w:pStyle w:val="TableParagraph"/>
              <w:rPr>
                <w:sz w:val="18"/>
              </w:rPr>
            </w:pPr>
          </w:p>
          <w:p>
            <w:pPr>
              <w:pStyle w:val="TableParagraph"/>
              <w:spacing w:before="171"/>
              <w:rPr>
                <w:sz w:val="18"/>
              </w:rPr>
            </w:pPr>
          </w:p>
          <w:p>
            <w:pPr>
              <w:pStyle w:val="TableParagraph"/>
              <w:ind w:left="102"/>
              <w:rPr>
                <w:sz w:val="18"/>
              </w:rPr>
            </w:pPr>
            <w:r>
              <w:rPr>
                <w:spacing w:val="-2"/>
                <w:sz w:val="18"/>
              </w:rPr>
              <w:t>Reason:</w:t>
            </w:r>
          </w:p>
          <w:p>
            <w:pPr>
              <w:pStyle w:val="TableParagraph"/>
              <w:spacing w:before="196"/>
              <w:ind w:left="102"/>
              <w:rPr>
                <w:sz w:val="18"/>
              </w:rPr>
            </w:pPr>
            <w:r>
              <w:rPr>
                <w:sz w:val="18"/>
              </w:rPr>
              <w:t>All</w:t>
            </w:r>
            <w:r>
              <w:rPr>
                <w:spacing w:val="-3"/>
                <w:sz w:val="18"/>
              </w:rPr>
              <w:t> </w:t>
            </w:r>
            <w:r>
              <w:rPr>
                <w:sz w:val="18"/>
              </w:rPr>
              <w:t>medication</w:t>
            </w:r>
            <w:r>
              <w:rPr>
                <w:spacing w:val="-2"/>
                <w:sz w:val="18"/>
              </w:rPr>
              <w:t> </w:t>
            </w:r>
            <w:r>
              <w:rPr>
                <w:sz w:val="18"/>
              </w:rPr>
              <w:t>use</w:t>
            </w:r>
            <w:r>
              <w:rPr>
                <w:spacing w:val="-3"/>
                <w:sz w:val="18"/>
              </w:rPr>
              <w:t> </w:t>
            </w:r>
            <w:r>
              <w:rPr>
                <w:sz w:val="18"/>
              </w:rPr>
              <w:t>was</w:t>
            </w:r>
            <w:r>
              <w:rPr>
                <w:spacing w:val="-2"/>
                <w:sz w:val="18"/>
              </w:rPr>
              <w:t> </w:t>
            </w:r>
            <w:r>
              <w:rPr>
                <w:sz w:val="18"/>
              </w:rPr>
              <w:t>open</w:t>
            </w:r>
            <w:r>
              <w:rPr>
                <w:spacing w:val="-2"/>
                <w:sz w:val="18"/>
              </w:rPr>
              <w:t> </w:t>
            </w:r>
            <w:r>
              <w:rPr>
                <w:spacing w:val="-4"/>
                <w:sz w:val="18"/>
              </w:rPr>
              <w:t>label</w:t>
            </w:r>
          </w:p>
        </w:tc>
        <w:tc>
          <w:tcPr>
            <w:tcW w:w="1416" w:type="dxa"/>
          </w:tcPr>
          <w:p>
            <w:pPr>
              <w:pStyle w:val="TableParagraph"/>
              <w:spacing w:before="1"/>
              <w:ind w:left="104"/>
              <w:rPr>
                <w:sz w:val="18"/>
              </w:rPr>
            </w:pPr>
            <w:r>
              <w:rPr>
                <w:sz w:val="18"/>
              </w:rPr>
              <w:t>Definitely</w:t>
            </w:r>
            <w:r>
              <w:rPr>
                <w:spacing w:val="-7"/>
                <w:sz w:val="18"/>
              </w:rPr>
              <w:t> </w:t>
            </w:r>
            <w:r>
              <w:rPr>
                <w:spacing w:val="-4"/>
                <w:sz w:val="18"/>
              </w:rPr>
              <w:t>yes;</w:t>
            </w:r>
          </w:p>
          <w:p>
            <w:pPr>
              <w:pStyle w:val="TableParagraph"/>
              <w:rPr>
                <w:sz w:val="18"/>
              </w:rPr>
            </w:pPr>
          </w:p>
          <w:p>
            <w:pPr>
              <w:pStyle w:val="TableParagraph"/>
              <w:spacing w:before="171"/>
              <w:rPr>
                <w:sz w:val="18"/>
              </w:rPr>
            </w:pPr>
          </w:p>
          <w:p>
            <w:pPr>
              <w:pStyle w:val="TableParagraph"/>
              <w:ind w:left="104"/>
              <w:rPr>
                <w:sz w:val="18"/>
              </w:rPr>
            </w:pPr>
            <w:r>
              <w:rPr>
                <w:spacing w:val="-2"/>
                <w:sz w:val="18"/>
              </w:rPr>
              <w:t>Reason:</w:t>
            </w:r>
          </w:p>
          <w:p>
            <w:pPr>
              <w:pStyle w:val="TableParagraph"/>
              <w:spacing w:line="278" w:lineRule="auto" w:before="196"/>
              <w:ind w:left="104" w:right="570"/>
              <w:rPr>
                <w:sz w:val="18"/>
              </w:rPr>
            </w:pPr>
            <w:r>
              <w:rPr>
                <w:sz w:val="18"/>
              </w:rPr>
              <w:t>No</w:t>
            </w:r>
            <w:r>
              <w:rPr>
                <w:spacing w:val="-11"/>
                <w:sz w:val="18"/>
              </w:rPr>
              <w:t> </w:t>
            </w:r>
            <w:r>
              <w:rPr>
                <w:sz w:val="18"/>
              </w:rPr>
              <w:t>loss</w:t>
            </w:r>
            <w:r>
              <w:rPr>
                <w:spacing w:val="-10"/>
                <w:sz w:val="18"/>
              </w:rPr>
              <w:t> </w:t>
            </w:r>
            <w:r>
              <w:rPr>
                <w:sz w:val="18"/>
              </w:rPr>
              <w:t>to </w:t>
            </w:r>
            <w:r>
              <w:rPr>
                <w:spacing w:val="-2"/>
                <w:sz w:val="18"/>
              </w:rPr>
              <w:t>follow-</w:t>
            </w:r>
            <w:r>
              <w:rPr>
                <w:spacing w:val="-5"/>
                <w:sz w:val="18"/>
              </w:rPr>
              <w:t>up</w:t>
            </w:r>
          </w:p>
        </w:tc>
        <w:tc>
          <w:tcPr>
            <w:tcW w:w="1277" w:type="dxa"/>
          </w:tcPr>
          <w:p>
            <w:pPr>
              <w:pStyle w:val="TableParagraph"/>
              <w:spacing w:before="1"/>
              <w:ind w:left="104"/>
              <w:rPr>
                <w:sz w:val="18"/>
              </w:rPr>
            </w:pPr>
            <w:r>
              <w:rPr>
                <w:sz w:val="18"/>
              </w:rPr>
              <w:t>Definitely</w:t>
            </w:r>
            <w:r>
              <w:rPr>
                <w:spacing w:val="-7"/>
                <w:sz w:val="18"/>
              </w:rPr>
              <w:t> </w:t>
            </w:r>
            <w:r>
              <w:rPr>
                <w:spacing w:val="-4"/>
                <w:sz w:val="18"/>
              </w:rPr>
              <w:t>yes;</w:t>
            </w:r>
          </w:p>
          <w:p>
            <w:pPr>
              <w:pStyle w:val="TableParagraph"/>
              <w:rPr>
                <w:sz w:val="18"/>
              </w:rPr>
            </w:pPr>
          </w:p>
          <w:p>
            <w:pPr>
              <w:pStyle w:val="TableParagraph"/>
              <w:spacing w:before="171"/>
              <w:rPr>
                <w:sz w:val="18"/>
              </w:rPr>
            </w:pPr>
          </w:p>
          <w:p>
            <w:pPr>
              <w:pStyle w:val="TableParagraph"/>
              <w:ind w:left="104"/>
              <w:rPr>
                <w:sz w:val="18"/>
              </w:rPr>
            </w:pPr>
            <w:r>
              <w:rPr>
                <w:spacing w:val="-2"/>
                <w:sz w:val="18"/>
              </w:rPr>
              <w:t>Reason:</w:t>
            </w:r>
          </w:p>
          <w:p>
            <w:pPr>
              <w:pStyle w:val="TableParagraph"/>
              <w:spacing w:line="280" w:lineRule="auto" w:before="35"/>
              <w:ind w:left="104" w:right="88"/>
              <w:rPr>
                <w:sz w:val="18"/>
              </w:rPr>
            </w:pPr>
            <w:r>
              <w:rPr>
                <w:sz w:val="18"/>
              </w:rPr>
              <w:t>All</w:t>
            </w:r>
            <w:r>
              <w:rPr>
                <w:spacing w:val="-2"/>
                <w:sz w:val="18"/>
              </w:rPr>
              <w:t> </w:t>
            </w:r>
            <w:r>
              <w:rPr>
                <w:sz w:val="18"/>
              </w:rPr>
              <w:t>outcomes were</w:t>
            </w:r>
            <w:r>
              <w:rPr>
                <w:spacing w:val="-11"/>
                <w:sz w:val="18"/>
              </w:rPr>
              <w:t> </w:t>
            </w:r>
            <w:r>
              <w:rPr>
                <w:sz w:val="18"/>
              </w:rPr>
              <w:t>reported</w:t>
            </w:r>
          </w:p>
        </w:tc>
        <w:tc>
          <w:tcPr>
            <w:tcW w:w="1278" w:type="dxa"/>
          </w:tcPr>
          <w:p>
            <w:pPr>
              <w:pStyle w:val="TableParagraph"/>
              <w:spacing w:before="1"/>
              <w:ind w:left="104"/>
              <w:rPr>
                <w:sz w:val="18"/>
              </w:rPr>
            </w:pPr>
            <w:r>
              <w:rPr>
                <w:sz w:val="18"/>
              </w:rPr>
              <w:t>Definitely</w:t>
            </w:r>
            <w:r>
              <w:rPr>
                <w:spacing w:val="-7"/>
                <w:sz w:val="18"/>
              </w:rPr>
              <w:t> </w:t>
            </w:r>
            <w:r>
              <w:rPr>
                <w:spacing w:val="-4"/>
                <w:sz w:val="18"/>
              </w:rPr>
              <w:t>yes;</w:t>
            </w:r>
          </w:p>
          <w:p>
            <w:pPr>
              <w:pStyle w:val="TableParagraph"/>
              <w:rPr>
                <w:sz w:val="18"/>
              </w:rPr>
            </w:pPr>
          </w:p>
          <w:p>
            <w:pPr>
              <w:pStyle w:val="TableParagraph"/>
              <w:spacing w:before="171"/>
              <w:rPr>
                <w:sz w:val="18"/>
              </w:rPr>
            </w:pPr>
          </w:p>
          <w:p>
            <w:pPr>
              <w:pStyle w:val="TableParagraph"/>
              <w:ind w:left="104"/>
              <w:rPr>
                <w:sz w:val="18"/>
              </w:rPr>
            </w:pPr>
            <w:r>
              <w:rPr>
                <w:spacing w:val="-2"/>
                <w:sz w:val="18"/>
              </w:rPr>
              <w:t>Reason:</w:t>
            </w:r>
          </w:p>
          <w:p>
            <w:pPr>
              <w:pStyle w:val="TableParagraph"/>
              <w:spacing w:line="278" w:lineRule="auto" w:before="196"/>
              <w:ind w:left="104" w:right="304"/>
              <w:rPr>
                <w:sz w:val="18"/>
              </w:rPr>
            </w:pPr>
            <w:r>
              <w:rPr>
                <w:sz w:val="18"/>
              </w:rPr>
              <w:t>No other </w:t>
            </w:r>
            <w:r>
              <w:rPr>
                <w:spacing w:val="-2"/>
                <w:sz w:val="18"/>
              </w:rPr>
              <w:t>problems</w:t>
            </w:r>
            <w:r>
              <w:rPr>
                <w:sz w:val="18"/>
              </w:rPr>
              <w:t> were</w:t>
            </w:r>
            <w:r>
              <w:rPr>
                <w:spacing w:val="-11"/>
                <w:sz w:val="18"/>
              </w:rPr>
              <w:t> </w:t>
            </w:r>
            <w:r>
              <w:rPr>
                <w:sz w:val="18"/>
              </w:rPr>
              <w:t>noted</w:t>
            </w:r>
          </w:p>
        </w:tc>
        <w:tc>
          <w:tcPr>
            <w:tcW w:w="1844" w:type="dxa"/>
          </w:tcPr>
          <w:p>
            <w:pPr>
              <w:pStyle w:val="TableParagraph"/>
              <w:spacing w:before="1"/>
              <w:ind w:left="101"/>
              <w:rPr>
                <w:b/>
                <w:sz w:val="18"/>
              </w:rPr>
            </w:pPr>
            <w:r>
              <w:rPr>
                <w:b/>
                <w:sz w:val="18"/>
              </w:rPr>
              <w:t>Some</w:t>
            </w:r>
            <w:r>
              <w:rPr>
                <w:b/>
                <w:spacing w:val="-4"/>
                <w:sz w:val="18"/>
              </w:rPr>
              <w:t> </w:t>
            </w:r>
            <w:r>
              <w:rPr>
                <w:b/>
                <w:spacing w:val="-2"/>
                <w:sz w:val="18"/>
              </w:rPr>
              <w:t>concerns;</w:t>
            </w:r>
          </w:p>
          <w:p>
            <w:pPr>
              <w:pStyle w:val="TableParagraph"/>
              <w:rPr>
                <w:sz w:val="18"/>
              </w:rPr>
            </w:pPr>
          </w:p>
          <w:p>
            <w:pPr>
              <w:pStyle w:val="TableParagraph"/>
              <w:spacing w:before="171"/>
              <w:rPr>
                <w:sz w:val="18"/>
              </w:rPr>
            </w:pPr>
          </w:p>
          <w:p>
            <w:pPr>
              <w:pStyle w:val="TableParagraph"/>
              <w:ind w:left="101"/>
              <w:rPr>
                <w:b/>
                <w:sz w:val="18"/>
              </w:rPr>
            </w:pPr>
            <w:r>
              <w:rPr>
                <w:b/>
                <w:spacing w:val="-2"/>
                <w:sz w:val="18"/>
              </w:rPr>
              <w:t>Reason:</w:t>
            </w:r>
          </w:p>
          <w:p>
            <w:pPr>
              <w:pStyle w:val="TableParagraph"/>
              <w:spacing w:line="278" w:lineRule="auto" w:before="196"/>
              <w:ind w:left="101" w:right="468"/>
              <w:rPr>
                <w:b/>
                <w:sz w:val="18"/>
              </w:rPr>
            </w:pPr>
            <w:r>
              <w:rPr>
                <w:b/>
                <w:sz w:val="18"/>
              </w:rPr>
              <w:t>Method</w:t>
            </w:r>
            <w:r>
              <w:rPr>
                <w:b/>
                <w:spacing w:val="-2"/>
                <w:sz w:val="18"/>
              </w:rPr>
              <w:t> </w:t>
            </w:r>
            <w:r>
              <w:rPr>
                <w:b/>
                <w:sz w:val="18"/>
              </w:rPr>
              <w:t>of randomization</w:t>
            </w:r>
            <w:r>
              <w:rPr>
                <w:b/>
                <w:spacing w:val="-11"/>
                <w:sz w:val="18"/>
              </w:rPr>
              <w:t> </w:t>
            </w:r>
            <w:r>
              <w:rPr>
                <w:b/>
                <w:sz w:val="18"/>
              </w:rPr>
              <w:t>is unclear, and no </w:t>
            </w:r>
            <w:r>
              <w:rPr>
                <w:b/>
                <w:spacing w:val="-2"/>
                <w:sz w:val="18"/>
              </w:rPr>
              <w:t>blinding</w:t>
            </w:r>
          </w:p>
        </w:tc>
      </w:tr>
      <w:tr>
        <w:trPr>
          <w:trHeight w:val="1919" w:hRule="atLeast"/>
        </w:trPr>
        <w:tc>
          <w:tcPr>
            <w:tcW w:w="1119" w:type="dxa"/>
          </w:tcPr>
          <w:p>
            <w:pPr>
              <w:pStyle w:val="TableParagraph"/>
              <w:spacing w:line="278" w:lineRule="auto" w:before="1"/>
              <w:ind w:left="105" w:right="371"/>
              <w:rPr>
                <w:sz w:val="18"/>
              </w:rPr>
            </w:pPr>
            <w:r>
              <w:rPr>
                <w:spacing w:val="-2"/>
                <w:sz w:val="18"/>
              </w:rPr>
              <w:t>Pessotti,</w:t>
            </w:r>
            <w:r>
              <w:rPr>
                <w:sz w:val="18"/>
              </w:rPr>
              <w:t> </w:t>
            </w:r>
            <w:r>
              <w:rPr>
                <w:spacing w:val="-4"/>
                <w:sz w:val="18"/>
              </w:rPr>
              <w:t>2014</w:t>
            </w:r>
          </w:p>
        </w:tc>
        <w:tc>
          <w:tcPr>
            <w:tcW w:w="2136" w:type="dxa"/>
          </w:tcPr>
          <w:p>
            <w:pPr>
              <w:pStyle w:val="TableParagraph"/>
              <w:spacing w:before="1"/>
              <w:ind w:left="105"/>
              <w:rPr>
                <w:sz w:val="18"/>
              </w:rPr>
            </w:pPr>
            <w:r>
              <w:rPr>
                <w:sz w:val="18"/>
              </w:rPr>
              <w:t>Definitely</w:t>
            </w:r>
            <w:r>
              <w:rPr>
                <w:spacing w:val="-7"/>
                <w:sz w:val="18"/>
              </w:rPr>
              <w:t> </w:t>
            </w:r>
            <w:r>
              <w:rPr>
                <w:spacing w:val="-4"/>
                <w:sz w:val="18"/>
              </w:rPr>
              <w:t>yes;</w:t>
            </w:r>
          </w:p>
          <w:p>
            <w:pPr>
              <w:pStyle w:val="TableParagraph"/>
              <w:rPr>
                <w:sz w:val="18"/>
              </w:rPr>
            </w:pPr>
          </w:p>
          <w:p>
            <w:pPr>
              <w:pStyle w:val="TableParagraph"/>
              <w:spacing w:before="171"/>
              <w:rPr>
                <w:sz w:val="18"/>
              </w:rPr>
            </w:pPr>
          </w:p>
          <w:p>
            <w:pPr>
              <w:pStyle w:val="TableParagraph"/>
              <w:spacing w:before="1"/>
              <w:ind w:left="105"/>
              <w:rPr>
                <w:sz w:val="18"/>
              </w:rPr>
            </w:pPr>
            <w:r>
              <w:rPr>
                <w:spacing w:val="-2"/>
                <w:sz w:val="18"/>
              </w:rPr>
              <w:t>Reason:</w:t>
            </w:r>
          </w:p>
          <w:p>
            <w:pPr>
              <w:pStyle w:val="TableParagraph"/>
              <w:spacing w:line="280" w:lineRule="auto" w:before="34"/>
              <w:ind w:left="105"/>
              <w:rPr>
                <w:sz w:val="18"/>
              </w:rPr>
            </w:pPr>
            <w:r>
              <w:rPr>
                <w:spacing w:val="-2"/>
                <w:sz w:val="18"/>
              </w:rPr>
              <w:t>Computer-</w:t>
            </w:r>
            <w:r>
              <w:rPr>
                <w:spacing w:val="-2"/>
                <w:sz w:val="18"/>
              </w:rPr>
              <w:t>generated</w:t>
            </w:r>
            <w:r>
              <w:rPr>
                <w:sz w:val="18"/>
              </w:rPr>
              <w:t> </w:t>
            </w:r>
            <w:r>
              <w:rPr>
                <w:spacing w:val="-2"/>
                <w:sz w:val="18"/>
              </w:rPr>
              <w:t>randomization</w:t>
            </w:r>
          </w:p>
        </w:tc>
        <w:tc>
          <w:tcPr>
            <w:tcW w:w="2127" w:type="dxa"/>
          </w:tcPr>
          <w:p>
            <w:pPr>
              <w:pStyle w:val="TableParagraph"/>
              <w:spacing w:before="1"/>
              <w:ind w:left="105"/>
              <w:rPr>
                <w:sz w:val="18"/>
              </w:rPr>
            </w:pPr>
            <w:r>
              <w:rPr>
                <w:sz w:val="18"/>
              </w:rPr>
              <w:t>Probably</w:t>
            </w:r>
            <w:r>
              <w:rPr>
                <w:spacing w:val="-5"/>
                <w:sz w:val="18"/>
              </w:rPr>
              <w:t> no;</w:t>
            </w:r>
          </w:p>
          <w:p>
            <w:pPr>
              <w:pStyle w:val="TableParagraph"/>
              <w:rPr>
                <w:sz w:val="18"/>
              </w:rPr>
            </w:pPr>
          </w:p>
          <w:p>
            <w:pPr>
              <w:pStyle w:val="TableParagraph"/>
              <w:spacing w:before="171"/>
              <w:rPr>
                <w:sz w:val="18"/>
              </w:rPr>
            </w:pPr>
          </w:p>
          <w:p>
            <w:pPr>
              <w:pStyle w:val="TableParagraph"/>
              <w:spacing w:before="1"/>
              <w:ind w:left="105"/>
              <w:rPr>
                <w:sz w:val="18"/>
              </w:rPr>
            </w:pPr>
            <w:r>
              <w:rPr>
                <w:spacing w:val="-2"/>
                <w:sz w:val="18"/>
              </w:rPr>
              <w:t>Reason:</w:t>
            </w:r>
          </w:p>
          <w:p>
            <w:pPr>
              <w:pStyle w:val="TableParagraph"/>
              <w:spacing w:before="195"/>
              <w:ind w:left="105"/>
              <w:rPr>
                <w:sz w:val="18"/>
              </w:rPr>
            </w:pPr>
            <w:r>
              <w:rPr>
                <w:sz w:val="18"/>
              </w:rPr>
              <w:t>Not</w:t>
            </w:r>
            <w:r>
              <w:rPr>
                <w:spacing w:val="-3"/>
                <w:sz w:val="18"/>
              </w:rPr>
              <w:t> </w:t>
            </w:r>
            <w:r>
              <w:rPr>
                <w:spacing w:val="-2"/>
                <w:sz w:val="18"/>
              </w:rPr>
              <w:t>reported</w:t>
            </w:r>
          </w:p>
        </w:tc>
        <w:tc>
          <w:tcPr>
            <w:tcW w:w="2835" w:type="dxa"/>
          </w:tcPr>
          <w:p>
            <w:pPr>
              <w:pStyle w:val="TableParagraph"/>
              <w:spacing w:before="1"/>
              <w:ind w:left="102"/>
              <w:rPr>
                <w:sz w:val="18"/>
              </w:rPr>
            </w:pPr>
            <w:r>
              <w:rPr>
                <w:sz w:val="18"/>
              </w:rPr>
              <w:t>Definitely</w:t>
            </w:r>
            <w:r>
              <w:rPr>
                <w:spacing w:val="-7"/>
                <w:sz w:val="18"/>
              </w:rPr>
              <w:t> </w:t>
            </w:r>
            <w:r>
              <w:rPr>
                <w:spacing w:val="-5"/>
                <w:sz w:val="18"/>
              </w:rPr>
              <w:t>no;</w:t>
            </w:r>
          </w:p>
          <w:p>
            <w:pPr>
              <w:pStyle w:val="TableParagraph"/>
              <w:rPr>
                <w:sz w:val="18"/>
              </w:rPr>
            </w:pPr>
          </w:p>
          <w:p>
            <w:pPr>
              <w:pStyle w:val="TableParagraph"/>
              <w:spacing w:before="171"/>
              <w:rPr>
                <w:sz w:val="18"/>
              </w:rPr>
            </w:pPr>
          </w:p>
          <w:p>
            <w:pPr>
              <w:pStyle w:val="TableParagraph"/>
              <w:spacing w:before="1"/>
              <w:ind w:left="102"/>
              <w:rPr>
                <w:sz w:val="18"/>
              </w:rPr>
            </w:pPr>
            <w:r>
              <w:rPr>
                <w:spacing w:val="-2"/>
                <w:sz w:val="18"/>
              </w:rPr>
              <w:t>Reason:</w:t>
            </w:r>
          </w:p>
          <w:p>
            <w:pPr>
              <w:pStyle w:val="TableParagraph"/>
              <w:spacing w:before="195"/>
              <w:ind w:left="102"/>
              <w:rPr>
                <w:sz w:val="18"/>
              </w:rPr>
            </w:pPr>
            <w:r>
              <w:rPr>
                <w:sz w:val="18"/>
              </w:rPr>
              <w:t>Not</w:t>
            </w:r>
            <w:r>
              <w:rPr>
                <w:spacing w:val="-3"/>
                <w:sz w:val="18"/>
              </w:rPr>
              <w:t> </w:t>
            </w:r>
            <w:r>
              <w:rPr>
                <w:spacing w:val="-2"/>
                <w:sz w:val="18"/>
              </w:rPr>
              <w:t>reported</w:t>
            </w:r>
          </w:p>
        </w:tc>
        <w:tc>
          <w:tcPr>
            <w:tcW w:w="1416" w:type="dxa"/>
          </w:tcPr>
          <w:p>
            <w:pPr>
              <w:pStyle w:val="TableParagraph"/>
              <w:spacing w:before="1"/>
              <w:ind w:left="104"/>
              <w:rPr>
                <w:sz w:val="18"/>
              </w:rPr>
            </w:pPr>
            <w:r>
              <w:rPr>
                <w:sz w:val="18"/>
              </w:rPr>
              <w:t>Definitely</w:t>
            </w:r>
            <w:r>
              <w:rPr>
                <w:spacing w:val="-7"/>
                <w:sz w:val="18"/>
              </w:rPr>
              <w:t> </w:t>
            </w:r>
            <w:r>
              <w:rPr>
                <w:spacing w:val="-4"/>
                <w:sz w:val="18"/>
              </w:rPr>
              <w:t>yes;</w:t>
            </w:r>
          </w:p>
          <w:p>
            <w:pPr>
              <w:pStyle w:val="TableParagraph"/>
              <w:rPr>
                <w:sz w:val="18"/>
              </w:rPr>
            </w:pPr>
          </w:p>
          <w:p>
            <w:pPr>
              <w:pStyle w:val="TableParagraph"/>
              <w:spacing w:before="171"/>
              <w:rPr>
                <w:sz w:val="18"/>
              </w:rPr>
            </w:pPr>
          </w:p>
          <w:p>
            <w:pPr>
              <w:pStyle w:val="TableParagraph"/>
              <w:spacing w:before="1"/>
              <w:ind w:left="104"/>
              <w:rPr>
                <w:sz w:val="18"/>
              </w:rPr>
            </w:pPr>
            <w:r>
              <w:rPr>
                <w:spacing w:val="-2"/>
                <w:sz w:val="18"/>
              </w:rPr>
              <w:t>Reason:</w:t>
            </w:r>
          </w:p>
          <w:p>
            <w:pPr>
              <w:pStyle w:val="TableParagraph"/>
              <w:spacing w:line="278" w:lineRule="auto" w:before="195"/>
              <w:ind w:left="104" w:right="570"/>
              <w:rPr>
                <w:sz w:val="18"/>
              </w:rPr>
            </w:pPr>
            <w:r>
              <w:rPr>
                <w:sz w:val="18"/>
              </w:rPr>
              <w:t>No</w:t>
            </w:r>
            <w:r>
              <w:rPr>
                <w:spacing w:val="-11"/>
                <w:sz w:val="18"/>
              </w:rPr>
              <w:t> </w:t>
            </w:r>
            <w:r>
              <w:rPr>
                <w:sz w:val="18"/>
              </w:rPr>
              <w:t>loss</w:t>
            </w:r>
            <w:r>
              <w:rPr>
                <w:spacing w:val="-10"/>
                <w:sz w:val="18"/>
              </w:rPr>
              <w:t> </w:t>
            </w:r>
            <w:r>
              <w:rPr>
                <w:sz w:val="18"/>
              </w:rPr>
              <w:t>to </w:t>
            </w:r>
            <w:r>
              <w:rPr>
                <w:spacing w:val="-2"/>
                <w:sz w:val="18"/>
              </w:rPr>
              <w:t>follow-</w:t>
            </w:r>
            <w:r>
              <w:rPr>
                <w:spacing w:val="-5"/>
                <w:sz w:val="18"/>
              </w:rPr>
              <w:t>up</w:t>
            </w:r>
          </w:p>
        </w:tc>
        <w:tc>
          <w:tcPr>
            <w:tcW w:w="1277" w:type="dxa"/>
          </w:tcPr>
          <w:p>
            <w:pPr>
              <w:pStyle w:val="TableParagraph"/>
              <w:spacing w:before="1"/>
              <w:ind w:left="104"/>
              <w:rPr>
                <w:sz w:val="18"/>
              </w:rPr>
            </w:pPr>
            <w:r>
              <w:rPr>
                <w:sz w:val="18"/>
              </w:rPr>
              <w:t>Definitely</w:t>
            </w:r>
            <w:r>
              <w:rPr>
                <w:spacing w:val="-7"/>
                <w:sz w:val="18"/>
              </w:rPr>
              <w:t> </w:t>
            </w:r>
            <w:r>
              <w:rPr>
                <w:spacing w:val="-4"/>
                <w:sz w:val="18"/>
              </w:rPr>
              <w:t>yes;</w:t>
            </w:r>
          </w:p>
          <w:p>
            <w:pPr>
              <w:pStyle w:val="TableParagraph"/>
              <w:rPr>
                <w:sz w:val="18"/>
              </w:rPr>
            </w:pPr>
          </w:p>
          <w:p>
            <w:pPr>
              <w:pStyle w:val="TableParagraph"/>
              <w:spacing w:before="171"/>
              <w:rPr>
                <w:sz w:val="18"/>
              </w:rPr>
            </w:pPr>
          </w:p>
          <w:p>
            <w:pPr>
              <w:pStyle w:val="TableParagraph"/>
              <w:spacing w:before="1"/>
              <w:ind w:left="104"/>
              <w:rPr>
                <w:sz w:val="18"/>
              </w:rPr>
            </w:pPr>
            <w:r>
              <w:rPr>
                <w:spacing w:val="-2"/>
                <w:sz w:val="18"/>
              </w:rPr>
              <w:t>Reason:</w:t>
            </w:r>
          </w:p>
          <w:p>
            <w:pPr>
              <w:pStyle w:val="TableParagraph"/>
              <w:spacing w:line="280" w:lineRule="auto" w:before="34"/>
              <w:ind w:left="104" w:right="88"/>
              <w:rPr>
                <w:sz w:val="18"/>
              </w:rPr>
            </w:pPr>
            <w:r>
              <w:rPr>
                <w:sz w:val="18"/>
              </w:rPr>
              <w:t>All</w:t>
            </w:r>
            <w:r>
              <w:rPr>
                <w:spacing w:val="-2"/>
                <w:sz w:val="18"/>
              </w:rPr>
              <w:t> </w:t>
            </w:r>
            <w:r>
              <w:rPr>
                <w:sz w:val="18"/>
              </w:rPr>
              <w:t>outcomes were</w:t>
            </w:r>
            <w:r>
              <w:rPr>
                <w:spacing w:val="-11"/>
                <w:sz w:val="18"/>
              </w:rPr>
              <w:t> </w:t>
            </w:r>
            <w:r>
              <w:rPr>
                <w:sz w:val="18"/>
              </w:rPr>
              <w:t>reported</w:t>
            </w:r>
          </w:p>
        </w:tc>
        <w:tc>
          <w:tcPr>
            <w:tcW w:w="1278" w:type="dxa"/>
          </w:tcPr>
          <w:p>
            <w:pPr>
              <w:pStyle w:val="TableParagraph"/>
              <w:spacing w:before="1"/>
              <w:ind w:left="104"/>
              <w:rPr>
                <w:sz w:val="18"/>
              </w:rPr>
            </w:pPr>
            <w:r>
              <w:rPr>
                <w:sz w:val="18"/>
              </w:rPr>
              <w:t>Definitely</w:t>
            </w:r>
            <w:r>
              <w:rPr>
                <w:spacing w:val="-7"/>
                <w:sz w:val="18"/>
              </w:rPr>
              <w:t> </w:t>
            </w:r>
            <w:r>
              <w:rPr>
                <w:spacing w:val="-4"/>
                <w:sz w:val="18"/>
              </w:rPr>
              <w:t>yes;</w:t>
            </w:r>
          </w:p>
          <w:p>
            <w:pPr>
              <w:pStyle w:val="TableParagraph"/>
              <w:rPr>
                <w:sz w:val="18"/>
              </w:rPr>
            </w:pPr>
          </w:p>
          <w:p>
            <w:pPr>
              <w:pStyle w:val="TableParagraph"/>
              <w:spacing w:before="171"/>
              <w:rPr>
                <w:sz w:val="18"/>
              </w:rPr>
            </w:pPr>
          </w:p>
          <w:p>
            <w:pPr>
              <w:pStyle w:val="TableParagraph"/>
              <w:spacing w:before="1"/>
              <w:ind w:left="104"/>
              <w:rPr>
                <w:sz w:val="18"/>
              </w:rPr>
            </w:pPr>
            <w:r>
              <w:rPr>
                <w:spacing w:val="-2"/>
                <w:sz w:val="18"/>
              </w:rPr>
              <w:t>Reason:</w:t>
            </w:r>
          </w:p>
        </w:tc>
        <w:tc>
          <w:tcPr>
            <w:tcW w:w="1844" w:type="dxa"/>
          </w:tcPr>
          <w:p>
            <w:pPr>
              <w:pStyle w:val="TableParagraph"/>
              <w:spacing w:before="1"/>
              <w:ind w:left="101"/>
              <w:rPr>
                <w:b/>
                <w:sz w:val="18"/>
              </w:rPr>
            </w:pPr>
            <w:r>
              <w:rPr>
                <w:b/>
                <w:sz w:val="18"/>
              </w:rPr>
              <w:t>Some</w:t>
            </w:r>
            <w:r>
              <w:rPr>
                <w:b/>
                <w:spacing w:val="-4"/>
                <w:sz w:val="18"/>
              </w:rPr>
              <w:t> </w:t>
            </w:r>
            <w:r>
              <w:rPr>
                <w:b/>
                <w:spacing w:val="-2"/>
                <w:sz w:val="18"/>
              </w:rPr>
              <w:t>concerns;</w:t>
            </w:r>
          </w:p>
          <w:p>
            <w:pPr>
              <w:pStyle w:val="TableParagraph"/>
              <w:rPr>
                <w:sz w:val="18"/>
              </w:rPr>
            </w:pPr>
          </w:p>
          <w:p>
            <w:pPr>
              <w:pStyle w:val="TableParagraph"/>
              <w:spacing w:before="171"/>
              <w:rPr>
                <w:sz w:val="18"/>
              </w:rPr>
            </w:pPr>
          </w:p>
          <w:p>
            <w:pPr>
              <w:pStyle w:val="TableParagraph"/>
              <w:spacing w:before="1"/>
              <w:ind w:left="101"/>
              <w:rPr>
                <w:b/>
                <w:sz w:val="18"/>
              </w:rPr>
            </w:pPr>
            <w:r>
              <w:rPr>
                <w:b/>
                <w:spacing w:val="-2"/>
                <w:sz w:val="18"/>
              </w:rPr>
              <w:t>Reason:</w:t>
            </w:r>
          </w:p>
          <w:p>
            <w:pPr>
              <w:pStyle w:val="TableParagraph"/>
              <w:spacing w:line="278" w:lineRule="auto" w:before="195"/>
              <w:ind w:left="101" w:right="324"/>
              <w:rPr>
                <w:b/>
                <w:sz w:val="18"/>
              </w:rPr>
            </w:pPr>
            <w:r>
              <w:rPr>
                <w:b/>
                <w:sz w:val="18"/>
              </w:rPr>
              <w:t>No</w:t>
            </w:r>
            <w:r>
              <w:rPr>
                <w:b/>
                <w:spacing w:val="-11"/>
                <w:sz w:val="18"/>
              </w:rPr>
              <w:t> </w:t>
            </w:r>
            <w:r>
              <w:rPr>
                <w:b/>
                <w:sz w:val="18"/>
              </w:rPr>
              <w:t>reporting</w:t>
            </w:r>
            <w:r>
              <w:rPr>
                <w:b/>
                <w:spacing w:val="-10"/>
                <w:sz w:val="18"/>
              </w:rPr>
              <w:t> </w:t>
            </w:r>
            <w:r>
              <w:rPr>
                <w:b/>
                <w:sz w:val="18"/>
              </w:rPr>
              <w:t>on </w:t>
            </w:r>
            <w:r>
              <w:rPr>
                <w:b/>
                <w:spacing w:val="-2"/>
                <w:sz w:val="18"/>
              </w:rPr>
              <w:t>allocation</w:t>
            </w:r>
          </w:p>
        </w:tc>
      </w:tr>
    </w:tbl>
    <w:p>
      <w:pPr>
        <w:pStyle w:val="TableParagraph"/>
        <w:spacing w:after="0" w:line="278" w:lineRule="auto"/>
        <w:rPr>
          <w:b/>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19"/>
        <w:gridCol w:w="2136"/>
        <w:gridCol w:w="2127"/>
        <w:gridCol w:w="2835"/>
        <w:gridCol w:w="1416"/>
        <w:gridCol w:w="1277"/>
        <w:gridCol w:w="1278"/>
        <w:gridCol w:w="1844"/>
      </w:tblGrid>
      <w:tr>
        <w:trPr>
          <w:trHeight w:val="925" w:hRule="atLeast"/>
        </w:trPr>
        <w:tc>
          <w:tcPr>
            <w:tcW w:w="1119" w:type="dxa"/>
          </w:tcPr>
          <w:p>
            <w:pPr>
              <w:pStyle w:val="TableParagraph"/>
              <w:rPr>
                <w:rFonts w:ascii="Times New Roman"/>
                <w:sz w:val="18"/>
              </w:rPr>
            </w:pPr>
          </w:p>
        </w:tc>
        <w:tc>
          <w:tcPr>
            <w:tcW w:w="2136" w:type="dxa"/>
          </w:tcPr>
          <w:p>
            <w:pPr>
              <w:pStyle w:val="TableParagraph"/>
              <w:rPr>
                <w:rFonts w:ascii="Times New Roman"/>
                <w:sz w:val="18"/>
              </w:rPr>
            </w:pPr>
          </w:p>
        </w:tc>
        <w:tc>
          <w:tcPr>
            <w:tcW w:w="2127" w:type="dxa"/>
          </w:tcPr>
          <w:p>
            <w:pPr>
              <w:pStyle w:val="TableParagraph"/>
              <w:rPr>
                <w:rFonts w:ascii="Times New Roman"/>
                <w:sz w:val="18"/>
              </w:rPr>
            </w:pPr>
          </w:p>
        </w:tc>
        <w:tc>
          <w:tcPr>
            <w:tcW w:w="2835" w:type="dxa"/>
          </w:tcPr>
          <w:p>
            <w:pPr>
              <w:pStyle w:val="TableParagraph"/>
              <w:rPr>
                <w:rFonts w:ascii="Times New Roman"/>
                <w:sz w:val="18"/>
              </w:rPr>
            </w:pPr>
          </w:p>
        </w:tc>
        <w:tc>
          <w:tcPr>
            <w:tcW w:w="1416" w:type="dxa"/>
          </w:tcPr>
          <w:p>
            <w:pPr>
              <w:pStyle w:val="TableParagraph"/>
              <w:rPr>
                <w:rFonts w:ascii="Times New Roman"/>
                <w:sz w:val="18"/>
              </w:rPr>
            </w:pPr>
          </w:p>
        </w:tc>
        <w:tc>
          <w:tcPr>
            <w:tcW w:w="1277" w:type="dxa"/>
          </w:tcPr>
          <w:p>
            <w:pPr>
              <w:pStyle w:val="TableParagraph"/>
              <w:rPr>
                <w:rFonts w:ascii="Times New Roman"/>
                <w:sz w:val="18"/>
              </w:rPr>
            </w:pPr>
          </w:p>
        </w:tc>
        <w:tc>
          <w:tcPr>
            <w:tcW w:w="1278" w:type="dxa"/>
          </w:tcPr>
          <w:p>
            <w:pPr>
              <w:pStyle w:val="TableParagraph"/>
              <w:spacing w:line="278" w:lineRule="auto"/>
              <w:ind w:left="104" w:right="304"/>
              <w:rPr>
                <w:sz w:val="18"/>
              </w:rPr>
            </w:pPr>
            <w:r>
              <w:rPr>
                <w:sz w:val="18"/>
              </w:rPr>
              <w:t>No other </w:t>
            </w:r>
            <w:r>
              <w:rPr>
                <w:spacing w:val="-2"/>
                <w:sz w:val="18"/>
              </w:rPr>
              <w:t>problems</w:t>
            </w:r>
            <w:r>
              <w:rPr>
                <w:sz w:val="18"/>
              </w:rPr>
              <w:t> were</w:t>
            </w:r>
            <w:r>
              <w:rPr>
                <w:spacing w:val="-11"/>
                <w:sz w:val="18"/>
              </w:rPr>
              <w:t> </w:t>
            </w:r>
            <w:r>
              <w:rPr>
                <w:sz w:val="18"/>
              </w:rPr>
              <w:t>noted</w:t>
            </w:r>
          </w:p>
        </w:tc>
        <w:tc>
          <w:tcPr>
            <w:tcW w:w="1844" w:type="dxa"/>
          </w:tcPr>
          <w:p>
            <w:pPr>
              <w:pStyle w:val="TableParagraph"/>
              <w:spacing w:line="280" w:lineRule="auto"/>
              <w:ind w:left="101" w:right="432"/>
              <w:rPr>
                <w:b/>
                <w:sz w:val="18"/>
              </w:rPr>
            </w:pPr>
            <w:r>
              <w:rPr>
                <w:b/>
                <w:sz w:val="18"/>
              </w:rPr>
              <w:t>concealment</w:t>
            </w:r>
            <w:r>
              <w:rPr>
                <w:b/>
                <w:spacing w:val="-11"/>
                <w:sz w:val="18"/>
              </w:rPr>
              <w:t> </w:t>
            </w:r>
            <w:r>
              <w:rPr>
                <w:b/>
                <w:sz w:val="18"/>
              </w:rPr>
              <w:t>and </w:t>
            </w:r>
            <w:r>
              <w:rPr>
                <w:b/>
                <w:spacing w:val="-2"/>
                <w:sz w:val="18"/>
              </w:rPr>
              <w:t>blinding</w:t>
            </w:r>
          </w:p>
        </w:tc>
      </w:tr>
    </w:tbl>
    <w:p>
      <w:pPr>
        <w:pStyle w:val="BodyText"/>
      </w:pPr>
    </w:p>
    <w:p>
      <w:pPr>
        <w:pStyle w:val="BodyText"/>
      </w:pPr>
    </w:p>
    <w:p>
      <w:pPr>
        <w:pStyle w:val="BodyText"/>
        <w:spacing w:before="139"/>
      </w:pPr>
    </w:p>
    <w:p>
      <w:pPr>
        <w:pStyle w:val="BodyText"/>
        <w:ind w:left="23"/>
      </w:pPr>
      <w:r>
        <w:rPr/>
        <w:t>Table</w:t>
      </w:r>
      <w:r>
        <w:rPr>
          <w:spacing w:val="-3"/>
        </w:rPr>
        <w:t> </w:t>
      </w:r>
      <w:r>
        <w:rPr/>
        <w:t>3.4.1</w:t>
      </w:r>
      <w:r>
        <w:rPr>
          <w:spacing w:val="-3"/>
        </w:rPr>
        <w:t> </w:t>
      </w:r>
      <w:r>
        <w:rPr/>
        <w:t>Summary</w:t>
      </w:r>
      <w:r>
        <w:rPr>
          <w:spacing w:val="-5"/>
        </w:rPr>
        <w:t> </w:t>
      </w:r>
      <w:r>
        <w:rPr/>
        <w:t>of</w:t>
      </w:r>
      <w:r>
        <w:rPr>
          <w:spacing w:val="-7"/>
        </w:rPr>
        <w:t> </w:t>
      </w:r>
      <w:r>
        <w:rPr/>
        <w:t>findings;</w:t>
      </w:r>
      <w:r>
        <w:rPr>
          <w:spacing w:val="-3"/>
        </w:rPr>
        <w:t> </w:t>
      </w:r>
      <w:r>
        <w:rPr/>
        <w:t>studies</w:t>
      </w:r>
      <w:r>
        <w:rPr>
          <w:spacing w:val="-5"/>
        </w:rPr>
        <w:t> </w:t>
      </w:r>
      <w:r>
        <w:rPr/>
        <w:t>with</w:t>
      </w:r>
      <w:r>
        <w:rPr>
          <w:spacing w:val="-4"/>
        </w:rPr>
        <w:t> </w:t>
      </w:r>
      <w:r>
        <w:rPr/>
        <w:t>follow-up</w:t>
      </w:r>
      <w:r>
        <w:rPr>
          <w:spacing w:val="-4"/>
        </w:rPr>
        <w:t> </w:t>
      </w:r>
      <w:r>
        <w:rPr/>
        <w:t>≤</w:t>
      </w:r>
      <w:r>
        <w:rPr>
          <w:spacing w:val="-3"/>
        </w:rPr>
        <w:t> </w:t>
      </w:r>
      <w:r>
        <w:rPr/>
        <w:t>1</w:t>
      </w:r>
      <w:r>
        <w:rPr>
          <w:spacing w:val="-4"/>
        </w:rPr>
        <w:t> year</w:t>
      </w:r>
    </w:p>
    <w:p>
      <w:pPr>
        <w:pStyle w:val="BodyText"/>
        <w:spacing w:line="278" w:lineRule="auto" w:before="205"/>
        <w:ind w:left="23" w:right="466"/>
      </w:pPr>
      <w:r>
        <w:rPr/>
        <w:t>Comparison</w:t>
      </w:r>
      <w:r>
        <w:rPr>
          <w:spacing w:val="-4"/>
        </w:rPr>
        <w:t> </w:t>
      </w:r>
      <w:r>
        <w:rPr/>
        <w:t>of</w:t>
      </w:r>
      <w:r>
        <w:rPr>
          <w:spacing w:val="-3"/>
        </w:rPr>
        <w:t> </w:t>
      </w:r>
      <w:r>
        <w:rPr/>
        <w:t>thromboprophylaxis</w:t>
      </w:r>
      <w:r>
        <w:rPr>
          <w:spacing w:val="-1"/>
        </w:rPr>
        <w:t> </w:t>
      </w:r>
      <w:r>
        <w:rPr/>
        <w:t>A</w:t>
      </w:r>
      <w:r>
        <w:rPr>
          <w:spacing w:val="-4"/>
        </w:rPr>
        <w:t> </w:t>
      </w:r>
      <w:r>
        <w:rPr/>
        <w:t>versus</w:t>
      </w:r>
      <w:r>
        <w:rPr>
          <w:spacing w:val="-4"/>
        </w:rPr>
        <w:t> </w:t>
      </w:r>
      <w:r>
        <w:rPr/>
        <w:t>thromboprophylaxis</w:t>
      </w:r>
      <w:r>
        <w:rPr>
          <w:spacing w:val="-4"/>
        </w:rPr>
        <w:t> </w:t>
      </w:r>
      <w:r>
        <w:rPr/>
        <w:t>B</w:t>
      </w:r>
      <w:r>
        <w:rPr>
          <w:spacing w:val="-1"/>
        </w:rPr>
        <w:t> </w:t>
      </w:r>
      <w:r>
        <w:rPr/>
        <w:t>with</w:t>
      </w:r>
      <w:r>
        <w:rPr>
          <w:spacing w:val="-1"/>
        </w:rPr>
        <w:t> </w:t>
      </w:r>
      <w:r>
        <w:rPr/>
        <w:t>outcomes thrombosis,</w:t>
      </w:r>
      <w:r>
        <w:rPr>
          <w:spacing w:val="-4"/>
        </w:rPr>
        <w:t> </w:t>
      </w:r>
      <w:r>
        <w:rPr/>
        <w:t>hemorrhage,</w:t>
      </w:r>
      <w:r>
        <w:rPr>
          <w:spacing w:val="-3"/>
        </w:rPr>
        <w:t> </w:t>
      </w:r>
      <w:r>
        <w:rPr/>
        <w:t>mortality,</w:t>
      </w:r>
      <w:r>
        <w:rPr>
          <w:spacing w:val="-4"/>
        </w:rPr>
        <w:t> </w:t>
      </w:r>
      <w:r>
        <w:rPr/>
        <w:t>ischemic</w:t>
      </w:r>
      <w:r>
        <w:rPr>
          <w:spacing w:val="-4"/>
        </w:rPr>
        <w:t> </w:t>
      </w:r>
      <w:r>
        <w:rPr/>
        <w:t>stroke,</w:t>
      </w:r>
      <w:r>
        <w:rPr>
          <w:spacing w:val="-1"/>
        </w:rPr>
        <w:t> </w:t>
      </w:r>
      <w:r>
        <w:rPr/>
        <w:t>quality</w:t>
      </w:r>
      <w:r>
        <w:rPr>
          <w:spacing w:val="-2"/>
        </w:rPr>
        <w:t> </w:t>
      </w:r>
      <w:r>
        <w:rPr/>
        <w:t>of</w:t>
      </w:r>
      <w:r>
        <w:rPr>
          <w:spacing w:val="-1"/>
        </w:rPr>
        <w:t> </w:t>
      </w:r>
      <w:r>
        <w:rPr/>
        <w:t>life</w:t>
      </w:r>
      <w:r>
        <w:rPr>
          <w:spacing w:val="-1"/>
        </w:rPr>
        <w:t> </w:t>
      </w:r>
      <w:r>
        <w:rPr/>
        <w:t>(QOL) and adverse events</w:t>
      </w:r>
    </w:p>
    <w:p>
      <w:pPr>
        <w:pStyle w:val="BodyText"/>
        <w:spacing w:before="4"/>
        <w:rPr>
          <w:sz w:val="13"/>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148"/>
        <w:gridCol w:w="3058"/>
        <w:gridCol w:w="1128"/>
        <w:gridCol w:w="1250"/>
        <w:gridCol w:w="2035"/>
        <w:gridCol w:w="4325"/>
      </w:tblGrid>
      <w:tr>
        <w:trPr>
          <w:trHeight w:val="829" w:hRule="atLeast"/>
        </w:trPr>
        <w:tc>
          <w:tcPr>
            <w:tcW w:w="2148" w:type="dxa"/>
          </w:tcPr>
          <w:p>
            <w:pPr>
              <w:pStyle w:val="TableParagraph"/>
              <w:spacing w:line="218" w:lineRule="exact"/>
              <w:ind w:left="6"/>
              <w:rPr>
                <w:b/>
                <w:sz w:val="18"/>
              </w:rPr>
            </w:pPr>
            <w:r>
              <w:rPr>
                <w:b/>
                <w:spacing w:val="-2"/>
                <w:sz w:val="18"/>
              </w:rPr>
              <w:t>Outcome</w:t>
            </w:r>
          </w:p>
        </w:tc>
        <w:tc>
          <w:tcPr>
            <w:tcW w:w="3058" w:type="dxa"/>
          </w:tcPr>
          <w:p>
            <w:pPr>
              <w:pStyle w:val="TableParagraph"/>
              <w:spacing w:line="218" w:lineRule="exact"/>
              <w:ind w:left="7"/>
              <w:rPr>
                <w:b/>
                <w:sz w:val="18"/>
              </w:rPr>
            </w:pPr>
            <w:r>
              <w:rPr>
                <w:b/>
                <w:sz w:val="18"/>
              </w:rPr>
              <w:t>Study</w:t>
            </w:r>
            <w:r>
              <w:rPr>
                <w:b/>
                <w:spacing w:val="-2"/>
                <w:sz w:val="18"/>
              </w:rPr>
              <w:t> </w:t>
            </w:r>
            <w:r>
              <w:rPr>
                <w:b/>
                <w:sz w:val="18"/>
              </w:rPr>
              <w:t>results</w:t>
            </w:r>
            <w:r>
              <w:rPr>
                <w:b/>
                <w:spacing w:val="-2"/>
                <w:sz w:val="18"/>
              </w:rPr>
              <w:t> </w:t>
            </w:r>
            <w:r>
              <w:rPr>
                <w:b/>
                <w:sz w:val="18"/>
              </w:rPr>
              <w:t>and</w:t>
            </w:r>
            <w:r>
              <w:rPr>
                <w:b/>
                <w:spacing w:val="-3"/>
                <w:sz w:val="18"/>
              </w:rPr>
              <w:t> </w:t>
            </w:r>
            <w:r>
              <w:rPr>
                <w:b/>
                <w:spacing w:val="-2"/>
                <w:sz w:val="18"/>
              </w:rPr>
              <w:t>measurements</w:t>
            </w:r>
          </w:p>
        </w:tc>
        <w:tc>
          <w:tcPr>
            <w:tcW w:w="2378" w:type="dxa"/>
            <w:gridSpan w:val="2"/>
          </w:tcPr>
          <w:p>
            <w:pPr>
              <w:pStyle w:val="TableParagraph"/>
              <w:spacing w:line="218" w:lineRule="exact"/>
              <w:ind w:left="7"/>
              <w:rPr>
                <w:b/>
                <w:sz w:val="18"/>
              </w:rPr>
            </w:pPr>
            <w:r>
              <w:rPr>
                <w:b/>
                <w:sz w:val="18"/>
              </w:rPr>
              <w:t>Absolute</w:t>
            </w:r>
            <w:r>
              <w:rPr>
                <w:b/>
                <w:spacing w:val="-3"/>
                <w:sz w:val="18"/>
              </w:rPr>
              <w:t> </w:t>
            </w:r>
            <w:r>
              <w:rPr>
                <w:b/>
                <w:sz w:val="18"/>
              </w:rPr>
              <w:t>effect</w:t>
            </w:r>
            <w:r>
              <w:rPr>
                <w:b/>
                <w:spacing w:val="-2"/>
                <w:sz w:val="18"/>
              </w:rPr>
              <w:t> estimates</w:t>
            </w:r>
          </w:p>
        </w:tc>
        <w:tc>
          <w:tcPr>
            <w:tcW w:w="2035" w:type="dxa"/>
          </w:tcPr>
          <w:p>
            <w:pPr>
              <w:pStyle w:val="TableParagraph"/>
              <w:spacing w:line="218" w:lineRule="exact"/>
              <w:ind w:left="7"/>
              <w:rPr>
                <w:b/>
                <w:sz w:val="18"/>
              </w:rPr>
            </w:pPr>
            <w:r>
              <w:rPr>
                <w:b/>
                <w:sz w:val="18"/>
              </w:rPr>
              <w:t>Certainty</w:t>
            </w:r>
            <w:r>
              <w:rPr>
                <w:b/>
                <w:spacing w:val="-2"/>
                <w:sz w:val="18"/>
              </w:rPr>
              <w:t> </w:t>
            </w:r>
            <w:r>
              <w:rPr>
                <w:b/>
                <w:sz w:val="18"/>
              </w:rPr>
              <w:t>of</w:t>
            </w:r>
            <w:r>
              <w:rPr>
                <w:b/>
                <w:spacing w:val="-2"/>
                <w:sz w:val="18"/>
              </w:rPr>
              <w:t> </w:t>
            </w:r>
            <w:r>
              <w:rPr>
                <w:b/>
                <w:sz w:val="18"/>
              </w:rPr>
              <w:t>the</w:t>
            </w:r>
            <w:r>
              <w:rPr>
                <w:b/>
                <w:spacing w:val="-1"/>
                <w:sz w:val="18"/>
              </w:rPr>
              <w:t> </w:t>
            </w:r>
            <w:r>
              <w:rPr>
                <w:b/>
                <w:spacing w:val="-2"/>
                <w:sz w:val="18"/>
              </w:rPr>
              <w:t>Evidence</w:t>
            </w:r>
          </w:p>
          <w:p>
            <w:pPr>
              <w:pStyle w:val="TableParagraph"/>
              <w:spacing w:before="195"/>
              <w:ind w:left="7"/>
              <w:rPr>
                <w:sz w:val="18"/>
              </w:rPr>
            </w:pPr>
            <w:r>
              <w:rPr>
                <w:sz w:val="18"/>
              </w:rPr>
              <w:t>(Quality</w:t>
            </w:r>
            <w:r>
              <w:rPr>
                <w:spacing w:val="-1"/>
                <w:sz w:val="18"/>
              </w:rPr>
              <w:t> </w:t>
            </w:r>
            <w:r>
              <w:rPr>
                <w:sz w:val="18"/>
              </w:rPr>
              <w:t>of</w:t>
            </w:r>
            <w:r>
              <w:rPr>
                <w:spacing w:val="-1"/>
                <w:sz w:val="18"/>
              </w:rPr>
              <w:t> </w:t>
            </w:r>
            <w:r>
              <w:rPr>
                <w:spacing w:val="-2"/>
                <w:sz w:val="18"/>
              </w:rPr>
              <w:t>evidence)</w:t>
            </w:r>
          </w:p>
        </w:tc>
        <w:tc>
          <w:tcPr>
            <w:tcW w:w="4325" w:type="dxa"/>
          </w:tcPr>
          <w:p>
            <w:pPr>
              <w:pStyle w:val="TableParagraph"/>
              <w:spacing w:line="218" w:lineRule="exact"/>
              <w:ind w:left="8"/>
              <w:rPr>
                <w:b/>
                <w:sz w:val="18"/>
              </w:rPr>
            </w:pPr>
            <w:r>
              <w:rPr>
                <w:b/>
                <w:spacing w:val="-2"/>
                <w:sz w:val="18"/>
              </w:rPr>
              <w:t>Summary</w:t>
            </w:r>
          </w:p>
        </w:tc>
      </w:tr>
      <w:tr>
        <w:trPr>
          <w:trHeight w:val="414" w:hRule="atLeast"/>
        </w:trPr>
        <w:tc>
          <w:tcPr>
            <w:tcW w:w="13944" w:type="dxa"/>
            <w:gridSpan w:val="6"/>
            <w:shd w:val="clear" w:color="auto" w:fill="D9D9D9"/>
          </w:tcPr>
          <w:p>
            <w:pPr>
              <w:pStyle w:val="TableParagraph"/>
              <w:spacing w:line="218" w:lineRule="exact"/>
              <w:ind w:left="6"/>
              <w:rPr>
                <w:b/>
                <w:i/>
                <w:sz w:val="18"/>
              </w:rPr>
            </w:pPr>
            <w:r>
              <w:rPr>
                <w:b/>
                <w:i/>
                <w:sz w:val="18"/>
              </w:rPr>
              <w:t>Aspirin</w:t>
            </w:r>
            <w:r>
              <w:rPr>
                <w:b/>
                <w:i/>
                <w:spacing w:val="-3"/>
                <w:sz w:val="18"/>
              </w:rPr>
              <w:t> </w:t>
            </w:r>
            <w:r>
              <w:rPr>
                <w:b/>
                <w:i/>
                <w:sz w:val="18"/>
              </w:rPr>
              <w:t>versus</w:t>
            </w:r>
            <w:r>
              <w:rPr>
                <w:b/>
                <w:i/>
                <w:spacing w:val="-3"/>
                <w:sz w:val="18"/>
              </w:rPr>
              <w:t> </w:t>
            </w:r>
            <w:r>
              <w:rPr>
                <w:b/>
                <w:i/>
                <w:spacing w:val="-2"/>
                <w:sz w:val="18"/>
              </w:rPr>
              <w:t>warfarin</w:t>
            </w:r>
          </w:p>
        </w:tc>
      </w:tr>
      <w:tr>
        <w:trPr>
          <w:trHeight w:val="417" w:hRule="atLeast"/>
        </w:trPr>
        <w:tc>
          <w:tcPr>
            <w:tcW w:w="2148" w:type="dxa"/>
          </w:tcPr>
          <w:p>
            <w:pPr>
              <w:pStyle w:val="TableParagraph"/>
              <w:rPr>
                <w:rFonts w:ascii="Times New Roman"/>
                <w:sz w:val="18"/>
              </w:rPr>
            </w:pPr>
          </w:p>
        </w:tc>
        <w:tc>
          <w:tcPr>
            <w:tcW w:w="3058" w:type="dxa"/>
          </w:tcPr>
          <w:p>
            <w:pPr>
              <w:pStyle w:val="TableParagraph"/>
              <w:rPr>
                <w:rFonts w:ascii="Times New Roman"/>
                <w:sz w:val="18"/>
              </w:rPr>
            </w:pPr>
          </w:p>
        </w:tc>
        <w:tc>
          <w:tcPr>
            <w:tcW w:w="1128" w:type="dxa"/>
          </w:tcPr>
          <w:p>
            <w:pPr>
              <w:pStyle w:val="TableParagraph"/>
              <w:spacing w:before="1"/>
              <w:ind w:left="7"/>
              <w:rPr>
                <w:sz w:val="18"/>
              </w:rPr>
            </w:pPr>
            <w:r>
              <w:rPr>
                <w:spacing w:val="-2"/>
                <w:sz w:val="18"/>
              </w:rPr>
              <w:t>Aspirin</w:t>
            </w:r>
          </w:p>
        </w:tc>
        <w:tc>
          <w:tcPr>
            <w:tcW w:w="1250" w:type="dxa"/>
          </w:tcPr>
          <w:p>
            <w:pPr>
              <w:pStyle w:val="TableParagraph"/>
              <w:spacing w:before="1"/>
              <w:ind w:left="7"/>
              <w:rPr>
                <w:sz w:val="18"/>
              </w:rPr>
            </w:pPr>
            <w:r>
              <w:rPr>
                <w:spacing w:val="-2"/>
                <w:sz w:val="18"/>
              </w:rPr>
              <w:t>Warfarin</w:t>
            </w:r>
          </w:p>
        </w:tc>
        <w:tc>
          <w:tcPr>
            <w:tcW w:w="2035" w:type="dxa"/>
          </w:tcPr>
          <w:p>
            <w:pPr>
              <w:pStyle w:val="TableParagraph"/>
              <w:rPr>
                <w:rFonts w:ascii="Times New Roman"/>
                <w:sz w:val="18"/>
              </w:rPr>
            </w:pPr>
          </w:p>
        </w:tc>
        <w:tc>
          <w:tcPr>
            <w:tcW w:w="4325" w:type="dxa"/>
          </w:tcPr>
          <w:p>
            <w:pPr>
              <w:pStyle w:val="TableParagraph"/>
              <w:rPr>
                <w:rFonts w:ascii="Times New Roman"/>
                <w:sz w:val="18"/>
              </w:rPr>
            </w:pPr>
          </w:p>
        </w:tc>
      </w:tr>
      <w:tr>
        <w:trPr>
          <w:trHeight w:val="830" w:hRule="atLeast"/>
        </w:trPr>
        <w:tc>
          <w:tcPr>
            <w:tcW w:w="2148" w:type="dxa"/>
            <w:tcBorders>
              <w:bottom w:val="nil"/>
            </w:tcBorders>
          </w:tcPr>
          <w:p>
            <w:pPr>
              <w:pStyle w:val="TableParagraph"/>
              <w:spacing w:line="278" w:lineRule="auto"/>
              <w:ind w:left="6" w:right="210"/>
              <w:rPr>
                <w:sz w:val="18"/>
              </w:rPr>
            </w:pPr>
            <w:r>
              <w:rPr>
                <w:sz w:val="18"/>
              </w:rPr>
              <w:t>Thrombotic</w:t>
            </w:r>
            <w:r>
              <w:rPr>
                <w:spacing w:val="-11"/>
                <w:sz w:val="18"/>
              </w:rPr>
              <w:t> </w:t>
            </w:r>
            <w:r>
              <w:rPr>
                <w:sz w:val="18"/>
              </w:rPr>
              <w:t>complications </w:t>
            </w:r>
            <w:r>
              <w:rPr>
                <w:spacing w:val="-2"/>
                <w:sz w:val="18"/>
              </w:rPr>
              <w:t>(critical)</w:t>
            </w:r>
          </w:p>
        </w:tc>
        <w:tc>
          <w:tcPr>
            <w:tcW w:w="3058" w:type="dxa"/>
            <w:tcBorders>
              <w:bottom w:val="nil"/>
            </w:tcBorders>
          </w:tcPr>
          <w:p>
            <w:pPr>
              <w:pStyle w:val="TableParagraph"/>
              <w:spacing w:line="218" w:lineRule="exact"/>
              <w:ind w:left="7"/>
              <w:rPr>
                <w:b/>
                <w:sz w:val="18"/>
              </w:rPr>
            </w:pPr>
            <w:r>
              <w:rPr>
                <w:sz w:val="18"/>
              </w:rPr>
              <w:t>Relative</w:t>
            </w:r>
            <w:r>
              <w:rPr>
                <w:spacing w:val="-3"/>
                <w:sz w:val="18"/>
              </w:rPr>
              <w:t> </w:t>
            </w:r>
            <w:r>
              <w:rPr>
                <w:sz w:val="18"/>
              </w:rPr>
              <w:t>risk:</w:t>
            </w:r>
            <w:r>
              <w:rPr>
                <w:spacing w:val="-2"/>
                <w:sz w:val="18"/>
              </w:rPr>
              <w:t> </w:t>
            </w:r>
            <w:r>
              <w:rPr>
                <w:b/>
                <w:spacing w:val="-4"/>
                <w:sz w:val="18"/>
              </w:rPr>
              <w:t>1.26</w:t>
            </w:r>
          </w:p>
          <w:p>
            <w:pPr>
              <w:pStyle w:val="TableParagraph"/>
              <w:spacing w:before="196"/>
              <w:ind w:left="7"/>
              <w:rPr>
                <w:sz w:val="18"/>
              </w:rPr>
            </w:pPr>
            <w:r>
              <w:rPr>
                <w:sz w:val="18"/>
              </w:rPr>
              <w:t>(95%</w:t>
            </w:r>
            <w:r>
              <w:rPr>
                <w:spacing w:val="-1"/>
                <w:sz w:val="18"/>
              </w:rPr>
              <w:t> </w:t>
            </w:r>
            <w:r>
              <w:rPr>
                <w:sz w:val="18"/>
              </w:rPr>
              <w:t>CI 0.25 to </w:t>
            </w:r>
            <w:r>
              <w:rPr>
                <w:spacing w:val="-4"/>
                <w:sz w:val="18"/>
              </w:rPr>
              <w:t>6.29)</w:t>
            </w:r>
          </w:p>
        </w:tc>
        <w:tc>
          <w:tcPr>
            <w:tcW w:w="1128" w:type="dxa"/>
          </w:tcPr>
          <w:p>
            <w:pPr>
              <w:pStyle w:val="TableParagraph"/>
              <w:spacing w:line="218" w:lineRule="exact"/>
              <w:ind w:left="7"/>
              <w:rPr>
                <w:b/>
                <w:sz w:val="18"/>
              </w:rPr>
            </w:pPr>
            <w:r>
              <w:rPr>
                <w:b/>
                <w:spacing w:val="-10"/>
                <w:sz w:val="18"/>
              </w:rPr>
              <w:t>5</w:t>
            </w:r>
          </w:p>
          <w:p>
            <w:pPr>
              <w:pStyle w:val="TableParagraph"/>
              <w:spacing w:before="196"/>
              <w:ind w:left="7"/>
              <w:rPr>
                <w:sz w:val="18"/>
              </w:rPr>
            </w:pPr>
            <w:r>
              <w:rPr>
                <w:sz w:val="18"/>
              </w:rPr>
              <w:t>per</w:t>
            </w:r>
            <w:r>
              <w:rPr>
                <w:spacing w:val="-3"/>
                <w:sz w:val="18"/>
              </w:rPr>
              <w:t> </w:t>
            </w:r>
            <w:r>
              <w:rPr>
                <w:spacing w:val="-5"/>
                <w:sz w:val="18"/>
              </w:rPr>
              <w:t>100</w:t>
            </w:r>
          </w:p>
        </w:tc>
        <w:tc>
          <w:tcPr>
            <w:tcW w:w="1250" w:type="dxa"/>
          </w:tcPr>
          <w:p>
            <w:pPr>
              <w:pStyle w:val="TableParagraph"/>
              <w:spacing w:line="218" w:lineRule="exact"/>
              <w:ind w:left="7"/>
              <w:rPr>
                <w:b/>
                <w:sz w:val="18"/>
              </w:rPr>
            </w:pPr>
            <w:r>
              <w:rPr>
                <w:b/>
                <w:spacing w:val="-10"/>
                <w:sz w:val="18"/>
              </w:rPr>
              <w:t>4</w:t>
            </w:r>
          </w:p>
          <w:p>
            <w:pPr>
              <w:pStyle w:val="TableParagraph"/>
              <w:spacing w:before="196"/>
              <w:ind w:left="7"/>
              <w:rPr>
                <w:sz w:val="18"/>
              </w:rPr>
            </w:pPr>
            <w:r>
              <w:rPr>
                <w:sz w:val="18"/>
              </w:rPr>
              <w:t>per</w:t>
            </w:r>
            <w:r>
              <w:rPr>
                <w:spacing w:val="-3"/>
                <w:sz w:val="18"/>
              </w:rPr>
              <w:t> </w:t>
            </w:r>
            <w:r>
              <w:rPr>
                <w:spacing w:val="-5"/>
                <w:sz w:val="18"/>
              </w:rPr>
              <w:t>100</w:t>
            </w:r>
          </w:p>
        </w:tc>
        <w:tc>
          <w:tcPr>
            <w:tcW w:w="2035" w:type="dxa"/>
            <w:tcBorders>
              <w:bottom w:val="nil"/>
            </w:tcBorders>
          </w:tcPr>
          <w:p>
            <w:pPr>
              <w:pStyle w:val="TableParagraph"/>
              <w:rPr>
                <w:rFonts w:ascii="Times New Roman"/>
                <w:sz w:val="18"/>
              </w:rPr>
            </w:pPr>
          </w:p>
        </w:tc>
        <w:tc>
          <w:tcPr>
            <w:tcW w:w="4325" w:type="dxa"/>
            <w:tcBorders>
              <w:bottom w:val="nil"/>
            </w:tcBorders>
          </w:tcPr>
          <w:p>
            <w:pPr>
              <w:pStyle w:val="TableParagraph"/>
              <w:rPr>
                <w:rFonts w:ascii="Times New Roman"/>
                <w:sz w:val="18"/>
              </w:rPr>
            </w:pPr>
          </w:p>
        </w:tc>
      </w:tr>
      <w:tr>
        <w:trPr>
          <w:trHeight w:val="1709" w:hRule="atLeast"/>
        </w:trPr>
        <w:tc>
          <w:tcPr>
            <w:tcW w:w="2148" w:type="dxa"/>
            <w:tcBorders>
              <w:top w:val="nil"/>
              <w:bottom w:val="nil"/>
            </w:tcBorders>
          </w:tcPr>
          <w:p>
            <w:pPr>
              <w:pStyle w:val="TableParagraph"/>
              <w:rPr>
                <w:rFonts w:ascii="Times New Roman"/>
                <w:sz w:val="18"/>
              </w:rPr>
            </w:pPr>
          </w:p>
        </w:tc>
        <w:tc>
          <w:tcPr>
            <w:tcW w:w="3058" w:type="dxa"/>
            <w:tcBorders>
              <w:top w:val="nil"/>
              <w:bottom w:val="nil"/>
            </w:tcBorders>
          </w:tcPr>
          <w:p>
            <w:pPr>
              <w:pStyle w:val="TableParagraph"/>
              <w:spacing w:before="179"/>
              <w:rPr>
                <w:sz w:val="18"/>
              </w:rPr>
            </w:pPr>
          </w:p>
          <w:p>
            <w:pPr>
              <w:pStyle w:val="TableParagraph"/>
              <w:spacing w:line="280" w:lineRule="auto"/>
              <w:ind w:left="7"/>
              <w:rPr>
                <w:sz w:val="18"/>
              </w:rPr>
            </w:pPr>
            <w:r>
              <w:rPr>
                <w:sz w:val="18"/>
              </w:rPr>
              <w:t>Based</w:t>
            </w:r>
            <w:r>
              <w:rPr>
                <w:spacing w:val="-6"/>
                <w:sz w:val="18"/>
              </w:rPr>
              <w:t> </w:t>
            </w:r>
            <w:r>
              <w:rPr>
                <w:sz w:val="18"/>
              </w:rPr>
              <w:t>on</w:t>
            </w:r>
            <w:r>
              <w:rPr>
                <w:spacing w:val="-6"/>
                <w:sz w:val="18"/>
              </w:rPr>
              <w:t> </w:t>
            </w:r>
            <w:r>
              <w:rPr>
                <w:sz w:val="18"/>
              </w:rPr>
              <w:t>data</w:t>
            </w:r>
            <w:r>
              <w:rPr>
                <w:spacing w:val="-6"/>
                <w:sz w:val="18"/>
              </w:rPr>
              <w:t> </w:t>
            </w:r>
            <w:r>
              <w:rPr>
                <w:sz w:val="18"/>
              </w:rPr>
              <w:t>from</w:t>
            </w:r>
            <w:r>
              <w:rPr>
                <w:spacing w:val="-6"/>
                <w:sz w:val="18"/>
              </w:rPr>
              <w:t> </w:t>
            </w:r>
            <w:r>
              <w:rPr>
                <w:sz w:val="18"/>
              </w:rPr>
              <w:t>155</w:t>
            </w:r>
            <w:r>
              <w:rPr>
                <w:spacing w:val="-6"/>
                <w:sz w:val="18"/>
              </w:rPr>
              <w:t> </w:t>
            </w:r>
            <w:r>
              <w:rPr>
                <w:sz w:val="18"/>
              </w:rPr>
              <w:t>participants</w:t>
            </w:r>
            <w:r>
              <w:rPr>
                <w:spacing w:val="-7"/>
                <w:sz w:val="18"/>
              </w:rPr>
              <w:t> </w:t>
            </w:r>
            <w:r>
              <w:rPr>
                <w:sz w:val="18"/>
              </w:rPr>
              <w:t>in</w:t>
            </w:r>
            <w:r>
              <w:rPr>
                <w:spacing w:val="-7"/>
                <w:sz w:val="18"/>
              </w:rPr>
              <w:t> </w:t>
            </w:r>
            <w:r>
              <w:rPr>
                <w:sz w:val="18"/>
              </w:rPr>
              <w:t>1 </w:t>
            </w:r>
            <w:r>
              <w:rPr>
                <w:spacing w:val="-2"/>
                <w:sz w:val="18"/>
              </w:rPr>
              <w:t>study</w:t>
            </w:r>
          </w:p>
          <w:p>
            <w:pPr>
              <w:pStyle w:val="TableParagraph"/>
              <w:spacing w:line="217" w:lineRule="exact"/>
              <w:ind w:left="7"/>
              <w:rPr>
                <w:sz w:val="18"/>
              </w:rPr>
            </w:pPr>
            <w:r>
              <w:rPr>
                <w:sz w:val="18"/>
              </w:rPr>
              <w:t>Follow-up:</w:t>
            </w:r>
            <w:r>
              <w:rPr>
                <w:spacing w:val="-5"/>
                <w:sz w:val="18"/>
              </w:rPr>
              <w:t> </w:t>
            </w:r>
            <w:r>
              <w:rPr>
                <w:sz w:val="18"/>
              </w:rPr>
              <w:t>30</w:t>
            </w:r>
            <w:r>
              <w:rPr>
                <w:spacing w:val="-2"/>
                <w:sz w:val="18"/>
              </w:rPr>
              <w:t> </w:t>
            </w:r>
            <w:r>
              <w:rPr>
                <w:spacing w:val="-4"/>
                <w:sz w:val="18"/>
              </w:rPr>
              <w:t>days</w:t>
            </w:r>
          </w:p>
        </w:tc>
        <w:tc>
          <w:tcPr>
            <w:tcW w:w="2378" w:type="dxa"/>
            <w:gridSpan w:val="2"/>
            <w:tcBorders>
              <w:bottom w:val="nil"/>
            </w:tcBorders>
          </w:tcPr>
          <w:p>
            <w:pPr>
              <w:pStyle w:val="TableParagraph"/>
              <w:spacing w:before="194"/>
              <w:rPr>
                <w:sz w:val="18"/>
              </w:rPr>
            </w:pPr>
          </w:p>
          <w:p>
            <w:pPr>
              <w:pStyle w:val="TableParagraph"/>
              <w:ind w:left="7"/>
              <w:rPr>
                <w:b/>
                <w:sz w:val="18"/>
              </w:rPr>
            </w:pPr>
            <w:r>
              <w:rPr>
                <w:sz w:val="18"/>
              </w:rPr>
              <w:t>Difference:</w:t>
            </w:r>
            <w:r>
              <w:rPr>
                <w:spacing w:val="-2"/>
                <w:sz w:val="18"/>
              </w:rPr>
              <w:t> </w:t>
            </w:r>
            <w:r>
              <w:rPr>
                <w:b/>
                <w:sz w:val="18"/>
              </w:rPr>
              <w:t>1</w:t>
            </w:r>
            <w:r>
              <w:rPr>
                <w:b/>
                <w:spacing w:val="-2"/>
                <w:sz w:val="18"/>
              </w:rPr>
              <w:t> </w:t>
            </w:r>
            <w:r>
              <w:rPr>
                <w:b/>
                <w:sz w:val="18"/>
              </w:rPr>
              <w:t>more</w:t>
            </w:r>
            <w:r>
              <w:rPr>
                <w:b/>
                <w:spacing w:val="-2"/>
                <w:sz w:val="18"/>
              </w:rPr>
              <w:t> </w:t>
            </w:r>
            <w:r>
              <w:rPr>
                <w:b/>
                <w:sz w:val="18"/>
              </w:rPr>
              <w:t>per</w:t>
            </w:r>
            <w:r>
              <w:rPr>
                <w:b/>
                <w:spacing w:val="-1"/>
                <w:sz w:val="18"/>
              </w:rPr>
              <w:t> </w:t>
            </w:r>
            <w:r>
              <w:rPr>
                <w:b/>
                <w:spacing w:val="-5"/>
                <w:sz w:val="18"/>
              </w:rPr>
              <w:t>100</w:t>
            </w:r>
          </w:p>
          <w:p>
            <w:pPr>
              <w:pStyle w:val="TableParagraph"/>
              <w:spacing w:before="198"/>
              <w:ind w:left="7"/>
              <w:rPr>
                <w:sz w:val="18"/>
              </w:rPr>
            </w:pPr>
            <w:r>
              <w:rPr>
                <w:sz w:val="18"/>
              </w:rPr>
              <w:t>(95%</w:t>
            </w:r>
            <w:r>
              <w:rPr>
                <w:spacing w:val="-3"/>
                <w:sz w:val="18"/>
              </w:rPr>
              <w:t> </w:t>
            </w:r>
            <w:r>
              <w:rPr>
                <w:sz w:val="18"/>
              </w:rPr>
              <w:t>CI 6 fewer</w:t>
            </w:r>
            <w:r>
              <w:rPr>
                <w:spacing w:val="-1"/>
                <w:sz w:val="18"/>
              </w:rPr>
              <w:t> </w:t>
            </w:r>
            <w:r>
              <w:rPr>
                <w:sz w:val="18"/>
              </w:rPr>
              <w:t>to 8 </w:t>
            </w:r>
            <w:r>
              <w:rPr>
                <w:spacing w:val="-4"/>
                <w:sz w:val="18"/>
              </w:rPr>
              <w:t>more)</w:t>
            </w:r>
          </w:p>
        </w:tc>
        <w:tc>
          <w:tcPr>
            <w:tcW w:w="2035" w:type="dxa"/>
            <w:tcBorders>
              <w:top w:val="nil"/>
              <w:bottom w:val="nil"/>
            </w:tcBorders>
          </w:tcPr>
          <w:p>
            <w:pPr>
              <w:pStyle w:val="TableParagraph"/>
              <w:spacing w:before="179"/>
              <w:rPr>
                <w:sz w:val="18"/>
              </w:rPr>
            </w:pPr>
          </w:p>
          <w:p>
            <w:pPr>
              <w:pStyle w:val="TableParagraph"/>
              <w:ind w:left="7"/>
              <w:rPr>
                <w:b/>
                <w:sz w:val="18"/>
              </w:rPr>
            </w:pPr>
            <w:r>
              <w:rPr>
                <w:b/>
                <w:sz w:val="18"/>
              </w:rPr>
              <w:t>Very</w:t>
            </w:r>
            <w:r>
              <w:rPr>
                <w:b/>
                <w:spacing w:val="-1"/>
                <w:sz w:val="18"/>
              </w:rPr>
              <w:t> </w:t>
            </w:r>
            <w:r>
              <w:rPr>
                <w:b/>
                <w:spacing w:val="-5"/>
                <w:sz w:val="18"/>
              </w:rPr>
              <w:t>low</w:t>
            </w:r>
          </w:p>
          <w:p>
            <w:pPr>
              <w:pStyle w:val="TableParagraph"/>
              <w:spacing w:line="278" w:lineRule="auto" w:before="38"/>
              <w:ind w:left="7" w:right="243"/>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before="1"/>
              <w:ind w:left="7"/>
              <w:rPr>
                <w:position w:val="5"/>
                <w:sz w:val="12"/>
              </w:rPr>
            </w:pPr>
            <w:r>
              <w:rPr>
                <w:sz w:val="18"/>
              </w:rPr>
              <w:t>serious</w:t>
            </w:r>
            <w:r>
              <w:rPr>
                <w:spacing w:val="-5"/>
                <w:sz w:val="18"/>
              </w:rPr>
              <w:t> </w:t>
            </w:r>
            <w:r>
              <w:rPr>
                <w:spacing w:val="-2"/>
                <w:sz w:val="18"/>
              </w:rPr>
              <w:t>imprecision</w:t>
            </w:r>
            <w:r>
              <w:rPr>
                <w:spacing w:val="-2"/>
                <w:position w:val="5"/>
                <w:sz w:val="12"/>
              </w:rPr>
              <w:t>1</w:t>
            </w:r>
          </w:p>
        </w:tc>
        <w:tc>
          <w:tcPr>
            <w:tcW w:w="4325" w:type="dxa"/>
            <w:tcBorders>
              <w:top w:val="nil"/>
              <w:bottom w:val="nil"/>
            </w:tcBorders>
          </w:tcPr>
          <w:p>
            <w:pPr>
              <w:pStyle w:val="TableParagraph"/>
              <w:spacing w:before="179"/>
              <w:rPr>
                <w:sz w:val="18"/>
              </w:rPr>
            </w:pPr>
          </w:p>
          <w:p>
            <w:pPr>
              <w:pStyle w:val="TableParagraph"/>
              <w:spacing w:line="280" w:lineRule="auto"/>
              <w:ind w:left="8" w:right="13"/>
              <w:rPr>
                <w:sz w:val="18"/>
              </w:rPr>
            </w:pPr>
            <w:r>
              <w:rPr>
                <w:sz w:val="18"/>
              </w:rPr>
              <w:t>The</w:t>
            </w:r>
            <w:r>
              <w:rPr>
                <w:spacing w:val="-5"/>
                <w:sz w:val="18"/>
              </w:rPr>
              <w:t> </w:t>
            </w:r>
            <w:r>
              <w:rPr>
                <w:sz w:val="18"/>
              </w:rPr>
              <w:t>evidence</w:t>
            </w:r>
            <w:r>
              <w:rPr>
                <w:spacing w:val="-5"/>
                <w:sz w:val="18"/>
              </w:rPr>
              <w:t> </w:t>
            </w:r>
            <w:r>
              <w:rPr>
                <w:sz w:val="18"/>
              </w:rPr>
              <w:t>is</w:t>
            </w:r>
            <w:r>
              <w:rPr>
                <w:spacing w:val="-6"/>
                <w:sz w:val="18"/>
              </w:rPr>
              <w:t> </w:t>
            </w:r>
            <w:r>
              <w:rPr>
                <w:sz w:val="18"/>
              </w:rPr>
              <w:t>very</w:t>
            </w:r>
            <w:r>
              <w:rPr>
                <w:spacing w:val="-4"/>
                <w:sz w:val="18"/>
              </w:rPr>
              <w:t> </w:t>
            </w:r>
            <w:r>
              <w:rPr>
                <w:sz w:val="18"/>
              </w:rPr>
              <w:t>uncertain</w:t>
            </w:r>
            <w:r>
              <w:rPr>
                <w:spacing w:val="-6"/>
                <w:sz w:val="18"/>
              </w:rPr>
              <w:t> </w:t>
            </w:r>
            <w:r>
              <w:rPr>
                <w:sz w:val="18"/>
              </w:rPr>
              <w:t>about</w:t>
            </w:r>
            <w:r>
              <w:rPr>
                <w:spacing w:val="-4"/>
                <w:sz w:val="18"/>
              </w:rPr>
              <w:t> </w:t>
            </w:r>
            <w:r>
              <w:rPr>
                <w:sz w:val="18"/>
              </w:rPr>
              <w:t>the</w:t>
            </w:r>
            <w:r>
              <w:rPr>
                <w:spacing w:val="-5"/>
                <w:sz w:val="18"/>
              </w:rPr>
              <w:t> </w:t>
            </w:r>
            <w:r>
              <w:rPr>
                <w:sz w:val="18"/>
              </w:rPr>
              <w:t>effect</w:t>
            </w:r>
            <w:r>
              <w:rPr>
                <w:spacing w:val="-4"/>
                <w:sz w:val="18"/>
              </w:rPr>
              <w:t> </w:t>
            </w:r>
            <w:r>
              <w:rPr>
                <w:sz w:val="18"/>
              </w:rPr>
              <w:t>of</w:t>
            </w:r>
            <w:r>
              <w:rPr>
                <w:spacing w:val="-5"/>
                <w:sz w:val="18"/>
              </w:rPr>
              <w:t> </w:t>
            </w:r>
            <w:r>
              <w:rPr>
                <w:sz w:val="18"/>
              </w:rPr>
              <w:t>aspirin on thrombotic complications, when compared with warfarin in children with an indication for the Fontan </w:t>
            </w:r>
            <w:r>
              <w:rPr>
                <w:spacing w:val="-2"/>
                <w:sz w:val="18"/>
              </w:rPr>
              <w:t>procedure</w:t>
            </w:r>
          </w:p>
        </w:tc>
      </w:tr>
      <w:tr>
        <w:trPr>
          <w:trHeight w:val="705" w:hRule="atLeast"/>
        </w:trPr>
        <w:tc>
          <w:tcPr>
            <w:tcW w:w="2148" w:type="dxa"/>
            <w:tcBorders>
              <w:top w:val="nil"/>
            </w:tcBorders>
          </w:tcPr>
          <w:p>
            <w:pPr>
              <w:pStyle w:val="TableParagraph"/>
              <w:rPr>
                <w:rFonts w:ascii="Times New Roman"/>
                <w:sz w:val="18"/>
              </w:rPr>
            </w:pPr>
          </w:p>
        </w:tc>
        <w:tc>
          <w:tcPr>
            <w:tcW w:w="3058" w:type="dxa"/>
            <w:tcBorders>
              <w:top w:val="nil"/>
            </w:tcBorders>
          </w:tcPr>
          <w:p>
            <w:pPr>
              <w:pStyle w:val="TableParagraph"/>
              <w:rPr>
                <w:rFonts w:ascii="Times New Roman"/>
                <w:sz w:val="18"/>
              </w:rPr>
            </w:pPr>
          </w:p>
        </w:tc>
        <w:tc>
          <w:tcPr>
            <w:tcW w:w="2378" w:type="dxa"/>
            <w:gridSpan w:val="2"/>
            <w:tcBorders>
              <w:top w:val="nil"/>
            </w:tcBorders>
          </w:tcPr>
          <w:p>
            <w:pPr>
              <w:pStyle w:val="TableParagraph"/>
              <w:rPr>
                <w:rFonts w:ascii="Times New Roman"/>
                <w:sz w:val="18"/>
              </w:rPr>
            </w:pPr>
          </w:p>
        </w:tc>
        <w:tc>
          <w:tcPr>
            <w:tcW w:w="2035" w:type="dxa"/>
            <w:tcBorders>
              <w:top w:val="nil"/>
            </w:tcBorders>
          </w:tcPr>
          <w:p>
            <w:pPr>
              <w:pStyle w:val="TableParagraph"/>
              <w:rPr>
                <w:rFonts w:ascii="Times New Roman"/>
                <w:sz w:val="18"/>
              </w:rPr>
            </w:pPr>
          </w:p>
        </w:tc>
        <w:tc>
          <w:tcPr>
            <w:tcW w:w="4325" w:type="dxa"/>
            <w:tcBorders>
              <w:top w:val="nil"/>
            </w:tcBorders>
          </w:tcPr>
          <w:p>
            <w:pPr>
              <w:pStyle w:val="TableParagraph"/>
              <w:spacing w:before="69"/>
              <w:rPr>
                <w:sz w:val="18"/>
              </w:rPr>
            </w:pPr>
          </w:p>
          <w:p>
            <w:pPr>
              <w:pStyle w:val="TableParagraph"/>
              <w:ind w:left="8"/>
              <w:rPr>
                <w:sz w:val="18"/>
              </w:rPr>
            </w:pPr>
            <w:r>
              <w:rPr>
                <w:sz w:val="18"/>
              </w:rPr>
              <w:t>(Ankola,</w:t>
            </w:r>
            <w:r>
              <w:rPr>
                <w:spacing w:val="-5"/>
                <w:sz w:val="18"/>
              </w:rPr>
              <w:t> </w:t>
            </w:r>
            <w:r>
              <w:rPr>
                <w:spacing w:val="-2"/>
                <w:sz w:val="18"/>
              </w:rPr>
              <w:t>2021)</w:t>
            </w:r>
          </w:p>
        </w:tc>
      </w:tr>
      <w:tr>
        <w:trPr>
          <w:trHeight w:val="832" w:hRule="atLeast"/>
        </w:trPr>
        <w:tc>
          <w:tcPr>
            <w:tcW w:w="2148" w:type="dxa"/>
          </w:tcPr>
          <w:p>
            <w:pPr>
              <w:pStyle w:val="TableParagraph"/>
              <w:numPr>
                <w:ilvl w:val="0"/>
                <w:numId w:val="40"/>
              </w:numPr>
              <w:tabs>
                <w:tab w:pos="727" w:val="left" w:leader="none"/>
              </w:tabs>
              <w:spacing w:line="273" w:lineRule="auto" w:before="0" w:after="0"/>
              <w:ind w:left="727" w:right="484" w:hanging="360"/>
              <w:jc w:val="left"/>
              <w:rPr>
                <w:sz w:val="18"/>
              </w:rPr>
            </w:pPr>
            <w:r>
              <w:rPr>
                <w:spacing w:val="-2"/>
                <w:sz w:val="18"/>
              </w:rPr>
              <w:t>Hemorrhage</w:t>
            </w:r>
            <w:r>
              <w:rPr>
                <w:sz w:val="18"/>
              </w:rPr>
              <w:t> </w:t>
            </w:r>
            <w:r>
              <w:rPr>
                <w:spacing w:val="-2"/>
                <w:sz w:val="18"/>
              </w:rPr>
              <w:t>(important)</w:t>
            </w:r>
          </w:p>
        </w:tc>
        <w:tc>
          <w:tcPr>
            <w:tcW w:w="3058" w:type="dxa"/>
          </w:tcPr>
          <w:p>
            <w:pPr>
              <w:pStyle w:val="TableParagraph"/>
              <w:rPr>
                <w:rFonts w:ascii="Times New Roman"/>
                <w:sz w:val="18"/>
              </w:rPr>
            </w:pPr>
          </w:p>
        </w:tc>
        <w:tc>
          <w:tcPr>
            <w:tcW w:w="2378" w:type="dxa"/>
            <w:gridSpan w:val="2"/>
          </w:tcPr>
          <w:p>
            <w:pPr>
              <w:pStyle w:val="TableParagraph"/>
              <w:rPr>
                <w:rFonts w:ascii="Times New Roman"/>
                <w:sz w:val="18"/>
              </w:rPr>
            </w:pPr>
          </w:p>
        </w:tc>
        <w:tc>
          <w:tcPr>
            <w:tcW w:w="2035" w:type="dxa"/>
          </w:tcPr>
          <w:p>
            <w:pPr>
              <w:pStyle w:val="TableParagraph"/>
              <w:rPr>
                <w:rFonts w:ascii="Times New Roman"/>
                <w:sz w:val="18"/>
              </w:rPr>
            </w:pPr>
          </w:p>
        </w:tc>
        <w:tc>
          <w:tcPr>
            <w:tcW w:w="4325" w:type="dxa"/>
          </w:tcPr>
          <w:p>
            <w:pPr>
              <w:pStyle w:val="TableParagraph"/>
              <w:rPr>
                <w:rFonts w:ascii="Times New Roman"/>
                <w:sz w:val="18"/>
              </w:rPr>
            </w:pPr>
          </w:p>
        </w:tc>
      </w:tr>
    </w:tbl>
    <w:p>
      <w:pPr>
        <w:pStyle w:val="TableParagraph"/>
        <w:spacing w:after="0"/>
        <w:rPr>
          <w:rFonts w:ascii="Times New Roman"/>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148"/>
        <w:gridCol w:w="3058"/>
        <w:gridCol w:w="1128"/>
        <w:gridCol w:w="1250"/>
        <w:gridCol w:w="2035"/>
        <w:gridCol w:w="4325"/>
      </w:tblGrid>
      <w:tr>
        <w:trPr>
          <w:trHeight w:val="601" w:hRule="atLeast"/>
        </w:trPr>
        <w:tc>
          <w:tcPr>
            <w:tcW w:w="2148" w:type="dxa"/>
            <w:tcBorders>
              <w:bottom w:val="nil"/>
            </w:tcBorders>
          </w:tcPr>
          <w:p>
            <w:pPr>
              <w:pStyle w:val="TableParagraph"/>
              <w:numPr>
                <w:ilvl w:val="0"/>
                <w:numId w:val="41"/>
              </w:numPr>
              <w:tabs>
                <w:tab w:pos="727" w:val="left" w:leader="none"/>
              </w:tabs>
              <w:spacing w:line="273" w:lineRule="auto" w:before="0" w:after="0"/>
              <w:ind w:left="727" w:right="557" w:hanging="360"/>
              <w:jc w:val="left"/>
              <w:rPr>
                <w:sz w:val="18"/>
              </w:rPr>
            </w:pPr>
            <w:r>
              <w:rPr>
                <w:spacing w:val="-2"/>
                <w:sz w:val="18"/>
              </w:rPr>
              <w:t>Mortality</w:t>
            </w:r>
            <w:r>
              <w:rPr>
                <w:sz w:val="18"/>
              </w:rPr>
              <w:t> </w:t>
            </w:r>
            <w:r>
              <w:rPr>
                <w:spacing w:val="-2"/>
                <w:sz w:val="18"/>
              </w:rPr>
              <w:t>(important)</w:t>
            </w:r>
          </w:p>
        </w:tc>
        <w:tc>
          <w:tcPr>
            <w:tcW w:w="3058" w:type="dxa"/>
            <w:tcBorders>
              <w:bottom w:val="nil"/>
            </w:tcBorders>
          </w:tcPr>
          <w:p>
            <w:pPr>
              <w:pStyle w:val="TableParagraph"/>
              <w:rPr>
                <w:rFonts w:ascii="Times New Roman"/>
                <w:sz w:val="18"/>
              </w:rPr>
            </w:pPr>
          </w:p>
        </w:tc>
        <w:tc>
          <w:tcPr>
            <w:tcW w:w="2378" w:type="dxa"/>
            <w:gridSpan w:val="2"/>
            <w:tcBorders>
              <w:bottom w:val="nil"/>
            </w:tcBorders>
          </w:tcPr>
          <w:p>
            <w:pPr>
              <w:pStyle w:val="TableParagraph"/>
              <w:rPr>
                <w:rFonts w:ascii="Times New Roman"/>
                <w:sz w:val="18"/>
              </w:rPr>
            </w:pPr>
          </w:p>
        </w:tc>
        <w:tc>
          <w:tcPr>
            <w:tcW w:w="2035" w:type="dxa"/>
            <w:tcBorders>
              <w:bottom w:val="nil"/>
            </w:tcBorders>
          </w:tcPr>
          <w:p>
            <w:pPr>
              <w:pStyle w:val="TableParagraph"/>
              <w:rPr>
                <w:rFonts w:ascii="Times New Roman"/>
                <w:sz w:val="18"/>
              </w:rPr>
            </w:pPr>
          </w:p>
        </w:tc>
        <w:tc>
          <w:tcPr>
            <w:tcW w:w="4325" w:type="dxa"/>
            <w:tcBorders>
              <w:bottom w:val="nil"/>
            </w:tcBorders>
          </w:tcPr>
          <w:p>
            <w:pPr>
              <w:pStyle w:val="TableParagraph"/>
              <w:rPr>
                <w:rFonts w:ascii="Times New Roman"/>
                <w:sz w:val="18"/>
              </w:rPr>
            </w:pPr>
          </w:p>
        </w:tc>
      </w:tr>
      <w:tr>
        <w:trPr>
          <w:trHeight w:val="641" w:hRule="atLeast"/>
        </w:trPr>
        <w:tc>
          <w:tcPr>
            <w:tcW w:w="2148" w:type="dxa"/>
            <w:tcBorders>
              <w:top w:val="nil"/>
              <w:bottom w:val="nil"/>
            </w:tcBorders>
          </w:tcPr>
          <w:p>
            <w:pPr>
              <w:pStyle w:val="TableParagraph"/>
              <w:numPr>
                <w:ilvl w:val="0"/>
                <w:numId w:val="42"/>
              </w:numPr>
              <w:tabs>
                <w:tab w:pos="727" w:val="left" w:leader="none"/>
              </w:tabs>
              <w:spacing w:line="250" w:lineRule="atLeast" w:before="99" w:after="0"/>
              <w:ind w:left="727" w:right="267" w:hanging="360"/>
              <w:jc w:val="left"/>
              <w:rPr>
                <w:sz w:val="18"/>
              </w:rPr>
            </w:pPr>
            <w:r>
              <w:rPr>
                <w:sz w:val="18"/>
              </w:rPr>
              <w:t>Ischemic</w:t>
            </w:r>
            <w:r>
              <w:rPr>
                <w:spacing w:val="-11"/>
                <w:sz w:val="18"/>
              </w:rPr>
              <w:t> </w:t>
            </w:r>
            <w:r>
              <w:rPr>
                <w:sz w:val="18"/>
              </w:rPr>
              <w:t>stroke </w:t>
            </w:r>
            <w:r>
              <w:rPr>
                <w:spacing w:val="-2"/>
                <w:sz w:val="18"/>
              </w:rPr>
              <w:t>(important)</w:t>
            </w:r>
          </w:p>
        </w:tc>
        <w:tc>
          <w:tcPr>
            <w:tcW w:w="3058" w:type="dxa"/>
            <w:tcBorders>
              <w:top w:val="nil"/>
              <w:bottom w:val="nil"/>
            </w:tcBorders>
          </w:tcPr>
          <w:p>
            <w:pPr>
              <w:pStyle w:val="TableParagraph"/>
              <w:rPr>
                <w:rFonts w:ascii="Times New Roman"/>
                <w:sz w:val="18"/>
              </w:rPr>
            </w:pPr>
          </w:p>
        </w:tc>
        <w:tc>
          <w:tcPr>
            <w:tcW w:w="2378" w:type="dxa"/>
            <w:gridSpan w:val="2"/>
            <w:tcBorders>
              <w:top w:val="nil"/>
              <w:bottom w:val="nil"/>
            </w:tcBorders>
          </w:tcPr>
          <w:p>
            <w:pPr>
              <w:pStyle w:val="TableParagraph"/>
              <w:rPr>
                <w:rFonts w:ascii="Times New Roman"/>
                <w:sz w:val="18"/>
              </w:rPr>
            </w:pPr>
          </w:p>
        </w:tc>
        <w:tc>
          <w:tcPr>
            <w:tcW w:w="2035" w:type="dxa"/>
            <w:tcBorders>
              <w:top w:val="nil"/>
              <w:bottom w:val="nil"/>
            </w:tcBorders>
          </w:tcPr>
          <w:p>
            <w:pPr>
              <w:pStyle w:val="TableParagraph"/>
              <w:rPr>
                <w:rFonts w:ascii="Times New Roman"/>
                <w:sz w:val="18"/>
              </w:rPr>
            </w:pPr>
          </w:p>
        </w:tc>
        <w:tc>
          <w:tcPr>
            <w:tcW w:w="4325" w:type="dxa"/>
            <w:tcBorders>
              <w:top w:val="nil"/>
              <w:bottom w:val="nil"/>
            </w:tcBorders>
          </w:tcPr>
          <w:p>
            <w:pPr>
              <w:pStyle w:val="TableParagraph"/>
              <w:rPr>
                <w:rFonts w:ascii="Times New Roman"/>
                <w:sz w:val="18"/>
              </w:rPr>
            </w:pPr>
          </w:p>
        </w:tc>
      </w:tr>
      <w:tr>
        <w:trPr>
          <w:trHeight w:val="1560" w:hRule="atLeast"/>
        </w:trPr>
        <w:tc>
          <w:tcPr>
            <w:tcW w:w="2148" w:type="dxa"/>
            <w:tcBorders>
              <w:top w:val="nil"/>
            </w:tcBorders>
          </w:tcPr>
          <w:p>
            <w:pPr>
              <w:pStyle w:val="TableParagraph"/>
              <w:numPr>
                <w:ilvl w:val="0"/>
                <w:numId w:val="43"/>
              </w:numPr>
              <w:tabs>
                <w:tab w:pos="727" w:val="left" w:leader="none"/>
              </w:tabs>
              <w:spacing w:line="273" w:lineRule="auto" w:before="159" w:after="0"/>
              <w:ind w:left="727" w:right="90" w:hanging="360"/>
              <w:jc w:val="left"/>
              <w:rPr>
                <w:sz w:val="18"/>
              </w:rPr>
            </w:pPr>
            <w:r>
              <w:rPr>
                <w:sz w:val="18"/>
              </w:rPr>
              <w:t>Quality of life (QOL)</w:t>
            </w:r>
            <w:r>
              <w:rPr>
                <w:spacing w:val="-11"/>
                <w:sz w:val="18"/>
              </w:rPr>
              <w:t> </w:t>
            </w:r>
            <w:r>
              <w:rPr>
                <w:sz w:val="18"/>
              </w:rPr>
              <w:t>(important)</w:t>
            </w:r>
          </w:p>
          <w:p>
            <w:pPr>
              <w:pStyle w:val="TableParagraph"/>
              <w:numPr>
                <w:ilvl w:val="0"/>
                <w:numId w:val="43"/>
              </w:numPr>
              <w:tabs>
                <w:tab w:pos="727" w:val="left" w:leader="none"/>
              </w:tabs>
              <w:spacing w:line="273" w:lineRule="auto" w:before="167" w:after="0"/>
              <w:ind w:left="727" w:right="287" w:hanging="360"/>
              <w:jc w:val="left"/>
              <w:rPr>
                <w:sz w:val="18"/>
              </w:rPr>
            </w:pPr>
            <w:r>
              <w:rPr>
                <w:sz w:val="18"/>
              </w:rPr>
              <w:t>Adverse</w:t>
            </w:r>
            <w:r>
              <w:rPr>
                <w:spacing w:val="-11"/>
                <w:sz w:val="18"/>
              </w:rPr>
              <w:t> </w:t>
            </w:r>
            <w:r>
              <w:rPr>
                <w:sz w:val="18"/>
              </w:rPr>
              <w:t>events </w:t>
            </w:r>
            <w:r>
              <w:rPr>
                <w:spacing w:val="-2"/>
                <w:sz w:val="18"/>
              </w:rPr>
              <w:t>(important)</w:t>
            </w:r>
          </w:p>
        </w:tc>
        <w:tc>
          <w:tcPr>
            <w:tcW w:w="3058" w:type="dxa"/>
            <w:tcBorders>
              <w:top w:val="nil"/>
            </w:tcBorders>
          </w:tcPr>
          <w:p>
            <w:pPr>
              <w:pStyle w:val="TableParagraph"/>
              <w:spacing w:before="4"/>
              <w:ind w:left="7"/>
              <w:rPr>
                <w:sz w:val="18"/>
              </w:rPr>
            </w:pPr>
            <w:r>
              <w:rPr>
                <w:spacing w:val="-10"/>
                <w:sz w:val="18"/>
              </w:rPr>
              <w:t>-</w:t>
            </w:r>
          </w:p>
        </w:tc>
        <w:tc>
          <w:tcPr>
            <w:tcW w:w="2378" w:type="dxa"/>
            <w:gridSpan w:val="2"/>
            <w:tcBorders>
              <w:top w:val="nil"/>
            </w:tcBorders>
          </w:tcPr>
          <w:p>
            <w:pPr>
              <w:pStyle w:val="TableParagraph"/>
              <w:spacing w:before="4"/>
              <w:ind w:left="7"/>
              <w:rPr>
                <w:sz w:val="18"/>
              </w:rPr>
            </w:pPr>
            <w:r>
              <w:rPr>
                <w:spacing w:val="-10"/>
                <w:sz w:val="18"/>
              </w:rPr>
              <w:t>-</w:t>
            </w:r>
          </w:p>
        </w:tc>
        <w:tc>
          <w:tcPr>
            <w:tcW w:w="2035" w:type="dxa"/>
            <w:tcBorders>
              <w:top w:val="nil"/>
            </w:tcBorders>
          </w:tcPr>
          <w:p>
            <w:pPr>
              <w:pStyle w:val="TableParagraph"/>
              <w:spacing w:before="4"/>
              <w:ind w:left="7"/>
              <w:rPr>
                <w:b/>
                <w:sz w:val="18"/>
              </w:rPr>
            </w:pPr>
            <w:r>
              <w:rPr>
                <w:b/>
                <w:sz w:val="18"/>
              </w:rPr>
              <w:t>No</w:t>
            </w:r>
            <w:r>
              <w:rPr>
                <w:b/>
                <w:spacing w:val="-5"/>
                <w:sz w:val="18"/>
              </w:rPr>
              <w:t> </w:t>
            </w:r>
            <w:r>
              <w:rPr>
                <w:b/>
                <w:spacing w:val="-2"/>
                <w:sz w:val="18"/>
              </w:rPr>
              <w:t>GRADE</w:t>
            </w:r>
          </w:p>
          <w:p>
            <w:pPr>
              <w:pStyle w:val="TableParagraph"/>
              <w:spacing w:before="35"/>
              <w:ind w:left="7"/>
              <w:rPr>
                <w:sz w:val="18"/>
              </w:rPr>
            </w:pPr>
            <w:r>
              <w:rPr>
                <w:sz w:val="18"/>
              </w:rPr>
              <w:t>(No</w:t>
            </w:r>
            <w:r>
              <w:rPr>
                <w:spacing w:val="-4"/>
                <w:sz w:val="18"/>
              </w:rPr>
              <w:t> </w:t>
            </w:r>
            <w:r>
              <w:rPr>
                <w:sz w:val="18"/>
              </w:rPr>
              <w:t>evidence</w:t>
            </w:r>
            <w:r>
              <w:rPr>
                <w:spacing w:val="-4"/>
                <w:sz w:val="18"/>
              </w:rPr>
              <w:t> </w:t>
            </w:r>
            <w:r>
              <w:rPr>
                <w:sz w:val="18"/>
              </w:rPr>
              <w:t>was</w:t>
            </w:r>
            <w:r>
              <w:rPr>
                <w:spacing w:val="-3"/>
                <w:sz w:val="18"/>
              </w:rPr>
              <w:t> </w:t>
            </w:r>
            <w:r>
              <w:rPr>
                <w:spacing w:val="-2"/>
                <w:sz w:val="18"/>
              </w:rPr>
              <w:t>found)</w:t>
            </w:r>
          </w:p>
        </w:tc>
        <w:tc>
          <w:tcPr>
            <w:tcW w:w="4325" w:type="dxa"/>
            <w:tcBorders>
              <w:top w:val="nil"/>
            </w:tcBorders>
          </w:tcPr>
          <w:p>
            <w:pPr>
              <w:pStyle w:val="TableParagraph"/>
              <w:spacing w:line="278" w:lineRule="auto" w:before="4"/>
              <w:ind w:left="8" w:right="13"/>
              <w:rPr>
                <w:sz w:val="18"/>
              </w:rPr>
            </w:pPr>
            <w:r>
              <w:rPr>
                <w:sz w:val="18"/>
              </w:rPr>
              <w:t>No evidence was found regarding the effect of aspirin on hemorrhage, mortality, ischemic stroke, quality of life (QOL),</w:t>
            </w:r>
            <w:r>
              <w:rPr>
                <w:spacing w:val="-6"/>
                <w:sz w:val="18"/>
              </w:rPr>
              <w:t> </w:t>
            </w:r>
            <w:r>
              <w:rPr>
                <w:sz w:val="18"/>
              </w:rPr>
              <w:t>and</w:t>
            </w:r>
            <w:r>
              <w:rPr>
                <w:spacing w:val="-7"/>
                <w:sz w:val="18"/>
              </w:rPr>
              <w:t> </w:t>
            </w:r>
            <w:r>
              <w:rPr>
                <w:sz w:val="18"/>
              </w:rPr>
              <w:t>adverse</w:t>
            </w:r>
            <w:r>
              <w:rPr>
                <w:spacing w:val="-7"/>
                <w:sz w:val="18"/>
              </w:rPr>
              <w:t> </w:t>
            </w:r>
            <w:r>
              <w:rPr>
                <w:sz w:val="18"/>
              </w:rPr>
              <w:t>events,</w:t>
            </w:r>
            <w:r>
              <w:rPr>
                <w:spacing w:val="-6"/>
                <w:sz w:val="18"/>
              </w:rPr>
              <w:t> </w:t>
            </w:r>
            <w:r>
              <w:rPr>
                <w:sz w:val="18"/>
              </w:rPr>
              <w:t>when</w:t>
            </w:r>
            <w:r>
              <w:rPr>
                <w:spacing w:val="-5"/>
                <w:sz w:val="18"/>
              </w:rPr>
              <w:t> </w:t>
            </w:r>
            <w:r>
              <w:rPr>
                <w:sz w:val="18"/>
              </w:rPr>
              <w:t>compared</w:t>
            </w:r>
            <w:r>
              <w:rPr>
                <w:spacing w:val="-7"/>
                <w:sz w:val="18"/>
              </w:rPr>
              <w:t> </w:t>
            </w:r>
            <w:r>
              <w:rPr>
                <w:sz w:val="18"/>
              </w:rPr>
              <w:t>with</w:t>
            </w:r>
            <w:r>
              <w:rPr>
                <w:spacing w:val="-7"/>
                <w:sz w:val="18"/>
              </w:rPr>
              <w:t> </w:t>
            </w:r>
            <w:r>
              <w:rPr>
                <w:sz w:val="18"/>
              </w:rPr>
              <w:t>warfarin in children with an indication for the Fontan procedure</w:t>
            </w:r>
          </w:p>
        </w:tc>
      </w:tr>
      <w:tr>
        <w:trPr>
          <w:trHeight w:val="414" w:hRule="atLeast"/>
        </w:trPr>
        <w:tc>
          <w:tcPr>
            <w:tcW w:w="13944" w:type="dxa"/>
            <w:gridSpan w:val="6"/>
            <w:shd w:val="clear" w:color="auto" w:fill="D0CECE"/>
          </w:tcPr>
          <w:p>
            <w:pPr>
              <w:pStyle w:val="TableParagraph"/>
              <w:spacing w:line="218" w:lineRule="exact"/>
              <w:ind w:left="6"/>
              <w:rPr>
                <w:b/>
                <w:i/>
                <w:sz w:val="18"/>
              </w:rPr>
            </w:pPr>
            <w:r>
              <w:rPr>
                <w:b/>
                <w:i/>
                <w:sz w:val="18"/>
              </w:rPr>
              <w:t>Aspirin</w:t>
            </w:r>
            <w:r>
              <w:rPr>
                <w:b/>
                <w:i/>
                <w:spacing w:val="-3"/>
                <w:sz w:val="18"/>
              </w:rPr>
              <w:t> </w:t>
            </w:r>
            <w:r>
              <w:rPr>
                <w:b/>
                <w:i/>
                <w:sz w:val="18"/>
              </w:rPr>
              <w:t>versus</w:t>
            </w:r>
            <w:r>
              <w:rPr>
                <w:b/>
                <w:i/>
                <w:spacing w:val="-3"/>
                <w:sz w:val="18"/>
              </w:rPr>
              <w:t> </w:t>
            </w:r>
            <w:r>
              <w:rPr>
                <w:b/>
                <w:i/>
                <w:spacing w:val="-2"/>
                <w:sz w:val="18"/>
              </w:rPr>
              <w:t>enoxaparin</w:t>
            </w:r>
          </w:p>
        </w:tc>
      </w:tr>
      <w:tr>
        <w:trPr>
          <w:trHeight w:val="417" w:hRule="atLeast"/>
        </w:trPr>
        <w:tc>
          <w:tcPr>
            <w:tcW w:w="2148" w:type="dxa"/>
          </w:tcPr>
          <w:p>
            <w:pPr>
              <w:pStyle w:val="TableParagraph"/>
              <w:rPr>
                <w:rFonts w:ascii="Times New Roman"/>
                <w:sz w:val="18"/>
              </w:rPr>
            </w:pPr>
          </w:p>
        </w:tc>
        <w:tc>
          <w:tcPr>
            <w:tcW w:w="3058" w:type="dxa"/>
          </w:tcPr>
          <w:p>
            <w:pPr>
              <w:pStyle w:val="TableParagraph"/>
              <w:rPr>
                <w:rFonts w:ascii="Times New Roman"/>
                <w:sz w:val="18"/>
              </w:rPr>
            </w:pPr>
          </w:p>
        </w:tc>
        <w:tc>
          <w:tcPr>
            <w:tcW w:w="1128" w:type="dxa"/>
          </w:tcPr>
          <w:p>
            <w:pPr>
              <w:pStyle w:val="TableParagraph"/>
              <w:spacing w:line="218" w:lineRule="exact"/>
              <w:ind w:left="7"/>
              <w:rPr>
                <w:sz w:val="18"/>
              </w:rPr>
            </w:pPr>
            <w:r>
              <w:rPr>
                <w:spacing w:val="-2"/>
                <w:sz w:val="18"/>
              </w:rPr>
              <w:t>Aspirin</w:t>
            </w:r>
          </w:p>
        </w:tc>
        <w:tc>
          <w:tcPr>
            <w:tcW w:w="1250" w:type="dxa"/>
          </w:tcPr>
          <w:p>
            <w:pPr>
              <w:pStyle w:val="TableParagraph"/>
              <w:spacing w:line="218" w:lineRule="exact"/>
              <w:ind w:left="7"/>
              <w:rPr>
                <w:sz w:val="18"/>
              </w:rPr>
            </w:pPr>
            <w:r>
              <w:rPr>
                <w:spacing w:val="-2"/>
                <w:sz w:val="18"/>
              </w:rPr>
              <w:t>Enoxaparin</w:t>
            </w:r>
          </w:p>
        </w:tc>
        <w:tc>
          <w:tcPr>
            <w:tcW w:w="2035" w:type="dxa"/>
          </w:tcPr>
          <w:p>
            <w:pPr>
              <w:pStyle w:val="TableParagraph"/>
              <w:rPr>
                <w:rFonts w:ascii="Times New Roman"/>
                <w:sz w:val="18"/>
              </w:rPr>
            </w:pPr>
          </w:p>
        </w:tc>
        <w:tc>
          <w:tcPr>
            <w:tcW w:w="4325" w:type="dxa"/>
          </w:tcPr>
          <w:p>
            <w:pPr>
              <w:pStyle w:val="TableParagraph"/>
              <w:rPr>
                <w:rFonts w:ascii="Times New Roman"/>
                <w:sz w:val="18"/>
              </w:rPr>
            </w:pPr>
          </w:p>
        </w:tc>
      </w:tr>
      <w:tr>
        <w:trPr>
          <w:trHeight w:val="829" w:hRule="atLeast"/>
        </w:trPr>
        <w:tc>
          <w:tcPr>
            <w:tcW w:w="2148" w:type="dxa"/>
            <w:tcBorders>
              <w:bottom w:val="nil"/>
            </w:tcBorders>
          </w:tcPr>
          <w:p>
            <w:pPr>
              <w:pStyle w:val="TableParagraph"/>
              <w:spacing w:line="278" w:lineRule="auto"/>
              <w:ind w:left="6" w:right="210"/>
              <w:rPr>
                <w:sz w:val="18"/>
              </w:rPr>
            </w:pPr>
            <w:r>
              <w:rPr>
                <w:sz w:val="18"/>
              </w:rPr>
              <w:t>Thrombotic</w:t>
            </w:r>
            <w:r>
              <w:rPr>
                <w:spacing w:val="-11"/>
                <w:sz w:val="18"/>
              </w:rPr>
              <w:t> </w:t>
            </w:r>
            <w:r>
              <w:rPr>
                <w:sz w:val="18"/>
              </w:rPr>
              <w:t>complications </w:t>
            </w:r>
            <w:r>
              <w:rPr>
                <w:spacing w:val="-2"/>
                <w:sz w:val="18"/>
              </w:rPr>
              <w:t>(critical)</w:t>
            </w:r>
          </w:p>
        </w:tc>
        <w:tc>
          <w:tcPr>
            <w:tcW w:w="3058" w:type="dxa"/>
            <w:tcBorders>
              <w:bottom w:val="nil"/>
            </w:tcBorders>
          </w:tcPr>
          <w:p>
            <w:pPr>
              <w:pStyle w:val="TableParagraph"/>
              <w:spacing w:line="218" w:lineRule="exact"/>
              <w:ind w:left="7"/>
              <w:rPr>
                <w:b/>
                <w:sz w:val="18"/>
              </w:rPr>
            </w:pPr>
            <w:r>
              <w:rPr>
                <w:sz w:val="18"/>
              </w:rPr>
              <w:t>Relative</w:t>
            </w:r>
            <w:r>
              <w:rPr>
                <w:spacing w:val="-3"/>
                <w:sz w:val="18"/>
              </w:rPr>
              <w:t> </w:t>
            </w:r>
            <w:r>
              <w:rPr>
                <w:sz w:val="18"/>
              </w:rPr>
              <w:t>risk:</w:t>
            </w:r>
            <w:r>
              <w:rPr>
                <w:spacing w:val="-2"/>
                <w:sz w:val="18"/>
              </w:rPr>
              <w:t> </w:t>
            </w:r>
            <w:r>
              <w:rPr>
                <w:b/>
                <w:spacing w:val="-4"/>
                <w:sz w:val="18"/>
              </w:rPr>
              <w:t>0.63</w:t>
            </w:r>
          </w:p>
          <w:p>
            <w:pPr>
              <w:pStyle w:val="TableParagraph"/>
              <w:spacing w:before="195"/>
              <w:ind w:left="7"/>
              <w:rPr>
                <w:sz w:val="18"/>
              </w:rPr>
            </w:pPr>
            <w:r>
              <w:rPr>
                <w:sz w:val="18"/>
              </w:rPr>
              <w:t>(95%</w:t>
            </w:r>
            <w:r>
              <w:rPr>
                <w:spacing w:val="-1"/>
                <w:sz w:val="18"/>
              </w:rPr>
              <w:t> </w:t>
            </w:r>
            <w:r>
              <w:rPr>
                <w:sz w:val="18"/>
              </w:rPr>
              <w:t>CI 0.08 to</w:t>
            </w:r>
            <w:r>
              <w:rPr>
                <w:spacing w:val="1"/>
                <w:sz w:val="18"/>
              </w:rPr>
              <w:t> </w:t>
            </w:r>
            <w:r>
              <w:rPr>
                <w:spacing w:val="-4"/>
                <w:sz w:val="18"/>
              </w:rPr>
              <w:t>4.99)</w:t>
            </w:r>
          </w:p>
        </w:tc>
        <w:tc>
          <w:tcPr>
            <w:tcW w:w="1128" w:type="dxa"/>
          </w:tcPr>
          <w:p>
            <w:pPr>
              <w:pStyle w:val="TableParagraph"/>
              <w:spacing w:line="218" w:lineRule="exact"/>
              <w:ind w:left="7"/>
              <w:rPr>
                <w:b/>
                <w:sz w:val="18"/>
              </w:rPr>
            </w:pPr>
            <w:r>
              <w:rPr>
                <w:b/>
                <w:spacing w:val="-10"/>
                <w:sz w:val="18"/>
              </w:rPr>
              <w:t>5</w:t>
            </w:r>
          </w:p>
          <w:p>
            <w:pPr>
              <w:pStyle w:val="TableParagraph"/>
              <w:spacing w:before="195"/>
              <w:ind w:left="7"/>
              <w:rPr>
                <w:sz w:val="18"/>
              </w:rPr>
            </w:pPr>
            <w:r>
              <w:rPr>
                <w:sz w:val="18"/>
              </w:rPr>
              <w:t>per</w:t>
            </w:r>
            <w:r>
              <w:rPr>
                <w:spacing w:val="-3"/>
                <w:sz w:val="18"/>
              </w:rPr>
              <w:t> </w:t>
            </w:r>
            <w:r>
              <w:rPr>
                <w:spacing w:val="-5"/>
                <w:sz w:val="18"/>
              </w:rPr>
              <w:t>100</w:t>
            </w:r>
          </w:p>
        </w:tc>
        <w:tc>
          <w:tcPr>
            <w:tcW w:w="1250" w:type="dxa"/>
          </w:tcPr>
          <w:p>
            <w:pPr>
              <w:pStyle w:val="TableParagraph"/>
              <w:spacing w:line="218" w:lineRule="exact"/>
              <w:ind w:left="7"/>
              <w:rPr>
                <w:b/>
                <w:sz w:val="18"/>
              </w:rPr>
            </w:pPr>
            <w:r>
              <w:rPr>
                <w:b/>
                <w:spacing w:val="-10"/>
                <w:sz w:val="18"/>
              </w:rPr>
              <w:t>8</w:t>
            </w:r>
          </w:p>
          <w:p>
            <w:pPr>
              <w:pStyle w:val="TableParagraph"/>
              <w:spacing w:before="195"/>
              <w:ind w:left="7"/>
              <w:rPr>
                <w:sz w:val="18"/>
              </w:rPr>
            </w:pPr>
            <w:r>
              <w:rPr>
                <w:sz w:val="18"/>
              </w:rPr>
              <w:t>per</w:t>
            </w:r>
            <w:r>
              <w:rPr>
                <w:spacing w:val="-3"/>
                <w:sz w:val="18"/>
              </w:rPr>
              <w:t> </w:t>
            </w:r>
            <w:r>
              <w:rPr>
                <w:spacing w:val="-5"/>
                <w:sz w:val="18"/>
              </w:rPr>
              <w:t>100</w:t>
            </w:r>
          </w:p>
        </w:tc>
        <w:tc>
          <w:tcPr>
            <w:tcW w:w="2035" w:type="dxa"/>
            <w:tcBorders>
              <w:bottom w:val="nil"/>
            </w:tcBorders>
          </w:tcPr>
          <w:p>
            <w:pPr>
              <w:pStyle w:val="TableParagraph"/>
              <w:rPr>
                <w:rFonts w:ascii="Times New Roman"/>
                <w:sz w:val="18"/>
              </w:rPr>
            </w:pPr>
          </w:p>
        </w:tc>
        <w:tc>
          <w:tcPr>
            <w:tcW w:w="4325" w:type="dxa"/>
            <w:tcBorders>
              <w:bottom w:val="nil"/>
            </w:tcBorders>
          </w:tcPr>
          <w:p>
            <w:pPr>
              <w:pStyle w:val="TableParagraph"/>
              <w:rPr>
                <w:rFonts w:ascii="Times New Roman"/>
                <w:sz w:val="18"/>
              </w:rPr>
            </w:pPr>
          </w:p>
        </w:tc>
      </w:tr>
      <w:tr>
        <w:trPr>
          <w:trHeight w:val="1372" w:hRule="atLeast"/>
        </w:trPr>
        <w:tc>
          <w:tcPr>
            <w:tcW w:w="2148" w:type="dxa"/>
            <w:tcBorders>
              <w:top w:val="nil"/>
              <w:bottom w:val="nil"/>
            </w:tcBorders>
          </w:tcPr>
          <w:p>
            <w:pPr>
              <w:pStyle w:val="TableParagraph"/>
              <w:rPr>
                <w:rFonts w:ascii="Times New Roman"/>
                <w:sz w:val="18"/>
              </w:rPr>
            </w:pPr>
          </w:p>
        </w:tc>
        <w:tc>
          <w:tcPr>
            <w:tcW w:w="3058" w:type="dxa"/>
            <w:tcBorders>
              <w:top w:val="nil"/>
              <w:bottom w:val="nil"/>
            </w:tcBorders>
          </w:tcPr>
          <w:p>
            <w:pPr>
              <w:pStyle w:val="TableParagraph"/>
              <w:spacing w:before="179"/>
              <w:rPr>
                <w:sz w:val="18"/>
              </w:rPr>
            </w:pPr>
          </w:p>
          <w:p>
            <w:pPr>
              <w:pStyle w:val="TableParagraph"/>
              <w:spacing w:line="280" w:lineRule="auto"/>
              <w:ind w:left="7"/>
              <w:rPr>
                <w:sz w:val="18"/>
              </w:rPr>
            </w:pPr>
            <w:r>
              <w:rPr>
                <w:sz w:val="18"/>
              </w:rPr>
              <w:t>Based</w:t>
            </w:r>
            <w:r>
              <w:rPr>
                <w:spacing w:val="-6"/>
                <w:sz w:val="18"/>
              </w:rPr>
              <w:t> </w:t>
            </w:r>
            <w:r>
              <w:rPr>
                <w:sz w:val="18"/>
              </w:rPr>
              <w:t>on</w:t>
            </w:r>
            <w:r>
              <w:rPr>
                <w:spacing w:val="-6"/>
                <w:sz w:val="18"/>
              </w:rPr>
              <w:t> </w:t>
            </w:r>
            <w:r>
              <w:rPr>
                <w:sz w:val="18"/>
              </w:rPr>
              <w:t>data</w:t>
            </w:r>
            <w:r>
              <w:rPr>
                <w:spacing w:val="-6"/>
                <w:sz w:val="18"/>
              </w:rPr>
              <w:t> </w:t>
            </w:r>
            <w:r>
              <w:rPr>
                <w:sz w:val="18"/>
              </w:rPr>
              <w:t>from</w:t>
            </w:r>
            <w:r>
              <w:rPr>
                <w:spacing w:val="-6"/>
                <w:sz w:val="18"/>
              </w:rPr>
              <w:t> </w:t>
            </w:r>
            <w:r>
              <w:rPr>
                <w:sz w:val="18"/>
              </w:rPr>
              <w:t>116</w:t>
            </w:r>
            <w:r>
              <w:rPr>
                <w:spacing w:val="-6"/>
                <w:sz w:val="18"/>
              </w:rPr>
              <w:t> </w:t>
            </w:r>
            <w:r>
              <w:rPr>
                <w:sz w:val="18"/>
              </w:rPr>
              <w:t>participants</w:t>
            </w:r>
            <w:r>
              <w:rPr>
                <w:spacing w:val="-7"/>
                <w:sz w:val="18"/>
              </w:rPr>
              <w:t> </w:t>
            </w:r>
            <w:r>
              <w:rPr>
                <w:sz w:val="18"/>
              </w:rPr>
              <w:t>in</w:t>
            </w:r>
            <w:r>
              <w:rPr>
                <w:spacing w:val="-7"/>
                <w:sz w:val="18"/>
              </w:rPr>
              <w:t> </w:t>
            </w:r>
            <w:r>
              <w:rPr>
                <w:sz w:val="18"/>
              </w:rPr>
              <w:t>1 </w:t>
            </w:r>
            <w:r>
              <w:rPr>
                <w:spacing w:val="-2"/>
                <w:sz w:val="18"/>
              </w:rPr>
              <w:t>study</w:t>
            </w:r>
          </w:p>
          <w:p>
            <w:pPr>
              <w:pStyle w:val="TableParagraph"/>
              <w:spacing w:line="217" w:lineRule="exact"/>
              <w:ind w:left="7"/>
              <w:rPr>
                <w:sz w:val="18"/>
              </w:rPr>
            </w:pPr>
            <w:r>
              <w:rPr>
                <w:sz w:val="18"/>
              </w:rPr>
              <w:t>Follow-up:</w:t>
            </w:r>
            <w:r>
              <w:rPr>
                <w:spacing w:val="-5"/>
                <w:sz w:val="18"/>
              </w:rPr>
              <w:t> </w:t>
            </w:r>
            <w:r>
              <w:rPr>
                <w:sz w:val="18"/>
              </w:rPr>
              <w:t>30</w:t>
            </w:r>
            <w:r>
              <w:rPr>
                <w:spacing w:val="-2"/>
                <w:sz w:val="18"/>
              </w:rPr>
              <w:t> </w:t>
            </w:r>
            <w:r>
              <w:rPr>
                <w:spacing w:val="-4"/>
                <w:sz w:val="18"/>
              </w:rPr>
              <w:t>days</w:t>
            </w:r>
          </w:p>
        </w:tc>
        <w:tc>
          <w:tcPr>
            <w:tcW w:w="2378" w:type="dxa"/>
            <w:gridSpan w:val="2"/>
            <w:tcBorders>
              <w:bottom w:val="nil"/>
            </w:tcBorders>
          </w:tcPr>
          <w:p>
            <w:pPr>
              <w:pStyle w:val="TableParagraph"/>
              <w:spacing w:before="194"/>
              <w:rPr>
                <w:sz w:val="18"/>
              </w:rPr>
            </w:pPr>
          </w:p>
          <w:p>
            <w:pPr>
              <w:pStyle w:val="TableParagraph"/>
              <w:ind w:left="7"/>
              <w:rPr>
                <w:b/>
                <w:sz w:val="18"/>
              </w:rPr>
            </w:pPr>
            <w:r>
              <w:rPr>
                <w:sz w:val="18"/>
              </w:rPr>
              <w:t>Difference:</w:t>
            </w:r>
            <w:r>
              <w:rPr>
                <w:spacing w:val="-3"/>
                <w:sz w:val="18"/>
              </w:rPr>
              <w:t> </w:t>
            </w:r>
            <w:r>
              <w:rPr>
                <w:b/>
                <w:sz w:val="18"/>
              </w:rPr>
              <w:t>3</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96"/>
              <w:ind w:left="7"/>
              <w:rPr>
                <w:sz w:val="18"/>
              </w:rPr>
            </w:pPr>
            <w:r>
              <w:rPr>
                <w:sz w:val="18"/>
              </w:rPr>
              <w:t>(95%</w:t>
            </w:r>
            <w:r>
              <w:rPr>
                <w:spacing w:val="-3"/>
                <w:sz w:val="18"/>
              </w:rPr>
              <w:t> </w:t>
            </w:r>
            <w:r>
              <w:rPr>
                <w:sz w:val="18"/>
              </w:rPr>
              <w:t>CI 18</w:t>
            </w:r>
            <w:r>
              <w:rPr>
                <w:spacing w:val="-1"/>
                <w:sz w:val="18"/>
              </w:rPr>
              <w:t> </w:t>
            </w:r>
            <w:r>
              <w:rPr>
                <w:sz w:val="18"/>
              </w:rPr>
              <w:t>fewer to</w:t>
            </w:r>
            <w:r>
              <w:rPr>
                <w:spacing w:val="-1"/>
                <w:sz w:val="18"/>
              </w:rPr>
              <w:t> </w:t>
            </w:r>
            <w:r>
              <w:rPr>
                <w:sz w:val="18"/>
              </w:rPr>
              <w:t>12 </w:t>
            </w:r>
            <w:r>
              <w:rPr>
                <w:spacing w:val="-4"/>
                <w:sz w:val="18"/>
              </w:rPr>
              <w:t>more)</w:t>
            </w:r>
          </w:p>
        </w:tc>
        <w:tc>
          <w:tcPr>
            <w:tcW w:w="2035" w:type="dxa"/>
            <w:tcBorders>
              <w:top w:val="nil"/>
              <w:bottom w:val="nil"/>
            </w:tcBorders>
          </w:tcPr>
          <w:p>
            <w:pPr>
              <w:pStyle w:val="TableParagraph"/>
              <w:spacing w:line="204" w:lineRule="exact"/>
              <w:ind w:left="7"/>
              <w:rPr>
                <w:b/>
                <w:sz w:val="18"/>
              </w:rPr>
            </w:pPr>
            <w:r>
              <w:rPr>
                <w:b/>
                <w:sz w:val="18"/>
              </w:rPr>
              <w:t>Very</w:t>
            </w:r>
            <w:r>
              <w:rPr>
                <w:b/>
                <w:spacing w:val="-1"/>
                <w:sz w:val="18"/>
              </w:rPr>
              <w:t> </w:t>
            </w:r>
            <w:r>
              <w:rPr>
                <w:b/>
                <w:spacing w:val="-5"/>
                <w:sz w:val="18"/>
              </w:rPr>
              <w:t>low</w:t>
            </w:r>
          </w:p>
          <w:p>
            <w:pPr>
              <w:pStyle w:val="TableParagraph"/>
              <w:spacing w:line="280" w:lineRule="auto" w:before="34"/>
              <w:ind w:left="7" w:right="243"/>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line="217" w:lineRule="exact"/>
              <w:ind w:left="7"/>
              <w:rPr>
                <w:position w:val="5"/>
                <w:sz w:val="12"/>
              </w:rPr>
            </w:pPr>
            <w:r>
              <w:rPr>
                <w:sz w:val="18"/>
              </w:rPr>
              <w:t>serious</w:t>
            </w:r>
            <w:r>
              <w:rPr>
                <w:spacing w:val="-5"/>
                <w:sz w:val="18"/>
              </w:rPr>
              <w:t> </w:t>
            </w:r>
            <w:r>
              <w:rPr>
                <w:spacing w:val="-2"/>
                <w:sz w:val="18"/>
              </w:rPr>
              <w:t>imprecision</w:t>
            </w:r>
            <w:r>
              <w:rPr>
                <w:spacing w:val="-2"/>
                <w:position w:val="5"/>
                <w:sz w:val="12"/>
              </w:rPr>
              <w:t>2</w:t>
            </w:r>
          </w:p>
        </w:tc>
        <w:tc>
          <w:tcPr>
            <w:tcW w:w="4325" w:type="dxa"/>
            <w:tcBorders>
              <w:top w:val="nil"/>
              <w:bottom w:val="nil"/>
            </w:tcBorders>
          </w:tcPr>
          <w:p>
            <w:pPr>
              <w:pStyle w:val="TableParagraph"/>
              <w:spacing w:line="204" w:lineRule="exact"/>
              <w:ind w:left="8"/>
              <w:rPr>
                <w:sz w:val="18"/>
              </w:rPr>
            </w:pPr>
            <w:r>
              <w:rPr>
                <w:sz w:val="18"/>
              </w:rPr>
              <w:t>The</w:t>
            </w:r>
            <w:r>
              <w:rPr>
                <w:spacing w:val="-3"/>
                <w:sz w:val="18"/>
              </w:rPr>
              <w:t> </w:t>
            </w:r>
            <w:r>
              <w:rPr>
                <w:sz w:val="18"/>
              </w:rPr>
              <w:t>evidence</w:t>
            </w:r>
            <w:r>
              <w:rPr>
                <w:spacing w:val="-3"/>
                <w:sz w:val="18"/>
              </w:rPr>
              <w:t> </w:t>
            </w:r>
            <w:r>
              <w:rPr>
                <w:sz w:val="18"/>
              </w:rPr>
              <w:t>is</w:t>
            </w:r>
            <w:r>
              <w:rPr>
                <w:spacing w:val="-4"/>
                <w:sz w:val="18"/>
              </w:rPr>
              <w:t> </w:t>
            </w:r>
            <w:r>
              <w:rPr>
                <w:sz w:val="18"/>
              </w:rPr>
              <w:t>very</w:t>
            </w:r>
            <w:r>
              <w:rPr>
                <w:spacing w:val="-2"/>
                <w:sz w:val="18"/>
              </w:rPr>
              <w:t> </w:t>
            </w:r>
            <w:r>
              <w:rPr>
                <w:sz w:val="18"/>
              </w:rPr>
              <w:t>uncertain</w:t>
            </w:r>
            <w:r>
              <w:rPr>
                <w:spacing w:val="-4"/>
                <w:sz w:val="18"/>
              </w:rPr>
              <w:t> </w:t>
            </w:r>
            <w:r>
              <w:rPr>
                <w:sz w:val="18"/>
              </w:rPr>
              <w:t>about</w:t>
            </w:r>
            <w:r>
              <w:rPr>
                <w:spacing w:val="-2"/>
                <w:sz w:val="18"/>
              </w:rPr>
              <w:t> </w:t>
            </w:r>
            <w:r>
              <w:rPr>
                <w:sz w:val="18"/>
              </w:rPr>
              <w:t>the</w:t>
            </w:r>
            <w:r>
              <w:rPr>
                <w:spacing w:val="-3"/>
                <w:sz w:val="18"/>
              </w:rPr>
              <w:t> </w:t>
            </w:r>
            <w:r>
              <w:rPr>
                <w:sz w:val="18"/>
              </w:rPr>
              <w:t>effect</w:t>
            </w:r>
            <w:r>
              <w:rPr>
                <w:spacing w:val="-2"/>
                <w:sz w:val="18"/>
              </w:rPr>
              <w:t> </w:t>
            </w:r>
            <w:r>
              <w:rPr>
                <w:sz w:val="18"/>
              </w:rPr>
              <w:t>of</w:t>
            </w:r>
            <w:r>
              <w:rPr>
                <w:spacing w:val="-3"/>
                <w:sz w:val="18"/>
              </w:rPr>
              <w:t> </w:t>
            </w:r>
            <w:r>
              <w:rPr>
                <w:spacing w:val="-2"/>
                <w:sz w:val="18"/>
              </w:rPr>
              <w:t>aspirin</w:t>
            </w:r>
          </w:p>
          <w:p>
            <w:pPr>
              <w:pStyle w:val="TableParagraph"/>
              <w:spacing w:line="278" w:lineRule="auto" w:before="34"/>
              <w:ind w:left="8"/>
              <w:rPr>
                <w:sz w:val="18"/>
              </w:rPr>
            </w:pPr>
            <w:r>
              <w:rPr>
                <w:sz w:val="18"/>
              </w:rPr>
              <w:t>on thrombotic complications, when compared with enoxaparin</w:t>
            </w:r>
            <w:r>
              <w:rPr>
                <w:spacing w:val="-5"/>
                <w:sz w:val="18"/>
              </w:rPr>
              <w:t> </w:t>
            </w:r>
            <w:r>
              <w:rPr>
                <w:sz w:val="18"/>
              </w:rPr>
              <w:t>in</w:t>
            </w:r>
            <w:r>
              <w:rPr>
                <w:spacing w:val="-6"/>
                <w:sz w:val="18"/>
              </w:rPr>
              <w:t> </w:t>
            </w:r>
            <w:r>
              <w:rPr>
                <w:sz w:val="18"/>
              </w:rPr>
              <w:t>children</w:t>
            </w:r>
            <w:r>
              <w:rPr>
                <w:spacing w:val="-5"/>
                <w:sz w:val="18"/>
              </w:rPr>
              <w:t> </w:t>
            </w:r>
            <w:r>
              <w:rPr>
                <w:sz w:val="18"/>
              </w:rPr>
              <w:t>with</w:t>
            </w:r>
            <w:r>
              <w:rPr>
                <w:spacing w:val="-4"/>
                <w:sz w:val="18"/>
              </w:rPr>
              <w:t> </w:t>
            </w:r>
            <w:r>
              <w:rPr>
                <w:sz w:val="18"/>
              </w:rPr>
              <w:t>an</w:t>
            </w:r>
            <w:r>
              <w:rPr>
                <w:spacing w:val="-5"/>
                <w:sz w:val="18"/>
              </w:rPr>
              <w:t> </w:t>
            </w:r>
            <w:r>
              <w:rPr>
                <w:sz w:val="18"/>
              </w:rPr>
              <w:t>indication</w:t>
            </w:r>
            <w:r>
              <w:rPr>
                <w:spacing w:val="-5"/>
                <w:sz w:val="18"/>
              </w:rPr>
              <w:t> </w:t>
            </w:r>
            <w:r>
              <w:rPr>
                <w:sz w:val="18"/>
              </w:rPr>
              <w:t>for</w:t>
            </w:r>
            <w:r>
              <w:rPr>
                <w:spacing w:val="-4"/>
                <w:sz w:val="18"/>
              </w:rPr>
              <w:t> </w:t>
            </w:r>
            <w:r>
              <w:rPr>
                <w:sz w:val="18"/>
              </w:rPr>
              <w:t>the</w:t>
            </w:r>
            <w:r>
              <w:rPr>
                <w:spacing w:val="-5"/>
                <w:sz w:val="18"/>
              </w:rPr>
              <w:t> </w:t>
            </w:r>
            <w:r>
              <w:rPr>
                <w:sz w:val="18"/>
              </w:rPr>
              <w:t>Fontan </w:t>
            </w:r>
            <w:r>
              <w:rPr>
                <w:spacing w:val="-2"/>
                <w:sz w:val="18"/>
              </w:rPr>
              <w:t>procedure</w:t>
            </w:r>
          </w:p>
        </w:tc>
      </w:tr>
      <w:tr>
        <w:trPr>
          <w:trHeight w:val="626" w:hRule="atLeast"/>
        </w:trPr>
        <w:tc>
          <w:tcPr>
            <w:tcW w:w="2148" w:type="dxa"/>
            <w:tcBorders>
              <w:top w:val="nil"/>
            </w:tcBorders>
          </w:tcPr>
          <w:p>
            <w:pPr>
              <w:pStyle w:val="TableParagraph"/>
              <w:rPr>
                <w:rFonts w:ascii="Times New Roman"/>
                <w:sz w:val="18"/>
              </w:rPr>
            </w:pPr>
          </w:p>
        </w:tc>
        <w:tc>
          <w:tcPr>
            <w:tcW w:w="3058" w:type="dxa"/>
            <w:tcBorders>
              <w:top w:val="nil"/>
            </w:tcBorders>
          </w:tcPr>
          <w:p>
            <w:pPr>
              <w:pStyle w:val="TableParagraph"/>
              <w:rPr>
                <w:rFonts w:ascii="Times New Roman"/>
                <w:sz w:val="18"/>
              </w:rPr>
            </w:pPr>
          </w:p>
        </w:tc>
        <w:tc>
          <w:tcPr>
            <w:tcW w:w="2378" w:type="dxa"/>
            <w:gridSpan w:val="2"/>
            <w:tcBorders>
              <w:top w:val="nil"/>
            </w:tcBorders>
          </w:tcPr>
          <w:p>
            <w:pPr>
              <w:pStyle w:val="TableParagraph"/>
              <w:rPr>
                <w:rFonts w:ascii="Times New Roman"/>
                <w:sz w:val="18"/>
              </w:rPr>
            </w:pPr>
          </w:p>
        </w:tc>
        <w:tc>
          <w:tcPr>
            <w:tcW w:w="2035" w:type="dxa"/>
            <w:tcBorders>
              <w:top w:val="nil"/>
            </w:tcBorders>
          </w:tcPr>
          <w:p>
            <w:pPr>
              <w:pStyle w:val="TableParagraph"/>
              <w:rPr>
                <w:rFonts w:ascii="Times New Roman"/>
                <w:sz w:val="18"/>
              </w:rPr>
            </w:pPr>
          </w:p>
        </w:tc>
        <w:tc>
          <w:tcPr>
            <w:tcW w:w="4325" w:type="dxa"/>
            <w:tcBorders>
              <w:top w:val="nil"/>
            </w:tcBorders>
          </w:tcPr>
          <w:p>
            <w:pPr>
              <w:pStyle w:val="TableParagraph"/>
              <w:spacing w:before="208"/>
              <w:ind w:left="8"/>
              <w:rPr>
                <w:sz w:val="18"/>
              </w:rPr>
            </w:pPr>
            <w:r>
              <w:rPr>
                <w:sz w:val="18"/>
              </w:rPr>
              <w:t>(Ankola,</w:t>
            </w:r>
            <w:r>
              <w:rPr>
                <w:spacing w:val="-5"/>
                <w:sz w:val="18"/>
              </w:rPr>
              <w:t> </w:t>
            </w:r>
            <w:r>
              <w:rPr>
                <w:spacing w:val="-2"/>
                <w:sz w:val="18"/>
              </w:rPr>
              <w:t>2021)</w:t>
            </w:r>
          </w:p>
        </w:tc>
      </w:tr>
      <w:tr>
        <w:trPr>
          <w:trHeight w:val="593" w:hRule="atLeast"/>
        </w:trPr>
        <w:tc>
          <w:tcPr>
            <w:tcW w:w="2148" w:type="dxa"/>
            <w:tcBorders>
              <w:bottom w:val="nil"/>
            </w:tcBorders>
          </w:tcPr>
          <w:p>
            <w:pPr>
              <w:pStyle w:val="TableParagraph"/>
              <w:numPr>
                <w:ilvl w:val="0"/>
                <w:numId w:val="44"/>
              </w:numPr>
              <w:tabs>
                <w:tab w:pos="727" w:val="left" w:leader="none"/>
              </w:tabs>
              <w:spacing w:line="273" w:lineRule="auto" w:before="0" w:after="0"/>
              <w:ind w:left="727" w:right="484" w:hanging="360"/>
              <w:jc w:val="left"/>
              <w:rPr>
                <w:sz w:val="18"/>
              </w:rPr>
            </w:pPr>
            <w:r>
              <w:rPr>
                <w:spacing w:val="-2"/>
                <w:sz w:val="18"/>
              </w:rPr>
              <w:t>Hemorrhage</w:t>
            </w:r>
            <w:r>
              <w:rPr>
                <w:sz w:val="18"/>
              </w:rPr>
              <w:t> </w:t>
            </w:r>
            <w:r>
              <w:rPr>
                <w:spacing w:val="-2"/>
                <w:sz w:val="18"/>
              </w:rPr>
              <w:t>(important)</w:t>
            </w:r>
          </w:p>
        </w:tc>
        <w:tc>
          <w:tcPr>
            <w:tcW w:w="3058" w:type="dxa"/>
            <w:vMerge w:val="restart"/>
          </w:tcPr>
          <w:p>
            <w:pPr>
              <w:pStyle w:val="TableParagraph"/>
              <w:rPr>
                <w:rFonts w:ascii="Times New Roman"/>
                <w:sz w:val="18"/>
              </w:rPr>
            </w:pPr>
          </w:p>
        </w:tc>
        <w:tc>
          <w:tcPr>
            <w:tcW w:w="2378" w:type="dxa"/>
            <w:gridSpan w:val="2"/>
            <w:vMerge w:val="restart"/>
          </w:tcPr>
          <w:p>
            <w:pPr>
              <w:pStyle w:val="TableParagraph"/>
              <w:rPr>
                <w:rFonts w:ascii="Times New Roman"/>
                <w:sz w:val="18"/>
              </w:rPr>
            </w:pPr>
          </w:p>
        </w:tc>
        <w:tc>
          <w:tcPr>
            <w:tcW w:w="2035" w:type="dxa"/>
            <w:vMerge w:val="restart"/>
          </w:tcPr>
          <w:p>
            <w:pPr>
              <w:pStyle w:val="TableParagraph"/>
              <w:rPr>
                <w:rFonts w:ascii="Times New Roman"/>
                <w:sz w:val="18"/>
              </w:rPr>
            </w:pPr>
          </w:p>
        </w:tc>
        <w:tc>
          <w:tcPr>
            <w:tcW w:w="4325"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8"/>
              <w:rPr>
                <w:sz w:val="18"/>
              </w:rPr>
            </w:pPr>
          </w:p>
          <w:p>
            <w:pPr>
              <w:pStyle w:val="TableParagraph"/>
              <w:spacing w:line="250" w:lineRule="atLeast"/>
              <w:ind w:left="8"/>
              <w:rPr>
                <w:sz w:val="18"/>
              </w:rPr>
            </w:pPr>
            <w:r>
              <w:rPr>
                <w:sz w:val="18"/>
              </w:rPr>
              <w:t>No</w:t>
            </w:r>
            <w:r>
              <w:rPr>
                <w:spacing w:val="-5"/>
                <w:sz w:val="18"/>
              </w:rPr>
              <w:t> </w:t>
            </w:r>
            <w:r>
              <w:rPr>
                <w:sz w:val="18"/>
              </w:rPr>
              <w:t>evidence</w:t>
            </w:r>
            <w:r>
              <w:rPr>
                <w:spacing w:val="-5"/>
                <w:sz w:val="18"/>
              </w:rPr>
              <w:t> </w:t>
            </w:r>
            <w:r>
              <w:rPr>
                <w:sz w:val="18"/>
              </w:rPr>
              <w:t>was</w:t>
            </w:r>
            <w:r>
              <w:rPr>
                <w:spacing w:val="-5"/>
                <w:sz w:val="18"/>
              </w:rPr>
              <w:t> </w:t>
            </w:r>
            <w:r>
              <w:rPr>
                <w:sz w:val="18"/>
              </w:rPr>
              <w:t>found</w:t>
            </w:r>
            <w:r>
              <w:rPr>
                <w:spacing w:val="-5"/>
                <w:sz w:val="18"/>
              </w:rPr>
              <w:t> </w:t>
            </w:r>
            <w:r>
              <w:rPr>
                <w:sz w:val="18"/>
              </w:rPr>
              <w:t>regarding</w:t>
            </w:r>
            <w:r>
              <w:rPr>
                <w:spacing w:val="-3"/>
                <w:sz w:val="18"/>
              </w:rPr>
              <w:t> </w:t>
            </w:r>
            <w:r>
              <w:rPr>
                <w:sz w:val="18"/>
              </w:rPr>
              <w:t>the</w:t>
            </w:r>
            <w:r>
              <w:rPr>
                <w:spacing w:val="-5"/>
                <w:sz w:val="18"/>
              </w:rPr>
              <w:t> </w:t>
            </w:r>
            <w:r>
              <w:rPr>
                <w:sz w:val="18"/>
              </w:rPr>
              <w:t>effect</w:t>
            </w:r>
            <w:r>
              <w:rPr>
                <w:spacing w:val="-5"/>
                <w:sz w:val="18"/>
              </w:rPr>
              <w:t> </w:t>
            </w:r>
            <w:r>
              <w:rPr>
                <w:sz w:val="18"/>
              </w:rPr>
              <w:t>of</w:t>
            </w:r>
            <w:r>
              <w:rPr>
                <w:spacing w:val="-5"/>
                <w:sz w:val="18"/>
              </w:rPr>
              <w:t> </w:t>
            </w:r>
            <w:r>
              <w:rPr>
                <w:sz w:val="18"/>
              </w:rPr>
              <w:t>aspirin</w:t>
            </w:r>
            <w:r>
              <w:rPr>
                <w:spacing w:val="-5"/>
                <w:sz w:val="18"/>
              </w:rPr>
              <w:t> </w:t>
            </w:r>
            <w:r>
              <w:rPr>
                <w:sz w:val="18"/>
              </w:rPr>
              <w:t>on hemorrhage, mortality, ischemic stroke, quality of life</w:t>
            </w:r>
          </w:p>
        </w:tc>
      </w:tr>
      <w:tr>
        <w:trPr>
          <w:trHeight w:val="686" w:hRule="atLeast"/>
        </w:trPr>
        <w:tc>
          <w:tcPr>
            <w:tcW w:w="2148" w:type="dxa"/>
            <w:tcBorders>
              <w:top w:val="nil"/>
              <w:bottom w:val="nil"/>
            </w:tcBorders>
          </w:tcPr>
          <w:p>
            <w:pPr>
              <w:pStyle w:val="TableParagraph"/>
              <w:numPr>
                <w:ilvl w:val="0"/>
                <w:numId w:val="45"/>
              </w:numPr>
              <w:tabs>
                <w:tab w:pos="727" w:val="left" w:leader="none"/>
              </w:tabs>
              <w:spacing w:line="273" w:lineRule="auto" w:before="92" w:after="0"/>
              <w:ind w:left="727" w:right="557" w:hanging="360"/>
              <w:jc w:val="left"/>
              <w:rPr>
                <w:sz w:val="18"/>
              </w:rPr>
            </w:pPr>
            <w:r>
              <w:rPr>
                <w:spacing w:val="-2"/>
                <w:sz w:val="18"/>
              </w:rPr>
              <w:t>Mortality</w:t>
            </w:r>
            <w:r>
              <w:rPr>
                <w:sz w:val="18"/>
              </w:rPr>
              <w:t> </w:t>
            </w:r>
            <w:r>
              <w:rPr>
                <w:spacing w:val="-2"/>
                <w:sz w:val="18"/>
              </w:rPr>
              <w:t>(important)</w:t>
            </w:r>
          </w:p>
        </w:tc>
        <w:tc>
          <w:tcPr>
            <w:tcW w:w="3058" w:type="dxa"/>
            <w:vMerge/>
            <w:tcBorders>
              <w:top w:val="nil"/>
            </w:tcBorders>
          </w:tcPr>
          <w:p>
            <w:pPr>
              <w:rPr>
                <w:sz w:val="2"/>
                <w:szCs w:val="2"/>
              </w:rPr>
            </w:pPr>
          </w:p>
        </w:tc>
        <w:tc>
          <w:tcPr>
            <w:tcW w:w="2378" w:type="dxa"/>
            <w:gridSpan w:val="2"/>
            <w:vMerge/>
            <w:tcBorders>
              <w:top w:val="nil"/>
            </w:tcBorders>
          </w:tcPr>
          <w:p>
            <w:pPr>
              <w:rPr>
                <w:sz w:val="2"/>
                <w:szCs w:val="2"/>
              </w:rPr>
            </w:pPr>
          </w:p>
        </w:tc>
        <w:tc>
          <w:tcPr>
            <w:tcW w:w="2035" w:type="dxa"/>
            <w:vMerge/>
            <w:tcBorders>
              <w:top w:val="nil"/>
            </w:tcBorders>
          </w:tcPr>
          <w:p>
            <w:pPr>
              <w:rPr>
                <w:sz w:val="2"/>
                <w:szCs w:val="2"/>
              </w:rPr>
            </w:pPr>
          </w:p>
        </w:tc>
        <w:tc>
          <w:tcPr>
            <w:tcW w:w="4325" w:type="dxa"/>
            <w:vMerge/>
            <w:tcBorders>
              <w:top w:val="nil"/>
            </w:tcBorders>
          </w:tcPr>
          <w:p>
            <w:pPr>
              <w:rPr>
                <w:sz w:val="2"/>
                <w:szCs w:val="2"/>
              </w:rPr>
            </w:pPr>
          </w:p>
        </w:tc>
      </w:tr>
      <w:tr>
        <w:trPr>
          <w:trHeight w:val="609" w:hRule="atLeast"/>
        </w:trPr>
        <w:tc>
          <w:tcPr>
            <w:tcW w:w="2148" w:type="dxa"/>
            <w:tcBorders>
              <w:top w:val="nil"/>
              <w:bottom w:val="nil"/>
            </w:tcBorders>
          </w:tcPr>
          <w:p>
            <w:pPr>
              <w:pStyle w:val="TableParagraph"/>
              <w:numPr>
                <w:ilvl w:val="0"/>
                <w:numId w:val="46"/>
              </w:numPr>
              <w:tabs>
                <w:tab w:pos="727" w:val="left" w:leader="none"/>
              </w:tabs>
              <w:spacing w:line="250" w:lineRule="atLeast" w:before="89" w:after="0"/>
              <w:ind w:left="727" w:right="267" w:hanging="360"/>
              <w:jc w:val="left"/>
              <w:rPr>
                <w:sz w:val="18"/>
              </w:rPr>
            </w:pPr>
            <w:r>
              <w:rPr>
                <w:sz w:val="18"/>
              </w:rPr>
              <w:t>Ischemic</w:t>
            </w:r>
            <w:r>
              <w:rPr>
                <w:spacing w:val="-11"/>
                <w:sz w:val="18"/>
              </w:rPr>
              <w:t> </w:t>
            </w:r>
            <w:r>
              <w:rPr>
                <w:sz w:val="18"/>
              </w:rPr>
              <w:t>stroke </w:t>
            </w:r>
            <w:r>
              <w:rPr>
                <w:spacing w:val="-2"/>
                <w:sz w:val="18"/>
              </w:rPr>
              <w:t>(important)</w:t>
            </w:r>
          </w:p>
        </w:tc>
        <w:tc>
          <w:tcPr>
            <w:tcW w:w="3058" w:type="dxa"/>
            <w:vMerge/>
            <w:tcBorders>
              <w:top w:val="nil"/>
            </w:tcBorders>
          </w:tcPr>
          <w:p>
            <w:pPr>
              <w:rPr>
                <w:sz w:val="2"/>
                <w:szCs w:val="2"/>
              </w:rPr>
            </w:pPr>
          </w:p>
        </w:tc>
        <w:tc>
          <w:tcPr>
            <w:tcW w:w="2378" w:type="dxa"/>
            <w:gridSpan w:val="2"/>
            <w:vMerge/>
            <w:tcBorders>
              <w:top w:val="nil"/>
            </w:tcBorders>
          </w:tcPr>
          <w:p>
            <w:pPr>
              <w:rPr>
                <w:sz w:val="2"/>
                <w:szCs w:val="2"/>
              </w:rPr>
            </w:pPr>
          </w:p>
        </w:tc>
        <w:tc>
          <w:tcPr>
            <w:tcW w:w="2035" w:type="dxa"/>
            <w:vMerge/>
            <w:tcBorders>
              <w:top w:val="nil"/>
            </w:tcBorders>
          </w:tcPr>
          <w:p>
            <w:pPr>
              <w:rPr>
                <w:sz w:val="2"/>
                <w:szCs w:val="2"/>
              </w:rPr>
            </w:pPr>
          </w:p>
        </w:tc>
        <w:tc>
          <w:tcPr>
            <w:tcW w:w="4325" w:type="dxa"/>
            <w:vMerge/>
            <w:tcBorders>
              <w:top w:val="nil"/>
            </w:tcBorders>
          </w:tcPr>
          <w:p>
            <w:pPr>
              <w:rPr>
                <w:sz w:val="2"/>
                <w:szCs w:val="2"/>
              </w:rPr>
            </w:pPr>
          </w:p>
        </w:tc>
      </w:tr>
      <w:tr>
        <w:trPr>
          <w:trHeight w:val="494" w:hRule="atLeast"/>
        </w:trPr>
        <w:tc>
          <w:tcPr>
            <w:tcW w:w="2148" w:type="dxa"/>
            <w:tcBorders>
              <w:top w:val="nil"/>
            </w:tcBorders>
          </w:tcPr>
          <w:p>
            <w:pPr>
              <w:pStyle w:val="TableParagraph"/>
              <w:rPr>
                <w:rFonts w:ascii="Times New Roman"/>
                <w:sz w:val="18"/>
              </w:rPr>
            </w:pPr>
          </w:p>
        </w:tc>
        <w:tc>
          <w:tcPr>
            <w:tcW w:w="3058" w:type="dxa"/>
            <w:vMerge/>
            <w:tcBorders>
              <w:top w:val="nil"/>
            </w:tcBorders>
          </w:tcPr>
          <w:p>
            <w:pPr>
              <w:rPr>
                <w:sz w:val="2"/>
                <w:szCs w:val="2"/>
              </w:rPr>
            </w:pPr>
          </w:p>
        </w:tc>
        <w:tc>
          <w:tcPr>
            <w:tcW w:w="2378" w:type="dxa"/>
            <w:gridSpan w:val="2"/>
            <w:vMerge/>
            <w:tcBorders>
              <w:top w:val="nil"/>
            </w:tcBorders>
          </w:tcPr>
          <w:p>
            <w:pPr>
              <w:rPr>
                <w:sz w:val="2"/>
                <w:szCs w:val="2"/>
              </w:rPr>
            </w:pPr>
          </w:p>
        </w:tc>
        <w:tc>
          <w:tcPr>
            <w:tcW w:w="2035" w:type="dxa"/>
            <w:vMerge/>
            <w:tcBorders>
              <w:top w:val="nil"/>
            </w:tcBorders>
          </w:tcPr>
          <w:p>
            <w:pPr>
              <w:rPr>
                <w:sz w:val="2"/>
                <w:szCs w:val="2"/>
              </w:rPr>
            </w:pPr>
          </w:p>
        </w:tc>
        <w:tc>
          <w:tcPr>
            <w:tcW w:w="4325" w:type="dxa"/>
            <w:vMerge/>
            <w:tcBorders>
              <w:top w:val="nil"/>
            </w:tcBorders>
          </w:tcPr>
          <w:p>
            <w:pPr>
              <w:rPr>
                <w:sz w:val="2"/>
                <w:szCs w:val="2"/>
              </w:rPr>
            </w:pPr>
          </w:p>
        </w:tc>
      </w:tr>
    </w:tbl>
    <w:p>
      <w:pPr>
        <w:spacing w:after="0"/>
        <w:rPr>
          <w:sz w:val="2"/>
          <w:szCs w:val="2"/>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148"/>
        <w:gridCol w:w="3058"/>
        <w:gridCol w:w="1128"/>
        <w:gridCol w:w="1250"/>
        <w:gridCol w:w="2035"/>
        <w:gridCol w:w="4325"/>
      </w:tblGrid>
      <w:tr>
        <w:trPr>
          <w:trHeight w:val="1401" w:hRule="atLeast"/>
        </w:trPr>
        <w:tc>
          <w:tcPr>
            <w:tcW w:w="2148" w:type="dxa"/>
          </w:tcPr>
          <w:p>
            <w:pPr>
              <w:pStyle w:val="TableParagraph"/>
              <w:numPr>
                <w:ilvl w:val="0"/>
                <w:numId w:val="47"/>
              </w:numPr>
              <w:tabs>
                <w:tab w:pos="727" w:val="left" w:leader="none"/>
              </w:tabs>
              <w:spacing w:line="273" w:lineRule="auto" w:before="0" w:after="0"/>
              <w:ind w:left="727" w:right="90" w:hanging="360"/>
              <w:jc w:val="left"/>
              <w:rPr>
                <w:sz w:val="18"/>
              </w:rPr>
            </w:pPr>
            <w:r>
              <w:rPr>
                <w:sz w:val="18"/>
              </w:rPr>
              <w:t>Quality of life (QOL)</w:t>
            </w:r>
            <w:r>
              <w:rPr>
                <w:spacing w:val="-11"/>
                <w:sz w:val="18"/>
              </w:rPr>
              <w:t> </w:t>
            </w:r>
            <w:r>
              <w:rPr>
                <w:sz w:val="18"/>
              </w:rPr>
              <w:t>(important)</w:t>
            </w:r>
          </w:p>
          <w:p>
            <w:pPr>
              <w:pStyle w:val="TableParagraph"/>
              <w:numPr>
                <w:ilvl w:val="0"/>
                <w:numId w:val="47"/>
              </w:numPr>
              <w:tabs>
                <w:tab w:pos="727" w:val="left" w:leader="none"/>
              </w:tabs>
              <w:spacing w:line="273" w:lineRule="auto" w:before="167" w:after="0"/>
              <w:ind w:left="727" w:right="287" w:hanging="360"/>
              <w:jc w:val="left"/>
              <w:rPr>
                <w:sz w:val="18"/>
              </w:rPr>
            </w:pPr>
            <w:r>
              <w:rPr>
                <w:sz w:val="18"/>
              </w:rPr>
              <w:t>Adverse</w:t>
            </w:r>
            <w:r>
              <w:rPr>
                <w:spacing w:val="-11"/>
                <w:sz w:val="18"/>
              </w:rPr>
              <w:t> </w:t>
            </w:r>
            <w:r>
              <w:rPr>
                <w:sz w:val="18"/>
              </w:rPr>
              <w:t>events </w:t>
            </w:r>
            <w:r>
              <w:rPr>
                <w:spacing w:val="-2"/>
                <w:sz w:val="18"/>
              </w:rPr>
              <w:t>(important)</w:t>
            </w:r>
          </w:p>
        </w:tc>
        <w:tc>
          <w:tcPr>
            <w:tcW w:w="3058" w:type="dxa"/>
          </w:tcPr>
          <w:p>
            <w:pPr>
              <w:pStyle w:val="TableParagraph"/>
              <w:spacing w:line="218" w:lineRule="exact"/>
              <w:ind w:left="7"/>
              <w:rPr>
                <w:sz w:val="18"/>
              </w:rPr>
            </w:pPr>
            <w:r>
              <w:rPr>
                <w:spacing w:val="-10"/>
                <w:sz w:val="18"/>
              </w:rPr>
              <w:t>-</w:t>
            </w:r>
          </w:p>
        </w:tc>
        <w:tc>
          <w:tcPr>
            <w:tcW w:w="2378" w:type="dxa"/>
            <w:gridSpan w:val="2"/>
          </w:tcPr>
          <w:p>
            <w:pPr>
              <w:pStyle w:val="TableParagraph"/>
              <w:spacing w:line="218" w:lineRule="exact"/>
              <w:ind w:left="7"/>
              <w:rPr>
                <w:sz w:val="18"/>
              </w:rPr>
            </w:pPr>
            <w:r>
              <w:rPr>
                <w:spacing w:val="-10"/>
                <w:sz w:val="18"/>
              </w:rPr>
              <w:t>-</w:t>
            </w:r>
          </w:p>
        </w:tc>
        <w:tc>
          <w:tcPr>
            <w:tcW w:w="2035" w:type="dxa"/>
          </w:tcPr>
          <w:p>
            <w:pPr>
              <w:pStyle w:val="TableParagraph"/>
              <w:spacing w:before="35"/>
              <w:rPr>
                <w:sz w:val="18"/>
              </w:rPr>
            </w:pPr>
          </w:p>
          <w:p>
            <w:pPr>
              <w:pStyle w:val="TableParagraph"/>
              <w:ind w:left="7"/>
              <w:rPr>
                <w:b/>
                <w:sz w:val="18"/>
              </w:rPr>
            </w:pPr>
            <w:r>
              <w:rPr>
                <w:b/>
                <w:sz w:val="18"/>
              </w:rPr>
              <w:t>No</w:t>
            </w:r>
            <w:r>
              <w:rPr>
                <w:b/>
                <w:spacing w:val="-5"/>
                <w:sz w:val="18"/>
              </w:rPr>
              <w:t> </w:t>
            </w:r>
            <w:r>
              <w:rPr>
                <w:b/>
                <w:spacing w:val="-2"/>
                <w:sz w:val="18"/>
              </w:rPr>
              <w:t>GRADE</w:t>
            </w:r>
          </w:p>
          <w:p>
            <w:pPr>
              <w:pStyle w:val="TableParagraph"/>
              <w:spacing w:before="35"/>
              <w:ind w:left="7"/>
              <w:rPr>
                <w:sz w:val="18"/>
              </w:rPr>
            </w:pPr>
            <w:r>
              <w:rPr>
                <w:sz w:val="18"/>
              </w:rPr>
              <w:t>(No</w:t>
            </w:r>
            <w:r>
              <w:rPr>
                <w:spacing w:val="-4"/>
                <w:sz w:val="18"/>
              </w:rPr>
              <w:t> </w:t>
            </w:r>
            <w:r>
              <w:rPr>
                <w:sz w:val="18"/>
              </w:rPr>
              <w:t>evidence</w:t>
            </w:r>
            <w:r>
              <w:rPr>
                <w:spacing w:val="-4"/>
                <w:sz w:val="18"/>
              </w:rPr>
              <w:t> </w:t>
            </w:r>
            <w:r>
              <w:rPr>
                <w:sz w:val="18"/>
              </w:rPr>
              <w:t>was</w:t>
            </w:r>
            <w:r>
              <w:rPr>
                <w:spacing w:val="-3"/>
                <w:sz w:val="18"/>
              </w:rPr>
              <w:t> </w:t>
            </w:r>
            <w:r>
              <w:rPr>
                <w:spacing w:val="-2"/>
                <w:sz w:val="18"/>
              </w:rPr>
              <w:t>found)</w:t>
            </w:r>
          </w:p>
        </w:tc>
        <w:tc>
          <w:tcPr>
            <w:tcW w:w="4325" w:type="dxa"/>
          </w:tcPr>
          <w:p>
            <w:pPr>
              <w:pStyle w:val="TableParagraph"/>
              <w:spacing w:line="278" w:lineRule="auto"/>
              <w:ind w:left="8"/>
              <w:rPr>
                <w:sz w:val="18"/>
              </w:rPr>
            </w:pPr>
            <w:r>
              <w:rPr>
                <w:sz w:val="18"/>
              </w:rPr>
              <w:t>(QOL), and adverse events, when compared with enoxaparin</w:t>
            </w:r>
            <w:r>
              <w:rPr>
                <w:spacing w:val="-5"/>
                <w:sz w:val="18"/>
              </w:rPr>
              <w:t> </w:t>
            </w:r>
            <w:r>
              <w:rPr>
                <w:sz w:val="18"/>
              </w:rPr>
              <w:t>in</w:t>
            </w:r>
            <w:r>
              <w:rPr>
                <w:spacing w:val="-6"/>
                <w:sz w:val="18"/>
              </w:rPr>
              <w:t> </w:t>
            </w:r>
            <w:r>
              <w:rPr>
                <w:sz w:val="18"/>
              </w:rPr>
              <w:t>children</w:t>
            </w:r>
            <w:r>
              <w:rPr>
                <w:spacing w:val="-5"/>
                <w:sz w:val="18"/>
              </w:rPr>
              <w:t> </w:t>
            </w:r>
            <w:r>
              <w:rPr>
                <w:sz w:val="18"/>
              </w:rPr>
              <w:t>with</w:t>
            </w:r>
            <w:r>
              <w:rPr>
                <w:spacing w:val="-4"/>
                <w:sz w:val="18"/>
              </w:rPr>
              <w:t> </w:t>
            </w:r>
            <w:r>
              <w:rPr>
                <w:sz w:val="18"/>
              </w:rPr>
              <w:t>an</w:t>
            </w:r>
            <w:r>
              <w:rPr>
                <w:spacing w:val="-5"/>
                <w:sz w:val="18"/>
              </w:rPr>
              <w:t> </w:t>
            </w:r>
            <w:r>
              <w:rPr>
                <w:sz w:val="18"/>
              </w:rPr>
              <w:t>indication</w:t>
            </w:r>
            <w:r>
              <w:rPr>
                <w:spacing w:val="-5"/>
                <w:sz w:val="18"/>
              </w:rPr>
              <w:t> </w:t>
            </w:r>
            <w:r>
              <w:rPr>
                <w:sz w:val="18"/>
              </w:rPr>
              <w:t>for</w:t>
            </w:r>
            <w:r>
              <w:rPr>
                <w:spacing w:val="-4"/>
                <w:sz w:val="18"/>
              </w:rPr>
              <w:t> </w:t>
            </w:r>
            <w:r>
              <w:rPr>
                <w:sz w:val="18"/>
              </w:rPr>
              <w:t>the</w:t>
            </w:r>
            <w:r>
              <w:rPr>
                <w:spacing w:val="-5"/>
                <w:sz w:val="18"/>
              </w:rPr>
              <w:t> </w:t>
            </w:r>
            <w:r>
              <w:rPr>
                <w:sz w:val="18"/>
              </w:rPr>
              <w:t>Fontan </w:t>
            </w:r>
            <w:r>
              <w:rPr>
                <w:spacing w:val="-2"/>
                <w:sz w:val="18"/>
              </w:rPr>
              <w:t>procedure</w:t>
            </w:r>
          </w:p>
        </w:tc>
      </w:tr>
      <w:tr>
        <w:trPr>
          <w:trHeight w:val="414" w:hRule="atLeast"/>
        </w:trPr>
        <w:tc>
          <w:tcPr>
            <w:tcW w:w="13944" w:type="dxa"/>
            <w:gridSpan w:val="6"/>
            <w:shd w:val="clear" w:color="auto" w:fill="D0CECE"/>
          </w:tcPr>
          <w:p>
            <w:pPr>
              <w:pStyle w:val="TableParagraph"/>
              <w:spacing w:line="218" w:lineRule="exact"/>
              <w:ind w:left="6"/>
              <w:rPr>
                <w:b/>
                <w:i/>
                <w:sz w:val="18"/>
              </w:rPr>
            </w:pPr>
            <w:r>
              <w:rPr>
                <w:b/>
                <w:i/>
                <w:sz w:val="18"/>
              </w:rPr>
              <w:t>Warfarin</w:t>
            </w:r>
            <w:r>
              <w:rPr>
                <w:b/>
                <w:i/>
                <w:spacing w:val="-2"/>
                <w:sz w:val="18"/>
              </w:rPr>
              <w:t> </w:t>
            </w:r>
            <w:r>
              <w:rPr>
                <w:b/>
                <w:i/>
                <w:sz w:val="18"/>
              </w:rPr>
              <w:t>versus</w:t>
            </w:r>
            <w:r>
              <w:rPr>
                <w:b/>
                <w:i/>
                <w:spacing w:val="-2"/>
                <w:sz w:val="18"/>
              </w:rPr>
              <w:t> enoxaparin</w:t>
            </w:r>
          </w:p>
        </w:tc>
      </w:tr>
      <w:tr>
        <w:trPr>
          <w:trHeight w:val="417" w:hRule="atLeast"/>
        </w:trPr>
        <w:tc>
          <w:tcPr>
            <w:tcW w:w="2148" w:type="dxa"/>
          </w:tcPr>
          <w:p>
            <w:pPr>
              <w:pStyle w:val="TableParagraph"/>
              <w:rPr>
                <w:rFonts w:ascii="Times New Roman"/>
                <w:sz w:val="18"/>
              </w:rPr>
            </w:pPr>
          </w:p>
        </w:tc>
        <w:tc>
          <w:tcPr>
            <w:tcW w:w="3058" w:type="dxa"/>
          </w:tcPr>
          <w:p>
            <w:pPr>
              <w:pStyle w:val="TableParagraph"/>
              <w:rPr>
                <w:rFonts w:ascii="Times New Roman"/>
                <w:sz w:val="18"/>
              </w:rPr>
            </w:pPr>
          </w:p>
        </w:tc>
        <w:tc>
          <w:tcPr>
            <w:tcW w:w="1128" w:type="dxa"/>
          </w:tcPr>
          <w:p>
            <w:pPr>
              <w:pStyle w:val="TableParagraph"/>
              <w:spacing w:before="1"/>
              <w:ind w:left="7"/>
              <w:rPr>
                <w:sz w:val="18"/>
              </w:rPr>
            </w:pPr>
            <w:r>
              <w:rPr>
                <w:spacing w:val="-2"/>
                <w:sz w:val="18"/>
              </w:rPr>
              <w:t>Warfarin</w:t>
            </w:r>
          </w:p>
        </w:tc>
        <w:tc>
          <w:tcPr>
            <w:tcW w:w="1250" w:type="dxa"/>
          </w:tcPr>
          <w:p>
            <w:pPr>
              <w:pStyle w:val="TableParagraph"/>
              <w:spacing w:before="1"/>
              <w:ind w:left="7"/>
              <w:rPr>
                <w:sz w:val="18"/>
              </w:rPr>
            </w:pPr>
            <w:r>
              <w:rPr>
                <w:spacing w:val="-2"/>
                <w:sz w:val="18"/>
              </w:rPr>
              <w:t>Enoxaparin</w:t>
            </w:r>
          </w:p>
        </w:tc>
        <w:tc>
          <w:tcPr>
            <w:tcW w:w="2035" w:type="dxa"/>
          </w:tcPr>
          <w:p>
            <w:pPr>
              <w:pStyle w:val="TableParagraph"/>
              <w:rPr>
                <w:rFonts w:ascii="Times New Roman"/>
                <w:sz w:val="18"/>
              </w:rPr>
            </w:pPr>
          </w:p>
        </w:tc>
        <w:tc>
          <w:tcPr>
            <w:tcW w:w="4325" w:type="dxa"/>
          </w:tcPr>
          <w:p>
            <w:pPr>
              <w:pStyle w:val="TableParagraph"/>
              <w:rPr>
                <w:rFonts w:ascii="Times New Roman"/>
                <w:sz w:val="18"/>
              </w:rPr>
            </w:pPr>
          </w:p>
        </w:tc>
      </w:tr>
      <w:tr>
        <w:trPr>
          <w:trHeight w:val="830" w:hRule="atLeast"/>
        </w:trPr>
        <w:tc>
          <w:tcPr>
            <w:tcW w:w="2148" w:type="dxa"/>
            <w:tcBorders>
              <w:bottom w:val="nil"/>
            </w:tcBorders>
          </w:tcPr>
          <w:p>
            <w:pPr>
              <w:pStyle w:val="TableParagraph"/>
              <w:spacing w:line="278" w:lineRule="auto"/>
              <w:ind w:left="6" w:right="210"/>
              <w:rPr>
                <w:sz w:val="18"/>
              </w:rPr>
            </w:pPr>
            <w:r>
              <w:rPr>
                <w:sz w:val="18"/>
              </w:rPr>
              <w:t>Thrombotic</w:t>
            </w:r>
            <w:r>
              <w:rPr>
                <w:spacing w:val="-11"/>
                <w:sz w:val="18"/>
              </w:rPr>
              <w:t> </w:t>
            </w:r>
            <w:r>
              <w:rPr>
                <w:sz w:val="18"/>
              </w:rPr>
              <w:t>complications </w:t>
            </w:r>
            <w:r>
              <w:rPr>
                <w:spacing w:val="-2"/>
                <w:sz w:val="18"/>
              </w:rPr>
              <w:t>(critical)</w:t>
            </w:r>
          </w:p>
        </w:tc>
        <w:tc>
          <w:tcPr>
            <w:tcW w:w="3058" w:type="dxa"/>
            <w:tcBorders>
              <w:bottom w:val="nil"/>
            </w:tcBorders>
          </w:tcPr>
          <w:p>
            <w:pPr>
              <w:pStyle w:val="TableParagraph"/>
              <w:spacing w:line="218" w:lineRule="exact"/>
              <w:ind w:left="7"/>
              <w:rPr>
                <w:b/>
                <w:sz w:val="18"/>
              </w:rPr>
            </w:pPr>
            <w:r>
              <w:rPr>
                <w:sz w:val="18"/>
              </w:rPr>
              <w:t>Relative</w:t>
            </w:r>
            <w:r>
              <w:rPr>
                <w:spacing w:val="-3"/>
                <w:sz w:val="18"/>
              </w:rPr>
              <w:t> </w:t>
            </w:r>
            <w:r>
              <w:rPr>
                <w:sz w:val="18"/>
              </w:rPr>
              <w:t>risk:</w:t>
            </w:r>
            <w:r>
              <w:rPr>
                <w:spacing w:val="-1"/>
                <w:sz w:val="18"/>
              </w:rPr>
              <w:t> </w:t>
            </w:r>
            <w:r>
              <w:rPr>
                <w:b/>
                <w:spacing w:val="-4"/>
                <w:sz w:val="18"/>
              </w:rPr>
              <w:t>0.50</w:t>
            </w:r>
          </w:p>
          <w:p>
            <w:pPr>
              <w:pStyle w:val="TableParagraph"/>
              <w:spacing w:before="196"/>
              <w:ind w:left="7"/>
              <w:rPr>
                <w:sz w:val="18"/>
              </w:rPr>
            </w:pPr>
            <w:r>
              <w:rPr>
                <w:sz w:val="18"/>
              </w:rPr>
              <w:t>(95%</w:t>
            </w:r>
            <w:r>
              <w:rPr>
                <w:spacing w:val="-1"/>
                <w:sz w:val="18"/>
              </w:rPr>
              <w:t> </w:t>
            </w:r>
            <w:r>
              <w:rPr>
                <w:sz w:val="18"/>
              </w:rPr>
              <w:t>CI 0.05 to </w:t>
            </w:r>
            <w:r>
              <w:rPr>
                <w:spacing w:val="-4"/>
                <w:sz w:val="18"/>
              </w:rPr>
              <w:t>5.10)</w:t>
            </w:r>
          </w:p>
        </w:tc>
        <w:tc>
          <w:tcPr>
            <w:tcW w:w="1128" w:type="dxa"/>
          </w:tcPr>
          <w:p>
            <w:pPr>
              <w:pStyle w:val="TableParagraph"/>
              <w:spacing w:line="218" w:lineRule="exact"/>
              <w:ind w:left="7"/>
              <w:rPr>
                <w:b/>
                <w:sz w:val="18"/>
              </w:rPr>
            </w:pPr>
            <w:r>
              <w:rPr>
                <w:b/>
                <w:spacing w:val="-10"/>
                <w:sz w:val="18"/>
              </w:rPr>
              <w:t>4</w:t>
            </w:r>
          </w:p>
          <w:p>
            <w:pPr>
              <w:pStyle w:val="TableParagraph"/>
              <w:spacing w:before="196"/>
              <w:ind w:left="7"/>
              <w:rPr>
                <w:sz w:val="18"/>
              </w:rPr>
            </w:pPr>
            <w:r>
              <w:rPr>
                <w:sz w:val="18"/>
              </w:rPr>
              <w:t>per</w:t>
            </w:r>
            <w:r>
              <w:rPr>
                <w:spacing w:val="-3"/>
                <w:sz w:val="18"/>
              </w:rPr>
              <w:t> </w:t>
            </w:r>
            <w:r>
              <w:rPr>
                <w:spacing w:val="-5"/>
                <w:sz w:val="18"/>
              </w:rPr>
              <w:t>100</w:t>
            </w:r>
          </w:p>
        </w:tc>
        <w:tc>
          <w:tcPr>
            <w:tcW w:w="1250" w:type="dxa"/>
          </w:tcPr>
          <w:p>
            <w:pPr>
              <w:pStyle w:val="TableParagraph"/>
              <w:spacing w:line="218" w:lineRule="exact"/>
              <w:ind w:left="7"/>
              <w:rPr>
                <w:b/>
                <w:sz w:val="18"/>
              </w:rPr>
            </w:pPr>
            <w:r>
              <w:rPr>
                <w:b/>
                <w:spacing w:val="-10"/>
                <w:sz w:val="18"/>
              </w:rPr>
              <w:t>8</w:t>
            </w:r>
          </w:p>
          <w:p>
            <w:pPr>
              <w:pStyle w:val="TableParagraph"/>
              <w:spacing w:before="196"/>
              <w:ind w:left="7"/>
              <w:rPr>
                <w:sz w:val="18"/>
              </w:rPr>
            </w:pPr>
            <w:r>
              <w:rPr>
                <w:sz w:val="18"/>
              </w:rPr>
              <w:t>per</w:t>
            </w:r>
            <w:r>
              <w:rPr>
                <w:spacing w:val="-3"/>
                <w:sz w:val="18"/>
              </w:rPr>
              <w:t> </w:t>
            </w:r>
            <w:r>
              <w:rPr>
                <w:spacing w:val="-5"/>
                <w:sz w:val="18"/>
              </w:rPr>
              <w:t>100</w:t>
            </w:r>
          </w:p>
        </w:tc>
        <w:tc>
          <w:tcPr>
            <w:tcW w:w="2035" w:type="dxa"/>
            <w:tcBorders>
              <w:bottom w:val="nil"/>
            </w:tcBorders>
          </w:tcPr>
          <w:p>
            <w:pPr>
              <w:pStyle w:val="TableParagraph"/>
              <w:rPr>
                <w:rFonts w:ascii="Times New Roman"/>
                <w:sz w:val="18"/>
              </w:rPr>
            </w:pPr>
          </w:p>
        </w:tc>
        <w:tc>
          <w:tcPr>
            <w:tcW w:w="4325" w:type="dxa"/>
            <w:tcBorders>
              <w:bottom w:val="nil"/>
            </w:tcBorders>
          </w:tcPr>
          <w:p>
            <w:pPr>
              <w:pStyle w:val="TableParagraph"/>
              <w:rPr>
                <w:rFonts w:ascii="Times New Roman"/>
                <w:sz w:val="18"/>
              </w:rPr>
            </w:pPr>
          </w:p>
        </w:tc>
      </w:tr>
      <w:tr>
        <w:trPr>
          <w:trHeight w:val="1373" w:hRule="atLeast"/>
        </w:trPr>
        <w:tc>
          <w:tcPr>
            <w:tcW w:w="2148" w:type="dxa"/>
            <w:tcBorders>
              <w:top w:val="nil"/>
              <w:bottom w:val="nil"/>
            </w:tcBorders>
          </w:tcPr>
          <w:p>
            <w:pPr>
              <w:pStyle w:val="TableParagraph"/>
              <w:rPr>
                <w:rFonts w:ascii="Times New Roman"/>
                <w:sz w:val="18"/>
              </w:rPr>
            </w:pPr>
          </w:p>
        </w:tc>
        <w:tc>
          <w:tcPr>
            <w:tcW w:w="3058" w:type="dxa"/>
            <w:tcBorders>
              <w:top w:val="nil"/>
              <w:bottom w:val="nil"/>
            </w:tcBorders>
          </w:tcPr>
          <w:p>
            <w:pPr>
              <w:pStyle w:val="TableParagraph"/>
              <w:spacing w:before="179"/>
              <w:rPr>
                <w:sz w:val="18"/>
              </w:rPr>
            </w:pPr>
          </w:p>
          <w:p>
            <w:pPr>
              <w:pStyle w:val="TableParagraph"/>
              <w:spacing w:line="280" w:lineRule="auto"/>
              <w:ind w:left="7"/>
              <w:rPr>
                <w:sz w:val="18"/>
              </w:rPr>
            </w:pPr>
            <w:r>
              <w:rPr>
                <w:sz w:val="18"/>
              </w:rPr>
              <w:t>Based</w:t>
            </w:r>
            <w:r>
              <w:rPr>
                <w:spacing w:val="-6"/>
                <w:sz w:val="18"/>
              </w:rPr>
              <w:t> </w:t>
            </w:r>
            <w:r>
              <w:rPr>
                <w:sz w:val="18"/>
              </w:rPr>
              <w:t>on</w:t>
            </w:r>
            <w:r>
              <w:rPr>
                <w:spacing w:val="-6"/>
                <w:sz w:val="18"/>
              </w:rPr>
              <w:t> </w:t>
            </w:r>
            <w:r>
              <w:rPr>
                <w:sz w:val="18"/>
              </w:rPr>
              <w:t>data</w:t>
            </w:r>
            <w:r>
              <w:rPr>
                <w:spacing w:val="-6"/>
                <w:sz w:val="18"/>
              </w:rPr>
              <w:t> </w:t>
            </w:r>
            <w:r>
              <w:rPr>
                <w:sz w:val="18"/>
              </w:rPr>
              <w:t>from</w:t>
            </w:r>
            <w:r>
              <w:rPr>
                <w:spacing w:val="-5"/>
                <w:sz w:val="18"/>
              </w:rPr>
              <w:t> </w:t>
            </w:r>
            <w:r>
              <w:rPr>
                <w:sz w:val="18"/>
              </w:rPr>
              <w:t>65</w:t>
            </w:r>
            <w:r>
              <w:rPr>
                <w:spacing w:val="-5"/>
                <w:sz w:val="18"/>
              </w:rPr>
              <w:t> </w:t>
            </w:r>
            <w:r>
              <w:rPr>
                <w:sz w:val="18"/>
              </w:rPr>
              <w:t>participants</w:t>
            </w:r>
            <w:r>
              <w:rPr>
                <w:spacing w:val="-7"/>
                <w:sz w:val="18"/>
              </w:rPr>
              <w:t> </w:t>
            </w:r>
            <w:r>
              <w:rPr>
                <w:sz w:val="18"/>
              </w:rPr>
              <w:t>in</w:t>
            </w:r>
            <w:r>
              <w:rPr>
                <w:spacing w:val="-7"/>
                <w:sz w:val="18"/>
              </w:rPr>
              <w:t> </w:t>
            </w:r>
            <w:r>
              <w:rPr>
                <w:sz w:val="18"/>
              </w:rPr>
              <w:t>1 </w:t>
            </w:r>
            <w:r>
              <w:rPr>
                <w:spacing w:val="-2"/>
                <w:sz w:val="18"/>
              </w:rPr>
              <w:t>study</w:t>
            </w:r>
          </w:p>
          <w:p>
            <w:pPr>
              <w:pStyle w:val="TableParagraph"/>
              <w:spacing w:line="217" w:lineRule="exact"/>
              <w:ind w:left="7"/>
              <w:rPr>
                <w:sz w:val="18"/>
              </w:rPr>
            </w:pPr>
            <w:r>
              <w:rPr>
                <w:sz w:val="18"/>
              </w:rPr>
              <w:t>Follow-up:</w:t>
            </w:r>
            <w:r>
              <w:rPr>
                <w:spacing w:val="-5"/>
                <w:sz w:val="18"/>
              </w:rPr>
              <w:t> </w:t>
            </w:r>
            <w:r>
              <w:rPr>
                <w:sz w:val="18"/>
              </w:rPr>
              <w:t>30</w:t>
            </w:r>
            <w:r>
              <w:rPr>
                <w:spacing w:val="-2"/>
                <w:sz w:val="18"/>
              </w:rPr>
              <w:t> </w:t>
            </w:r>
            <w:r>
              <w:rPr>
                <w:spacing w:val="-4"/>
                <w:sz w:val="18"/>
              </w:rPr>
              <w:t>days</w:t>
            </w:r>
          </w:p>
        </w:tc>
        <w:tc>
          <w:tcPr>
            <w:tcW w:w="2378" w:type="dxa"/>
            <w:gridSpan w:val="2"/>
            <w:tcBorders>
              <w:bottom w:val="nil"/>
            </w:tcBorders>
          </w:tcPr>
          <w:p>
            <w:pPr>
              <w:pStyle w:val="TableParagraph"/>
              <w:spacing w:before="196"/>
              <w:rPr>
                <w:sz w:val="18"/>
              </w:rPr>
            </w:pPr>
          </w:p>
          <w:p>
            <w:pPr>
              <w:pStyle w:val="TableParagraph"/>
              <w:ind w:left="7"/>
              <w:rPr>
                <w:b/>
                <w:sz w:val="18"/>
              </w:rPr>
            </w:pPr>
            <w:r>
              <w:rPr>
                <w:sz w:val="18"/>
              </w:rPr>
              <w:t>Difference:</w:t>
            </w:r>
            <w:r>
              <w:rPr>
                <w:spacing w:val="-3"/>
                <w:sz w:val="18"/>
              </w:rPr>
              <w:t> </w:t>
            </w:r>
            <w:r>
              <w:rPr>
                <w:b/>
                <w:sz w:val="18"/>
              </w:rPr>
              <w:t>4</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96"/>
              <w:ind w:left="7"/>
              <w:rPr>
                <w:sz w:val="18"/>
              </w:rPr>
            </w:pPr>
            <w:r>
              <w:rPr>
                <w:sz w:val="18"/>
              </w:rPr>
              <w:t>(95%</w:t>
            </w:r>
            <w:r>
              <w:rPr>
                <w:spacing w:val="-3"/>
                <w:sz w:val="18"/>
              </w:rPr>
              <w:t> </w:t>
            </w:r>
            <w:r>
              <w:rPr>
                <w:sz w:val="18"/>
              </w:rPr>
              <w:t>CI 19</w:t>
            </w:r>
            <w:r>
              <w:rPr>
                <w:spacing w:val="-1"/>
                <w:sz w:val="18"/>
              </w:rPr>
              <w:t> </w:t>
            </w:r>
            <w:r>
              <w:rPr>
                <w:sz w:val="18"/>
              </w:rPr>
              <w:t>fewer to</w:t>
            </w:r>
            <w:r>
              <w:rPr>
                <w:spacing w:val="-1"/>
                <w:sz w:val="18"/>
              </w:rPr>
              <w:t> </w:t>
            </w:r>
            <w:r>
              <w:rPr>
                <w:sz w:val="18"/>
              </w:rPr>
              <w:t>12 </w:t>
            </w:r>
            <w:r>
              <w:rPr>
                <w:spacing w:val="-4"/>
                <w:sz w:val="18"/>
              </w:rPr>
              <w:t>more)</w:t>
            </w:r>
          </w:p>
        </w:tc>
        <w:tc>
          <w:tcPr>
            <w:tcW w:w="2035" w:type="dxa"/>
            <w:tcBorders>
              <w:top w:val="nil"/>
              <w:bottom w:val="nil"/>
            </w:tcBorders>
          </w:tcPr>
          <w:p>
            <w:pPr>
              <w:pStyle w:val="TableParagraph"/>
              <w:spacing w:line="204" w:lineRule="exact"/>
              <w:ind w:left="7"/>
              <w:rPr>
                <w:b/>
                <w:sz w:val="18"/>
              </w:rPr>
            </w:pPr>
            <w:r>
              <w:rPr>
                <w:b/>
                <w:sz w:val="18"/>
              </w:rPr>
              <w:t>Very</w:t>
            </w:r>
            <w:r>
              <w:rPr>
                <w:b/>
                <w:spacing w:val="-1"/>
                <w:sz w:val="18"/>
              </w:rPr>
              <w:t> </w:t>
            </w:r>
            <w:r>
              <w:rPr>
                <w:b/>
                <w:spacing w:val="-5"/>
                <w:sz w:val="18"/>
              </w:rPr>
              <w:t>low</w:t>
            </w:r>
          </w:p>
          <w:p>
            <w:pPr>
              <w:pStyle w:val="TableParagraph"/>
              <w:spacing w:line="278" w:lineRule="auto" w:before="37"/>
              <w:ind w:left="7" w:right="243"/>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line="219" w:lineRule="exact"/>
              <w:ind w:left="7"/>
              <w:rPr>
                <w:position w:val="5"/>
                <w:sz w:val="12"/>
              </w:rPr>
            </w:pPr>
            <w:r>
              <w:rPr>
                <w:sz w:val="18"/>
              </w:rPr>
              <w:t>serious</w:t>
            </w:r>
            <w:r>
              <w:rPr>
                <w:spacing w:val="-5"/>
                <w:sz w:val="18"/>
              </w:rPr>
              <w:t> </w:t>
            </w:r>
            <w:r>
              <w:rPr>
                <w:spacing w:val="-2"/>
                <w:sz w:val="18"/>
              </w:rPr>
              <w:t>imprecision</w:t>
            </w:r>
            <w:r>
              <w:rPr>
                <w:spacing w:val="-2"/>
                <w:position w:val="5"/>
                <w:sz w:val="12"/>
              </w:rPr>
              <w:t>3</w:t>
            </w:r>
          </w:p>
        </w:tc>
        <w:tc>
          <w:tcPr>
            <w:tcW w:w="4325" w:type="dxa"/>
            <w:tcBorders>
              <w:top w:val="nil"/>
              <w:bottom w:val="nil"/>
            </w:tcBorders>
          </w:tcPr>
          <w:p>
            <w:pPr>
              <w:pStyle w:val="TableParagraph"/>
              <w:spacing w:line="204" w:lineRule="exact"/>
              <w:ind w:left="8"/>
              <w:rPr>
                <w:sz w:val="18"/>
              </w:rPr>
            </w:pPr>
            <w:r>
              <w:rPr>
                <w:sz w:val="18"/>
              </w:rPr>
              <w:t>The</w:t>
            </w:r>
            <w:r>
              <w:rPr>
                <w:spacing w:val="-3"/>
                <w:sz w:val="18"/>
              </w:rPr>
              <w:t> </w:t>
            </w:r>
            <w:r>
              <w:rPr>
                <w:sz w:val="18"/>
              </w:rPr>
              <w:t>evidence</w:t>
            </w:r>
            <w:r>
              <w:rPr>
                <w:spacing w:val="-3"/>
                <w:sz w:val="18"/>
              </w:rPr>
              <w:t> </w:t>
            </w:r>
            <w:r>
              <w:rPr>
                <w:sz w:val="18"/>
              </w:rPr>
              <w:t>is</w:t>
            </w:r>
            <w:r>
              <w:rPr>
                <w:spacing w:val="-4"/>
                <w:sz w:val="18"/>
              </w:rPr>
              <w:t> </w:t>
            </w:r>
            <w:r>
              <w:rPr>
                <w:sz w:val="18"/>
              </w:rPr>
              <w:t>very</w:t>
            </w:r>
            <w:r>
              <w:rPr>
                <w:spacing w:val="-2"/>
                <w:sz w:val="18"/>
              </w:rPr>
              <w:t> </w:t>
            </w:r>
            <w:r>
              <w:rPr>
                <w:sz w:val="18"/>
              </w:rPr>
              <w:t>uncertain</w:t>
            </w:r>
            <w:r>
              <w:rPr>
                <w:spacing w:val="-4"/>
                <w:sz w:val="18"/>
              </w:rPr>
              <w:t> </w:t>
            </w:r>
            <w:r>
              <w:rPr>
                <w:sz w:val="18"/>
              </w:rPr>
              <w:t>about</w:t>
            </w:r>
            <w:r>
              <w:rPr>
                <w:spacing w:val="-2"/>
                <w:sz w:val="18"/>
              </w:rPr>
              <w:t> </w:t>
            </w:r>
            <w:r>
              <w:rPr>
                <w:sz w:val="18"/>
              </w:rPr>
              <w:t>the</w:t>
            </w:r>
            <w:r>
              <w:rPr>
                <w:spacing w:val="-3"/>
                <w:sz w:val="18"/>
              </w:rPr>
              <w:t> </w:t>
            </w:r>
            <w:r>
              <w:rPr>
                <w:sz w:val="18"/>
              </w:rPr>
              <w:t>effect</w:t>
            </w:r>
            <w:r>
              <w:rPr>
                <w:spacing w:val="-2"/>
                <w:sz w:val="18"/>
              </w:rPr>
              <w:t> </w:t>
            </w:r>
            <w:r>
              <w:rPr>
                <w:sz w:val="18"/>
              </w:rPr>
              <w:t>of</w:t>
            </w:r>
            <w:r>
              <w:rPr>
                <w:spacing w:val="1"/>
                <w:sz w:val="18"/>
              </w:rPr>
              <w:t> </w:t>
            </w:r>
            <w:r>
              <w:rPr>
                <w:spacing w:val="-2"/>
                <w:sz w:val="18"/>
              </w:rPr>
              <w:t>warfarin</w:t>
            </w:r>
          </w:p>
          <w:p>
            <w:pPr>
              <w:pStyle w:val="TableParagraph"/>
              <w:spacing w:line="278" w:lineRule="auto" w:before="37"/>
              <w:ind w:left="8"/>
              <w:rPr>
                <w:sz w:val="18"/>
              </w:rPr>
            </w:pPr>
            <w:r>
              <w:rPr>
                <w:sz w:val="18"/>
              </w:rPr>
              <w:t>on thrombotic complications, when compared with enoxaparin</w:t>
            </w:r>
            <w:r>
              <w:rPr>
                <w:spacing w:val="-5"/>
                <w:sz w:val="18"/>
              </w:rPr>
              <w:t> </w:t>
            </w:r>
            <w:r>
              <w:rPr>
                <w:sz w:val="18"/>
              </w:rPr>
              <w:t>in</w:t>
            </w:r>
            <w:r>
              <w:rPr>
                <w:spacing w:val="-6"/>
                <w:sz w:val="18"/>
              </w:rPr>
              <w:t> </w:t>
            </w:r>
            <w:r>
              <w:rPr>
                <w:sz w:val="18"/>
              </w:rPr>
              <w:t>children</w:t>
            </w:r>
            <w:r>
              <w:rPr>
                <w:spacing w:val="-5"/>
                <w:sz w:val="18"/>
              </w:rPr>
              <w:t> </w:t>
            </w:r>
            <w:r>
              <w:rPr>
                <w:sz w:val="18"/>
              </w:rPr>
              <w:t>with</w:t>
            </w:r>
            <w:r>
              <w:rPr>
                <w:spacing w:val="-4"/>
                <w:sz w:val="18"/>
              </w:rPr>
              <w:t> </w:t>
            </w:r>
            <w:r>
              <w:rPr>
                <w:sz w:val="18"/>
              </w:rPr>
              <w:t>an</w:t>
            </w:r>
            <w:r>
              <w:rPr>
                <w:spacing w:val="-5"/>
                <w:sz w:val="18"/>
              </w:rPr>
              <w:t> </w:t>
            </w:r>
            <w:r>
              <w:rPr>
                <w:sz w:val="18"/>
              </w:rPr>
              <w:t>indication</w:t>
            </w:r>
            <w:r>
              <w:rPr>
                <w:spacing w:val="-5"/>
                <w:sz w:val="18"/>
              </w:rPr>
              <w:t> </w:t>
            </w:r>
            <w:r>
              <w:rPr>
                <w:sz w:val="18"/>
              </w:rPr>
              <w:t>for</w:t>
            </w:r>
            <w:r>
              <w:rPr>
                <w:spacing w:val="-4"/>
                <w:sz w:val="18"/>
              </w:rPr>
              <w:t> </w:t>
            </w:r>
            <w:r>
              <w:rPr>
                <w:sz w:val="18"/>
              </w:rPr>
              <w:t>the</w:t>
            </w:r>
            <w:r>
              <w:rPr>
                <w:spacing w:val="-5"/>
                <w:sz w:val="18"/>
              </w:rPr>
              <w:t> </w:t>
            </w:r>
            <w:r>
              <w:rPr>
                <w:sz w:val="18"/>
              </w:rPr>
              <w:t>Fontan </w:t>
            </w:r>
            <w:r>
              <w:rPr>
                <w:spacing w:val="-2"/>
                <w:sz w:val="18"/>
              </w:rPr>
              <w:t>procedure</w:t>
            </w:r>
          </w:p>
        </w:tc>
      </w:tr>
      <w:tr>
        <w:trPr>
          <w:trHeight w:val="625" w:hRule="atLeast"/>
        </w:trPr>
        <w:tc>
          <w:tcPr>
            <w:tcW w:w="2148" w:type="dxa"/>
            <w:tcBorders>
              <w:top w:val="nil"/>
            </w:tcBorders>
          </w:tcPr>
          <w:p>
            <w:pPr>
              <w:pStyle w:val="TableParagraph"/>
              <w:rPr>
                <w:rFonts w:ascii="Times New Roman"/>
                <w:sz w:val="18"/>
              </w:rPr>
            </w:pPr>
          </w:p>
        </w:tc>
        <w:tc>
          <w:tcPr>
            <w:tcW w:w="3058" w:type="dxa"/>
            <w:tcBorders>
              <w:top w:val="nil"/>
            </w:tcBorders>
          </w:tcPr>
          <w:p>
            <w:pPr>
              <w:pStyle w:val="TableParagraph"/>
              <w:rPr>
                <w:rFonts w:ascii="Times New Roman"/>
                <w:sz w:val="18"/>
              </w:rPr>
            </w:pPr>
          </w:p>
        </w:tc>
        <w:tc>
          <w:tcPr>
            <w:tcW w:w="2378" w:type="dxa"/>
            <w:gridSpan w:val="2"/>
            <w:tcBorders>
              <w:top w:val="nil"/>
            </w:tcBorders>
          </w:tcPr>
          <w:p>
            <w:pPr>
              <w:pStyle w:val="TableParagraph"/>
              <w:rPr>
                <w:rFonts w:ascii="Times New Roman"/>
                <w:sz w:val="18"/>
              </w:rPr>
            </w:pPr>
          </w:p>
        </w:tc>
        <w:tc>
          <w:tcPr>
            <w:tcW w:w="2035" w:type="dxa"/>
            <w:tcBorders>
              <w:top w:val="nil"/>
            </w:tcBorders>
          </w:tcPr>
          <w:p>
            <w:pPr>
              <w:pStyle w:val="TableParagraph"/>
              <w:rPr>
                <w:rFonts w:ascii="Times New Roman"/>
                <w:sz w:val="18"/>
              </w:rPr>
            </w:pPr>
          </w:p>
        </w:tc>
        <w:tc>
          <w:tcPr>
            <w:tcW w:w="4325" w:type="dxa"/>
            <w:tcBorders>
              <w:top w:val="nil"/>
            </w:tcBorders>
          </w:tcPr>
          <w:p>
            <w:pPr>
              <w:pStyle w:val="TableParagraph"/>
              <w:spacing w:before="209"/>
              <w:ind w:left="8"/>
              <w:rPr>
                <w:sz w:val="18"/>
              </w:rPr>
            </w:pPr>
            <w:r>
              <w:rPr>
                <w:sz w:val="18"/>
              </w:rPr>
              <w:t>(Ankola,</w:t>
            </w:r>
            <w:r>
              <w:rPr>
                <w:spacing w:val="-5"/>
                <w:sz w:val="18"/>
              </w:rPr>
              <w:t> </w:t>
            </w:r>
            <w:r>
              <w:rPr>
                <w:spacing w:val="-2"/>
                <w:sz w:val="18"/>
              </w:rPr>
              <w:t>2021)</w:t>
            </w:r>
          </w:p>
        </w:tc>
      </w:tr>
      <w:tr>
        <w:trPr>
          <w:trHeight w:val="601" w:hRule="atLeast"/>
        </w:trPr>
        <w:tc>
          <w:tcPr>
            <w:tcW w:w="2148" w:type="dxa"/>
            <w:tcBorders>
              <w:bottom w:val="nil"/>
            </w:tcBorders>
          </w:tcPr>
          <w:p>
            <w:pPr>
              <w:pStyle w:val="TableParagraph"/>
              <w:numPr>
                <w:ilvl w:val="0"/>
                <w:numId w:val="48"/>
              </w:numPr>
              <w:tabs>
                <w:tab w:pos="727" w:val="left" w:leader="none"/>
              </w:tabs>
              <w:spacing w:line="273" w:lineRule="auto" w:before="0" w:after="0"/>
              <w:ind w:left="727" w:right="484" w:hanging="360"/>
              <w:jc w:val="left"/>
              <w:rPr>
                <w:sz w:val="18"/>
              </w:rPr>
            </w:pPr>
            <w:r>
              <w:rPr>
                <w:spacing w:val="-2"/>
                <w:sz w:val="18"/>
              </w:rPr>
              <w:t>Hemorrhage</w:t>
            </w:r>
            <w:r>
              <w:rPr>
                <w:sz w:val="18"/>
              </w:rPr>
              <w:t> </w:t>
            </w:r>
            <w:r>
              <w:rPr>
                <w:spacing w:val="-2"/>
                <w:sz w:val="18"/>
              </w:rPr>
              <w:t>(important)</w:t>
            </w:r>
          </w:p>
        </w:tc>
        <w:tc>
          <w:tcPr>
            <w:tcW w:w="3058" w:type="dxa"/>
            <w:tcBorders>
              <w:bottom w:val="nil"/>
            </w:tcBorders>
          </w:tcPr>
          <w:p>
            <w:pPr>
              <w:pStyle w:val="TableParagraph"/>
              <w:rPr>
                <w:rFonts w:ascii="Times New Roman"/>
                <w:sz w:val="18"/>
              </w:rPr>
            </w:pPr>
          </w:p>
        </w:tc>
        <w:tc>
          <w:tcPr>
            <w:tcW w:w="2378" w:type="dxa"/>
            <w:gridSpan w:val="2"/>
            <w:tcBorders>
              <w:bottom w:val="nil"/>
            </w:tcBorders>
          </w:tcPr>
          <w:p>
            <w:pPr>
              <w:pStyle w:val="TableParagraph"/>
              <w:rPr>
                <w:rFonts w:ascii="Times New Roman"/>
                <w:sz w:val="18"/>
              </w:rPr>
            </w:pPr>
          </w:p>
        </w:tc>
        <w:tc>
          <w:tcPr>
            <w:tcW w:w="2035" w:type="dxa"/>
            <w:tcBorders>
              <w:bottom w:val="nil"/>
            </w:tcBorders>
          </w:tcPr>
          <w:p>
            <w:pPr>
              <w:pStyle w:val="TableParagraph"/>
              <w:rPr>
                <w:rFonts w:ascii="Times New Roman"/>
                <w:sz w:val="18"/>
              </w:rPr>
            </w:pPr>
          </w:p>
        </w:tc>
        <w:tc>
          <w:tcPr>
            <w:tcW w:w="4325" w:type="dxa"/>
            <w:tcBorders>
              <w:bottom w:val="nil"/>
            </w:tcBorders>
          </w:tcPr>
          <w:p>
            <w:pPr>
              <w:pStyle w:val="TableParagraph"/>
              <w:rPr>
                <w:rFonts w:ascii="Times New Roman"/>
                <w:sz w:val="18"/>
              </w:rPr>
            </w:pPr>
          </w:p>
        </w:tc>
      </w:tr>
      <w:tr>
        <w:trPr>
          <w:trHeight w:val="639" w:hRule="atLeast"/>
        </w:trPr>
        <w:tc>
          <w:tcPr>
            <w:tcW w:w="2148" w:type="dxa"/>
            <w:tcBorders>
              <w:top w:val="nil"/>
              <w:bottom w:val="nil"/>
            </w:tcBorders>
          </w:tcPr>
          <w:p>
            <w:pPr>
              <w:pStyle w:val="TableParagraph"/>
              <w:numPr>
                <w:ilvl w:val="0"/>
                <w:numId w:val="49"/>
              </w:numPr>
              <w:tabs>
                <w:tab w:pos="727" w:val="left" w:leader="none"/>
              </w:tabs>
              <w:spacing w:line="250" w:lineRule="atLeast" w:before="99" w:after="0"/>
              <w:ind w:left="727" w:right="557" w:hanging="360"/>
              <w:jc w:val="left"/>
              <w:rPr>
                <w:sz w:val="18"/>
              </w:rPr>
            </w:pPr>
            <w:r>
              <w:rPr>
                <w:spacing w:val="-2"/>
                <w:sz w:val="18"/>
              </w:rPr>
              <w:t>Mortality</w:t>
            </w:r>
            <w:r>
              <w:rPr>
                <w:sz w:val="18"/>
              </w:rPr>
              <w:t> </w:t>
            </w:r>
            <w:r>
              <w:rPr>
                <w:spacing w:val="-2"/>
                <w:sz w:val="18"/>
              </w:rPr>
              <w:t>(important)</w:t>
            </w:r>
          </w:p>
        </w:tc>
        <w:tc>
          <w:tcPr>
            <w:tcW w:w="3058" w:type="dxa"/>
            <w:tcBorders>
              <w:top w:val="nil"/>
              <w:bottom w:val="nil"/>
            </w:tcBorders>
          </w:tcPr>
          <w:p>
            <w:pPr>
              <w:pStyle w:val="TableParagraph"/>
              <w:rPr>
                <w:rFonts w:ascii="Times New Roman"/>
                <w:sz w:val="18"/>
              </w:rPr>
            </w:pPr>
          </w:p>
        </w:tc>
        <w:tc>
          <w:tcPr>
            <w:tcW w:w="2378" w:type="dxa"/>
            <w:gridSpan w:val="2"/>
            <w:tcBorders>
              <w:top w:val="nil"/>
              <w:bottom w:val="nil"/>
            </w:tcBorders>
          </w:tcPr>
          <w:p>
            <w:pPr>
              <w:pStyle w:val="TableParagraph"/>
              <w:rPr>
                <w:rFonts w:ascii="Times New Roman"/>
                <w:sz w:val="18"/>
              </w:rPr>
            </w:pPr>
          </w:p>
        </w:tc>
        <w:tc>
          <w:tcPr>
            <w:tcW w:w="2035" w:type="dxa"/>
            <w:tcBorders>
              <w:top w:val="nil"/>
              <w:bottom w:val="nil"/>
            </w:tcBorders>
          </w:tcPr>
          <w:p>
            <w:pPr>
              <w:pStyle w:val="TableParagraph"/>
              <w:rPr>
                <w:rFonts w:ascii="Times New Roman"/>
                <w:sz w:val="18"/>
              </w:rPr>
            </w:pPr>
          </w:p>
        </w:tc>
        <w:tc>
          <w:tcPr>
            <w:tcW w:w="4325" w:type="dxa"/>
            <w:tcBorders>
              <w:top w:val="nil"/>
              <w:bottom w:val="nil"/>
            </w:tcBorders>
          </w:tcPr>
          <w:p>
            <w:pPr>
              <w:pStyle w:val="TableParagraph"/>
              <w:rPr>
                <w:rFonts w:ascii="Times New Roman"/>
                <w:sz w:val="18"/>
              </w:rPr>
            </w:pPr>
          </w:p>
        </w:tc>
      </w:tr>
      <w:tr>
        <w:trPr>
          <w:trHeight w:val="1462" w:hRule="atLeast"/>
        </w:trPr>
        <w:tc>
          <w:tcPr>
            <w:tcW w:w="2148" w:type="dxa"/>
            <w:tcBorders>
              <w:top w:val="nil"/>
              <w:bottom w:val="nil"/>
            </w:tcBorders>
          </w:tcPr>
          <w:p>
            <w:pPr>
              <w:pStyle w:val="TableParagraph"/>
              <w:numPr>
                <w:ilvl w:val="0"/>
                <w:numId w:val="50"/>
              </w:numPr>
              <w:tabs>
                <w:tab w:pos="727" w:val="left" w:leader="none"/>
              </w:tabs>
              <w:spacing w:line="273" w:lineRule="auto" w:before="160" w:after="0"/>
              <w:ind w:left="727" w:right="267" w:hanging="360"/>
              <w:jc w:val="left"/>
              <w:rPr>
                <w:sz w:val="18"/>
              </w:rPr>
            </w:pPr>
            <w:r>
              <w:rPr>
                <w:sz w:val="18"/>
              </w:rPr>
              <w:t>Ischemic</w:t>
            </w:r>
            <w:r>
              <w:rPr>
                <w:spacing w:val="-11"/>
                <w:sz w:val="18"/>
              </w:rPr>
              <w:t> </w:t>
            </w:r>
            <w:r>
              <w:rPr>
                <w:sz w:val="18"/>
              </w:rPr>
              <w:t>stroke </w:t>
            </w:r>
            <w:r>
              <w:rPr>
                <w:spacing w:val="-2"/>
                <w:sz w:val="18"/>
              </w:rPr>
              <w:t>(important)</w:t>
            </w:r>
          </w:p>
          <w:p>
            <w:pPr>
              <w:pStyle w:val="TableParagraph"/>
              <w:numPr>
                <w:ilvl w:val="0"/>
                <w:numId w:val="50"/>
              </w:numPr>
              <w:tabs>
                <w:tab w:pos="727" w:val="left" w:leader="none"/>
              </w:tabs>
              <w:spacing w:line="273" w:lineRule="auto" w:before="167" w:after="0"/>
              <w:ind w:left="727" w:right="90" w:hanging="360"/>
              <w:jc w:val="left"/>
              <w:rPr>
                <w:sz w:val="18"/>
              </w:rPr>
            </w:pPr>
            <w:r>
              <w:rPr>
                <w:sz w:val="18"/>
              </w:rPr>
              <w:t>Quality of life (QOL)</w:t>
            </w:r>
            <w:r>
              <w:rPr>
                <w:spacing w:val="-11"/>
                <w:sz w:val="18"/>
              </w:rPr>
              <w:t> </w:t>
            </w:r>
            <w:r>
              <w:rPr>
                <w:sz w:val="18"/>
              </w:rPr>
              <w:t>(important)</w:t>
            </w:r>
          </w:p>
        </w:tc>
        <w:tc>
          <w:tcPr>
            <w:tcW w:w="3058" w:type="dxa"/>
            <w:tcBorders>
              <w:top w:val="nil"/>
              <w:bottom w:val="nil"/>
            </w:tcBorders>
          </w:tcPr>
          <w:p>
            <w:pPr>
              <w:pStyle w:val="TableParagraph"/>
              <w:spacing w:before="3"/>
              <w:ind w:left="7"/>
              <w:rPr>
                <w:sz w:val="18"/>
              </w:rPr>
            </w:pPr>
            <w:r>
              <w:rPr>
                <w:spacing w:val="-10"/>
                <w:sz w:val="18"/>
              </w:rPr>
              <w:t>-</w:t>
            </w:r>
          </w:p>
        </w:tc>
        <w:tc>
          <w:tcPr>
            <w:tcW w:w="2378" w:type="dxa"/>
            <w:gridSpan w:val="2"/>
            <w:tcBorders>
              <w:top w:val="nil"/>
              <w:bottom w:val="nil"/>
            </w:tcBorders>
          </w:tcPr>
          <w:p>
            <w:pPr>
              <w:pStyle w:val="TableParagraph"/>
              <w:spacing w:before="3"/>
              <w:ind w:left="7"/>
              <w:rPr>
                <w:sz w:val="18"/>
              </w:rPr>
            </w:pPr>
            <w:r>
              <w:rPr>
                <w:spacing w:val="-10"/>
                <w:sz w:val="18"/>
              </w:rPr>
              <w:t>-</w:t>
            </w:r>
          </w:p>
        </w:tc>
        <w:tc>
          <w:tcPr>
            <w:tcW w:w="2035" w:type="dxa"/>
            <w:tcBorders>
              <w:top w:val="nil"/>
              <w:bottom w:val="nil"/>
            </w:tcBorders>
          </w:tcPr>
          <w:p>
            <w:pPr>
              <w:pStyle w:val="TableParagraph"/>
              <w:rPr>
                <w:sz w:val="18"/>
              </w:rPr>
            </w:pPr>
          </w:p>
          <w:p>
            <w:pPr>
              <w:pStyle w:val="TableParagraph"/>
              <w:rPr>
                <w:sz w:val="18"/>
              </w:rPr>
            </w:pPr>
          </w:p>
          <w:p>
            <w:pPr>
              <w:pStyle w:val="TableParagraph"/>
              <w:spacing w:before="176"/>
              <w:rPr>
                <w:sz w:val="18"/>
              </w:rPr>
            </w:pPr>
          </w:p>
          <w:p>
            <w:pPr>
              <w:pStyle w:val="TableParagraph"/>
              <w:spacing w:before="1"/>
              <w:ind w:left="7"/>
              <w:rPr>
                <w:b/>
                <w:sz w:val="18"/>
              </w:rPr>
            </w:pPr>
            <w:r>
              <w:rPr>
                <w:b/>
                <w:sz w:val="18"/>
              </w:rPr>
              <w:t>No</w:t>
            </w:r>
            <w:r>
              <w:rPr>
                <w:b/>
                <w:spacing w:val="-5"/>
                <w:sz w:val="18"/>
              </w:rPr>
              <w:t> </w:t>
            </w:r>
            <w:r>
              <w:rPr>
                <w:b/>
                <w:spacing w:val="-2"/>
                <w:sz w:val="18"/>
              </w:rPr>
              <w:t>GRADE</w:t>
            </w:r>
          </w:p>
          <w:p>
            <w:pPr>
              <w:pStyle w:val="TableParagraph"/>
              <w:spacing w:before="34"/>
              <w:ind w:left="7"/>
              <w:rPr>
                <w:sz w:val="18"/>
              </w:rPr>
            </w:pPr>
            <w:r>
              <w:rPr>
                <w:sz w:val="18"/>
              </w:rPr>
              <w:t>(No</w:t>
            </w:r>
            <w:r>
              <w:rPr>
                <w:spacing w:val="-4"/>
                <w:sz w:val="18"/>
              </w:rPr>
              <w:t> </w:t>
            </w:r>
            <w:r>
              <w:rPr>
                <w:sz w:val="18"/>
              </w:rPr>
              <w:t>evidence</w:t>
            </w:r>
            <w:r>
              <w:rPr>
                <w:spacing w:val="-4"/>
                <w:sz w:val="18"/>
              </w:rPr>
              <w:t> </w:t>
            </w:r>
            <w:r>
              <w:rPr>
                <w:sz w:val="18"/>
              </w:rPr>
              <w:t>was</w:t>
            </w:r>
            <w:r>
              <w:rPr>
                <w:spacing w:val="-3"/>
                <w:sz w:val="18"/>
              </w:rPr>
              <w:t> </w:t>
            </w:r>
            <w:r>
              <w:rPr>
                <w:spacing w:val="-2"/>
                <w:sz w:val="18"/>
              </w:rPr>
              <w:t>found)</w:t>
            </w:r>
          </w:p>
        </w:tc>
        <w:tc>
          <w:tcPr>
            <w:tcW w:w="4325" w:type="dxa"/>
            <w:tcBorders>
              <w:top w:val="nil"/>
              <w:bottom w:val="nil"/>
            </w:tcBorders>
          </w:tcPr>
          <w:p>
            <w:pPr>
              <w:pStyle w:val="TableParagraph"/>
              <w:spacing w:line="278" w:lineRule="auto" w:before="3"/>
              <w:ind w:left="8"/>
              <w:rPr>
                <w:sz w:val="18"/>
              </w:rPr>
            </w:pPr>
            <w:r>
              <w:rPr>
                <w:sz w:val="18"/>
              </w:rPr>
              <w:t>No</w:t>
            </w:r>
            <w:r>
              <w:rPr>
                <w:spacing w:val="-4"/>
                <w:sz w:val="18"/>
              </w:rPr>
              <w:t> </w:t>
            </w:r>
            <w:r>
              <w:rPr>
                <w:sz w:val="18"/>
              </w:rPr>
              <w:t>evidence</w:t>
            </w:r>
            <w:r>
              <w:rPr>
                <w:spacing w:val="-5"/>
                <w:sz w:val="18"/>
              </w:rPr>
              <w:t> </w:t>
            </w:r>
            <w:r>
              <w:rPr>
                <w:sz w:val="18"/>
              </w:rPr>
              <w:t>was</w:t>
            </w:r>
            <w:r>
              <w:rPr>
                <w:spacing w:val="-5"/>
                <w:sz w:val="18"/>
              </w:rPr>
              <w:t> </w:t>
            </w:r>
            <w:r>
              <w:rPr>
                <w:sz w:val="18"/>
              </w:rPr>
              <w:t>found</w:t>
            </w:r>
            <w:r>
              <w:rPr>
                <w:spacing w:val="-4"/>
                <w:sz w:val="18"/>
              </w:rPr>
              <w:t> </w:t>
            </w:r>
            <w:r>
              <w:rPr>
                <w:sz w:val="18"/>
              </w:rPr>
              <w:t>regarding</w:t>
            </w:r>
            <w:r>
              <w:rPr>
                <w:spacing w:val="-3"/>
                <w:sz w:val="18"/>
              </w:rPr>
              <w:t> </w:t>
            </w:r>
            <w:r>
              <w:rPr>
                <w:sz w:val="18"/>
              </w:rPr>
              <w:t>the</w:t>
            </w:r>
            <w:r>
              <w:rPr>
                <w:spacing w:val="-5"/>
                <w:sz w:val="18"/>
              </w:rPr>
              <w:t> </w:t>
            </w:r>
            <w:r>
              <w:rPr>
                <w:sz w:val="18"/>
              </w:rPr>
              <w:t>effect</w:t>
            </w:r>
            <w:r>
              <w:rPr>
                <w:spacing w:val="-4"/>
                <w:sz w:val="18"/>
              </w:rPr>
              <w:t> </w:t>
            </w:r>
            <w:r>
              <w:rPr>
                <w:sz w:val="18"/>
              </w:rPr>
              <w:t>of</w:t>
            </w:r>
            <w:r>
              <w:rPr>
                <w:spacing w:val="-5"/>
                <w:sz w:val="18"/>
              </w:rPr>
              <w:t> </w:t>
            </w:r>
            <w:r>
              <w:rPr>
                <w:sz w:val="18"/>
              </w:rPr>
              <w:t>warfarin</w:t>
            </w:r>
            <w:r>
              <w:rPr>
                <w:spacing w:val="-5"/>
                <w:sz w:val="18"/>
              </w:rPr>
              <w:t> </w:t>
            </w:r>
            <w:r>
              <w:rPr>
                <w:sz w:val="18"/>
              </w:rPr>
              <w:t>on hemorrhage, mortality, ischemic stroke, quality of life (QOL), and adverse events, when compared with enoxaparin in children with an indication for the Fontan </w:t>
            </w:r>
            <w:r>
              <w:rPr>
                <w:spacing w:val="-2"/>
                <w:sz w:val="18"/>
              </w:rPr>
              <w:t>procedure</w:t>
            </w:r>
          </w:p>
        </w:tc>
      </w:tr>
      <w:tr>
        <w:trPr>
          <w:trHeight w:val="799" w:hRule="atLeast"/>
        </w:trPr>
        <w:tc>
          <w:tcPr>
            <w:tcW w:w="2148" w:type="dxa"/>
            <w:tcBorders>
              <w:top w:val="nil"/>
            </w:tcBorders>
          </w:tcPr>
          <w:p>
            <w:pPr>
              <w:pStyle w:val="TableParagraph"/>
              <w:numPr>
                <w:ilvl w:val="0"/>
                <w:numId w:val="51"/>
              </w:numPr>
              <w:tabs>
                <w:tab w:pos="727" w:val="left" w:leader="none"/>
              </w:tabs>
              <w:spacing w:line="271" w:lineRule="auto" w:before="100" w:after="0"/>
              <w:ind w:left="727" w:right="287" w:hanging="360"/>
              <w:jc w:val="left"/>
              <w:rPr>
                <w:sz w:val="18"/>
              </w:rPr>
            </w:pPr>
            <w:r>
              <w:rPr>
                <w:sz w:val="18"/>
              </w:rPr>
              <w:t>Adverse</w:t>
            </w:r>
            <w:r>
              <w:rPr>
                <w:spacing w:val="-11"/>
                <w:sz w:val="18"/>
              </w:rPr>
              <w:t> </w:t>
            </w:r>
            <w:r>
              <w:rPr>
                <w:sz w:val="18"/>
              </w:rPr>
              <w:t>events </w:t>
            </w:r>
            <w:r>
              <w:rPr>
                <w:spacing w:val="-2"/>
                <w:sz w:val="18"/>
              </w:rPr>
              <w:t>(important)</w:t>
            </w:r>
          </w:p>
        </w:tc>
        <w:tc>
          <w:tcPr>
            <w:tcW w:w="3058" w:type="dxa"/>
            <w:tcBorders>
              <w:top w:val="nil"/>
            </w:tcBorders>
          </w:tcPr>
          <w:p>
            <w:pPr>
              <w:pStyle w:val="TableParagraph"/>
              <w:rPr>
                <w:rFonts w:ascii="Times New Roman"/>
                <w:sz w:val="18"/>
              </w:rPr>
            </w:pPr>
          </w:p>
        </w:tc>
        <w:tc>
          <w:tcPr>
            <w:tcW w:w="2378" w:type="dxa"/>
            <w:gridSpan w:val="2"/>
            <w:tcBorders>
              <w:top w:val="nil"/>
            </w:tcBorders>
          </w:tcPr>
          <w:p>
            <w:pPr>
              <w:pStyle w:val="TableParagraph"/>
              <w:rPr>
                <w:rFonts w:ascii="Times New Roman"/>
                <w:sz w:val="18"/>
              </w:rPr>
            </w:pPr>
          </w:p>
        </w:tc>
        <w:tc>
          <w:tcPr>
            <w:tcW w:w="2035" w:type="dxa"/>
            <w:tcBorders>
              <w:top w:val="nil"/>
            </w:tcBorders>
          </w:tcPr>
          <w:p>
            <w:pPr>
              <w:pStyle w:val="TableParagraph"/>
              <w:rPr>
                <w:rFonts w:ascii="Times New Roman"/>
                <w:sz w:val="18"/>
              </w:rPr>
            </w:pPr>
          </w:p>
        </w:tc>
        <w:tc>
          <w:tcPr>
            <w:tcW w:w="4325" w:type="dxa"/>
            <w:tcBorders>
              <w:top w:val="nil"/>
            </w:tcBorders>
          </w:tcPr>
          <w:p>
            <w:pPr>
              <w:pStyle w:val="TableParagraph"/>
              <w:rPr>
                <w:rFonts w:ascii="Times New Roman"/>
                <w:sz w:val="18"/>
              </w:rPr>
            </w:pPr>
          </w:p>
        </w:tc>
      </w:tr>
    </w:tbl>
    <w:p>
      <w:pPr>
        <w:pStyle w:val="TableParagraph"/>
        <w:spacing w:after="0"/>
        <w:rPr>
          <w:rFonts w:ascii="Times New Roman"/>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43"/>
        <w:gridCol w:w="1006"/>
        <w:gridCol w:w="3059"/>
        <w:gridCol w:w="1129"/>
        <w:gridCol w:w="1251"/>
        <w:gridCol w:w="2036"/>
        <w:gridCol w:w="4326"/>
      </w:tblGrid>
      <w:tr>
        <w:trPr>
          <w:trHeight w:val="414" w:hRule="atLeast"/>
        </w:trPr>
        <w:tc>
          <w:tcPr>
            <w:tcW w:w="13950" w:type="dxa"/>
            <w:gridSpan w:val="7"/>
            <w:shd w:val="clear" w:color="auto" w:fill="D0CECE"/>
          </w:tcPr>
          <w:p>
            <w:pPr>
              <w:pStyle w:val="TableParagraph"/>
              <w:spacing w:line="218" w:lineRule="exact"/>
              <w:ind w:left="6"/>
              <w:rPr>
                <w:b/>
                <w:i/>
                <w:sz w:val="18"/>
              </w:rPr>
            </w:pPr>
            <w:r>
              <w:rPr>
                <w:b/>
                <w:i/>
                <w:sz w:val="18"/>
              </w:rPr>
              <w:t>Aspirin</w:t>
            </w:r>
            <w:r>
              <w:rPr>
                <w:b/>
                <w:i/>
                <w:spacing w:val="-3"/>
                <w:sz w:val="18"/>
              </w:rPr>
              <w:t> </w:t>
            </w:r>
            <w:r>
              <w:rPr>
                <w:b/>
                <w:i/>
                <w:sz w:val="18"/>
              </w:rPr>
              <w:t>versus</w:t>
            </w:r>
            <w:r>
              <w:rPr>
                <w:b/>
                <w:i/>
                <w:spacing w:val="-3"/>
                <w:sz w:val="18"/>
              </w:rPr>
              <w:t> </w:t>
            </w:r>
            <w:r>
              <w:rPr>
                <w:b/>
                <w:i/>
                <w:spacing w:val="-2"/>
                <w:sz w:val="18"/>
              </w:rPr>
              <w:t>rivaroxaban</w:t>
            </w:r>
          </w:p>
        </w:tc>
      </w:tr>
      <w:tr>
        <w:trPr>
          <w:trHeight w:val="417" w:hRule="atLeast"/>
        </w:trPr>
        <w:tc>
          <w:tcPr>
            <w:tcW w:w="2149" w:type="dxa"/>
            <w:gridSpan w:val="2"/>
          </w:tcPr>
          <w:p>
            <w:pPr>
              <w:pStyle w:val="TableParagraph"/>
              <w:rPr>
                <w:rFonts w:ascii="Times New Roman"/>
                <w:sz w:val="16"/>
              </w:rPr>
            </w:pPr>
          </w:p>
        </w:tc>
        <w:tc>
          <w:tcPr>
            <w:tcW w:w="3059" w:type="dxa"/>
          </w:tcPr>
          <w:p>
            <w:pPr>
              <w:pStyle w:val="TableParagraph"/>
              <w:rPr>
                <w:rFonts w:ascii="Times New Roman"/>
                <w:sz w:val="16"/>
              </w:rPr>
            </w:pPr>
          </w:p>
        </w:tc>
        <w:tc>
          <w:tcPr>
            <w:tcW w:w="1129" w:type="dxa"/>
          </w:tcPr>
          <w:p>
            <w:pPr>
              <w:pStyle w:val="TableParagraph"/>
              <w:spacing w:before="1"/>
              <w:ind w:left="5"/>
              <w:rPr>
                <w:sz w:val="18"/>
              </w:rPr>
            </w:pPr>
            <w:r>
              <w:rPr>
                <w:spacing w:val="-2"/>
                <w:sz w:val="18"/>
              </w:rPr>
              <w:t>Aspirin</w:t>
            </w:r>
          </w:p>
        </w:tc>
        <w:tc>
          <w:tcPr>
            <w:tcW w:w="1251" w:type="dxa"/>
          </w:tcPr>
          <w:p>
            <w:pPr>
              <w:pStyle w:val="TableParagraph"/>
              <w:spacing w:before="1"/>
              <w:ind w:left="4"/>
              <w:rPr>
                <w:sz w:val="18"/>
              </w:rPr>
            </w:pPr>
            <w:r>
              <w:rPr>
                <w:spacing w:val="-2"/>
                <w:sz w:val="18"/>
              </w:rPr>
              <w:t>Rivaroxaban</w:t>
            </w:r>
          </w:p>
        </w:tc>
        <w:tc>
          <w:tcPr>
            <w:tcW w:w="2036" w:type="dxa"/>
          </w:tcPr>
          <w:p>
            <w:pPr>
              <w:pStyle w:val="TableParagraph"/>
              <w:rPr>
                <w:rFonts w:ascii="Times New Roman"/>
                <w:sz w:val="16"/>
              </w:rPr>
            </w:pPr>
          </w:p>
        </w:tc>
        <w:tc>
          <w:tcPr>
            <w:tcW w:w="4326" w:type="dxa"/>
          </w:tcPr>
          <w:p>
            <w:pPr>
              <w:pStyle w:val="TableParagraph"/>
              <w:rPr>
                <w:rFonts w:ascii="Times New Roman"/>
                <w:sz w:val="16"/>
              </w:rPr>
            </w:pPr>
          </w:p>
        </w:tc>
      </w:tr>
      <w:tr>
        <w:trPr>
          <w:trHeight w:val="829" w:hRule="atLeast"/>
        </w:trPr>
        <w:tc>
          <w:tcPr>
            <w:tcW w:w="2149" w:type="dxa"/>
            <w:gridSpan w:val="2"/>
            <w:vMerge w:val="restart"/>
          </w:tcPr>
          <w:p>
            <w:pPr>
              <w:pStyle w:val="TableParagraph"/>
              <w:spacing w:line="278" w:lineRule="auto"/>
              <w:ind w:left="6" w:right="211"/>
              <w:rPr>
                <w:sz w:val="18"/>
              </w:rPr>
            </w:pPr>
            <w:r>
              <w:rPr>
                <w:sz w:val="18"/>
              </w:rPr>
              <w:t>Thrombotic</w:t>
            </w:r>
            <w:r>
              <w:rPr>
                <w:spacing w:val="-11"/>
                <w:sz w:val="18"/>
              </w:rPr>
              <w:t> </w:t>
            </w:r>
            <w:r>
              <w:rPr>
                <w:sz w:val="18"/>
              </w:rPr>
              <w:t>complications </w:t>
            </w:r>
            <w:r>
              <w:rPr>
                <w:spacing w:val="-2"/>
                <w:sz w:val="18"/>
              </w:rPr>
              <w:t>(critical)</w:t>
            </w:r>
          </w:p>
        </w:tc>
        <w:tc>
          <w:tcPr>
            <w:tcW w:w="3059" w:type="dxa"/>
            <w:vMerge w:val="restart"/>
          </w:tcPr>
          <w:p>
            <w:pPr>
              <w:pStyle w:val="TableParagraph"/>
              <w:spacing w:line="218" w:lineRule="exact"/>
              <w:ind w:left="6"/>
              <w:rPr>
                <w:b/>
                <w:sz w:val="18"/>
              </w:rPr>
            </w:pPr>
            <w:r>
              <w:rPr>
                <w:sz w:val="18"/>
              </w:rPr>
              <w:t>Relative</w:t>
            </w:r>
            <w:r>
              <w:rPr>
                <w:spacing w:val="-3"/>
                <w:sz w:val="18"/>
              </w:rPr>
              <w:t> </w:t>
            </w:r>
            <w:r>
              <w:rPr>
                <w:sz w:val="18"/>
              </w:rPr>
              <w:t>risk:</w:t>
            </w:r>
            <w:r>
              <w:rPr>
                <w:spacing w:val="-2"/>
                <w:sz w:val="18"/>
              </w:rPr>
              <w:t> </w:t>
            </w:r>
            <w:r>
              <w:rPr>
                <w:b/>
                <w:spacing w:val="-4"/>
                <w:sz w:val="18"/>
              </w:rPr>
              <w:t>3.76</w:t>
            </w:r>
          </w:p>
          <w:p>
            <w:pPr>
              <w:pStyle w:val="TableParagraph"/>
              <w:spacing w:before="195"/>
              <w:ind w:left="6"/>
              <w:rPr>
                <w:sz w:val="18"/>
              </w:rPr>
            </w:pPr>
            <w:r>
              <w:rPr>
                <w:sz w:val="18"/>
              </w:rPr>
              <w:t>(95%</w:t>
            </w:r>
            <w:r>
              <w:rPr>
                <w:spacing w:val="-1"/>
                <w:sz w:val="18"/>
              </w:rPr>
              <w:t> </w:t>
            </w:r>
            <w:r>
              <w:rPr>
                <w:sz w:val="18"/>
              </w:rPr>
              <w:t>CI 0.35 to </w:t>
            </w:r>
            <w:r>
              <w:rPr>
                <w:spacing w:val="-2"/>
                <w:sz w:val="18"/>
              </w:rPr>
              <w:t>40.04)</w:t>
            </w:r>
          </w:p>
          <w:p>
            <w:pPr>
              <w:pStyle w:val="TableParagraph"/>
              <w:rPr>
                <w:sz w:val="18"/>
              </w:rPr>
            </w:pPr>
          </w:p>
          <w:p>
            <w:pPr>
              <w:pStyle w:val="TableParagraph"/>
              <w:spacing w:before="171"/>
              <w:rPr>
                <w:sz w:val="18"/>
              </w:rPr>
            </w:pPr>
          </w:p>
          <w:p>
            <w:pPr>
              <w:pStyle w:val="TableParagraph"/>
              <w:spacing w:line="280" w:lineRule="auto"/>
              <w:ind w:left="6"/>
              <w:rPr>
                <w:sz w:val="18"/>
              </w:rPr>
            </w:pPr>
            <w:r>
              <w:rPr>
                <w:sz w:val="18"/>
              </w:rPr>
              <w:t>Based</w:t>
            </w:r>
            <w:r>
              <w:rPr>
                <w:spacing w:val="-6"/>
                <w:sz w:val="18"/>
              </w:rPr>
              <w:t> </w:t>
            </w:r>
            <w:r>
              <w:rPr>
                <w:sz w:val="18"/>
              </w:rPr>
              <w:t>on</w:t>
            </w:r>
            <w:r>
              <w:rPr>
                <w:spacing w:val="-6"/>
                <w:sz w:val="18"/>
              </w:rPr>
              <w:t> </w:t>
            </w:r>
            <w:r>
              <w:rPr>
                <w:sz w:val="18"/>
              </w:rPr>
              <w:t>data</w:t>
            </w:r>
            <w:r>
              <w:rPr>
                <w:spacing w:val="-6"/>
                <w:sz w:val="18"/>
              </w:rPr>
              <w:t> </w:t>
            </w:r>
            <w:r>
              <w:rPr>
                <w:sz w:val="18"/>
              </w:rPr>
              <w:t>from</w:t>
            </w:r>
            <w:r>
              <w:rPr>
                <w:spacing w:val="-5"/>
                <w:sz w:val="18"/>
              </w:rPr>
              <w:t> </w:t>
            </w:r>
            <w:r>
              <w:rPr>
                <w:sz w:val="18"/>
              </w:rPr>
              <w:t>98</w:t>
            </w:r>
            <w:r>
              <w:rPr>
                <w:spacing w:val="-5"/>
                <w:sz w:val="18"/>
              </w:rPr>
              <w:t> </w:t>
            </w:r>
            <w:r>
              <w:rPr>
                <w:sz w:val="18"/>
              </w:rPr>
              <w:t>participants</w:t>
            </w:r>
            <w:r>
              <w:rPr>
                <w:spacing w:val="-7"/>
                <w:sz w:val="18"/>
              </w:rPr>
              <w:t> </w:t>
            </w:r>
            <w:r>
              <w:rPr>
                <w:sz w:val="18"/>
              </w:rPr>
              <w:t>in</w:t>
            </w:r>
            <w:r>
              <w:rPr>
                <w:spacing w:val="-7"/>
                <w:sz w:val="18"/>
              </w:rPr>
              <w:t> </w:t>
            </w:r>
            <w:r>
              <w:rPr>
                <w:sz w:val="18"/>
              </w:rPr>
              <w:t>1 </w:t>
            </w:r>
            <w:r>
              <w:rPr>
                <w:spacing w:val="-2"/>
                <w:sz w:val="18"/>
              </w:rPr>
              <w:t>study</w:t>
            </w:r>
          </w:p>
          <w:p>
            <w:pPr>
              <w:pStyle w:val="TableParagraph"/>
              <w:spacing w:line="217" w:lineRule="exact"/>
              <w:ind w:left="6"/>
              <w:rPr>
                <w:sz w:val="18"/>
              </w:rPr>
            </w:pPr>
            <w:r>
              <w:rPr>
                <w:sz w:val="18"/>
              </w:rPr>
              <w:t>Follow-up:</w:t>
            </w:r>
            <w:r>
              <w:rPr>
                <w:spacing w:val="-3"/>
                <w:sz w:val="18"/>
              </w:rPr>
              <w:t> </w:t>
            </w:r>
            <w:r>
              <w:rPr>
                <w:sz w:val="18"/>
              </w:rPr>
              <w:t>12</w:t>
            </w:r>
            <w:r>
              <w:rPr>
                <w:spacing w:val="-2"/>
                <w:sz w:val="18"/>
              </w:rPr>
              <w:t> months</w:t>
            </w:r>
          </w:p>
        </w:tc>
        <w:tc>
          <w:tcPr>
            <w:tcW w:w="1129" w:type="dxa"/>
          </w:tcPr>
          <w:p>
            <w:pPr>
              <w:pStyle w:val="TableParagraph"/>
              <w:spacing w:line="218" w:lineRule="exact"/>
              <w:ind w:left="5"/>
              <w:rPr>
                <w:b/>
                <w:sz w:val="18"/>
              </w:rPr>
            </w:pPr>
            <w:r>
              <w:rPr>
                <w:b/>
                <w:spacing w:val="-10"/>
                <w:sz w:val="18"/>
              </w:rPr>
              <w:t>6</w:t>
            </w:r>
          </w:p>
          <w:p>
            <w:pPr>
              <w:pStyle w:val="TableParagraph"/>
              <w:spacing w:before="195"/>
              <w:ind w:left="5"/>
              <w:rPr>
                <w:sz w:val="18"/>
              </w:rPr>
            </w:pPr>
            <w:r>
              <w:rPr>
                <w:sz w:val="18"/>
              </w:rPr>
              <w:t>per</w:t>
            </w:r>
            <w:r>
              <w:rPr>
                <w:spacing w:val="-3"/>
                <w:sz w:val="18"/>
              </w:rPr>
              <w:t> </w:t>
            </w:r>
            <w:r>
              <w:rPr>
                <w:spacing w:val="-5"/>
                <w:sz w:val="18"/>
              </w:rPr>
              <w:t>100</w:t>
            </w:r>
          </w:p>
        </w:tc>
        <w:tc>
          <w:tcPr>
            <w:tcW w:w="1251" w:type="dxa"/>
          </w:tcPr>
          <w:p>
            <w:pPr>
              <w:pStyle w:val="TableParagraph"/>
              <w:spacing w:line="218" w:lineRule="exact"/>
              <w:ind w:left="4"/>
              <w:rPr>
                <w:b/>
                <w:sz w:val="18"/>
              </w:rPr>
            </w:pPr>
            <w:r>
              <w:rPr>
                <w:b/>
                <w:spacing w:val="-10"/>
                <w:sz w:val="18"/>
              </w:rPr>
              <w:t>2</w:t>
            </w:r>
          </w:p>
          <w:p>
            <w:pPr>
              <w:pStyle w:val="TableParagraph"/>
              <w:spacing w:before="195"/>
              <w:ind w:left="4"/>
              <w:rPr>
                <w:sz w:val="18"/>
              </w:rPr>
            </w:pPr>
            <w:r>
              <w:rPr>
                <w:sz w:val="18"/>
              </w:rPr>
              <w:t>per</w:t>
            </w:r>
            <w:r>
              <w:rPr>
                <w:spacing w:val="-3"/>
                <w:sz w:val="18"/>
              </w:rPr>
              <w:t> </w:t>
            </w:r>
            <w:r>
              <w:rPr>
                <w:spacing w:val="-5"/>
                <w:sz w:val="18"/>
              </w:rPr>
              <w:t>100</w:t>
            </w:r>
          </w:p>
        </w:tc>
        <w:tc>
          <w:tcPr>
            <w:tcW w:w="2036"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5"/>
              <w:rPr>
                <w:sz w:val="18"/>
              </w:rPr>
            </w:pPr>
          </w:p>
          <w:p>
            <w:pPr>
              <w:pStyle w:val="TableParagraph"/>
              <w:ind w:left="3"/>
              <w:rPr>
                <w:b/>
                <w:sz w:val="18"/>
              </w:rPr>
            </w:pPr>
            <w:r>
              <w:rPr>
                <w:b/>
                <w:sz w:val="18"/>
              </w:rPr>
              <w:t>Very</w:t>
            </w:r>
            <w:r>
              <w:rPr>
                <w:b/>
                <w:spacing w:val="-1"/>
                <w:sz w:val="18"/>
              </w:rPr>
              <w:t> </w:t>
            </w:r>
            <w:r>
              <w:rPr>
                <w:b/>
                <w:spacing w:val="-5"/>
                <w:sz w:val="18"/>
              </w:rPr>
              <w:t>low</w:t>
            </w:r>
          </w:p>
          <w:p>
            <w:pPr>
              <w:pStyle w:val="TableParagraph"/>
              <w:spacing w:line="278" w:lineRule="auto" w:before="38"/>
              <w:ind w:left="3" w:right="248"/>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before="1"/>
              <w:ind w:left="3"/>
              <w:rPr>
                <w:position w:val="5"/>
                <w:sz w:val="12"/>
              </w:rPr>
            </w:pPr>
            <w:r>
              <w:rPr>
                <w:sz w:val="18"/>
              </w:rPr>
              <w:t>serious</w:t>
            </w:r>
            <w:r>
              <w:rPr>
                <w:spacing w:val="-5"/>
                <w:sz w:val="18"/>
              </w:rPr>
              <w:t> </w:t>
            </w:r>
            <w:r>
              <w:rPr>
                <w:spacing w:val="-2"/>
                <w:sz w:val="18"/>
              </w:rPr>
              <w:t>imprecision</w:t>
            </w:r>
            <w:r>
              <w:rPr>
                <w:spacing w:val="-2"/>
                <w:position w:val="5"/>
                <w:sz w:val="12"/>
              </w:rPr>
              <w:t>4</w:t>
            </w:r>
          </w:p>
        </w:tc>
        <w:tc>
          <w:tcPr>
            <w:tcW w:w="4326"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5"/>
              <w:rPr>
                <w:sz w:val="18"/>
              </w:rPr>
            </w:pPr>
          </w:p>
          <w:p>
            <w:pPr>
              <w:pStyle w:val="TableParagraph"/>
              <w:spacing w:line="280" w:lineRule="auto"/>
              <w:ind w:left="3" w:right="19"/>
              <w:rPr>
                <w:sz w:val="18"/>
              </w:rPr>
            </w:pPr>
            <w:r>
              <w:rPr>
                <w:sz w:val="18"/>
              </w:rPr>
              <w:t>The</w:t>
            </w:r>
            <w:r>
              <w:rPr>
                <w:spacing w:val="-5"/>
                <w:sz w:val="18"/>
              </w:rPr>
              <w:t> </w:t>
            </w:r>
            <w:r>
              <w:rPr>
                <w:sz w:val="18"/>
              </w:rPr>
              <w:t>evidence</w:t>
            </w:r>
            <w:r>
              <w:rPr>
                <w:spacing w:val="-5"/>
                <w:sz w:val="18"/>
              </w:rPr>
              <w:t> </w:t>
            </w:r>
            <w:r>
              <w:rPr>
                <w:sz w:val="18"/>
              </w:rPr>
              <w:t>is</w:t>
            </w:r>
            <w:r>
              <w:rPr>
                <w:spacing w:val="-6"/>
                <w:sz w:val="18"/>
              </w:rPr>
              <w:t> </w:t>
            </w:r>
            <w:r>
              <w:rPr>
                <w:sz w:val="18"/>
              </w:rPr>
              <w:t>very</w:t>
            </w:r>
            <w:r>
              <w:rPr>
                <w:spacing w:val="-4"/>
                <w:sz w:val="18"/>
              </w:rPr>
              <w:t> </w:t>
            </w:r>
            <w:r>
              <w:rPr>
                <w:sz w:val="18"/>
              </w:rPr>
              <w:t>uncertain</w:t>
            </w:r>
            <w:r>
              <w:rPr>
                <w:spacing w:val="-6"/>
                <w:sz w:val="18"/>
              </w:rPr>
              <w:t> </w:t>
            </w:r>
            <w:r>
              <w:rPr>
                <w:sz w:val="18"/>
              </w:rPr>
              <w:t>about</w:t>
            </w:r>
            <w:r>
              <w:rPr>
                <w:spacing w:val="-4"/>
                <w:sz w:val="18"/>
              </w:rPr>
              <w:t> </w:t>
            </w:r>
            <w:r>
              <w:rPr>
                <w:sz w:val="18"/>
              </w:rPr>
              <w:t>the</w:t>
            </w:r>
            <w:r>
              <w:rPr>
                <w:spacing w:val="-5"/>
                <w:sz w:val="18"/>
              </w:rPr>
              <w:t> </w:t>
            </w:r>
            <w:r>
              <w:rPr>
                <w:sz w:val="18"/>
              </w:rPr>
              <w:t>effect</w:t>
            </w:r>
            <w:r>
              <w:rPr>
                <w:spacing w:val="-4"/>
                <w:sz w:val="18"/>
              </w:rPr>
              <w:t> </w:t>
            </w:r>
            <w:r>
              <w:rPr>
                <w:sz w:val="18"/>
              </w:rPr>
              <w:t>of</w:t>
            </w:r>
            <w:r>
              <w:rPr>
                <w:spacing w:val="-5"/>
                <w:sz w:val="18"/>
              </w:rPr>
              <w:t> </w:t>
            </w:r>
            <w:r>
              <w:rPr>
                <w:sz w:val="18"/>
              </w:rPr>
              <w:t>aspirin on thrombotic complications, when compared with rivaroxaban</w:t>
            </w:r>
            <w:r>
              <w:rPr>
                <w:spacing w:val="-1"/>
                <w:sz w:val="18"/>
              </w:rPr>
              <w:t> </w:t>
            </w:r>
            <w:r>
              <w:rPr>
                <w:sz w:val="18"/>
              </w:rPr>
              <w:t>in</w:t>
            </w:r>
            <w:r>
              <w:rPr>
                <w:spacing w:val="-2"/>
                <w:sz w:val="18"/>
              </w:rPr>
              <w:t> </w:t>
            </w:r>
            <w:r>
              <w:rPr>
                <w:sz w:val="18"/>
              </w:rPr>
              <w:t>children</w:t>
            </w:r>
            <w:r>
              <w:rPr>
                <w:spacing w:val="-1"/>
                <w:sz w:val="18"/>
              </w:rPr>
              <w:t> </w:t>
            </w:r>
            <w:r>
              <w:rPr>
                <w:sz w:val="18"/>
              </w:rPr>
              <w:t>with an</w:t>
            </w:r>
            <w:r>
              <w:rPr>
                <w:spacing w:val="-1"/>
                <w:sz w:val="18"/>
              </w:rPr>
              <w:t> </w:t>
            </w:r>
            <w:r>
              <w:rPr>
                <w:sz w:val="18"/>
              </w:rPr>
              <w:t>indication</w:t>
            </w:r>
            <w:r>
              <w:rPr>
                <w:spacing w:val="-1"/>
                <w:sz w:val="18"/>
              </w:rPr>
              <w:t> </w:t>
            </w:r>
            <w:r>
              <w:rPr>
                <w:sz w:val="18"/>
              </w:rPr>
              <w:t>for the</w:t>
            </w:r>
            <w:r>
              <w:rPr>
                <w:spacing w:val="-1"/>
                <w:sz w:val="18"/>
              </w:rPr>
              <w:t> </w:t>
            </w:r>
            <w:r>
              <w:rPr>
                <w:sz w:val="18"/>
              </w:rPr>
              <w:t>Fontan </w:t>
            </w:r>
            <w:r>
              <w:rPr>
                <w:spacing w:val="-2"/>
                <w:sz w:val="18"/>
              </w:rPr>
              <w:t>procedure</w:t>
            </w:r>
          </w:p>
          <w:p>
            <w:pPr>
              <w:pStyle w:val="TableParagraph"/>
              <w:rPr>
                <w:sz w:val="18"/>
              </w:rPr>
            </w:pPr>
          </w:p>
          <w:p>
            <w:pPr>
              <w:pStyle w:val="TableParagraph"/>
              <w:spacing w:before="131"/>
              <w:rPr>
                <w:sz w:val="18"/>
              </w:rPr>
            </w:pPr>
          </w:p>
          <w:p>
            <w:pPr>
              <w:pStyle w:val="TableParagraph"/>
              <w:spacing w:before="1"/>
              <w:ind w:left="3"/>
              <w:rPr>
                <w:sz w:val="18"/>
              </w:rPr>
            </w:pPr>
            <w:r>
              <w:rPr>
                <w:sz w:val="18"/>
              </w:rPr>
              <w:t>(McCrindle,</w:t>
            </w:r>
            <w:r>
              <w:rPr>
                <w:spacing w:val="-5"/>
                <w:sz w:val="18"/>
              </w:rPr>
              <w:t> </w:t>
            </w:r>
            <w:r>
              <w:rPr>
                <w:spacing w:val="-2"/>
                <w:sz w:val="18"/>
              </w:rPr>
              <w:t>2021)</w:t>
            </w:r>
          </w:p>
        </w:tc>
      </w:tr>
      <w:tr>
        <w:trPr>
          <w:trHeight w:val="2414" w:hRule="atLeast"/>
        </w:trPr>
        <w:tc>
          <w:tcPr>
            <w:tcW w:w="2149" w:type="dxa"/>
            <w:gridSpan w:val="2"/>
            <w:vMerge/>
            <w:tcBorders>
              <w:top w:val="nil"/>
            </w:tcBorders>
          </w:tcPr>
          <w:p>
            <w:pPr>
              <w:rPr>
                <w:sz w:val="2"/>
                <w:szCs w:val="2"/>
              </w:rPr>
            </w:pPr>
          </w:p>
        </w:tc>
        <w:tc>
          <w:tcPr>
            <w:tcW w:w="3059" w:type="dxa"/>
            <w:vMerge/>
            <w:tcBorders>
              <w:top w:val="nil"/>
            </w:tcBorders>
          </w:tcPr>
          <w:p>
            <w:pPr>
              <w:rPr>
                <w:sz w:val="2"/>
                <w:szCs w:val="2"/>
              </w:rPr>
            </w:pPr>
          </w:p>
        </w:tc>
        <w:tc>
          <w:tcPr>
            <w:tcW w:w="2380" w:type="dxa"/>
            <w:gridSpan w:val="2"/>
          </w:tcPr>
          <w:p>
            <w:pPr>
              <w:pStyle w:val="TableParagraph"/>
              <w:rPr>
                <w:sz w:val="18"/>
              </w:rPr>
            </w:pPr>
          </w:p>
          <w:p>
            <w:pPr>
              <w:pStyle w:val="TableParagraph"/>
              <w:rPr>
                <w:sz w:val="18"/>
              </w:rPr>
            </w:pPr>
          </w:p>
          <w:p>
            <w:pPr>
              <w:pStyle w:val="TableParagraph"/>
              <w:spacing w:before="172"/>
              <w:rPr>
                <w:sz w:val="18"/>
              </w:rPr>
            </w:pPr>
          </w:p>
          <w:p>
            <w:pPr>
              <w:pStyle w:val="TableParagraph"/>
              <w:spacing w:before="1"/>
              <w:ind w:left="5"/>
              <w:rPr>
                <w:b/>
                <w:sz w:val="18"/>
              </w:rPr>
            </w:pPr>
            <w:r>
              <w:rPr>
                <w:sz w:val="18"/>
              </w:rPr>
              <w:t>Difference:</w:t>
            </w:r>
            <w:r>
              <w:rPr>
                <w:spacing w:val="-2"/>
                <w:sz w:val="18"/>
              </w:rPr>
              <w:t> </w:t>
            </w:r>
            <w:r>
              <w:rPr>
                <w:b/>
                <w:sz w:val="18"/>
              </w:rPr>
              <w:t>4</w:t>
            </w:r>
            <w:r>
              <w:rPr>
                <w:b/>
                <w:spacing w:val="-2"/>
                <w:sz w:val="18"/>
              </w:rPr>
              <w:t> </w:t>
            </w:r>
            <w:r>
              <w:rPr>
                <w:b/>
                <w:sz w:val="18"/>
              </w:rPr>
              <w:t>more</w:t>
            </w:r>
            <w:r>
              <w:rPr>
                <w:b/>
                <w:spacing w:val="-2"/>
                <w:sz w:val="18"/>
              </w:rPr>
              <w:t> </w:t>
            </w:r>
            <w:r>
              <w:rPr>
                <w:b/>
                <w:sz w:val="18"/>
              </w:rPr>
              <w:t>per</w:t>
            </w:r>
            <w:r>
              <w:rPr>
                <w:b/>
                <w:spacing w:val="-1"/>
                <w:sz w:val="18"/>
              </w:rPr>
              <w:t> </w:t>
            </w:r>
            <w:r>
              <w:rPr>
                <w:b/>
                <w:spacing w:val="-5"/>
                <w:sz w:val="18"/>
              </w:rPr>
              <w:t>100</w:t>
            </w:r>
          </w:p>
          <w:p>
            <w:pPr>
              <w:pStyle w:val="TableParagraph"/>
              <w:spacing w:before="195"/>
              <w:ind w:left="5"/>
              <w:rPr>
                <w:sz w:val="18"/>
              </w:rPr>
            </w:pPr>
            <w:r>
              <w:rPr>
                <w:sz w:val="18"/>
              </w:rPr>
              <w:t>(95%</w:t>
            </w:r>
            <w:r>
              <w:rPr>
                <w:spacing w:val="-3"/>
                <w:sz w:val="18"/>
              </w:rPr>
              <w:t> </w:t>
            </w:r>
            <w:r>
              <w:rPr>
                <w:sz w:val="18"/>
              </w:rPr>
              <w:t>CI 4 fewer</w:t>
            </w:r>
            <w:r>
              <w:rPr>
                <w:spacing w:val="-1"/>
                <w:sz w:val="18"/>
              </w:rPr>
              <w:t> </w:t>
            </w:r>
            <w:r>
              <w:rPr>
                <w:sz w:val="18"/>
              </w:rPr>
              <w:t>to 13 </w:t>
            </w:r>
            <w:r>
              <w:rPr>
                <w:spacing w:val="-4"/>
                <w:sz w:val="18"/>
              </w:rPr>
              <w:t>more)</w:t>
            </w:r>
          </w:p>
        </w:tc>
        <w:tc>
          <w:tcPr>
            <w:tcW w:w="2036" w:type="dxa"/>
            <w:vMerge/>
            <w:tcBorders>
              <w:top w:val="nil"/>
            </w:tcBorders>
          </w:tcPr>
          <w:p>
            <w:pPr>
              <w:rPr>
                <w:sz w:val="2"/>
                <w:szCs w:val="2"/>
              </w:rPr>
            </w:pPr>
          </w:p>
        </w:tc>
        <w:tc>
          <w:tcPr>
            <w:tcW w:w="4326" w:type="dxa"/>
            <w:vMerge/>
            <w:tcBorders>
              <w:top w:val="nil"/>
            </w:tcBorders>
          </w:tcPr>
          <w:p>
            <w:pPr>
              <w:rPr>
                <w:sz w:val="2"/>
                <w:szCs w:val="2"/>
              </w:rPr>
            </w:pPr>
          </w:p>
        </w:tc>
      </w:tr>
      <w:tr>
        <w:trPr>
          <w:trHeight w:val="829" w:hRule="atLeast"/>
        </w:trPr>
        <w:tc>
          <w:tcPr>
            <w:tcW w:w="1143" w:type="dxa"/>
            <w:vMerge w:val="restart"/>
          </w:tcPr>
          <w:p>
            <w:pPr>
              <w:pStyle w:val="TableParagraph"/>
              <w:spacing w:line="280" w:lineRule="auto"/>
              <w:ind w:left="6" w:right="199"/>
              <w:rPr>
                <w:sz w:val="18"/>
              </w:rPr>
            </w:pPr>
            <w:r>
              <w:rPr>
                <w:spacing w:val="-2"/>
                <w:sz w:val="18"/>
              </w:rPr>
              <w:t>Hemorrhage</w:t>
            </w:r>
            <w:r>
              <w:rPr>
                <w:sz w:val="18"/>
              </w:rPr>
              <w:t> </w:t>
            </w:r>
            <w:r>
              <w:rPr>
                <w:spacing w:val="-2"/>
                <w:sz w:val="18"/>
              </w:rPr>
              <w:t>(important)</w:t>
            </w:r>
          </w:p>
        </w:tc>
        <w:tc>
          <w:tcPr>
            <w:tcW w:w="1006" w:type="dxa"/>
            <w:vMerge w:val="restart"/>
          </w:tcPr>
          <w:p>
            <w:pPr>
              <w:pStyle w:val="TableParagraph"/>
              <w:spacing w:line="280" w:lineRule="auto"/>
              <w:ind w:left="6" w:right="350"/>
              <w:rPr>
                <w:sz w:val="18"/>
              </w:rPr>
            </w:pPr>
            <w:r>
              <w:rPr>
                <w:spacing w:val="-2"/>
                <w:sz w:val="18"/>
              </w:rPr>
              <w:t>Major</w:t>
            </w:r>
            <w:r>
              <w:rPr>
                <w:sz w:val="18"/>
              </w:rPr>
              <w:t> </w:t>
            </w:r>
            <w:r>
              <w:rPr>
                <w:spacing w:val="-2"/>
                <w:sz w:val="18"/>
              </w:rPr>
              <w:t>bleeding</w:t>
            </w:r>
          </w:p>
        </w:tc>
        <w:tc>
          <w:tcPr>
            <w:tcW w:w="3059" w:type="dxa"/>
            <w:vMerge w:val="restart"/>
          </w:tcPr>
          <w:p>
            <w:pPr>
              <w:pStyle w:val="TableParagraph"/>
              <w:spacing w:line="218" w:lineRule="exact"/>
              <w:ind w:left="6"/>
              <w:rPr>
                <w:b/>
                <w:sz w:val="18"/>
              </w:rPr>
            </w:pPr>
            <w:r>
              <w:rPr>
                <w:sz w:val="18"/>
              </w:rPr>
              <w:t>Relative</w:t>
            </w:r>
            <w:r>
              <w:rPr>
                <w:spacing w:val="-3"/>
                <w:sz w:val="18"/>
              </w:rPr>
              <w:t> </w:t>
            </w:r>
            <w:r>
              <w:rPr>
                <w:sz w:val="18"/>
              </w:rPr>
              <w:t>risk:</w:t>
            </w:r>
            <w:r>
              <w:rPr>
                <w:spacing w:val="-2"/>
                <w:sz w:val="18"/>
              </w:rPr>
              <w:t> </w:t>
            </w:r>
            <w:r>
              <w:rPr>
                <w:b/>
                <w:spacing w:val="-4"/>
                <w:sz w:val="18"/>
              </w:rPr>
              <w:t>0.62</w:t>
            </w:r>
          </w:p>
          <w:p>
            <w:pPr>
              <w:pStyle w:val="TableParagraph"/>
              <w:spacing w:before="195"/>
              <w:ind w:left="6"/>
              <w:rPr>
                <w:sz w:val="18"/>
              </w:rPr>
            </w:pPr>
            <w:r>
              <w:rPr>
                <w:sz w:val="18"/>
              </w:rPr>
              <w:t>(95%</w:t>
            </w:r>
            <w:r>
              <w:rPr>
                <w:spacing w:val="-1"/>
                <w:sz w:val="18"/>
              </w:rPr>
              <w:t> </w:t>
            </w:r>
            <w:r>
              <w:rPr>
                <w:sz w:val="18"/>
              </w:rPr>
              <w:t>CI 0.03 to </w:t>
            </w:r>
            <w:r>
              <w:rPr>
                <w:spacing w:val="-2"/>
                <w:sz w:val="18"/>
              </w:rPr>
              <w:t>14.80)</w:t>
            </w:r>
          </w:p>
          <w:p>
            <w:pPr>
              <w:pStyle w:val="TableParagraph"/>
              <w:rPr>
                <w:sz w:val="18"/>
              </w:rPr>
            </w:pPr>
          </w:p>
          <w:p>
            <w:pPr>
              <w:pStyle w:val="TableParagraph"/>
              <w:spacing w:before="172"/>
              <w:rPr>
                <w:sz w:val="18"/>
              </w:rPr>
            </w:pPr>
          </w:p>
          <w:p>
            <w:pPr>
              <w:pStyle w:val="TableParagraph"/>
              <w:spacing w:line="280" w:lineRule="auto"/>
              <w:ind w:left="6"/>
              <w:rPr>
                <w:sz w:val="18"/>
              </w:rPr>
            </w:pPr>
            <w:r>
              <w:rPr>
                <w:sz w:val="18"/>
              </w:rPr>
              <w:t>Based</w:t>
            </w:r>
            <w:r>
              <w:rPr>
                <w:spacing w:val="-6"/>
                <w:sz w:val="18"/>
              </w:rPr>
              <w:t> </w:t>
            </w:r>
            <w:r>
              <w:rPr>
                <w:sz w:val="18"/>
              </w:rPr>
              <w:t>on</w:t>
            </w:r>
            <w:r>
              <w:rPr>
                <w:spacing w:val="-6"/>
                <w:sz w:val="18"/>
              </w:rPr>
              <w:t> </w:t>
            </w:r>
            <w:r>
              <w:rPr>
                <w:sz w:val="18"/>
              </w:rPr>
              <w:t>data</w:t>
            </w:r>
            <w:r>
              <w:rPr>
                <w:spacing w:val="-6"/>
                <w:sz w:val="18"/>
              </w:rPr>
              <w:t> </w:t>
            </w:r>
            <w:r>
              <w:rPr>
                <w:sz w:val="18"/>
              </w:rPr>
              <w:t>from</w:t>
            </w:r>
            <w:r>
              <w:rPr>
                <w:spacing w:val="-5"/>
                <w:sz w:val="18"/>
              </w:rPr>
              <w:t> </w:t>
            </w:r>
            <w:r>
              <w:rPr>
                <w:sz w:val="18"/>
              </w:rPr>
              <w:t>98</w:t>
            </w:r>
            <w:r>
              <w:rPr>
                <w:spacing w:val="-5"/>
                <w:sz w:val="18"/>
              </w:rPr>
              <w:t> </w:t>
            </w:r>
            <w:r>
              <w:rPr>
                <w:sz w:val="18"/>
              </w:rPr>
              <w:t>participants</w:t>
            </w:r>
            <w:r>
              <w:rPr>
                <w:spacing w:val="-7"/>
                <w:sz w:val="18"/>
              </w:rPr>
              <w:t> </w:t>
            </w:r>
            <w:r>
              <w:rPr>
                <w:sz w:val="18"/>
              </w:rPr>
              <w:t>in</w:t>
            </w:r>
            <w:r>
              <w:rPr>
                <w:spacing w:val="-7"/>
                <w:sz w:val="18"/>
              </w:rPr>
              <w:t> </w:t>
            </w:r>
            <w:r>
              <w:rPr>
                <w:sz w:val="18"/>
              </w:rPr>
              <w:t>1 </w:t>
            </w:r>
            <w:r>
              <w:rPr>
                <w:spacing w:val="-2"/>
                <w:sz w:val="18"/>
              </w:rPr>
              <w:t>study</w:t>
            </w:r>
          </w:p>
          <w:p>
            <w:pPr>
              <w:pStyle w:val="TableParagraph"/>
              <w:spacing w:line="217" w:lineRule="exact"/>
              <w:ind w:left="6"/>
              <w:rPr>
                <w:sz w:val="18"/>
              </w:rPr>
            </w:pPr>
            <w:r>
              <w:rPr>
                <w:sz w:val="18"/>
              </w:rPr>
              <w:t>Follow-up:</w:t>
            </w:r>
            <w:r>
              <w:rPr>
                <w:spacing w:val="-3"/>
                <w:sz w:val="18"/>
              </w:rPr>
              <w:t> </w:t>
            </w:r>
            <w:r>
              <w:rPr>
                <w:sz w:val="18"/>
              </w:rPr>
              <w:t>12</w:t>
            </w:r>
            <w:r>
              <w:rPr>
                <w:spacing w:val="-2"/>
                <w:sz w:val="18"/>
              </w:rPr>
              <w:t> months</w:t>
            </w:r>
          </w:p>
        </w:tc>
        <w:tc>
          <w:tcPr>
            <w:tcW w:w="1129" w:type="dxa"/>
          </w:tcPr>
          <w:p>
            <w:pPr>
              <w:pStyle w:val="TableParagraph"/>
              <w:spacing w:line="218" w:lineRule="exact"/>
              <w:ind w:left="5"/>
              <w:rPr>
                <w:b/>
                <w:sz w:val="18"/>
              </w:rPr>
            </w:pPr>
            <w:r>
              <w:rPr>
                <w:b/>
                <w:spacing w:val="-10"/>
                <w:sz w:val="18"/>
              </w:rPr>
              <w:t>0</w:t>
            </w:r>
          </w:p>
          <w:p>
            <w:pPr>
              <w:pStyle w:val="TableParagraph"/>
              <w:spacing w:before="195"/>
              <w:ind w:left="5"/>
              <w:rPr>
                <w:sz w:val="18"/>
              </w:rPr>
            </w:pPr>
            <w:r>
              <w:rPr>
                <w:sz w:val="18"/>
              </w:rPr>
              <w:t>per</w:t>
            </w:r>
            <w:r>
              <w:rPr>
                <w:spacing w:val="-3"/>
                <w:sz w:val="18"/>
              </w:rPr>
              <w:t> </w:t>
            </w:r>
            <w:r>
              <w:rPr>
                <w:spacing w:val="-5"/>
                <w:sz w:val="18"/>
              </w:rPr>
              <w:t>100</w:t>
            </w:r>
          </w:p>
        </w:tc>
        <w:tc>
          <w:tcPr>
            <w:tcW w:w="1251" w:type="dxa"/>
          </w:tcPr>
          <w:p>
            <w:pPr>
              <w:pStyle w:val="TableParagraph"/>
              <w:spacing w:line="218" w:lineRule="exact"/>
              <w:ind w:left="4"/>
              <w:rPr>
                <w:b/>
                <w:sz w:val="18"/>
              </w:rPr>
            </w:pPr>
            <w:r>
              <w:rPr>
                <w:b/>
                <w:spacing w:val="-10"/>
                <w:sz w:val="18"/>
              </w:rPr>
              <w:t>2</w:t>
            </w:r>
          </w:p>
          <w:p>
            <w:pPr>
              <w:pStyle w:val="TableParagraph"/>
              <w:spacing w:before="195"/>
              <w:ind w:left="4"/>
              <w:rPr>
                <w:sz w:val="18"/>
              </w:rPr>
            </w:pPr>
            <w:r>
              <w:rPr>
                <w:sz w:val="18"/>
              </w:rPr>
              <w:t>per</w:t>
            </w:r>
            <w:r>
              <w:rPr>
                <w:spacing w:val="-3"/>
                <w:sz w:val="18"/>
              </w:rPr>
              <w:t> </w:t>
            </w:r>
            <w:r>
              <w:rPr>
                <w:spacing w:val="-5"/>
                <w:sz w:val="18"/>
              </w:rPr>
              <w:t>100</w:t>
            </w:r>
          </w:p>
        </w:tc>
        <w:tc>
          <w:tcPr>
            <w:tcW w:w="2036"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6"/>
              <w:rPr>
                <w:sz w:val="18"/>
              </w:rPr>
            </w:pPr>
          </w:p>
          <w:p>
            <w:pPr>
              <w:pStyle w:val="TableParagraph"/>
              <w:ind w:left="3"/>
              <w:rPr>
                <w:b/>
                <w:sz w:val="18"/>
              </w:rPr>
            </w:pPr>
            <w:r>
              <w:rPr>
                <w:b/>
                <w:sz w:val="18"/>
              </w:rPr>
              <w:t>Very</w:t>
            </w:r>
            <w:r>
              <w:rPr>
                <w:b/>
                <w:spacing w:val="-1"/>
                <w:sz w:val="18"/>
              </w:rPr>
              <w:t> </w:t>
            </w:r>
            <w:r>
              <w:rPr>
                <w:b/>
                <w:spacing w:val="-5"/>
                <w:sz w:val="18"/>
              </w:rPr>
              <w:t>low</w:t>
            </w:r>
          </w:p>
          <w:p>
            <w:pPr>
              <w:pStyle w:val="TableParagraph"/>
              <w:spacing w:line="278" w:lineRule="auto" w:before="37"/>
              <w:ind w:left="3" w:right="248"/>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before="1"/>
              <w:ind w:left="3"/>
              <w:rPr>
                <w:position w:val="5"/>
                <w:sz w:val="12"/>
              </w:rPr>
            </w:pPr>
            <w:r>
              <w:rPr>
                <w:sz w:val="18"/>
              </w:rPr>
              <w:t>serious</w:t>
            </w:r>
            <w:r>
              <w:rPr>
                <w:spacing w:val="-5"/>
                <w:sz w:val="18"/>
              </w:rPr>
              <w:t> </w:t>
            </w:r>
            <w:r>
              <w:rPr>
                <w:spacing w:val="-2"/>
                <w:sz w:val="18"/>
              </w:rPr>
              <w:t>imprecision</w:t>
            </w:r>
            <w:r>
              <w:rPr>
                <w:spacing w:val="-2"/>
                <w:position w:val="5"/>
                <w:sz w:val="12"/>
              </w:rPr>
              <w:t>5</w:t>
            </w:r>
          </w:p>
        </w:tc>
        <w:tc>
          <w:tcPr>
            <w:tcW w:w="4326"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6"/>
              <w:rPr>
                <w:sz w:val="18"/>
              </w:rPr>
            </w:pPr>
          </w:p>
          <w:p>
            <w:pPr>
              <w:pStyle w:val="TableParagraph"/>
              <w:spacing w:line="278" w:lineRule="auto"/>
              <w:ind w:left="3" w:right="19"/>
              <w:rPr>
                <w:sz w:val="18"/>
              </w:rPr>
            </w:pPr>
            <w:r>
              <w:rPr>
                <w:sz w:val="18"/>
              </w:rPr>
              <w:t>The</w:t>
            </w:r>
            <w:r>
              <w:rPr>
                <w:spacing w:val="-5"/>
                <w:sz w:val="18"/>
              </w:rPr>
              <w:t> </w:t>
            </w:r>
            <w:r>
              <w:rPr>
                <w:sz w:val="18"/>
              </w:rPr>
              <w:t>evidence</w:t>
            </w:r>
            <w:r>
              <w:rPr>
                <w:spacing w:val="-5"/>
                <w:sz w:val="18"/>
              </w:rPr>
              <w:t> </w:t>
            </w:r>
            <w:r>
              <w:rPr>
                <w:sz w:val="18"/>
              </w:rPr>
              <w:t>is</w:t>
            </w:r>
            <w:r>
              <w:rPr>
                <w:spacing w:val="-6"/>
                <w:sz w:val="18"/>
              </w:rPr>
              <w:t> </w:t>
            </w:r>
            <w:r>
              <w:rPr>
                <w:sz w:val="18"/>
              </w:rPr>
              <w:t>very</w:t>
            </w:r>
            <w:r>
              <w:rPr>
                <w:spacing w:val="-4"/>
                <w:sz w:val="18"/>
              </w:rPr>
              <w:t> </w:t>
            </w:r>
            <w:r>
              <w:rPr>
                <w:sz w:val="18"/>
              </w:rPr>
              <w:t>uncertain</w:t>
            </w:r>
            <w:r>
              <w:rPr>
                <w:spacing w:val="-6"/>
                <w:sz w:val="18"/>
              </w:rPr>
              <w:t> </w:t>
            </w:r>
            <w:r>
              <w:rPr>
                <w:sz w:val="18"/>
              </w:rPr>
              <w:t>about</w:t>
            </w:r>
            <w:r>
              <w:rPr>
                <w:spacing w:val="-4"/>
                <w:sz w:val="18"/>
              </w:rPr>
              <w:t> </w:t>
            </w:r>
            <w:r>
              <w:rPr>
                <w:sz w:val="18"/>
              </w:rPr>
              <w:t>the</w:t>
            </w:r>
            <w:r>
              <w:rPr>
                <w:spacing w:val="-5"/>
                <w:sz w:val="18"/>
              </w:rPr>
              <w:t> </w:t>
            </w:r>
            <w:r>
              <w:rPr>
                <w:sz w:val="18"/>
              </w:rPr>
              <w:t>effect</w:t>
            </w:r>
            <w:r>
              <w:rPr>
                <w:spacing w:val="-4"/>
                <w:sz w:val="18"/>
              </w:rPr>
              <w:t> </w:t>
            </w:r>
            <w:r>
              <w:rPr>
                <w:sz w:val="18"/>
              </w:rPr>
              <w:t>of</w:t>
            </w:r>
            <w:r>
              <w:rPr>
                <w:spacing w:val="-5"/>
                <w:sz w:val="18"/>
              </w:rPr>
              <w:t> </w:t>
            </w:r>
            <w:r>
              <w:rPr>
                <w:sz w:val="18"/>
              </w:rPr>
              <w:t>aspirin on major bleeding, when compared with rivaroxaban in children with an indication for the Fontan procedure</w:t>
            </w:r>
          </w:p>
          <w:p>
            <w:pPr>
              <w:pStyle w:val="TableParagraph"/>
              <w:rPr>
                <w:sz w:val="18"/>
              </w:rPr>
            </w:pPr>
          </w:p>
          <w:p>
            <w:pPr>
              <w:pStyle w:val="TableParagraph"/>
              <w:spacing w:before="137"/>
              <w:rPr>
                <w:sz w:val="18"/>
              </w:rPr>
            </w:pPr>
          </w:p>
          <w:p>
            <w:pPr>
              <w:pStyle w:val="TableParagraph"/>
              <w:ind w:left="3"/>
              <w:rPr>
                <w:sz w:val="18"/>
              </w:rPr>
            </w:pPr>
            <w:r>
              <w:rPr>
                <w:sz w:val="18"/>
              </w:rPr>
              <w:t>(McCrindle,</w:t>
            </w:r>
            <w:r>
              <w:rPr>
                <w:spacing w:val="-5"/>
                <w:sz w:val="18"/>
              </w:rPr>
              <w:t> </w:t>
            </w:r>
            <w:r>
              <w:rPr>
                <w:spacing w:val="-2"/>
                <w:sz w:val="18"/>
              </w:rPr>
              <w:t>2021)</w:t>
            </w:r>
          </w:p>
        </w:tc>
      </w:tr>
      <w:tr>
        <w:trPr>
          <w:trHeight w:val="2159" w:hRule="atLeast"/>
        </w:trPr>
        <w:tc>
          <w:tcPr>
            <w:tcW w:w="1143" w:type="dxa"/>
            <w:vMerge/>
            <w:tcBorders>
              <w:top w:val="nil"/>
            </w:tcBorders>
          </w:tcPr>
          <w:p>
            <w:pPr>
              <w:rPr>
                <w:sz w:val="2"/>
                <w:szCs w:val="2"/>
              </w:rPr>
            </w:pPr>
          </w:p>
        </w:tc>
        <w:tc>
          <w:tcPr>
            <w:tcW w:w="1006" w:type="dxa"/>
            <w:vMerge/>
            <w:tcBorders>
              <w:top w:val="nil"/>
            </w:tcBorders>
          </w:tcPr>
          <w:p>
            <w:pPr>
              <w:rPr>
                <w:sz w:val="2"/>
                <w:szCs w:val="2"/>
              </w:rPr>
            </w:pPr>
          </w:p>
        </w:tc>
        <w:tc>
          <w:tcPr>
            <w:tcW w:w="3059" w:type="dxa"/>
            <w:vMerge/>
            <w:tcBorders>
              <w:top w:val="nil"/>
            </w:tcBorders>
          </w:tcPr>
          <w:p>
            <w:pPr>
              <w:rPr>
                <w:sz w:val="2"/>
                <w:szCs w:val="2"/>
              </w:rPr>
            </w:pPr>
          </w:p>
        </w:tc>
        <w:tc>
          <w:tcPr>
            <w:tcW w:w="2380" w:type="dxa"/>
            <w:gridSpan w:val="2"/>
          </w:tcPr>
          <w:p>
            <w:pPr>
              <w:pStyle w:val="TableParagraph"/>
              <w:rPr>
                <w:sz w:val="18"/>
              </w:rPr>
            </w:pPr>
          </w:p>
          <w:p>
            <w:pPr>
              <w:pStyle w:val="TableParagraph"/>
              <w:rPr>
                <w:sz w:val="18"/>
              </w:rPr>
            </w:pPr>
          </w:p>
          <w:p>
            <w:pPr>
              <w:pStyle w:val="TableParagraph"/>
              <w:spacing w:before="172"/>
              <w:rPr>
                <w:sz w:val="18"/>
              </w:rPr>
            </w:pPr>
          </w:p>
          <w:p>
            <w:pPr>
              <w:pStyle w:val="TableParagraph"/>
              <w:ind w:left="5"/>
              <w:rPr>
                <w:b/>
                <w:sz w:val="18"/>
              </w:rPr>
            </w:pPr>
            <w:r>
              <w:rPr>
                <w:sz w:val="18"/>
              </w:rPr>
              <w:t>Difference:</w:t>
            </w:r>
            <w:r>
              <w:rPr>
                <w:spacing w:val="-3"/>
                <w:sz w:val="18"/>
              </w:rPr>
              <w:t> </w:t>
            </w:r>
            <w:r>
              <w:rPr>
                <w:b/>
                <w:sz w:val="18"/>
              </w:rPr>
              <w:t>2</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96"/>
              <w:ind w:left="5"/>
              <w:rPr>
                <w:sz w:val="18"/>
              </w:rPr>
            </w:pPr>
            <w:r>
              <w:rPr>
                <w:sz w:val="18"/>
              </w:rPr>
              <w:t>(95%</w:t>
            </w:r>
            <w:r>
              <w:rPr>
                <w:spacing w:val="-3"/>
                <w:sz w:val="18"/>
              </w:rPr>
              <w:t> </w:t>
            </w:r>
            <w:r>
              <w:rPr>
                <w:sz w:val="18"/>
              </w:rPr>
              <w:t>CI 7 fewer</w:t>
            </w:r>
            <w:r>
              <w:rPr>
                <w:spacing w:val="-1"/>
                <w:sz w:val="18"/>
              </w:rPr>
              <w:t> </w:t>
            </w:r>
            <w:r>
              <w:rPr>
                <w:sz w:val="18"/>
              </w:rPr>
              <w:t>to 4 </w:t>
            </w:r>
            <w:r>
              <w:rPr>
                <w:spacing w:val="-4"/>
                <w:sz w:val="18"/>
              </w:rPr>
              <w:t>more)</w:t>
            </w:r>
          </w:p>
        </w:tc>
        <w:tc>
          <w:tcPr>
            <w:tcW w:w="2036" w:type="dxa"/>
            <w:vMerge/>
            <w:tcBorders>
              <w:top w:val="nil"/>
            </w:tcBorders>
          </w:tcPr>
          <w:p>
            <w:pPr>
              <w:rPr>
                <w:sz w:val="2"/>
                <w:szCs w:val="2"/>
              </w:rPr>
            </w:pPr>
          </w:p>
        </w:tc>
        <w:tc>
          <w:tcPr>
            <w:tcW w:w="4326" w:type="dxa"/>
            <w:vMerge/>
            <w:tcBorders>
              <w:top w:val="nil"/>
            </w:tcBorders>
          </w:tcPr>
          <w:p>
            <w:pPr>
              <w:rPr>
                <w:sz w:val="2"/>
                <w:szCs w:val="2"/>
              </w:rPr>
            </w:pPr>
          </w:p>
        </w:tc>
      </w:tr>
      <w:tr>
        <w:trPr>
          <w:trHeight w:val="830" w:hRule="atLeast"/>
        </w:trPr>
        <w:tc>
          <w:tcPr>
            <w:tcW w:w="1143" w:type="dxa"/>
            <w:vMerge/>
            <w:tcBorders>
              <w:top w:val="nil"/>
            </w:tcBorders>
          </w:tcPr>
          <w:p>
            <w:pPr>
              <w:rPr>
                <w:sz w:val="2"/>
                <w:szCs w:val="2"/>
              </w:rPr>
            </w:pPr>
          </w:p>
        </w:tc>
        <w:tc>
          <w:tcPr>
            <w:tcW w:w="1006" w:type="dxa"/>
            <w:vMerge w:val="restart"/>
          </w:tcPr>
          <w:p>
            <w:pPr>
              <w:pStyle w:val="TableParagraph"/>
              <w:spacing w:line="278" w:lineRule="auto"/>
              <w:ind w:left="6" w:right="266"/>
              <w:rPr>
                <w:sz w:val="18"/>
              </w:rPr>
            </w:pPr>
            <w:r>
              <w:rPr>
                <w:spacing w:val="-2"/>
                <w:sz w:val="18"/>
              </w:rPr>
              <w:t>Clinically</w:t>
            </w:r>
            <w:r>
              <w:rPr>
                <w:sz w:val="18"/>
              </w:rPr>
              <w:t> </w:t>
            </w:r>
            <w:r>
              <w:rPr>
                <w:spacing w:val="-2"/>
                <w:sz w:val="18"/>
              </w:rPr>
              <w:t>relevant</w:t>
            </w:r>
            <w:r>
              <w:rPr>
                <w:sz w:val="18"/>
              </w:rPr>
              <w:t> </w:t>
            </w:r>
            <w:r>
              <w:rPr>
                <w:spacing w:val="-2"/>
                <w:sz w:val="18"/>
              </w:rPr>
              <w:t>nonmajor</w:t>
            </w:r>
            <w:r>
              <w:rPr>
                <w:sz w:val="18"/>
              </w:rPr>
              <w:t> </w:t>
            </w:r>
            <w:r>
              <w:rPr>
                <w:spacing w:val="-2"/>
                <w:sz w:val="18"/>
              </w:rPr>
              <w:t>bleeding</w:t>
            </w:r>
          </w:p>
        </w:tc>
        <w:tc>
          <w:tcPr>
            <w:tcW w:w="3059" w:type="dxa"/>
            <w:vMerge w:val="restart"/>
          </w:tcPr>
          <w:p>
            <w:pPr>
              <w:pStyle w:val="TableParagraph"/>
              <w:spacing w:line="218" w:lineRule="exact"/>
              <w:ind w:left="6"/>
              <w:rPr>
                <w:b/>
                <w:sz w:val="18"/>
              </w:rPr>
            </w:pPr>
            <w:r>
              <w:rPr>
                <w:sz w:val="18"/>
              </w:rPr>
              <w:t>Relative</w:t>
            </w:r>
            <w:r>
              <w:rPr>
                <w:spacing w:val="-3"/>
                <w:sz w:val="18"/>
              </w:rPr>
              <w:t> </w:t>
            </w:r>
            <w:r>
              <w:rPr>
                <w:sz w:val="18"/>
              </w:rPr>
              <w:t>risk:</w:t>
            </w:r>
            <w:r>
              <w:rPr>
                <w:spacing w:val="-2"/>
                <w:sz w:val="18"/>
              </w:rPr>
              <w:t> </w:t>
            </w:r>
            <w:r>
              <w:rPr>
                <w:b/>
                <w:spacing w:val="-4"/>
                <w:sz w:val="18"/>
              </w:rPr>
              <w:t>1.41</w:t>
            </w:r>
          </w:p>
          <w:p>
            <w:pPr>
              <w:pStyle w:val="TableParagraph"/>
              <w:spacing w:before="195"/>
              <w:ind w:left="6"/>
              <w:rPr>
                <w:sz w:val="18"/>
              </w:rPr>
            </w:pPr>
            <w:r>
              <w:rPr>
                <w:sz w:val="18"/>
              </w:rPr>
              <w:t>(95%</w:t>
            </w:r>
            <w:r>
              <w:rPr>
                <w:spacing w:val="-1"/>
                <w:sz w:val="18"/>
              </w:rPr>
              <w:t> </w:t>
            </w:r>
            <w:r>
              <w:rPr>
                <w:sz w:val="18"/>
              </w:rPr>
              <w:t>CI 0.34 to </w:t>
            </w:r>
            <w:r>
              <w:rPr>
                <w:spacing w:val="-4"/>
                <w:sz w:val="18"/>
              </w:rPr>
              <w:t>5.95)</w:t>
            </w:r>
          </w:p>
        </w:tc>
        <w:tc>
          <w:tcPr>
            <w:tcW w:w="1129" w:type="dxa"/>
          </w:tcPr>
          <w:p>
            <w:pPr>
              <w:pStyle w:val="TableParagraph"/>
              <w:spacing w:line="218" w:lineRule="exact"/>
              <w:ind w:left="5"/>
              <w:rPr>
                <w:b/>
                <w:sz w:val="18"/>
              </w:rPr>
            </w:pPr>
            <w:r>
              <w:rPr>
                <w:b/>
                <w:spacing w:val="-10"/>
                <w:sz w:val="18"/>
              </w:rPr>
              <w:t>9</w:t>
            </w:r>
          </w:p>
          <w:p>
            <w:pPr>
              <w:pStyle w:val="TableParagraph"/>
              <w:spacing w:before="195"/>
              <w:ind w:left="5"/>
              <w:rPr>
                <w:sz w:val="18"/>
              </w:rPr>
            </w:pPr>
            <w:r>
              <w:rPr>
                <w:sz w:val="18"/>
              </w:rPr>
              <w:t>per</w:t>
            </w:r>
            <w:r>
              <w:rPr>
                <w:spacing w:val="-3"/>
                <w:sz w:val="18"/>
              </w:rPr>
              <w:t> </w:t>
            </w:r>
            <w:r>
              <w:rPr>
                <w:spacing w:val="-5"/>
                <w:sz w:val="18"/>
              </w:rPr>
              <w:t>100</w:t>
            </w:r>
          </w:p>
        </w:tc>
        <w:tc>
          <w:tcPr>
            <w:tcW w:w="1251" w:type="dxa"/>
          </w:tcPr>
          <w:p>
            <w:pPr>
              <w:pStyle w:val="TableParagraph"/>
              <w:spacing w:line="218" w:lineRule="exact"/>
              <w:ind w:left="4"/>
              <w:rPr>
                <w:b/>
                <w:sz w:val="18"/>
              </w:rPr>
            </w:pPr>
            <w:r>
              <w:rPr>
                <w:b/>
                <w:spacing w:val="-10"/>
                <w:sz w:val="18"/>
              </w:rPr>
              <w:t>6</w:t>
            </w:r>
          </w:p>
          <w:p>
            <w:pPr>
              <w:pStyle w:val="TableParagraph"/>
              <w:spacing w:before="195"/>
              <w:ind w:left="4"/>
              <w:rPr>
                <w:sz w:val="18"/>
              </w:rPr>
            </w:pPr>
            <w:r>
              <w:rPr>
                <w:sz w:val="18"/>
              </w:rPr>
              <w:t>per</w:t>
            </w:r>
            <w:r>
              <w:rPr>
                <w:spacing w:val="-3"/>
                <w:sz w:val="18"/>
              </w:rPr>
              <w:t> </w:t>
            </w:r>
            <w:r>
              <w:rPr>
                <w:spacing w:val="-5"/>
                <w:sz w:val="18"/>
              </w:rPr>
              <w:t>100</w:t>
            </w:r>
          </w:p>
        </w:tc>
        <w:tc>
          <w:tcPr>
            <w:tcW w:w="2036" w:type="dxa"/>
            <w:vMerge w:val="restart"/>
          </w:tcPr>
          <w:p>
            <w:pPr>
              <w:pStyle w:val="TableParagraph"/>
              <w:rPr>
                <w:sz w:val="18"/>
              </w:rPr>
            </w:pPr>
          </w:p>
          <w:p>
            <w:pPr>
              <w:pStyle w:val="TableParagraph"/>
              <w:rPr>
                <w:sz w:val="18"/>
              </w:rPr>
            </w:pPr>
          </w:p>
          <w:p>
            <w:pPr>
              <w:pStyle w:val="TableParagraph"/>
              <w:rPr>
                <w:sz w:val="18"/>
              </w:rPr>
            </w:pPr>
          </w:p>
          <w:p>
            <w:pPr>
              <w:pStyle w:val="TableParagraph"/>
              <w:spacing w:before="205"/>
              <w:rPr>
                <w:sz w:val="18"/>
              </w:rPr>
            </w:pPr>
          </w:p>
          <w:p>
            <w:pPr>
              <w:pStyle w:val="TableParagraph"/>
              <w:ind w:left="3"/>
              <w:rPr>
                <w:b/>
                <w:sz w:val="18"/>
              </w:rPr>
            </w:pPr>
            <w:r>
              <w:rPr>
                <w:b/>
                <w:sz w:val="18"/>
              </w:rPr>
              <w:t>Very</w:t>
            </w:r>
            <w:r>
              <w:rPr>
                <w:b/>
                <w:spacing w:val="-1"/>
                <w:sz w:val="18"/>
              </w:rPr>
              <w:t> </w:t>
            </w:r>
            <w:r>
              <w:rPr>
                <w:b/>
                <w:spacing w:val="-5"/>
                <w:sz w:val="18"/>
              </w:rPr>
              <w:t>low</w:t>
            </w:r>
          </w:p>
          <w:p>
            <w:pPr>
              <w:pStyle w:val="TableParagraph"/>
              <w:spacing w:before="37"/>
              <w:ind w:left="3"/>
              <w:rPr>
                <w:sz w:val="18"/>
              </w:rPr>
            </w:pPr>
            <w:r>
              <w:rPr>
                <w:sz w:val="18"/>
              </w:rPr>
              <w:t>Due</w:t>
            </w:r>
            <w:r>
              <w:rPr>
                <w:spacing w:val="-3"/>
                <w:sz w:val="18"/>
              </w:rPr>
              <w:t> </w:t>
            </w:r>
            <w:r>
              <w:rPr>
                <w:sz w:val="18"/>
              </w:rPr>
              <w:t>to</w:t>
            </w:r>
            <w:r>
              <w:rPr>
                <w:spacing w:val="-1"/>
                <w:sz w:val="18"/>
              </w:rPr>
              <w:t> </w:t>
            </w:r>
            <w:r>
              <w:rPr>
                <w:sz w:val="18"/>
              </w:rPr>
              <w:t>risk</w:t>
            </w:r>
            <w:r>
              <w:rPr>
                <w:spacing w:val="-1"/>
                <w:sz w:val="18"/>
              </w:rPr>
              <w:t> </w:t>
            </w:r>
            <w:r>
              <w:rPr>
                <w:sz w:val="18"/>
              </w:rPr>
              <w:t>of</w:t>
            </w:r>
            <w:r>
              <w:rPr>
                <w:spacing w:val="-2"/>
                <w:sz w:val="18"/>
              </w:rPr>
              <w:t> </w:t>
            </w:r>
            <w:r>
              <w:rPr>
                <w:sz w:val="18"/>
              </w:rPr>
              <w:t>bias,</w:t>
            </w:r>
            <w:r>
              <w:rPr>
                <w:spacing w:val="-1"/>
                <w:sz w:val="18"/>
              </w:rPr>
              <w:t> </w:t>
            </w:r>
            <w:r>
              <w:rPr>
                <w:spacing w:val="-5"/>
                <w:sz w:val="18"/>
              </w:rPr>
              <w:t>due</w:t>
            </w:r>
          </w:p>
        </w:tc>
        <w:tc>
          <w:tcPr>
            <w:tcW w:w="4326"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5"/>
              <w:rPr>
                <w:sz w:val="18"/>
              </w:rPr>
            </w:pPr>
          </w:p>
          <w:p>
            <w:pPr>
              <w:pStyle w:val="TableParagraph"/>
              <w:spacing w:line="250" w:lineRule="atLeast" w:before="1"/>
              <w:ind w:left="3" w:right="19"/>
              <w:rPr>
                <w:sz w:val="18"/>
              </w:rPr>
            </w:pPr>
            <w:r>
              <w:rPr>
                <w:sz w:val="18"/>
              </w:rPr>
              <w:t>The</w:t>
            </w:r>
            <w:r>
              <w:rPr>
                <w:spacing w:val="-1"/>
                <w:sz w:val="18"/>
              </w:rPr>
              <w:t> </w:t>
            </w:r>
            <w:r>
              <w:rPr>
                <w:sz w:val="18"/>
              </w:rPr>
              <w:t>evidence</w:t>
            </w:r>
            <w:r>
              <w:rPr>
                <w:spacing w:val="-1"/>
                <w:sz w:val="18"/>
              </w:rPr>
              <w:t> </w:t>
            </w:r>
            <w:r>
              <w:rPr>
                <w:sz w:val="18"/>
              </w:rPr>
              <w:t>is</w:t>
            </w:r>
            <w:r>
              <w:rPr>
                <w:spacing w:val="-2"/>
                <w:sz w:val="18"/>
              </w:rPr>
              <w:t> </w:t>
            </w:r>
            <w:r>
              <w:rPr>
                <w:sz w:val="18"/>
              </w:rPr>
              <w:t>very uncertain</w:t>
            </w:r>
            <w:r>
              <w:rPr>
                <w:spacing w:val="-2"/>
                <w:sz w:val="18"/>
              </w:rPr>
              <w:t> </w:t>
            </w:r>
            <w:r>
              <w:rPr>
                <w:sz w:val="18"/>
              </w:rPr>
              <w:t>about the</w:t>
            </w:r>
            <w:r>
              <w:rPr>
                <w:spacing w:val="-1"/>
                <w:sz w:val="18"/>
              </w:rPr>
              <w:t> </w:t>
            </w:r>
            <w:r>
              <w:rPr>
                <w:sz w:val="18"/>
              </w:rPr>
              <w:t>effect of</w:t>
            </w:r>
            <w:r>
              <w:rPr>
                <w:spacing w:val="-1"/>
                <w:sz w:val="18"/>
              </w:rPr>
              <w:t> </w:t>
            </w:r>
            <w:r>
              <w:rPr>
                <w:sz w:val="18"/>
              </w:rPr>
              <w:t>aspirin on</w:t>
            </w:r>
            <w:r>
              <w:rPr>
                <w:spacing w:val="-8"/>
                <w:sz w:val="18"/>
              </w:rPr>
              <w:t> </w:t>
            </w:r>
            <w:r>
              <w:rPr>
                <w:sz w:val="18"/>
              </w:rPr>
              <w:t>clinically</w:t>
            </w:r>
            <w:r>
              <w:rPr>
                <w:spacing w:val="-7"/>
                <w:sz w:val="18"/>
              </w:rPr>
              <w:t> </w:t>
            </w:r>
            <w:r>
              <w:rPr>
                <w:sz w:val="18"/>
              </w:rPr>
              <w:t>relevant</w:t>
            </w:r>
            <w:r>
              <w:rPr>
                <w:spacing w:val="-8"/>
                <w:sz w:val="18"/>
              </w:rPr>
              <w:t> </w:t>
            </w:r>
            <w:r>
              <w:rPr>
                <w:sz w:val="18"/>
              </w:rPr>
              <w:t>nonmajor</w:t>
            </w:r>
            <w:r>
              <w:rPr>
                <w:spacing w:val="-7"/>
                <w:sz w:val="18"/>
              </w:rPr>
              <w:t> </w:t>
            </w:r>
            <w:r>
              <w:rPr>
                <w:sz w:val="18"/>
              </w:rPr>
              <w:t>bleeding,</w:t>
            </w:r>
            <w:r>
              <w:rPr>
                <w:spacing w:val="-7"/>
                <w:sz w:val="18"/>
              </w:rPr>
              <w:t> </w:t>
            </w:r>
            <w:r>
              <w:rPr>
                <w:sz w:val="18"/>
              </w:rPr>
              <w:t>when</w:t>
            </w:r>
            <w:r>
              <w:rPr>
                <w:spacing w:val="-8"/>
                <w:sz w:val="18"/>
              </w:rPr>
              <w:t> </w:t>
            </w:r>
            <w:r>
              <w:rPr>
                <w:sz w:val="18"/>
              </w:rPr>
              <w:t>compared</w:t>
            </w:r>
          </w:p>
        </w:tc>
      </w:tr>
      <w:tr>
        <w:trPr>
          <w:trHeight w:val="911" w:hRule="atLeast"/>
        </w:trPr>
        <w:tc>
          <w:tcPr>
            <w:tcW w:w="1143" w:type="dxa"/>
            <w:vMerge/>
            <w:tcBorders>
              <w:top w:val="nil"/>
            </w:tcBorders>
          </w:tcPr>
          <w:p>
            <w:pPr>
              <w:rPr>
                <w:sz w:val="2"/>
                <w:szCs w:val="2"/>
              </w:rPr>
            </w:pPr>
          </w:p>
        </w:tc>
        <w:tc>
          <w:tcPr>
            <w:tcW w:w="1006" w:type="dxa"/>
            <w:vMerge/>
            <w:tcBorders>
              <w:top w:val="nil"/>
            </w:tcBorders>
          </w:tcPr>
          <w:p>
            <w:pPr>
              <w:rPr>
                <w:sz w:val="2"/>
                <w:szCs w:val="2"/>
              </w:rPr>
            </w:pPr>
          </w:p>
        </w:tc>
        <w:tc>
          <w:tcPr>
            <w:tcW w:w="3059" w:type="dxa"/>
            <w:vMerge/>
            <w:tcBorders>
              <w:top w:val="nil"/>
            </w:tcBorders>
          </w:tcPr>
          <w:p>
            <w:pPr>
              <w:rPr>
                <w:sz w:val="2"/>
                <w:szCs w:val="2"/>
              </w:rPr>
            </w:pPr>
          </w:p>
        </w:tc>
        <w:tc>
          <w:tcPr>
            <w:tcW w:w="2380" w:type="dxa"/>
            <w:gridSpan w:val="2"/>
          </w:tcPr>
          <w:p>
            <w:pPr>
              <w:pStyle w:val="TableParagraph"/>
              <w:spacing w:before="194"/>
              <w:rPr>
                <w:sz w:val="18"/>
              </w:rPr>
            </w:pPr>
          </w:p>
          <w:p>
            <w:pPr>
              <w:pStyle w:val="TableParagraph"/>
              <w:ind w:left="5"/>
              <w:rPr>
                <w:b/>
                <w:sz w:val="18"/>
              </w:rPr>
            </w:pPr>
            <w:r>
              <w:rPr>
                <w:sz w:val="18"/>
              </w:rPr>
              <w:t>Difference:</w:t>
            </w:r>
            <w:r>
              <w:rPr>
                <w:spacing w:val="-3"/>
                <w:sz w:val="18"/>
              </w:rPr>
              <w:t> </w:t>
            </w:r>
            <w:r>
              <w:rPr>
                <w:b/>
                <w:sz w:val="18"/>
              </w:rPr>
              <w:t>3</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tc>
        <w:tc>
          <w:tcPr>
            <w:tcW w:w="2036" w:type="dxa"/>
            <w:vMerge/>
            <w:tcBorders>
              <w:top w:val="nil"/>
            </w:tcBorders>
          </w:tcPr>
          <w:p>
            <w:pPr>
              <w:rPr>
                <w:sz w:val="2"/>
                <w:szCs w:val="2"/>
              </w:rPr>
            </w:pPr>
          </w:p>
        </w:tc>
        <w:tc>
          <w:tcPr>
            <w:tcW w:w="4326" w:type="dxa"/>
            <w:vMerge/>
            <w:tcBorders>
              <w:top w:val="nil"/>
            </w:tcBorders>
          </w:tcPr>
          <w:p>
            <w:pPr>
              <w:rPr>
                <w:sz w:val="2"/>
                <w:szCs w:val="2"/>
              </w:rPr>
            </w:pPr>
          </w:p>
        </w:tc>
      </w:tr>
    </w:tbl>
    <w:p>
      <w:pPr>
        <w:spacing w:after="0"/>
        <w:rPr>
          <w:sz w:val="2"/>
          <w:szCs w:val="2"/>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43"/>
        <w:gridCol w:w="1006"/>
        <w:gridCol w:w="3059"/>
        <w:gridCol w:w="1129"/>
        <w:gridCol w:w="1251"/>
        <w:gridCol w:w="2036"/>
        <w:gridCol w:w="4326"/>
      </w:tblGrid>
      <w:tr>
        <w:trPr>
          <w:trHeight w:val="1501" w:hRule="atLeast"/>
        </w:trPr>
        <w:tc>
          <w:tcPr>
            <w:tcW w:w="1143" w:type="dxa"/>
            <w:vMerge w:val="restart"/>
          </w:tcPr>
          <w:p>
            <w:pPr>
              <w:pStyle w:val="TableParagraph"/>
              <w:rPr>
                <w:rFonts w:ascii="Times New Roman"/>
                <w:sz w:val="16"/>
              </w:rPr>
            </w:pPr>
          </w:p>
        </w:tc>
        <w:tc>
          <w:tcPr>
            <w:tcW w:w="1006" w:type="dxa"/>
          </w:tcPr>
          <w:p>
            <w:pPr>
              <w:pStyle w:val="TableParagraph"/>
              <w:rPr>
                <w:rFonts w:ascii="Times New Roman"/>
                <w:sz w:val="16"/>
              </w:rPr>
            </w:pPr>
          </w:p>
        </w:tc>
        <w:tc>
          <w:tcPr>
            <w:tcW w:w="3059" w:type="dxa"/>
          </w:tcPr>
          <w:p>
            <w:pPr>
              <w:pStyle w:val="TableParagraph"/>
              <w:spacing w:line="280" w:lineRule="auto"/>
              <w:ind w:left="6"/>
              <w:rPr>
                <w:sz w:val="18"/>
              </w:rPr>
            </w:pPr>
            <w:r>
              <w:rPr>
                <w:sz w:val="18"/>
              </w:rPr>
              <w:t>Based</w:t>
            </w:r>
            <w:r>
              <w:rPr>
                <w:spacing w:val="-6"/>
                <w:sz w:val="18"/>
              </w:rPr>
              <w:t> </w:t>
            </w:r>
            <w:r>
              <w:rPr>
                <w:sz w:val="18"/>
              </w:rPr>
              <w:t>on</w:t>
            </w:r>
            <w:r>
              <w:rPr>
                <w:spacing w:val="-6"/>
                <w:sz w:val="18"/>
              </w:rPr>
              <w:t> </w:t>
            </w:r>
            <w:r>
              <w:rPr>
                <w:sz w:val="18"/>
              </w:rPr>
              <w:t>data</w:t>
            </w:r>
            <w:r>
              <w:rPr>
                <w:spacing w:val="-6"/>
                <w:sz w:val="18"/>
              </w:rPr>
              <w:t> </w:t>
            </w:r>
            <w:r>
              <w:rPr>
                <w:sz w:val="18"/>
              </w:rPr>
              <w:t>from</w:t>
            </w:r>
            <w:r>
              <w:rPr>
                <w:spacing w:val="-5"/>
                <w:sz w:val="18"/>
              </w:rPr>
              <w:t> </w:t>
            </w:r>
            <w:r>
              <w:rPr>
                <w:sz w:val="18"/>
              </w:rPr>
              <w:t>98</w:t>
            </w:r>
            <w:r>
              <w:rPr>
                <w:spacing w:val="-5"/>
                <w:sz w:val="18"/>
              </w:rPr>
              <w:t> </w:t>
            </w:r>
            <w:r>
              <w:rPr>
                <w:sz w:val="18"/>
              </w:rPr>
              <w:t>participants</w:t>
            </w:r>
            <w:r>
              <w:rPr>
                <w:spacing w:val="-7"/>
                <w:sz w:val="18"/>
              </w:rPr>
              <w:t> </w:t>
            </w:r>
            <w:r>
              <w:rPr>
                <w:sz w:val="18"/>
              </w:rPr>
              <w:t>in</w:t>
            </w:r>
            <w:r>
              <w:rPr>
                <w:spacing w:val="-7"/>
                <w:sz w:val="18"/>
              </w:rPr>
              <w:t> </w:t>
            </w:r>
            <w:r>
              <w:rPr>
                <w:sz w:val="18"/>
              </w:rPr>
              <w:t>1 </w:t>
            </w:r>
            <w:r>
              <w:rPr>
                <w:spacing w:val="-2"/>
                <w:sz w:val="18"/>
              </w:rPr>
              <w:t>study</w:t>
            </w:r>
          </w:p>
          <w:p>
            <w:pPr>
              <w:pStyle w:val="TableParagraph"/>
              <w:spacing w:line="217" w:lineRule="exact"/>
              <w:ind w:left="6"/>
              <w:rPr>
                <w:sz w:val="18"/>
              </w:rPr>
            </w:pPr>
            <w:r>
              <w:rPr>
                <w:sz w:val="18"/>
              </w:rPr>
              <w:t>Follow-up:</w:t>
            </w:r>
            <w:r>
              <w:rPr>
                <w:spacing w:val="-3"/>
                <w:sz w:val="18"/>
              </w:rPr>
              <w:t> </w:t>
            </w:r>
            <w:r>
              <w:rPr>
                <w:sz w:val="18"/>
              </w:rPr>
              <w:t>12</w:t>
            </w:r>
            <w:r>
              <w:rPr>
                <w:spacing w:val="-2"/>
                <w:sz w:val="18"/>
              </w:rPr>
              <w:t> months</w:t>
            </w:r>
          </w:p>
        </w:tc>
        <w:tc>
          <w:tcPr>
            <w:tcW w:w="2380" w:type="dxa"/>
            <w:gridSpan w:val="2"/>
          </w:tcPr>
          <w:p>
            <w:pPr>
              <w:pStyle w:val="TableParagraph"/>
              <w:spacing w:line="218" w:lineRule="exact"/>
              <w:ind w:left="5"/>
              <w:rPr>
                <w:sz w:val="18"/>
              </w:rPr>
            </w:pPr>
            <w:r>
              <w:rPr>
                <w:sz w:val="18"/>
              </w:rPr>
              <w:t>(95%</w:t>
            </w:r>
            <w:r>
              <w:rPr>
                <w:spacing w:val="-3"/>
                <w:sz w:val="18"/>
              </w:rPr>
              <w:t> </w:t>
            </w:r>
            <w:r>
              <w:rPr>
                <w:sz w:val="18"/>
              </w:rPr>
              <w:t>CI 9 fewer</w:t>
            </w:r>
            <w:r>
              <w:rPr>
                <w:spacing w:val="-1"/>
                <w:sz w:val="18"/>
              </w:rPr>
              <w:t> </w:t>
            </w:r>
            <w:r>
              <w:rPr>
                <w:sz w:val="18"/>
              </w:rPr>
              <w:t>to 14 </w:t>
            </w:r>
            <w:r>
              <w:rPr>
                <w:spacing w:val="-4"/>
                <w:sz w:val="18"/>
              </w:rPr>
              <w:t>more)</w:t>
            </w:r>
          </w:p>
        </w:tc>
        <w:tc>
          <w:tcPr>
            <w:tcW w:w="2036" w:type="dxa"/>
          </w:tcPr>
          <w:p>
            <w:pPr>
              <w:pStyle w:val="TableParagraph"/>
              <w:spacing w:line="218" w:lineRule="exact"/>
              <w:ind w:left="3"/>
              <w:rPr>
                <w:sz w:val="18"/>
              </w:rPr>
            </w:pPr>
            <w:r>
              <w:rPr>
                <w:sz w:val="18"/>
              </w:rPr>
              <w:t>to </w:t>
            </w:r>
            <w:r>
              <w:rPr>
                <w:spacing w:val="-4"/>
                <w:sz w:val="18"/>
              </w:rPr>
              <w:t>very</w:t>
            </w:r>
          </w:p>
          <w:p>
            <w:pPr>
              <w:pStyle w:val="TableParagraph"/>
              <w:spacing w:before="37"/>
              <w:ind w:left="3"/>
              <w:rPr>
                <w:position w:val="5"/>
                <w:sz w:val="12"/>
              </w:rPr>
            </w:pPr>
            <w:r>
              <w:rPr>
                <w:sz w:val="18"/>
              </w:rPr>
              <w:t>serious</w:t>
            </w:r>
            <w:r>
              <w:rPr>
                <w:spacing w:val="-5"/>
                <w:sz w:val="18"/>
              </w:rPr>
              <w:t> </w:t>
            </w:r>
            <w:r>
              <w:rPr>
                <w:spacing w:val="-2"/>
                <w:sz w:val="18"/>
              </w:rPr>
              <w:t>imprecision</w:t>
            </w:r>
            <w:r>
              <w:rPr>
                <w:spacing w:val="-2"/>
                <w:position w:val="5"/>
                <w:sz w:val="12"/>
              </w:rPr>
              <w:t>6</w:t>
            </w:r>
          </w:p>
        </w:tc>
        <w:tc>
          <w:tcPr>
            <w:tcW w:w="4326" w:type="dxa"/>
          </w:tcPr>
          <w:p>
            <w:pPr>
              <w:pStyle w:val="TableParagraph"/>
              <w:spacing w:line="280" w:lineRule="auto"/>
              <w:ind w:left="3" w:right="19"/>
              <w:rPr>
                <w:sz w:val="18"/>
              </w:rPr>
            </w:pPr>
            <w:r>
              <w:rPr>
                <w:sz w:val="18"/>
              </w:rPr>
              <w:t>with</w:t>
            </w:r>
            <w:r>
              <w:rPr>
                <w:spacing w:val="-6"/>
                <w:sz w:val="18"/>
              </w:rPr>
              <w:t> </w:t>
            </w:r>
            <w:r>
              <w:rPr>
                <w:sz w:val="18"/>
              </w:rPr>
              <w:t>rivaroxaban</w:t>
            </w:r>
            <w:r>
              <w:rPr>
                <w:spacing w:val="-6"/>
                <w:sz w:val="18"/>
              </w:rPr>
              <w:t> </w:t>
            </w:r>
            <w:r>
              <w:rPr>
                <w:sz w:val="18"/>
              </w:rPr>
              <w:t>in</w:t>
            </w:r>
            <w:r>
              <w:rPr>
                <w:spacing w:val="-6"/>
                <w:sz w:val="18"/>
              </w:rPr>
              <w:t> </w:t>
            </w:r>
            <w:r>
              <w:rPr>
                <w:sz w:val="18"/>
              </w:rPr>
              <w:t>children</w:t>
            </w:r>
            <w:r>
              <w:rPr>
                <w:spacing w:val="-6"/>
                <w:sz w:val="18"/>
              </w:rPr>
              <w:t> </w:t>
            </w:r>
            <w:r>
              <w:rPr>
                <w:sz w:val="18"/>
              </w:rPr>
              <w:t>with</w:t>
            </w:r>
            <w:r>
              <w:rPr>
                <w:spacing w:val="-2"/>
                <w:sz w:val="18"/>
              </w:rPr>
              <w:t> </w:t>
            </w:r>
            <w:r>
              <w:rPr>
                <w:sz w:val="18"/>
              </w:rPr>
              <w:t>an</w:t>
            </w:r>
            <w:r>
              <w:rPr>
                <w:spacing w:val="-6"/>
                <w:sz w:val="18"/>
              </w:rPr>
              <w:t> </w:t>
            </w:r>
            <w:r>
              <w:rPr>
                <w:sz w:val="18"/>
              </w:rPr>
              <w:t>indication</w:t>
            </w:r>
            <w:r>
              <w:rPr>
                <w:spacing w:val="-6"/>
                <w:sz w:val="18"/>
              </w:rPr>
              <w:t> </w:t>
            </w:r>
            <w:r>
              <w:rPr>
                <w:sz w:val="18"/>
              </w:rPr>
              <w:t>for</w:t>
            </w:r>
            <w:r>
              <w:rPr>
                <w:spacing w:val="-5"/>
                <w:sz w:val="18"/>
              </w:rPr>
              <w:t> </w:t>
            </w:r>
            <w:r>
              <w:rPr>
                <w:sz w:val="18"/>
              </w:rPr>
              <w:t>the Fontan</w:t>
            </w:r>
            <w:r>
              <w:rPr>
                <w:spacing w:val="-4"/>
                <w:sz w:val="18"/>
              </w:rPr>
              <w:t> </w:t>
            </w:r>
            <w:r>
              <w:rPr>
                <w:sz w:val="18"/>
              </w:rPr>
              <w:t>procedure</w:t>
            </w:r>
          </w:p>
          <w:p>
            <w:pPr>
              <w:pStyle w:val="TableParagraph"/>
              <w:rPr>
                <w:sz w:val="18"/>
              </w:rPr>
            </w:pPr>
          </w:p>
          <w:p>
            <w:pPr>
              <w:pStyle w:val="TableParagraph"/>
              <w:spacing w:before="132"/>
              <w:rPr>
                <w:sz w:val="18"/>
              </w:rPr>
            </w:pPr>
          </w:p>
          <w:p>
            <w:pPr>
              <w:pStyle w:val="TableParagraph"/>
              <w:ind w:left="3"/>
              <w:rPr>
                <w:sz w:val="18"/>
              </w:rPr>
            </w:pPr>
            <w:r>
              <w:rPr>
                <w:sz w:val="18"/>
              </w:rPr>
              <w:t>(McCrindle,</w:t>
            </w:r>
            <w:r>
              <w:rPr>
                <w:spacing w:val="-5"/>
                <w:sz w:val="18"/>
              </w:rPr>
              <w:t> </w:t>
            </w:r>
            <w:r>
              <w:rPr>
                <w:spacing w:val="-2"/>
                <w:sz w:val="18"/>
              </w:rPr>
              <w:t>2021)</w:t>
            </w:r>
          </w:p>
        </w:tc>
      </w:tr>
      <w:tr>
        <w:trPr>
          <w:trHeight w:val="829" w:hRule="atLeast"/>
        </w:trPr>
        <w:tc>
          <w:tcPr>
            <w:tcW w:w="1143" w:type="dxa"/>
            <w:vMerge/>
            <w:tcBorders>
              <w:top w:val="nil"/>
            </w:tcBorders>
          </w:tcPr>
          <w:p>
            <w:pPr>
              <w:rPr>
                <w:sz w:val="2"/>
                <w:szCs w:val="2"/>
              </w:rPr>
            </w:pPr>
          </w:p>
        </w:tc>
        <w:tc>
          <w:tcPr>
            <w:tcW w:w="1006" w:type="dxa"/>
            <w:vMerge w:val="restart"/>
          </w:tcPr>
          <w:p>
            <w:pPr>
              <w:pStyle w:val="TableParagraph"/>
              <w:spacing w:line="280" w:lineRule="auto"/>
              <w:ind w:left="6" w:right="350"/>
              <w:rPr>
                <w:sz w:val="18"/>
              </w:rPr>
            </w:pPr>
            <w:r>
              <w:rPr>
                <w:spacing w:val="-2"/>
                <w:sz w:val="18"/>
              </w:rPr>
              <w:t>Trivial</w:t>
            </w:r>
            <w:r>
              <w:rPr>
                <w:sz w:val="18"/>
              </w:rPr>
              <w:t> </w:t>
            </w:r>
            <w:r>
              <w:rPr>
                <w:spacing w:val="-2"/>
                <w:sz w:val="18"/>
              </w:rPr>
              <w:t>bleeding</w:t>
            </w:r>
          </w:p>
        </w:tc>
        <w:tc>
          <w:tcPr>
            <w:tcW w:w="3059" w:type="dxa"/>
            <w:vMerge w:val="restart"/>
          </w:tcPr>
          <w:p>
            <w:pPr>
              <w:pStyle w:val="TableParagraph"/>
              <w:spacing w:line="218" w:lineRule="exact"/>
              <w:ind w:left="6"/>
              <w:rPr>
                <w:b/>
                <w:sz w:val="18"/>
              </w:rPr>
            </w:pPr>
            <w:r>
              <w:rPr>
                <w:sz w:val="18"/>
              </w:rPr>
              <w:t>Relative</w:t>
            </w:r>
            <w:r>
              <w:rPr>
                <w:spacing w:val="-3"/>
                <w:sz w:val="18"/>
              </w:rPr>
              <w:t> </w:t>
            </w:r>
            <w:r>
              <w:rPr>
                <w:sz w:val="18"/>
              </w:rPr>
              <w:t>risk:</w:t>
            </w:r>
            <w:r>
              <w:rPr>
                <w:spacing w:val="-2"/>
                <w:sz w:val="18"/>
              </w:rPr>
              <w:t> </w:t>
            </w:r>
            <w:r>
              <w:rPr>
                <w:b/>
                <w:spacing w:val="-4"/>
                <w:sz w:val="18"/>
              </w:rPr>
              <w:t>1.08</w:t>
            </w:r>
          </w:p>
          <w:p>
            <w:pPr>
              <w:pStyle w:val="TableParagraph"/>
              <w:spacing w:before="195"/>
              <w:ind w:left="6"/>
              <w:rPr>
                <w:sz w:val="18"/>
              </w:rPr>
            </w:pPr>
            <w:r>
              <w:rPr>
                <w:sz w:val="18"/>
              </w:rPr>
              <w:t>(95%</w:t>
            </w:r>
            <w:r>
              <w:rPr>
                <w:spacing w:val="-1"/>
                <w:sz w:val="18"/>
              </w:rPr>
              <w:t> </w:t>
            </w:r>
            <w:r>
              <w:rPr>
                <w:sz w:val="18"/>
              </w:rPr>
              <w:t>CI 0.61 to </w:t>
            </w:r>
            <w:r>
              <w:rPr>
                <w:spacing w:val="-4"/>
                <w:sz w:val="18"/>
              </w:rPr>
              <w:t>1.91)</w:t>
            </w:r>
          </w:p>
          <w:p>
            <w:pPr>
              <w:pStyle w:val="TableParagraph"/>
              <w:rPr>
                <w:sz w:val="18"/>
              </w:rPr>
            </w:pPr>
          </w:p>
          <w:p>
            <w:pPr>
              <w:pStyle w:val="TableParagraph"/>
              <w:spacing w:before="174"/>
              <w:rPr>
                <w:sz w:val="18"/>
              </w:rPr>
            </w:pPr>
          </w:p>
          <w:p>
            <w:pPr>
              <w:pStyle w:val="TableParagraph"/>
              <w:spacing w:line="278" w:lineRule="auto"/>
              <w:ind w:left="6"/>
              <w:rPr>
                <w:sz w:val="18"/>
              </w:rPr>
            </w:pPr>
            <w:r>
              <w:rPr>
                <w:sz w:val="18"/>
              </w:rPr>
              <w:t>Based</w:t>
            </w:r>
            <w:r>
              <w:rPr>
                <w:spacing w:val="-6"/>
                <w:sz w:val="18"/>
              </w:rPr>
              <w:t> </w:t>
            </w:r>
            <w:r>
              <w:rPr>
                <w:sz w:val="18"/>
              </w:rPr>
              <w:t>on</w:t>
            </w:r>
            <w:r>
              <w:rPr>
                <w:spacing w:val="-6"/>
                <w:sz w:val="18"/>
              </w:rPr>
              <w:t> </w:t>
            </w:r>
            <w:r>
              <w:rPr>
                <w:sz w:val="18"/>
              </w:rPr>
              <w:t>data</w:t>
            </w:r>
            <w:r>
              <w:rPr>
                <w:spacing w:val="-6"/>
                <w:sz w:val="18"/>
              </w:rPr>
              <w:t> </w:t>
            </w:r>
            <w:r>
              <w:rPr>
                <w:sz w:val="18"/>
              </w:rPr>
              <w:t>from</w:t>
            </w:r>
            <w:r>
              <w:rPr>
                <w:spacing w:val="-5"/>
                <w:sz w:val="18"/>
              </w:rPr>
              <w:t> </w:t>
            </w:r>
            <w:r>
              <w:rPr>
                <w:sz w:val="18"/>
              </w:rPr>
              <w:t>98</w:t>
            </w:r>
            <w:r>
              <w:rPr>
                <w:spacing w:val="-5"/>
                <w:sz w:val="18"/>
              </w:rPr>
              <w:t> </w:t>
            </w:r>
            <w:r>
              <w:rPr>
                <w:sz w:val="18"/>
              </w:rPr>
              <w:t>participants</w:t>
            </w:r>
            <w:r>
              <w:rPr>
                <w:spacing w:val="-7"/>
                <w:sz w:val="18"/>
              </w:rPr>
              <w:t> </w:t>
            </w:r>
            <w:r>
              <w:rPr>
                <w:sz w:val="18"/>
              </w:rPr>
              <w:t>in</w:t>
            </w:r>
            <w:r>
              <w:rPr>
                <w:spacing w:val="-7"/>
                <w:sz w:val="18"/>
              </w:rPr>
              <w:t> </w:t>
            </w:r>
            <w:r>
              <w:rPr>
                <w:sz w:val="18"/>
              </w:rPr>
              <w:t>1 </w:t>
            </w:r>
            <w:r>
              <w:rPr>
                <w:spacing w:val="-2"/>
                <w:sz w:val="18"/>
              </w:rPr>
              <w:t>study</w:t>
            </w:r>
          </w:p>
          <w:p>
            <w:pPr>
              <w:pStyle w:val="TableParagraph"/>
              <w:spacing w:line="219" w:lineRule="exact"/>
              <w:ind w:left="6"/>
              <w:rPr>
                <w:sz w:val="18"/>
              </w:rPr>
            </w:pPr>
            <w:r>
              <w:rPr>
                <w:sz w:val="18"/>
              </w:rPr>
              <w:t>Follow-up:</w:t>
            </w:r>
            <w:r>
              <w:rPr>
                <w:spacing w:val="-3"/>
                <w:sz w:val="18"/>
              </w:rPr>
              <w:t> </w:t>
            </w:r>
            <w:r>
              <w:rPr>
                <w:sz w:val="18"/>
              </w:rPr>
              <w:t>12</w:t>
            </w:r>
            <w:r>
              <w:rPr>
                <w:spacing w:val="-2"/>
                <w:sz w:val="18"/>
              </w:rPr>
              <w:t> months</w:t>
            </w:r>
          </w:p>
        </w:tc>
        <w:tc>
          <w:tcPr>
            <w:tcW w:w="1129" w:type="dxa"/>
          </w:tcPr>
          <w:p>
            <w:pPr>
              <w:pStyle w:val="TableParagraph"/>
              <w:spacing w:line="218" w:lineRule="exact"/>
              <w:ind w:left="5"/>
              <w:rPr>
                <w:b/>
                <w:sz w:val="18"/>
              </w:rPr>
            </w:pPr>
            <w:r>
              <w:rPr>
                <w:b/>
                <w:spacing w:val="-5"/>
                <w:sz w:val="18"/>
              </w:rPr>
              <w:t>35</w:t>
            </w:r>
          </w:p>
          <w:p>
            <w:pPr>
              <w:pStyle w:val="TableParagraph"/>
              <w:spacing w:before="195"/>
              <w:ind w:left="5"/>
              <w:rPr>
                <w:sz w:val="18"/>
              </w:rPr>
            </w:pPr>
            <w:r>
              <w:rPr>
                <w:sz w:val="18"/>
              </w:rPr>
              <w:t>per</w:t>
            </w:r>
            <w:r>
              <w:rPr>
                <w:spacing w:val="-3"/>
                <w:sz w:val="18"/>
              </w:rPr>
              <w:t> </w:t>
            </w:r>
            <w:r>
              <w:rPr>
                <w:spacing w:val="-5"/>
                <w:sz w:val="18"/>
              </w:rPr>
              <w:t>100</w:t>
            </w:r>
          </w:p>
        </w:tc>
        <w:tc>
          <w:tcPr>
            <w:tcW w:w="1251" w:type="dxa"/>
          </w:tcPr>
          <w:p>
            <w:pPr>
              <w:pStyle w:val="TableParagraph"/>
              <w:spacing w:line="218" w:lineRule="exact"/>
              <w:ind w:left="4"/>
              <w:rPr>
                <w:b/>
                <w:sz w:val="18"/>
              </w:rPr>
            </w:pPr>
            <w:r>
              <w:rPr>
                <w:b/>
                <w:spacing w:val="-5"/>
                <w:sz w:val="18"/>
              </w:rPr>
              <w:t>33</w:t>
            </w:r>
          </w:p>
          <w:p>
            <w:pPr>
              <w:pStyle w:val="TableParagraph"/>
              <w:spacing w:before="195"/>
              <w:ind w:left="4"/>
              <w:rPr>
                <w:sz w:val="18"/>
              </w:rPr>
            </w:pPr>
            <w:r>
              <w:rPr>
                <w:sz w:val="18"/>
              </w:rPr>
              <w:t>per</w:t>
            </w:r>
            <w:r>
              <w:rPr>
                <w:spacing w:val="-3"/>
                <w:sz w:val="18"/>
              </w:rPr>
              <w:t> </w:t>
            </w:r>
            <w:r>
              <w:rPr>
                <w:spacing w:val="-5"/>
                <w:sz w:val="18"/>
              </w:rPr>
              <w:t>100</w:t>
            </w:r>
          </w:p>
        </w:tc>
        <w:tc>
          <w:tcPr>
            <w:tcW w:w="2036"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ind w:left="3"/>
              <w:rPr>
                <w:b/>
                <w:sz w:val="18"/>
              </w:rPr>
            </w:pPr>
            <w:r>
              <w:rPr>
                <w:b/>
                <w:sz w:val="18"/>
              </w:rPr>
              <w:t>Very</w:t>
            </w:r>
            <w:r>
              <w:rPr>
                <w:b/>
                <w:spacing w:val="-1"/>
                <w:sz w:val="18"/>
              </w:rPr>
              <w:t> </w:t>
            </w:r>
            <w:r>
              <w:rPr>
                <w:b/>
                <w:spacing w:val="-5"/>
                <w:sz w:val="18"/>
              </w:rPr>
              <w:t>low</w:t>
            </w:r>
          </w:p>
          <w:p>
            <w:pPr>
              <w:pStyle w:val="TableParagraph"/>
              <w:spacing w:line="278" w:lineRule="auto" w:before="35"/>
              <w:ind w:left="3" w:right="248"/>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7"/>
                <w:sz w:val="18"/>
              </w:rPr>
              <w:t> </w:t>
            </w:r>
            <w:r>
              <w:rPr>
                <w:sz w:val="18"/>
              </w:rPr>
              <w:t>bias,</w:t>
            </w:r>
            <w:r>
              <w:rPr>
                <w:spacing w:val="-8"/>
                <w:sz w:val="18"/>
              </w:rPr>
              <w:t> </w:t>
            </w:r>
            <w:r>
              <w:rPr>
                <w:sz w:val="18"/>
              </w:rPr>
              <w:t>due to very</w:t>
            </w:r>
          </w:p>
          <w:p>
            <w:pPr>
              <w:pStyle w:val="TableParagraph"/>
              <w:spacing w:before="1"/>
              <w:ind w:left="3"/>
              <w:rPr>
                <w:position w:val="5"/>
                <w:sz w:val="12"/>
              </w:rPr>
            </w:pPr>
            <w:r>
              <w:rPr>
                <w:sz w:val="18"/>
              </w:rPr>
              <w:t>serious</w:t>
            </w:r>
            <w:r>
              <w:rPr>
                <w:spacing w:val="-5"/>
                <w:sz w:val="18"/>
              </w:rPr>
              <w:t> </w:t>
            </w:r>
            <w:r>
              <w:rPr>
                <w:spacing w:val="-2"/>
                <w:sz w:val="18"/>
              </w:rPr>
              <w:t>imprecision</w:t>
            </w:r>
            <w:r>
              <w:rPr>
                <w:spacing w:val="-2"/>
                <w:position w:val="5"/>
                <w:sz w:val="12"/>
              </w:rPr>
              <w:t>7</w:t>
            </w:r>
          </w:p>
        </w:tc>
        <w:tc>
          <w:tcPr>
            <w:tcW w:w="4326"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spacing w:line="278" w:lineRule="auto"/>
              <w:ind w:left="3" w:right="19"/>
              <w:rPr>
                <w:sz w:val="18"/>
              </w:rPr>
            </w:pPr>
            <w:r>
              <w:rPr>
                <w:sz w:val="18"/>
              </w:rPr>
              <w:t>The</w:t>
            </w:r>
            <w:r>
              <w:rPr>
                <w:spacing w:val="-5"/>
                <w:sz w:val="18"/>
              </w:rPr>
              <w:t> </w:t>
            </w:r>
            <w:r>
              <w:rPr>
                <w:sz w:val="18"/>
              </w:rPr>
              <w:t>evidence</w:t>
            </w:r>
            <w:r>
              <w:rPr>
                <w:spacing w:val="-5"/>
                <w:sz w:val="18"/>
              </w:rPr>
              <w:t> </w:t>
            </w:r>
            <w:r>
              <w:rPr>
                <w:sz w:val="18"/>
              </w:rPr>
              <w:t>is</w:t>
            </w:r>
            <w:r>
              <w:rPr>
                <w:spacing w:val="-6"/>
                <w:sz w:val="18"/>
              </w:rPr>
              <w:t> </w:t>
            </w:r>
            <w:r>
              <w:rPr>
                <w:sz w:val="18"/>
              </w:rPr>
              <w:t>very</w:t>
            </w:r>
            <w:r>
              <w:rPr>
                <w:spacing w:val="-4"/>
                <w:sz w:val="18"/>
              </w:rPr>
              <w:t> </w:t>
            </w:r>
            <w:r>
              <w:rPr>
                <w:sz w:val="18"/>
              </w:rPr>
              <w:t>uncertain</w:t>
            </w:r>
            <w:r>
              <w:rPr>
                <w:spacing w:val="-6"/>
                <w:sz w:val="18"/>
              </w:rPr>
              <w:t> </w:t>
            </w:r>
            <w:r>
              <w:rPr>
                <w:sz w:val="18"/>
              </w:rPr>
              <w:t>about</w:t>
            </w:r>
            <w:r>
              <w:rPr>
                <w:spacing w:val="-4"/>
                <w:sz w:val="18"/>
              </w:rPr>
              <w:t> </w:t>
            </w:r>
            <w:r>
              <w:rPr>
                <w:sz w:val="18"/>
              </w:rPr>
              <w:t>the</w:t>
            </w:r>
            <w:r>
              <w:rPr>
                <w:spacing w:val="-5"/>
                <w:sz w:val="18"/>
              </w:rPr>
              <w:t> </w:t>
            </w:r>
            <w:r>
              <w:rPr>
                <w:sz w:val="18"/>
              </w:rPr>
              <w:t>effect</w:t>
            </w:r>
            <w:r>
              <w:rPr>
                <w:spacing w:val="-4"/>
                <w:sz w:val="18"/>
              </w:rPr>
              <w:t> </w:t>
            </w:r>
            <w:r>
              <w:rPr>
                <w:sz w:val="18"/>
              </w:rPr>
              <w:t>of</w:t>
            </w:r>
            <w:r>
              <w:rPr>
                <w:spacing w:val="-5"/>
                <w:sz w:val="18"/>
              </w:rPr>
              <w:t> </w:t>
            </w:r>
            <w:r>
              <w:rPr>
                <w:sz w:val="18"/>
              </w:rPr>
              <w:t>aspirin on trivial bleeding, when compared with rivaroxaban in children with an indication for the Fontan procedure</w:t>
            </w:r>
          </w:p>
          <w:p>
            <w:pPr>
              <w:pStyle w:val="TableParagraph"/>
              <w:rPr>
                <w:sz w:val="18"/>
              </w:rPr>
            </w:pPr>
          </w:p>
          <w:p>
            <w:pPr>
              <w:pStyle w:val="TableParagraph"/>
              <w:spacing w:before="138"/>
              <w:rPr>
                <w:sz w:val="18"/>
              </w:rPr>
            </w:pPr>
          </w:p>
          <w:p>
            <w:pPr>
              <w:pStyle w:val="TableParagraph"/>
              <w:ind w:left="3"/>
              <w:rPr>
                <w:sz w:val="18"/>
              </w:rPr>
            </w:pPr>
            <w:r>
              <w:rPr>
                <w:sz w:val="18"/>
              </w:rPr>
              <w:t>(McCrindle,</w:t>
            </w:r>
            <w:r>
              <w:rPr>
                <w:spacing w:val="-5"/>
                <w:sz w:val="18"/>
              </w:rPr>
              <w:t> </w:t>
            </w:r>
            <w:r>
              <w:rPr>
                <w:spacing w:val="-2"/>
                <w:sz w:val="18"/>
              </w:rPr>
              <w:t>2021)</w:t>
            </w:r>
          </w:p>
        </w:tc>
      </w:tr>
      <w:tr>
        <w:trPr>
          <w:trHeight w:val="2160" w:hRule="atLeast"/>
        </w:trPr>
        <w:tc>
          <w:tcPr>
            <w:tcW w:w="1143" w:type="dxa"/>
            <w:vMerge/>
            <w:tcBorders>
              <w:top w:val="nil"/>
            </w:tcBorders>
          </w:tcPr>
          <w:p>
            <w:pPr>
              <w:rPr>
                <w:sz w:val="2"/>
                <w:szCs w:val="2"/>
              </w:rPr>
            </w:pPr>
          </w:p>
        </w:tc>
        <w:tc>
          <w:tcPr>
            <w:tcW w:w="1006" w:type="dxa"/>
            <w:vMerge/>
            <w:tcBorders>
              <w:top w:val="nil"/>
            </w:tcBorders>
          </w:tcPr>
          <w:p>
            <w:pPr>
              <w:rPr>
                <w:sz w:val="2"/>
                <w:szCs w:val="2"/>
              </w:rPr>
            </w:pPr>
          </w:p>
        </w:tc>
        <w:tc>
          <w:tcPr>
            <w:tcW w:w="3059" w:type="dxa"/>
            <w:vMerge/>
            <w:tcBorders>
              <w:top w:val="nil"/>
            </w:tcBorders>
          </w:tcPr>
          <w:p>
            <w:pPr>
              <w:rPr>
                <w:sz w:val="2"/>
                <w:szCs w:val="2"/>
              </w:rPr>
            </w:pPr>
          </w:p>
        </w:tc>
        <w:tc>
          <w:tcPr>
            <w:tcW w:w="2380" w:type="dxa"/>
            <w:gridSpan w:val="2"/>
          </w:tcPr>
          <w:p>
            <w:pPr>
              <w:pStyle w:val="TableParagraph"/>
              <w:spacing w:before="197"/>
              <w:rPr>
                <w:sz w:val="18"/>
              </w:rPr>
            </w:pPr>
          </w:p>
          <w:p>
            <w:pPr>
              <w:pStyle w:val="TableParagraph"/>
              <w:ind w:left="5"/>
              <w:rPr>
                <w:b/>
                <w:sz w:val="18"/>
              </w:rPr>
            </w:pPr>
            <w:r>
              <w:rPr>
                <w:sz w:val="18"/>
              </w:rPr>
              <w:t>Difference:</w:t>
            </w:r>
            <w:r>
              <w:rPr>
                <w:spacing w:val="-2"/>
                <w:sz w:val="18"/>
              </w:rPr>
              <w:t> </w:t>
            </w:r>
            <w:r>
              <w:rPr>
                <w:b/>
                <w:sz w:val="18"/>
              </w:rPr>
              <w:t>2</w:t>
            </w:r>
            <w:r>
              <w:rPr>
                <w:b/>
                <w:spacing w:val="-2"/>
                <w:sz w:val="18"/>
              </w:rPr>
              <w:t> </w:t>
            </w:r>
            <w:r>
              <w:rPr>
                <w:b/>
                <w:sz w:val="18"/>
              </w:rPr>
              <w:t>more</w:t>
            </w:r>
            <w:r>
              <w:rPr>
                <w:b/>
                <w:spacing w:val="-2"/>
                <w:sz w:val="18"/>
              </w:rPr>
              <w:t> </w:t>
            </w:r>
            <w:r>
              <w:rPr>
                <w:b/>
                <w:sz w:val="18"/>
              </w:rPr>
              <w:t>per</w:t>
            </w:r>
            <w:r>
              <w:rPr>
                <w:b/>
                <w:spacing w:val="-1"/>
                <w:sz w:val="18"/>
              </w:rPr>
              <w:t> </w:t>
            </w:r>
            <w:r>
              <w:rPr>
                <w:b/>
                <w:spacing w:val="-5"/>
                <w:sz w:val="18"/>
              </w:rPr>
              <w:t>100</w:t>
            </w:r>
          </w:p>
          <w:p>
            <w:pPr>
              <w:pStyle w:val="TableParagraph"/>
              <w:spacing w:before="195"/>
              <w:ind w:left="5"/>
              <w:rPr>
                <w:sz w:val="18"/>
              </w:rPr>
            </w:pPr>
            <w:r>
              <w:rPr>
                <w:sz w:val="18"/>
              </w:rPr>
              <w:t>(95%</w:t>
            </w:r>
            <w:r>
              <w:rPr>
                <w:spacing w:val="-3"/>
                <w:sz w:val="18"/>
              </w:rPr>
              <w:t> </w:t>
            </w:r>
            <w:r>
              <w:rPr>
                <w:sz w:val="18"/>
              </w:rPr>
              <w:t>CI 17</w:t>
            </w:r>
            <w:r>
              <w:rPr>
                <w:spacing w:val="-1"/>
                <w:sz w:val="18"/>
              </w:rPr>
              <w:t> </w:t>
            </w:r>
            <w:r>
              <w:rPr>
                <w:sz w:val="18"/>
              </w:rPr>
              <w:t>fewer to</w:t>
            </w:r>
            <w:r>
              <w:rPr>
                <w:spacing w:val="-1"/>
                <w:sz w:val="18"/>
              </w:rPr>
              <w:t> </w:t>
            </w:r>
            <w:r>
              <w:rPr>
                <w:sz w:val="18"/>
              </w:rPr>
              <w:t>22 </w:t>
            </w:r>
            <w:r>
              <w:rPr>
                <w:spacing w:val="-4"/>
                <w:sz w:val="18"/>
              </w:rPr>
              <w:t>more)</w:t>
            </w:r>
          </w:p>
        </w:tc>
        <w:tc>
          <w:tcPr>
            <w:tcW w:w="2036" w:type="dxa"/>
            <w:vMerge/>
            <w:tcBorders>
              <w:top w:val="nil"/>
            </w:tcBorders>
          </w:tcPr>
          <w:p>
            <w:pPr>
              <w:rPr>
                <w:sz w:val="2"/>
                <w:szCs w:val="2"/>
              </w:rPr>
            </w:pPr>
          </w:p>
        </w:tc>
        <w:tc>
          <w:tcPr>
            <w:tcW w:w="4326" w:type="dxa"/>
            <w:vMerge/>
            <w:tcBorders>
              <w:top w:val="nil"/>
            </w:tcBorders>
          </w:tcPr>
          <w:p>
            <w:pPr>
              <w:rPr>
                <w:sz w:val="2"/>
                <w:szCs w:val="2"/>
              </w:rPr>
            </w:pPr>
          </w:p>
        </w:tc>
      </w:tr>
      <w:tr>
        <w:trPr>
          <w:trHeight w:val="830" w:hRule="atLeast"/>
        </w:trPr>
        <w:tc>
          <w:tcPr>
            <w:tcW w:w="2149" w:type="dxa"/>
            <w:gridSpan w:val="2"/>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6"/>
              <w:rPr>
                <w:sz w:val="18"/>
              </w:rPr>
            </w:pPr>
          </w:p>
          <w:p>
            <w:pPr>
              <w:pStyle w:val="TableParagraph"/>
              <w:ind w:left="6"/>
              <w:rPr>
                <w:sz w:val="18"/>
              </w:rPr>
            </w:pPr>
            <w:r>
              <w:rPr>
                <w:sz w:val="18"/>
              </w:rPr>
              <w:t>Ischemic</w:t>
            </w:r>
            <w:r>
              <w:rPr>
                <w:spacing w:val="-6"/>
                <w:sz w:val="18"/>
              </w:rPr>
              <w:t> </w:t>
            </w:r>
            <w:r>
              <w:rPr>
                <w:sz w:val="18"/>
              </w:rPr>
              <w:t>stroke</w:t>
            </w:r>
            <w:r>
              <w:rPr>
                <w:spacing w:val="-4"/>
                <w:sz w:val="18"/>
              </w:rPr>
              <w:t> </w:t>
            </w:r>
            <w:r>
              <w:rPr>
                <w:spacing w:val="-2"/>
                <w:sz w:val="18"/>
              </w:rPr>
              <w:t>(important)</w:t>
            </w:r>
          </w:p>
        </w:tc>
        <w:tc>
          <w:tcPr>
            <w:tcW w:w="3059" w:type="dxa"/>
            <w:vMerge w:val="restart"/>
          </w:tcPr>
          <w:p>
            <w:pPr>
              <w:pStyle w:val="TableParagraph"/>
              <w:spacing w:line="218" w:lineRule="exact"/>
              <w:ind w:left="6"/>
              <w:rPr>
                <w:b/>
                <w:sz w:val="18"/>
              </w:rPr>
            </w:pPr>
            <w:r>
              <w:rPr>
                <w:sz w:val="18"/>
              </w:rPr>
              <w:t>Relative</w:t>
            </w:r>
            <w:r>
              <w:rPr>
                <w:spacing w:val="-3"/>
                <w:sz w:val="18"/>
              </w:rPr>
              <w:t> </w:t>
            </w:r>
            <w:r>
              <w:rPr>
                <w:sz w:val="18"/>
              </w:rPr>
              <w:t>risk:</w:t>
            </w:r>
            <w:r>
              <w:rPr>
                <w:spacing w:val="-2"/>
                <w:sz w:val="18"/>
              </w:rPr>
              <w:t> </w:t>
            </w:r>
            <w:r>
              <w:rPr>
                <w:b/>
                <w:spacing w:val="-4"/>
                <w:sz w:val="18"/>
              </w:rPr>
              <w:t>5.57</w:t>
            </w:r>
          </w:p>
          <w:p>
            <w:pPr>
              <w:pStyle w:val="TableParagraph"/>
              <w:spacing w:before="195"/>
              <w:ind w:left="6"/>
              <w:rPr>
                <w:sz w:val="18"/>
              </w:rPr>
            </w:pPr>
            <w:r>
              <w:rPr>
                <w:sz w:val="18"/>
              </w:rPr>
              <w:t>(95%</w:t>
            </w:r>
            <w:r>
              <w:rPr>
                <w:spacing w:val="-1"/>
                <w:sz w:val="18"/>
              </w:rPr>
              <w:t> </w:t>
            </w:r>
            <w:r>
              <w:rPr>
                <w:sz w:val="18"/>
              </w:rPr>
              <w:t>CI 0.23 to </w:t>
            </w:r>
            <w:r>
              <w:rPr>
                <w:spacing w:val="-2"/>
                <w:sz w:val="18"/>
              </w:rPr>
              <w:t>133.19)</w:t>
            </w:r>
          </w:p>
          <w:p>
            <w:pPr>
              <w:pStyle w:val="TableParagraph"/>
              <w:rPr>
                <w:sz w:val="18"/>
              </w:rPr>
            </w:pPr>
          </w:p>
          <w:p>
            <w:pPr>
              <w:pStyle w:val="TableParagraph"/>
              <w:spacing w:before="172"/>
              <w:rPr>
                <w:sz w:val="18"/>
              </w:rPr>
            </w:pPr>
          </w:p>
          <w:p>
            <w:pPr>
              <w:pStyle w:val="TableParagraph"/>
              <w:spacing w:line="280" w:lineRule="auto"/>
              <w:ind w:left="6"/>
              <w:rPr>
                <w:sz w:val="18"/>
              </w:rPr>
            </w:pPr>
            <w:r>
              <w:rPr>
                <w:sz w:val="18"/>
              </w:rPr>
              <w:t>Based</w:t>
            </w:r>
            <w:r>
              <w:rPr>
                <w:spacing w:val="-6"/>
                <w:sz w:val="18"/>
              </w:rPr>
              <w:t> </w:t>
            </w:r>
            <w:r>
              <w:rPr>
                <w:sz w:val="18"/>
              </w:rPr>
              <w:t>on</w:t>
            </w:r>
            <w:r>
              <w:rPr>
                <w:spacing w:val="-6"/>
                <w:sz w:val="18"/>
              </w:rPr>
              <w:t> </w:t>
            </w:r>
            <w:r>
              <w:rPr>
                <w:sz w:val="18"/>
              </w:rPr>
              <w:t>data</w:t>
            </w:r>
            <w:r>
              <w:rPr>
                <w:spacing w:val="-6"/>
                <w:sz w:val="18"/>
              </w:rPr>
              <w:t> </w:t>
            </w:r>
            <w:r>
              <w:rPr>
                <w:sz w:val="18"/>
              </w:rPr>
              <w:t>from</w:t>
            </w:r>
            <w:r>
              <w:rPr>
                <w:spacing w:val="-5"/>
                <w:sz w:val="18"/>
              </w:rPr>
              <w:t> </w:t>
            </w:r>
            <w:r>
              <w:rPr>
                <w:sz w:val="18"/>
              </w:rPr>
              <w:t>98</w:t>
            </w:r>
            <w:r>
              <w:rPr>
                <w:spacing w:val="-5"/>
                <w:sz w:val="18"/>
              </w:rPr>
              <w:t> </w:t>
            </w:r>
            <w:r>
              <w:rPr>
                <w:sz w:val="18"/>
              </w:rPr>
              <w:t>participants</w:t>
            </w:r>
            <w:r>
              <w:rPr>
                <w:spacing w:val="-7"/>
                <w:sz w:val="18"/>
              </w:rPr>
              <w:t> </w:t>
            </w:r>
            <w:r>
              <w:rPr>
                <w:sz w:val="18"/>
              </w:rPr>
              <w:t>in</w:t>
            </w:r>
            <w:r>
              <w:rPr>
                <w:spacing w:val="-7"/>
                <w:sz w:val="18"/>
              </w:rPr>
              <w:t> </w:t>
            </w:r>
            <w:r>
              <w:rPr>
                <w:sz w:val="18"/>
              </w:rPr>
              <w:t>1 </w:t>
            </w:r>
            <w:r>
              <w:rPr>
                <w:spacing w:val="-2"/>
                <w:sz w:val="18"/>
              </w:rPr>
              <w:t>study</w:t>
            </w:r>
          </w:p>
          <w:p>
            <w:pPr>
              <w:pStyle w:val="TableParagraph"/>
              <w:spacing w:line="217" w:lineRule="exact"/>
              <w:ind w:left="6"/>
              <w:rPr>
                <w:sz w:val="18"/>
              </w:rPr>
            </w:pPr>
            <w:r>
              <w:rPr>
                <w:sz w:val="18"/>
              </w:rPr>
              <w:t>Follow-up:</w:t>
            </w:r>
            <w:r>
              <w:rPr>
                <w:spacing w:val="-3"/>
                <w:sz w:val="18"/>
              </w:rPr>
              <w:t> </w:t>
            </w:r>
            <w:r>
              <w:rPr>
                <w:sz w:val="18"/>
              </w:rPr>
              <w:t>12</w:t>
            </w:r>
            <w:r>
              <w:rPr>
                <w:spacing w:val="-2"/>
                <w:sz w:val="18"/>
              </w:rPr>
              <w:t> months</w:t>
            </w:r>
          </w:p>
        </w:tc>
        <w:tc>
          <w:tcPr>
            <w:tcW w:w="1129" w:type="dxa"/>
          </w:tcPr>
          <w:p>
            <w:pPr>
              <w:pStyle w:val="TableParagraph"/>
              <w:spacing w:line="218" w:lineRule="exact"/>
              <w:ind w:left="5"/>
              <w:rPr>
                <w:b/>
                <w:sz w:val="18"/>
              </w:rPr>
            </w:pPr>
            <w:r>
              <w:rPr>
                <w:b/>
                <w:spacing w:val="-10"/>
                <w:sz w:val="18"/>
              </w:rPr>
              <w:t>3</w:t>
            </w:r>
          </w:p>
          <w:p>
            <w:pPr>
              <w:pStyle w:val="TableParagraph"/>
              <w:spacing w:before="195"/>
              <w:ind w:left="5"/>
              <w:rPr>
                <w:sz w:val="18"/>
              </w:rPr>
            </w:pPr>
            <w:r>
              <w:rPr>
                <w:sz w:val="18"/>
              </w:rPr>
              <w:t>per</w:t>
            </w:r>
            <w:r>
              <w:rPr>
                <w:spacing w:val="-3"/>
                <w:sz w:val="18"/>
              </w:rPr>
              <w:t> </w:t>
            </w:r>
            <w:r>
              <w:rPr>
                <w:spacing w:val="-5"/>
                <w:sz w:val="18"/>
              </w:rPr>
              <w:t>100</w:t>
            </w:r>
          </w:p>
        </w:tc>
        <w:tc>
          <w:tcPr>
            <w:tcW w:w="1251" w:type="dxa"/>
          </w:tcPr>
          <w:p>
            <w:pPr>
              <w:pStyle w:val="TableParagraph"/>
              <w:spacing w:line="218" w:lineRule="exact"/>
              <w:ind w:left="4"/>
              <w:rPr>
                <w:b/>
                <w:sz w:val="18"/>
              </w:rPr>
            </w:pPr>
            <w:r>
              <w:rPr>
                <w:b/>
                <w:spacing w:val="-10"/>
                <w:sz w:val="18"/>
              </w:rPr>
              <w:t>0</w:t>
            </w:r>
          </w:p>
          <w:p>
            <w:pPr>
              <w:pStyle w:val="TableParagraph"/>
              <w:spacing w:before="195"/>
              <w:ind w:left="4"/>
              <w:rPr>
                <w:sz w:val="18"/>
              </w:rPr>
            </w:pPr>
            <w:r>
              <w:rPr>
                <w:sz w:val="18"/>
              </w:rPr>
              <w:t>per</w:t>
            </w:r>
            <w:r>
              <w:rPr>
                <w:spacing w:val="-3"/>
                <w:sz w:val="18"/>
              </w:rPr>
              <w:t> </w:t>
            </w:r>
            <w:r>
              <w:rPr>
                <w:spacing w:val="-5"/>
                <w:sz w:val="18"/>
              </w:rPr>
              <w:t>100</w:t>
            </w:r>
          </w:p>
        </w:tc>
        <w:tc>
          <w:tcPr>
            <w:tcW w:w="2036"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6"/>
              <w:rPr>
                <w:sz w:val="18"/>
              </w:rPr>
            </w:pPr>
          </w:p>
          <w:p>
            <w:pPr>
              <w:pStyle w:val="TableParagraph"/>
              <w:ind w:left="3"/>
              <w:rPr>
                <w:b/>
                <w:sz w:val="18"/>
              </w:rPr>
            </w:pPr>
            <w:r>
              <w:rPr>
                <w:b/>
                <w:sz w:val="18"/>
              </w:rPr>
              <w:t>Very</w:t>
            </w:r>
            <w:r>
              <w:rPr>
                <w:b/>
                <w:spacing w:val="-1"/>
                <w:sz w:val="18"/>
              </w:rPr>
              <w:t> </w:t>
            </w:r>
            <w:r>
              <w:rPr>
                <w:b/>
                <w:spacing w:val="-5"/>
                <w:sz w:val="18"/>
              </w:rPr>
              <w:t>low</w:t>
            </w:r>
          </w:p>
          <w:p>
            <w:pPr>
              <w:pStyle w:val="TableParagraph"/>
              <w:spacing w:line="278" w:lineRule="auto" w:before="37"/>
              <w:ind w:left="3" w:right="248"/>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before="1"/>
              <w:ind w:left="3"/>
              <w:rPr>
                <w:position w:val="5"/>
                <w:sz w:val="12"/>
              </w:rPr>
            </w:pPr>
            <w:r>
              <w:rPr>
                <w:sz w:val="18"/>
              </w:rPr>
              <w:t>serious</w:t>
            </w:r>
            <w:r>
              <w:rPr>
                <w:spacing w:val="-5"/>
                <w:sz w:val="18"/>
              </w:rPr>
              <w:t> </w:t>
            </w:r>
            <w:r>
              <w:rPr>
                <w:spacing w:val="-2"/>
                <w:sz w:val="18"/>
              </w:rPr>
              <w:t>imprecision</w:t>
            </w:r>
            <w:r>
              <w:rPr>
                <w:spacing w:val="-2"/>
                <w:position w:val="5"/>
                <w:sz w:val="12"/>
              </w:rPr>
              <w:t>8</w:t>
            </w:r>
          </w:p>
        </w:tc>
        <w:tc>
          <w:tcPr>
            <w:tcW w:w="4326" w:type="dxa"/>
            <w:vMerge w:val="restart"/>
          </w:tcPr>
          <w:p>
            <w:pPr>
              <w:pStyle w:val="TableParagraph"/>
              <w:rPr>
                <w:sz w:val="18"/>
              </w:rPr>
            </w:pPr>
          </w:p>
          <w:p>
            <w:pPr>
              <w:pStyle w:val="TableParagraph"/>
              <w:rPr>
                <w:sz w:val="18"/>
              </w:rPr>
            </w:pPr>
          </w:p>
          <w:p>
            <w:pPr>
              <w:pStyle w:val="TableParagraph"/>
              <w:rPr>
                <w:sz w:val="18"/>
              </w:rPr>
            </w:pPr>
          </w:p>
          <w:p>
            <w:pPr>
              <w:pStyle w:val="TableParagraph"/>
              <w:spacing w:before="207"/>
              <w:rPr>
                <w:sz w:val="18"/>
              </w:rPr>
            </w:pPr>
          </w:p>
          <w:p>
            <w:pPr>
              <w:pStyle w:val="TableParagraph"/>
              <w:spacing w:line="278" w:lineRule="auto"/>
              <w:ind w:left="3" w:right="19"/>
              <w:rPr>
                <w:sz w:val="18"/>
              </w:rPr>
            </w:pPr>
            <w:r>
              <w:rPr>
                <w:sz w:val="18"/>
              </w:rPr>
              <w:t>The</w:t>
            </w:r>
            <w:r>
              <w:rPr>
                <w:spacing w:val="-5"/>
                <w:sz w:val="18"/>
              </w:rPr>
              <w:t> </w:t>
            </w:r>
            <w:r>
              <w:rPr>
                <w:sz w:val="18"/>
              </w:rPr>
              <w:t>evidence</w:t>
            </w:r>
            <w:r>
              <w:rPr>
                <w:spacing w:val="-5"/>
                <w:sz w:val="18"/>
              </w:rPr>
              <w:t> </w:t>
            </w:r>
            <w:r>
              <w:rPr>
                <w:sz w:val="18"/>
              </w:rPr>
              <w:t>is</w:t>
            </w:r>
            <w:r>
              <w:rPr>
                <w:spacing w:val="-6"/>
                <w:sz w:val="18"/>
              </w:rPr>
              <w:t> </w:t>
            </w:r>
            <w:r>
              <w:rPr>
                <w:sz w:val="18"/>
              </w:rPr>
              <w:t>very</w:t>
            </w:r>
            <w:r>
              <w:rPr>
                <w:spacing w:val="-4"/>
                <w:sz w:val="18"/>
              </w:rPr>
              <w:t> </w:t>
            </w:r>
            <w:r>
              <w:rPr>
                <w:sz w:val="18"/>
              </w:rPr>
              <w:t>uncertain</w:t>
            </w:r>
            <w:r>
              <w:rPr>
                <w:spacing w:val="-6"/>
                <w:sz w:val="18"/>
              </w:rPr>
              <w:t> </w:t>
            </w:r>
            <w:r>
              <w:rPr>
                <w:sz w:val="18"/>
              </w:rPr>
              <w:t>about</w:t>
            </w:r>
            <w:r>
              <w:rPr>
                <w:spacing w:val="-4"/>
                <w:sz w:val="18"/>
              </w:rPr>
              <w:t> </w:t>
            </w:r>
            <w:r>
              <w:rPr>
                <w:sz w:val="18"/>
              </w:rPr>
              <w:t>the</w:t>
            </w:r>
            <w:r>
              <w:rPr>
                <w:spacing w:val="-5"/>
                <w:sz w:val="18"/>
              </w:rPr>
              <w:t> </w:t>
            </w:r>
            <w:r>
              <w:rPr>
                <w:sz w:val="18"/>
              </w:rPr>
              <w:t>effect</w:t>
            </w:r>
            <w:r>
              <w:rPr>
                <w:spacing w:val="-4"/>
                <w:sz w:val="18"/>
              </w:rPr>
              <w:t> </w:t>
            </w:r>
            <w:r>
              <w:rPr>
                <w:sz w:val="18"/>
              </w:rPr>
              <w:t>of</w:t>
            </w:r>
            <w:r>
              <w:rPr>
                <w:spacing w:val="-5"/>
                <w:sz w:val="18"/>
              </w:rPr>
              <w:t> </w:t>
            </w:r>
            <w:r>
              <w:rPr>
                <w:sz w:val="18"/>
              </w:rPr>
              <w:t>aspirin on ischemic stroke, when compared with rivaroxaban in children with an indication for the Fontan procedure</w:t>
            </w:r>
          </w:p>
          <w:p>
            <w:pPr>
              <w:pStyle w:val="TableParagraph"/>
              <w:rPr>
                <w:sz w:val="18"/>
              </w:rPr>
            </w:pPr>
          </w:p>
          <w:p>
            <w:pPr>
              <w:pStyle w:val="TableParagraph"/>
              <w:spacing w:before="137"/>
              <w:rPr>
                <w:sz w:val="18"/>
              </w:rPr>
            </w:pPr>
          </w:p>
          <w:p>
            <w:pPr>
              <w:pStyle w:val="TableParagraph"/>
              <w:spacing w:before="1"/>
              <w:ind w:left="3"/>
              <w:rPr>
                <w:sz w:val="18"/>
              </w:rPr>
            </w:pPr>
            <w:r>
              <w:rPr>
                <w:sz w:val="18"/>
              </w:rPr>
              <w:t>(McCrindle,</w:t>
            </w:r>
            <w:r>
              <w:rPr>
                <w:spacing w:val="-5"/>
                <w:sz w:val="18"/>
              </w:rPr>
              <w:t> </w:t>
            </w:r>
            <w:r>
              <w:rPr>
                <w:spacing w:val="-2"/>
                <w:sz w:val="18"/>
              </w:rPr>
              <w:t>2021)</w:t>
            </w:r>
          </w:p>
        </w:tc>
      </w:tr>
      <w:tr>
        <w:trPr>
          <w:trHeight w:val="1998" w:hRule="atLeast"/>
        </w:trPr>
        <w:tc>
          <w:tcPr>
            <w:tcW w:w="2149" w:type="dxa"/>
            <w:gridSpan w:val="2"/>
            <w:vMerge/>
            <w:tcBorders>
              <w:top w:val="nil"/>
            </w:tcBorders>
          </w:tcPr>
          <w:p>
            <w:pPr>
              <w:rPr>
                <w:sz w:val="2"/>
                <w:szCs w:val="2"/>
              </w:rPr>
            </w:pPr>
          </w:p>
        </w:tc>
        <w:tc>
          <w:tcPr>
            <w:tcW w:w="3059" w:type="dxa"/>
            <w:vMerge/>
            <w:tcBorders>
              <w:top w:val="nil"/>
            </w:tcBorders>
          </w:tcPr>
          <w:p>
            <w:pPr>
              <w:rPr>
                <w:sz w:val="2"/>
                <w:szCs w:val="2"/>
              </w:rPr>
            </w:pPr>
          </w:p>
        </w:tc>
        <w:tc>
          <w:tcPr>
            <w:tcW w:w="2380" w:type="dxa"/>
            <w:gridSpan w:val="2"/>
          </w:tcPr>
          <w:p>
            <w:pPr>
              <w:pStyle w:val="TableParagraph"/>
              <w:spacing w:before="194"/>
              <w:rPr>
                <w:sz w:val="18"/>
              </w:rPr>
            </w:pPr>
          </w:p>
          <w:p>
            <w:pPr>
              <w:pStyle w:val="TableParagraph"/>
              <w:ind w:left="5"/>
              <w:rPr>
                <w:b/>
                <w:sz w:val="18"/>
              </w:rPr>
            </w:pPr>
            <w:r>
              <w:rPr>
                <w:sz w:val="18"/>
              </w:rPr>
              <w:t>Difference:</w:t>
            </w:r>
            <w:r>
              <w:rPr>
                <w:spacing w:val="-2"/>
                <w:sz w:val="18"/>
              </w:rPr>
              <w:t> </w:t>
            </w:r>
            <w:r>
              <w:rPr>
                <w:b/>
                <w:sz w:val="18"/>
              </w:rPr>
              <w:t>3</w:t>
            </w:r>
            <w:r>
              <w:rPr>
                <w:b/>
                <w:spacing w:val="-2"/>
                <w:sz w:val="18"/>
              </w:rPr>
              <w:t> </w:t>
            </w:r>
            <w:r>
              <w:rPr>
                <w:b/>
                <w:sz w:val="18"/>
              </w:rPr>
              <w:t>more</w:t>
            </w:r>
            <w:r>
              <w:rPr>
                <w:b/>
                <w:spacing w:val="-2"/>
                <w:sz w:val="18"/>
              </w:rPr>
              <w:t> </w:t>
            </w:r>
            <w:r>
              <w:rPr>
                <w:b/>
                <w:sz w:val="18"/>
              </w:rPr>
              <w:t>per</w:t>
            </w:r>
            <w:r>
              <w:rPr>
                <w:b/>
                <w:spacing w:val="-1"/>
                <w:sz w:val="18"/>
              </w:rPr>
              <w:t> </w:t>
            </w:r>
            <w:r>
              <w:rPr>
                <w:b/>
                <w:spacing w:val="-5"/>
                <w:sz w:val="18"/>
              </w:rPr>
              <w:t>100</w:t>
            </w:r>
          </w:p>
          <w:p>
            <w:pPr>
              <w:pStyle w:val="TableParagraph"/>
              <w:spacing w:before="198"/>
              <w:ind w:left="5"/>
              <w:rPr>
                <w:sz w:val="18"/>
              </w:rPr>
            </w:pPr>
            <w:r>
              <w:rPr>
                <w:sz w:val="18"/>
              </w:rPr>
              <w:t>(95%</w:t>
            </w:r>
            <w:r>
              <w:rPr>
                <w:spacing w:val="-3"/>
                <w:sz w:val="18"/>
              </w:rPr>
              <w:t> </w:t>
            </w:r>
            <w:r>
              <w:rPr>
                <w:sz w:val="18"/>
              </w:rPr>
              <w:t>CI 4 fewer</w:t>
            </w:r>
            <w:r>
              <w:rPr>
                <w:spacing w:val="-1"/>
                <w:sz w:val="18"/>
              </w:rPr>
              <w:t> </w:t>
            </w:r>
            <w:r>
              <w:rPr>
                <w:sz w:val="18"/>
              </w:rPr>
              <w:t>to 10 </w:t>
            </w:r>
            <w:r>
              <w:rPr>
                <w:spacing w:val="-4"/>
                <w:sz w:val="18"/>
              </w:rPr>
              <w:t>more)</w:t>
            </w:r>
          </w:p>
        </w:tc>
        <w:tc>
          <w:tcPr>
            <w:tcW w:w="2036" w:type="dxa"/>
            <w:vMerge/>
            <w:tcBorders>
              <w:top w:val="nil"/>
            </w:tcBorders>
          </w:tcPr>
          <w:p>
            <w:pPr>
              <w:rPr>
                <w:sz w:val="2"/>
                <w:szCs w:val="2"/>
              </w:rPr>
            </w:pPr>
          </w:p>
        </w:tc>
        <w:tc>
          <w:tcPr>
            <w:tcW w:w="4326" w:type="dxa"/>
            <w:vMerge/>
            <w:tcBorders>
              <w:top w:val="nil"/>
            </w:tcBorders>
          </w:tcPr>
          <w:p>
            <w:pPr>
              <w:rPr>
                <w:sz w:val="2"/>
                <w:szCs w:val="2"/>
              </w:rPr>
            </w:pPr>
          </w:p>
        </w:tc>
      </w:tr>
      <w:tr>
        <w:trPr>
          <w:trHeight w:val="830" w:hRule="atLeast"/>
        </w:trPr>
        <w:tc>
          <w:tcPr>
            <w:tcW w:w="2149" w:type="dxa"/>
            <w:gridSpan w:val="2"/>
          </w:tcPr>
          <w:p>
            <w:pPr>
              <w:pStyle w:val="TableParagraph"/>
              <w:spacing w:line="218" w:lineRule="exact"/>
              <w:ind w:left="6"/>
              <w:rPr>
                <w:sz w:val="18"/>
              </w:rPr>
            </w:pPr>
            <w:r>
              <w:rPr>
                <w:sz w:val="18"/>
              </w:rPr>
              <w:t>Adverse</w:t>
            </w:r>
            <w:r>
              <w:rPr>
                <w:spacing w:val="-5"/>
                <w:sz w:val="18"/>
              </w:rPr>
              <w:t> </w:t>
            </w:r>
            <w:r>
              <w:rPr>
                <w:sz w:val="18"/>
              </w:rPr>
              <w:t>events</w:t>
            </w:r>
            <w:r>
              <w:rPr>
                <w:spacing w:val="-4"/>
                <w:sz w:val="18"/>
              </w:rPr>
              <w:t> </w:t>
            </w:r>
            <w:r>
              <w:rPr>
                <w:spacing w:val="-2"/>
                <w:sz w:val="18"/>
              </w:rPr>
              <w:t>(important)</w:t>
            </w:r>
          </w:p>
        </w:tc>
        <w:tc>
          <w:tcPr>
            <w:tcW w:w="3059" w:type="dxa"/>
          </w:tcPr>
          <w:p>
            <w:pPr>
              <w:pStyle w:val="TableParagraph"/>
              <w:spacing w:line="218" w:lineRule="exact"/>
              <w:ind w:left="6"/>
              <w:rPr>
                <w:b/>
                <w:sz w:val="18"/>
              </w:rPr>
            </w:pPr>
            <w:r>
              <w:rPr>
                <w:sz w:val="18"/>
              </w:rPr>
              <w:t>Relative</w:t>
            </w:r>
            <w:r>
              <w:rPr>
                <w:spacing w:val="-3"/>
                <w:sz w:val="18"/>
              </w:rPr>
              <w:t> </w:t>
            </w:r>
            <w:r>
              <w:rPr>
                <w:sz w:val="18"/>
              </w:rPr>
              <w:t>risk:</w:t>
            </w:r>
            <w:r>
              <w:rPr>
                <w:spacing w:val="-2"/>
                <w:sz w:val="18"/>
              </w:rPr>
              <w:t> </w:t>
            </w:r>
            <w:r>
              <w:rPr>
                <w:b/>
                <w:spacing w:val="-4"/>
                <w:sz w:val="18"/>
              </w:rPr>
              <w:t>0.99</w:t>
            </w:r>
          </w:p>
          <w:p>
            <w:pPr>
              <w:pStyle w:val="TableParagraph"/>
              <w:spacing w:before="196"/>
              <w:ind w:left="6"/>
              <w:rPr>
                <w:sz w:val="18"/>
              </w:rPr>
            </w:pPr>
            <w:r>
              <w:rPr>
                <w:sz w:val="18"/>
              </w:rPr>
              <w:t>(95%</w:t>
            </w:r>
            <w:r>
              <w:rPr>
                <w:spacing w:val="-1"/>
                <w:sz w:val="18"/>
              </w:rPr>
              <w:t> </w:t>
            </w:r>
            <w:r>
              <w:rPr>
                <w:sz w:val="18"/>
              </w:rPr>
              <w:t>CI 0.84 to </w:t>
            </w:r>
            <w:r>
              <w:rPr>
                <w:spacing w:val="-4"/>
                <w:sz w:val="18"/>
              </w:rPr>
              <w:t>1.18)</w:t>
            </w:r>
          </w:p>
        </w:tc>
        <w:tc>
          <w:tcPr>
            <w:tcW w:w="1129" w:type="dxa"/>
          </w:tcPr>
          <w:p>
            <w:pPr>
              <w:pStyle w:val="TableParagraph"/>
              <w:spacing w:line="218" w:lineRule="exact"/>
              <w:ind w:left="5"/>
              <w:rPr>
                <w:b/>
                <w:sz w:val="18"/>
              </w:rPr>
            </w:pPr>
            <w:r>
              <w:rPr>
                <w:b/>
                <w:spacing w:val="-5"/>
                <w:sz w:val="18"/>
              </w:rPr>
              <w:t>85</w:t>
            </w:r>
          </w:p>
          <w:p>
            <w:pPr>
              <w:pStyle w:val="TableParagraph"/>
              <w:spacing w:before="196"/>
              <w:ind w:left="5"/>
              <w:rPr>
                <w:sz w:val="18"/>
              </w:rPr>
            </w:pPr>
            <w:r>
              <w:rPr>
                <w:sz w:val="18"/>
              </w:rPr>
              <w:t>per</w:t>
            </w:r>
            <w:r>
              <w:rPr>
                <w:spacing w:val="-3"/>
                <w:sz w:val="18"/>
              </w:rPr>
              <w:t> </w:t>
            </w:r>
            <w:r>
              <w:rPr>
                <w:spacing w:val="-5"/>
                <w:sz w:val="18"/>
              </w:rPr>
              <w:t>100</w:t>
            </w:r>
          </w:p>
        </w:tc>
        <w:tc>
          <w:tcPr>
            <w:tcW w:w="1251" w:type="dxa"/>
          </w:tcPr>
          <w:p>
            <w:pPr>
              <w:pStyle w:val="TableParagraph"/>
              <w:spacing w:line="218" w:lineRule="exact"/>
              <w:ind w:left="4"/>
              <w:rPr>
                <w:b/>
                <w:sz w:val="18"/>
              </w:rPr>
            </w:pPr>
            <w:r>
              <w:rPr>
                <w:b/>
                <w:spacing w:val="-5"/>
                <w:sz w:val="18"/>
              </w:rPr>
              <w:t>86</w:t>
            </w:r>
          </w:p>
          <w:p>
            <w:pPr>
              <w:pStyle w:val="TableParagraph"/>
              <w:spacing w:before="196"/>
              <w:ind w:left="4"/>
              <w:rPr>
                <w:sz w:val="18"/>
              </w:rPr>
            </w:pPr>
            <w:r>
              <w:rPr>
                <w:sz w:val="18"/>
              </w:rPr>
              <w:t>per</w:t>
            </w:r>
            <w:r>
              <w:rPr>
                <w:spacing w:val="-3"/>
                <w:sz w:val="18"/>
              </w:rPr>
              <w:t> </w:t>
            </w:r>
            <w:r>
              <w:rPr>
                <w:spacing w:val="-5"/>
                <w:sz w:val="18"/>
              </w:rPr>
              <w:t>100</w:t>
            </w:r>
          </w:p>
        </w:tc>
        <w:tc>
          <w:tcPr>
            <w:tcW w:w="2036" w:type="dxa"/>
          </w:tcPr>
          <w:p>
            <w:pPr>
              <w:pStyle w:val="TableParagraph"/>
              <w:rPr>
                <w:rFonts w:ascii="Times New Roman"/>
                <w:sz w:val="16"/>
              </w:rPr>
            </w:pPr>
          </w:p>
        </w:tc>
        <w:tc>
          <w:tcPr>
            <w:tcW w:w="4326" w:type="dxa"/>
          </w:tcPr>
          <w:p>
            <w:pPr>
              <w:pStyle w:val="TableParagraph"/>
              <w:rPr>
                <w:rFonts w:ascii="Times New Roman"/>
                <w:sz w:val="16"/>
              </w:rPr>
            </w:pPr>
          </w:p>
        </w:tc>
      </w:tr>
    </w:tbl>
    <w:p>
      <w:pPr>
        <w:pStyle w:val="TableParagraph"/>
        <w:spacing w:after="0"/>
        <w:rPr>
          <w:rFonts w:ascii="Times New Roman"/>
          <w:sz w:val="16"/>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148"/>
        <w:gridCol w:w="3058"/>
        <w:gridCol w:w="2378"/>
        <w:gridCol w:w="2035"/>
        <w:gridCol w:w="4325"/>
      </w:tblGrid>
      <w:tr>
        <w:trPr>
          <w:trHeight w:val="2173" w:hRule="atLeast"/>
        </w:trPr>
        <w:tc>
          <w:tcPr>
            <w:tcW w:w="2148" w:type="dxa"/>
          </w:tcPr>
          <w:p>
            <w:pPr>
              <w:pStyle w:val="TableParagraph"/>
              <w:rPr>
                <w:rFonts w:ascii="Times New Roman"/>
                <w:sz w:val="18"/>
              </w:rPr>
            </w:pPr>
          </w:p>
        </w:tc>
        <w:tc>
          <w:tcPr>
            <w:tcW w:w="3058" w:type="dxa"/>
          </w:tcPr>
          <w:p>
            <w:pPr>
              <w:pStyle w:val="TableParagraph"/>
              <w:spacing w:before="194"/>
              <w:rPr>
                <w:sz w:val="18"/>
              </w:rPr>
            </w:pPr>
          </w:p>
          <w:p>
            <w:pPr>
              <w:pStyle w:val="TableParagraph"/>
              <w:spacing w:line="280" w:lineRule="auto"/>
              <w:ind w:left="7"/>
              <w:rPr>
                <w:sz w:val="18"/>
              </w:rPr>
            </w:pPr>
            <w:r>
              <w:rPr>
                <w:sz w:val="18"/>
              </w:rPr>
              <w:t>Based</w:t>
            </w:r>
            <w:r>
              <w:rPr>
                <w:spacing w:val="-6"/>
                <w:sz w:val="18"/>
              </w:rPr>
              <w:t> </w:t>
            </w:r>
            <w:r>
              <w:rPr>
                <w:sz w:val="18"/>
              </w:rPr>
              <w:t>on</w:t>
            </w:r>
            <w:r>
              <w:rPr>
                <w:spacing w:val="-6"/>
                <w:sz w:val="18"/>
              </w:rPr>
              <w:t> </w:t>
            </w:r>
            <w:r>
              <w:rPr>
                <w:sz w:val="18"/>
              </w:rPr>
              <w:t>data</w:t>
            </w:r>
            <w:r>
              <w:rPr>
                <w:spacing w:val="-6"/>
                <w:sz w:val="18"/>
              </w:rPr>
              <w:t> </w:t>
            </w:r>
            <w:r>
              <w:rPr>
                <w:sz w:val="18"/>
              </w:rPr>
              <w:t>from</w:t>
            </w:r>
            <w:r>
              <w:rPr>
                <w:spacing w:val="-5"/>
                <w:sz w:val="18"/>
              </w:rPr>
              <w:t> </w:t>
            </w:r>
            <w:r>
              <w:rPr>
                <w:sz w:val="18"/>
              </w:rPr>
              <w:t>98</w:t>
            </w:r>
            <w:r>
              <w:rPr>
                <w:spacing w:val="-5"/>
                <w:sz w:val="18"/>
              </w:rPr>
              <w:t> </w:t>
            </w:r>
            <w:r>
              <w:rPr>
                <w:sz w:val="18"/>
              </w:rPr>
              <w:t>participants</w:t>
            </w:r>
            <w:r>
              <w:rPr>
                <w:spacing w:val="-7"/>
                <w:sz w:val="18"/>
              </w:rPr>
              <w:t> </w:t>
            </w:r>
            <w:r>
              <w:rPr>
                <w:sz w:val="18"/>
              </w:rPr>
              <w:t>in</w:t>
            </w:r>
            <w:r>
              <w:rPr>
                <w:spacing w:val="-7"/>
                <w:sz w:val="18"/>
              </w:rPr>
              <w:t> </w:t>
            </w:r>
            <w:r>
              <w:rPr>
                <w:sz w:val="18"/>
              </w:rPr>
              <w:t>1 </w:t>
            </w:r>
            <w:r>
              <w:rPr>
                <w:spacing w:val="-2"/>
                <w:sz w:val="18"/>
              </w:rPr>
              <w:t>study</w:t>
            </w:r>
          </w:p>
          <w:p>
            <w:pPr>
              <w:pStyle w:val="TableParagraph"/>
              <w:spacing w:line="217" w:lineRule="exact"/>
              <w:ind w:left="7"/>
              <w:rPr>
                <w:sz w:val="18"/>
              </w:rPr>
            </w:pPr>
            <w:r>
              <w:rPr>
                <w:sz w:val="18"/>
              </w:rPr>
              <w:t>Follow-up:</w:t>
            </w:r>
            <w:r>
              <w:rPr>
                <w:spacing w:val="-3"/>
                <w:sz w:val="18"/>
              </w:rPr>
              <w:t> </w:t>
            </w:r>
            <w:r>
              <w:rPr>
                <w:sz w:val="18"/>
              </w:rPr>
              <w:t>12</w:t>
            </w:r>
            <w:r>
              <w:rPr>
                <w:spacing w:val="-2"/>
                <w:sz w:val="18"/>
              </w:rPr>
              <w:t> months</w:t>
            </w:r>
          </w:p>
        </w:tc>
        <w:tc>
          <w:tcPr>
            <w:tcW w:w="2378" w:type="dxa"/>
          </w:tcPr>
          <w:p>
            <w:pPr>
              <w:pStyle w:val="TableParagraph"/>
              <w:spacing w:before="194"/>
              <w:rPr>
                <w:sz w:val="18"/>
              </w:rPr>
            </w:pPr>
          </w:p>
          <w:p>
            <w:pPr>
              <w:pStyle w:val="TableParagraph"/>
              <w:ind w:left="7"/>
              <w:rPr>
                <w:b/>
                <w:sz w:val="18"/>
              </w:rPr>
            </w:pPr>
            <w:r>
              <w:rPr>
                <w:sz w:val="18"/>
              </w:rPr>
              <w:t>Difference:</w:t>
            </w:r>
            <w:r>
              <w:rPr>
                <w:spacing w:val="-3"/>
                <w:sz w:val="18"/>
              </w:rPr>
              <w:t> </w:t>
            </w:r>
            <w:r>
              <w:rPr>
                <w:b/>
                <w:sz w:val="18"/>
              </w:rPr>
              <w:t>1</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95"/>
              <w:ind w:left="7"/>
              <w:rPr>
                <w:sz w:val="18"/>
              </w:rPr>
            </w:pPr>
            <w:r>
              <w:rPr>
                <w:sz w:val="18"/>
              </w:rPr>
              <w:t>(95%</w:t>
            </w:r>
            <w:r>
              <w:rPr>
                <w:spacing w:val="-3"/>
                <w:sz w:val="18"/>
              </w:rPr>
              <w:t> </w:t>
            </w:r>
            <w:r>
              <w:rPr>
                <w:sz w:val="18"/>
              </w:rPr>
              <w:t>CI 15</w:t>
            </w:r>
            <w:r>
              <w:rPr>
                <w:spacing w:val="-1"/>
                <w:sz w:val="18"/>
              </w:rPr>
              <w:t> </w:t>
            </w:r>
            <w:r>
              <w:rPr>
                <w:sz w:val="18"/>
              </w:rPr>
              <w:t>fewer to</w:t>
            </w:r>
            <w:r>
              <w:rPr>
                <w:spacing w:val="-1"/>
                <w:sz w:val="18"/>
              </w:rPr>
              <w:t> </w:t>
            </w:r>
            <w:r>
              <w:rPr>
                <w:sz w:val="18"/>
              </w:rPr>
              <w:t>14 </w:t>
            </w:r>
            <w:r>
              <w:rPr>
                <w:spacing w:val="-4"/>
                <w:sz w:val="18"/>
              </w:rPr>
              <w:t>more)</w:t>
            </w:r>
          </w:p>
        </w:tc>
        <w:tc>
          <w:tcPr>
            <w:tcW w:w="2035" w:type="dxa"/>
          </w:tcPr>
          <w:p>
            <w:pPr>
              <w:pStyle w:val="TableParagraph"/>
              <w:spacing w:before="194"/>
              <w:rPr>
                <w:sz w:val="18"/>
              </w:rPr>
            </w:pPr>
          </w:p>
          <w:p>
            <w:pPr>
              <w:pStyle w:val="TableParagraph"/>
              <w:ind w:left="7"/>
              <w:rPr>
                <w:b/>
                <w:sz w:val="18"/>
              </w:rPr>
            </w:pPr>
            <w:r>
              <w:rPr>
                <w:b/>
                <w:spacing w:val="-2"/>
                <w:sz w:val="18"/>
              </w:rPr>
              <w:t>Moderate</w:t>
            </w:r>
          </w:p>
          <w:p>
            <w:pPr>
              <w:pStyle w:val="TableParagraph"/>
              <w:spacing w:before="37"/>
              <w:ind w:left="7"/>
              <w:rPr>
                <w:position w:val="5"/>
                <w:sz w:val="12"/>
              </w:rPr>
            </w:pPr>
            <w:r>
              <w:rPr>
                <w:sz w:val="18"/>
              </w:rPr>
              <w:t>Due</w:t>
            </w:r>
            <w:r>
              <w:rPr>
                <w:spacing w:val="-3"/>
                <w:sz w:val="18"/>
              </w:rPr>
              <w:t> </w:t>
            </w:r>
            <w:r>
              <w:rPr>
                <w:sz w:val="18"/>
              </w:rPr>
              <w:t>to</w:t>
            </w:r>
            <w:r>
              <w:rPr>
                <w:spacing w:val="-1"/>
                <w:sz w:val="18"/>
              </w:rPr>
              <w:t> </w:t>
            </w:r>
            <w:r>
              <w:rPr>
                <w:sz w:val="18"/>
              </w:rPr>
              <w:t>risk</w:t>
            </w:r>
            <w:r>
              <w:rPr>
                <w:spacing w:val="-1"/>
                <w:sz w:val="18"/>
              </w:rPr>
              <w:t> </w:t>
            </w:r>
            <w:r>
              <w:rPr>
                <w:sz w:val="18"/>
              </w:rPr>
              <w:t>of</w:t>
            </w:r>
            <w:r>
              <w:rPr>
                <w:spacing w:val="-2"/>
                <w:sz w:val="18"/>
              </w:rPr>
              <w:t> bias</w:t>
            </w:r>
            <w:r>
              <w:rPr>
                <w:spacing w:val="-2"/>
                <w:position w:val="5"/>
                <w:sz w:val="12"/>
              </w:rPr>
              <w:t>9</w:t>
            </w:r>
          </w:p>
        </w:tc>
        <w:tc>
          <w:tcPr>
            <w:tcW w:w="4325" w:type="dxa"/>
          </w:tcPr>
          <w:p>
            <w:pPr>
              <w:pStyle w:val="TableParagraph"/>
              <w:spacing w:before="194"/>
              <w:rPr>
                <w:sz w:val="18"/>
              </w:rPr>
            </w:pPr>
          </w:p>
          <w:p>
            <w:pPr>
              <w:pStyle w:val="TableParagraph"/>
              <w:spacing w:line="278" w:lineRule="auto"/>
              <w:ind w:left="8" w:right="454"/>
              <w:jc w:val="both"/>
              <w:rPr>
                <w:sz w:val="18"/>
              </w:rPr>
            </w:pPr>
            <w:r>
              <w:rPr>
                <w:sz w:val="18"/>
              </w:rPr>
              <w:t>There</w:t>
            </w:r>
            <w:r>
              <w:rPr>
                <w:spacing w:val="-4"/>
                <w:sz w:val="18"/>
              </w:rPr>
              <w:t> </w:t>
            </w:r>
            <w:r>
              <w:rPr>
                <w:sz w:val="18"/>
              </w:rPr>
              <w:t>is</w:t>
            </w:r>
            <w:r>
              <w:rPr>
                <w:spacing w:val="-3"/>
                <w:sz w:val="18"/>
              </w:rPr>
              <w:t> </w:t>
            </w:r>
            <w:r>
              <w:rPr>
                <w:sz w:val="18"/>
              </w:rPr>
              <w:t>likely</w:t>
            </w:r>
            <w:r>
              <w:rPr>
                <w:spacing w:val="-2"/>
                <w:sz w:val="18"/>
              </w:rPr>
              <w:t> </w:t>
            </w:r>
            <w:r>
              <w:rPr>
                <w:sz w:val="18"/>
              </w:rPr>
              <w:t>little</w:t>
            </w:r>
            <w:r>
              <w:rPr>
                <w:spacing w:val="-3"/>
                <w:sz w:val="18"/>
              </w:rPr>
              <w:t> </w:t>
            </w:r>
            <w:r>
              <w:rPr>
                <w:sz w:val="18"/>
              </w:rPr>
              <w:t>to</w:t>
            </w:r>
            <w:r>
              <w:rPr>
                <w:spacing w:val="-2"/>
                <w:sz w:val="18"/>
              </w:rPr>
              <w:t> </w:t>
            </w:r>
            <w:r>
              <w:rPr>
                <w:sz w:val="18"/>
              </w:rPr>
              <w:t>no</w:t>
            </w:r>
            <w:r>
              <w:rPr>
                <w:spacing w:val="-2"/>
                <w:sz w:val="18"/>
              </w:rPr>
              <w:t> </w:t>
            </w:r>
            <w:r>
              <w:rPr>
                <w:sz w:val="18"/>
              </w:rPr>
              <w:t>effect</w:t>
            </w:r>
            <w:r>
              <w:rPr>
                <w:spacing w:val="-2"/>
                <w:sz w:val="18"/>
              </w:rPr>
              <w:t> </w:t>
            </w:r>
            <w:r>
              <w:rPr>
                <w:sz w:val="18"/>
              </w:rPr>
              <w:t>of aspirin</w:t>
            </w:r>
            <w:r>
              <w:rPr>
                <w:spacing w:val="-3"/>
                <w:sz w:val="18"/>
              </w:rPr>
              <w:t> </w:t>
            </w:r>
            <w:r>
              <w:rPr>
                <w:sz w:val="18"/>
              </w:rPr>
              <w:t>on</w:t>
            </w:r>
            <w:r>
              <w:rPr>
                <w:spacing w:val="-3"/>
                <w:sz w:val="18"/>
              </w:rPr>
              <w:t> </w:t>
            </w:r>
            <w:r>
              <w:rPr>
                <w:sz w:val="18"/>
              </w:rPr>
              <w:t>adverse events,</w:t>
            </w:r>
            <w:r>
              <w:rPr>
                <w:spacing w:val="-7"/>
                <w:sz w:val="18"/>
              </w:rPr>
              <w:t> </w:t>
            </w:r>
            <w:r>
              <w:rPr>
                <w:sz w:val="18"/>
              </w:rPr>
              <w:t>when</w:t>
            </w:r>
            <w:r>
              <w:rPr>
                <w:spacing w:val="-8"/>
                <w:sz w:val="18"/>
              </w:rPr>
              <w:t> </w:t>
            </w:r>
            <w:r>
              <w:rPr>
                <w:sz w:val="18"/>
              </w:rPr>
              <w:t>compared</w:t>
            </w:r>
            <w:r>
              <w:rPr>
                <w:spacing w:val="-8"/>
                <w:sz w:val="18"/>
              </w:rPr>
              <w:t> </w:t>
            </w:r>
            <w:r>
              <w:rPr>
                <w:sz w:val="18"/>
              </w:rPr>
              <w:t>with</w:t>
            </w:r>
            <w:r>
              <w:rPr>
                <w:spacing w:val="-6"/>
                <w:sz w:val="18"/>
              </w:rPr>
              <w:t> </w:t>
            </w:r>
            <w:r>
              <w:rPr>
                <w:sz w:val="18"/>
              </w:rPr>
              <w:t>rivaroxaban</w:t>
            </w:r>
            <w:r>
              <w:rPr>
                <w:spacing w:val="-8"/>
                <w:sz w:val="18"/>
              </w:rPr>
              <w:t> </w:t>
            </w:r>
            <w:r>
              <w:rPr>
                <w:sz w:val="18"/>
              </w:rPr>
              <w:t>in</w:t>
            </w:r>
            <w:r>
              <w:rPr>
                <w:spacing w:val="-8"/>
                <w:sz w:val="18"/>
              </w:rPr>
              <w:t> </w:t>
            </w:r>
            <w:r>
              <w:rPr>
                <w:sz w:val="18"/>
              </w:rPr>
              <w:t>children with an indication for the Fontan procedure</w:t>
            </w:r>
          </w:p>
          <w:p>
            <w:pPr>
              <w:pStyle w:val="TableParagraph"/>
              <w:rPr>
                <w:sz w:val="18"/>
              </w:rPr>
            </w:pPr>
          </w:p>
          <w:p>
            <w:pPr>
              <w:pStyle w:val="TableParagraph"/>
              <w:spacing w:before="137"/>
              <w:rPr>
                <w:sz w:val="18"/>
              </w:rPr>
            </w:pPr>
          </w:p>
          <w:p>
            <w:pPr>
              <w:pStyle w:val="TableParagraph"/>
              <w:ind w:left="8"/>
              <w:jc w:val="both"/>
              <w:rPr>
                <w:sz w:val="18"/>
              </w:rPr>
            </w:pPr>
            <w:r>
              <w:rPr>
                <w:sz w:val="18"/>
              </w:rPr>
              <w:t>(McCrindle,</w:t>
            </w:r>
            <w:r>
              <w:rPr>
                <w:spacing w:val="-5"/>
                <w:sz w:val="18"/>
              </w:rPr>
              <w:t> </w:t>
            </w:r>
            <w:r>
              <w:rPr>
                <w:spacing w:val="-2"/>
                <w:sz w:val="18"/>
              </w:rPr>
              <w:t>2021)</w:t>
            </w:r>
          </w:p>
        </w:tc>
      </w:tr>
      <w:tr>
        <w:trPr>
          <w:trHeight w:val="2076" w:hRule="atLeast"/>
        </w:trPr>
        <w:tc>
          <w:tcPr>
            <w:tcW w:w="2148" w:type="dxa"/>
          </w:tcPr>
          <w:p>
            <w:pPr>
              <w:pStyle w:val="TableParagraph"/>
              <w:numPr>
                <w:ilvl w:val="0"/>
                <w:numId w:val="52"/>
              </w:numPr>
              <w:tabs>
                <w:tab w:pos="727" w:val="left" w:leader="none"/>
              </w:tabs>
              <w:spacing w:line="273" w:lineRule="auto" w:before="0" w:after="0"/>
              <w:ind w:left="727" w:right="557" w:hanging="360"/>
              <w:jc w:val="left"/>
              <w:rPr>
                <w:sz w:val="18"/>
              </w:rPr>
            </w:pPr>
            <w:r>
              <w:rPr>
                <w:spacing w:val="-2"/>
                <w:sz w:val="18"/>
              </w:rPr>
              <w:t>Mortality</w:t>
            </w:r>
            <w:r>
              <w:rPr>
                <w:sz w:val="18"/>
              </w:rPr>
              <w:t> </w:t>
            </w:r>
            <w:r>
              <w:rPr>
                <w:spacing w:val="-2"/>
                <w:sz w:val="18"/>
              </w:rPr>
              <w:t>(important)</w:t>
            </w:r>
          </w:p>
          <w:p>
            <w:pPr>
              <w:pStyle w:val="TableParagraph"/>
              <w:numPr>
                <w:ilvl w:val="0"/>
                <w:numId w:val="52"/>
              </w:numPr>
              <w:tabs>
                <w:tab w:pos="727" w:val="left" w:leader="none"/>
              </w:tabs>
              <w:spacing w:line="271" w:lineRule="auto" w:before="167" w:after="0"/>
              <w:ind w:left="727" w:right="419" w:hanging="360"/>
              <w:jc w:val="left"/>
              <w:rPr>
                <w:sz w:val="18"/>
              </w:rPr>
            </w:pPr>
            <w:r>
              <w:rPr>
                <w:sz w:val="18"/>
              </w:rPr>
              <w:t>Quality</w:t>
            </w:r>
            <w:r>
              <w:rPr>
                <w:spacing w:val="-11"/>
                <w:sz w:val="18"/>
              </w:rPr>
              <w:t> </w:t>
            </w:r>
            <w:r>
              <w:rPr>
                <w:sz w:val="18"/>
              </w:rPr>
              <w:t>of</w:t>
            </w:r>
            <w:r>
              <w:rPr>
                <w:spacing w:val="-10"/>
                <w:sz w:val="18"/>
              </w:rPr>
              <w:t> </w:t>
            </w:r>
            <w:r>
              <w:rPr>
                <w:sz w:val="18"/>
              </w:rPr>
              <w:t>life </w:t>
            </w:r>
            <w:r>
              <w:rPr>
                <w:spacing w:val="-2"/>
                <w:sz w:val="18"/>
              </w:rPr>
              <w:t>(QOL)</w:t>
            </w:r>
          </w:p>
        </w:tc>
        <w:tc>
          <w:tcPr>
            <w:tcW w:w="3058"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2"/>
              <w:rPr>
                <w:sz w:val="18"/>
              </w:rPr>
            </w:pPr>
          </w:p>
          <w:p>
            <w:pPr>
              <w:pStyle w:val="TableParagraph"/>
              <w:ind w:left="7"/>
              <w:rPr>
                <w:sz w:val="18"/>
              </w:rPr>
            </w:pPr>
            <w:r>
              <w:rPr>
                <w:spacing w:val="-10"/>
                <w:sz w:val="18"/>
              </w:rPr>
              <w:t>-</w:t>
            </w:r>
          </w:p>
        </w:tc>
        <w:tc>
          <w:tcPr>
            <w:tcW w:w="2378"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2"/>
              <w:rPr>
                <w:sz w:val="18"/>
              </w:rPr>
            </w:pPr>
          </w:p>
          <w:p>
            <w:pPr>
              <w:pStyle w:val="TableParagraph"/>
              <w:ind w:left="7"/>
              <w:rPr>
                <w:sz w:val="18"/>
              </w:rPr>
            </w:pPr>
            <w:r>
              <w:rPr>
                <w:spacing w:val="-10"/>
                <w:sz w:val="18"/>
              </w:rPr>
              <w:t>-</w:t>
            </w:r>
          </w:p>
        </w:tc>
        <w:tc>
          <w:tcPr>
            <w:tcW w:w="2035" w:type="dxa"/>
          </w:tcPr>
          <w:p>
            <w:pPr>
              <w:pStyle w:val="TableParagraph"/>
              <w:spacing w:before="194"/>
              <w:rPr>
                <w:sz w:val="18"/>
              </w:rPr>
            </w:pPr>
          </w:p>
          <w:p>
            <w:pPr>
              <w:pStyle w:val="TableParagraph"/>
              <w:ind w:left="7"/>
              <w:rPr>
                <w:b/>
                <w:sz w:val="18"/>
              </w:rPr>
            </w:pPr>
            <w:r>
              <w:rPr>
                <w:b/>
                <w:sz w:val="18"/>
              </w:rPr>
              <w:t>No</w:t>
            </w:r>
            <w:r>
              <w:rPr>
                <w:b/>
                <w:spacing w:val="-5"/>
                <w:sz w:val="18"/>
              </w:rPr>
              <w:t> </w:t>
            </w:r>
            <w:r>
              <w:rPr>
                <w:b/>
                <w:spacing w:val="-2"/>
                <w:sz w:val="18"/>
              </w:rPr>
              <w:t>GRADE</w:t>
            </w:r>
          </w:p>
          <w:p>
            <w:pPr>
              <w:pStyle w:val="TableParagraph"/>
              <w:spacing w:before="35"/>
              <w:ind w:left="7"/>
              <w:rPr>
                <w:sz w:val="18"/>
              </w:rPr>
            </w:pPr>
            <w:r>
              <w:rPr>
                <w:sz w:val="18"/>
              </w:rPr>
              <w:t>(No</w:t>
            </w:r>
            <w:r>
              <w:rPr>
                <w:spacing w:val="-4"/>
                <w:sz w:val="18"/>
              </w:rPr>
              <w:t> </w:t>
            </w:r>
            <w:r>
              <w:rPr>
                <w:sz w:val="18"/>
              </w:rPr>
              <w:t>evidence</w:t>
            </w:r>
            <w:r>
              <w:rPr>
                <w:spacing w:val="-4"/>
                <w:sz w:val="18"/>
              </w:rPr>
              <w:t> </w:t>
            </w:r>
            <w:r>
              <w:rPr>
                <w:sz w:val="18"/>
              </w:rPr>
              <w:t>was</w:t>
            </w:r>
            <w:r>
              <w:rPr>
                <w:spacing w:val="-3"/>
                <w:sz w:val="18"/>
              </w:rPr>
              <w:t> </w:t>
            </w:r>
            <w:r>
              <w:rPr>
                <w:spacing w:val="-2"/>
                <w:sz w:val="18"/>
              </w:rPr>
              <w:t>found)</w:t>
            </w:r>
          </w:p>
        </w:tc>
        <w:tc>
          <w:tcPr>
            <w:tcW w:w="4325" w:type="dxa"/>
          </w:tcPr>
          <w:p>
            <w:pPr>
              <w:pStyle w:val="TableParagraph"/>
              <w:spacing w:before="194"/>
              <w:rPr>
                <w:sz w:val="18"/>
              </w:rPr>
            </w:pPr>
          </w:p>
          <w:p>
            <w:pPr>
              <w:pStyle w:val="TableParagraph"/>
              <w:spacing w:line="278" w:lineRule="auto"/>
              <w:ind w:left="8" w:right="147"/>
              <w:jc w:val="both"/>
              <w:rPr>
                <w:sz w:val="18"/>
              </w:rPr>
            </w:pPr>
            <w:r>
              <w:rPr>
                <w:sz w:val="18"/>
              </w:rPr>
              <w:t>No</w:t>
            </w:r>
            <w:r>
              <w:rPr>
                <w:spacing w:val="-5"/>
                <w:sz w:val="18"/>
              </w:rPr>
              <w:t> </w:t>
            </w:r>
            <w:r>
              <w:rPr>
                <w:sz w:val="18"/>
              </w:rPr>
              <w:t>evidence</w:t>
            </w:r>
            <w:r>
              <w:rPr>
                <w:spacing w:val="-5"/>
                <w:sz w:val="18"/>
              </w:rPr>
              <w:t> </w:t>
            </w:r>
            <w:r>
              <w:rPr>
                <w:sz w:val="18"/>
              </w:rPr>
              <w:t>was</w:t>
            </w:r>
            <w:r>
              <w:rPr>
                <w:spacing w:val="-5"/>
                <w:sz w:val="18"/>
              </w:rPr>
              <w:t> </w:t>
            </w:r>
            <w:r>
              <w:rPr>
                <w:sz w:val="18"/>
              </w:rPr>
              <w:t>found</w:t>
            </w:r>
            <w:r>
              <w:rPr>
                <w:spacing w:val="-5"/>
                <w:sz w:val="18"/>
              </w:rPr>
              <w:t> </w:t>
            </w:r>
            <w:r>
              <w:rPr>
                <w:sz w:val="18"/>
              </w:rPr>
              <w:t>regarding</w:t>
            </w:r>
            <w:r>
              <w:rPr>
                <w:spacing w:val="-3"/>
                <w:sz w:val="18"/>
              </w:rPr>
              <w:t> </w:t>
            </w:r>
            <w:r>
              <w:rPr>
                <w:sz w:val="18"/>
              </w:rPr>
              <w:t>the</w:t>
            </w:r>
            <w:r>
              <w:rPr>
                <w:spacing w:val="-5"/>
                <w:sz w:val="18"/>
              </w:rPr>
              <w:t> </w:t>
            </w:r>
            <w:r>
              <w:rPr>
                <w:sz w:val="18"/>
              </w:rPr>
              <w:t>effect</w:t>
            </w:r>
            <w:r>
              <w:rPr>
                <w:spacing w:val="-5"/>
                <w:sz w:val="18"/>
              </w:rPr>
              <w:t> </w:t>
            </w:r>
            <w:r>
              <w:rPr>
                <w:sz w:val="18"/>
              </w:rPr>
              <w:t>of</w:t>
            </w:r>
            <w:r>
              <w:rPr>
                <w:spacing w:val="-5"/>
                <w:sz w:val="18"/>
              </w:rPr>
              <w:t> </w:t>
            </w:r>
            <w:r>
              <w:rPr>
                <w:sz w:val="18"/>
              </w:rPr>
              <w:t>aspirin</w:t>
            </w:r>
            <w:r>
              <w:rPr>
                <w:spacing w:val="-5"/>
                <w:sz w:val="18"/>
              </w:rPr>
              <w:t> </w:t>
            </w:r>
            <w:r>
              <w:rPr>
                <w:sz w:val="18"/>
              </w:rPr>
              <w:t>on mortality,</w:t>
            </w:r>
            <w:r>
              <w:rPr>
                <w:spacing w:val="-3"/>
                <w:sz w:val="18"/>
              </w:rPr>
              <w:t> </w:t>
            </w:r>
            <w:r>
              <w:rPr>
                <w:sz w:val="18"/>
              </w:rPr>
              <w:t>and</w:t>
            </w:r>
            <w:r>
              <w:rPr>
                <w:spacing w:val="-4"/>
                <w:sz w:val="18"/>
              </w:rPr>
              <w:t> </w:t>
            </w:r>
            <w:r>
              <w:rPr>
                <w:sz w:val="18"/>
              </w:rPr>
              <w:t>quality</w:t>
            </w:r>
            <w:r>
              <w:rPr>
                <w:spacing w:val="-3"/>
                <w:sz w:val="18"/>
              </w:rPr>
              <w:t> </w:t>
            </w:r>
            <w:r>
              <w:rPr>
                <w:sz w:val="18"/>
              </w:rPr>
              <w:t>of</w:t>
            </w:r>
            <w:r>
              <w:rPr>
                <w:spacing w:val="-4"/>
                <w:sz w:val="18"/>
              </w:rPr>
              <w:t> </w:t>
            </w:r>
            <w:r>
              <w:rPr>
                <w:sz w:val="18"/>
              </w:rPr>
              <w:t>life</w:t>
            </w:r>
            <w:r>
              <w:rPr>
                <w:spacing w:val="-3"/>
                <w:sz w:val="18"/>
              </w:rPr>
              <w:t> </w:t>
            </w:r>
            <w:r>
              <w:rPr>
                <w:sz w:val="18"/>
              </w:rPr>
              <w:t>(QOL),</w:t>
            </w:r>
            <w:r>
              <w:rPr>
                <w:spacing w:val="-3"/>
                <w:sz w:val="18"/>
              </w:rPr>
              <w:t> </w:t>
            </w:r>
            <w:r>
              <w:rPr>
                <w:sz w:val="18"/>
              </w:rPr>
              <w:t>when</w:t>
            </w:r>
            <w:r>
              <w:rPr>
                <w:spacing w:val="-4"/>
                <w:sz w:val="18"/>
              </w:rPr>
              <w:t> </w:t>
            </w:r>
            <w:r>
              <w:rPr>
                <w:sz w:val="18"/>
              </w:rPr>
              <w:t>compared</w:t>
            </w:r>
            <w:r>
              <w:rPr>
                <w:spacing w:val="-4"/>
                <w:sz w:val="18"/>
              </w:rPr>
              <w:t> </w:t>
            </w:r>
            <w:r>
              <w:rPr>
                <w:sz w:val="18"/>
              </w:rPr>
              <w:t>with rivaroxaban</w:t>
            </w:r>
            <w:r>
              <w:rPr>
                <w:spacing w:val="-2"/>
                <w:sz w:val="18"/>
              </w:rPr>
              <w:t> </w:t>
            </w:r>
            <w:r>
              <w:rPr>
                <w:sz w:val="18"/>
              </w:rPr>
              <w:t>in</w:t>
            </w:r>
            <w:r>
              <w:rPr>
                <w:spacing w:val="-2"/>
                <w:sz w:val="18"/>
              </w:rPr>
              <w:t> </w:t>
            </w:r>
            <w:r>
              <w:rPr>
                <w:sz w:val="18"/>
              </w:rPr>
              <w:t>children</w:t>
            </w:r>
            <w:r>
              <w:rPr>
                <w:spacing w:val="-2"/>
                <w:sz w:val="18"/>
              </w:rPr>
              <w:t> </w:t>
            </w:r>
            <w:r>
              <w:rPr>
                <w:sz w:val="18"/>
              </w:rPr>
              <w:t>with</w:t>
            </w:r>
            <w:r>
              <w:rPr>
                <w:spacing w:val="-1"/>
                <w:sz w:val="18"/>
              </w:rPr>
              <w:t> </w:t>
            </w:r>
            <w:r>
              <w:rPr>
                <w:sz w:val="18"/>
              </w:rPr>
              <w:t>an</w:t>
            </w:r>
            <w:r>
              <w:rPr>
                <w:spacing w:val="-2"/>
                <w:sz w:val="18"/>
              </w:rPr>
              <w:t> </w:t>
            </w:r>
            <w:r>
              <w:rPr>
                <w:sz w:val="18"/>
              </w:rPr>
              <w:t>indication</w:t>
            </w:r>
            <w:r>
              <w:rPr>
                <w:spacing w:val="-2"/>
                <w:sz w:val="18"/>
              </w:rPr>
              <w:t> </w:t>
            </w:r>
            <w:r>
              <w:rPr>
                <w:sz w:val="18"/>
              </w:rPr>
              <w:t>for</w:t>
            </w:r>
            <w:r>
              <w:rPr>
                <w:spacing w:val="-1"/>
                <w:sz w:val="18"/>
              </w:rPr>
              <w:t> </w:t>
            </w:r>
            <w:r>
              <w:rPr>
                <w:sz w:val="18"/>
              </w:rPr>
              <w:t>the</w:t>
            </w:r>
            <w:r>
              <w:rPr>
                <w:spacing w:val="-2"/>
                <w:sz w:val="18"/>
              </w:rPr>
              <w:t> </w:t>
            </w:r>
            <w:r>
              <w:rPr>
                <w:sz w:val="18"/>
              </w:rPr>
              <w:t>Fontan </w:t>
            </w:r>
            <w:r>
              <w:rPr>
                <w:spacing w:val="-2"/>
                <w:sz w:val="18"/>
              </w:rPr>
              <w:t>procedure</w:t>
            </w:r>
          </w:p>
        </w:tc>
      </w:tr>
    </w:tbl>
    <w:p>
      <w:pPr>
        <w:pStyle w:val="ListParagraph"/>
        <w:numPr>
          <w:ilvl w:val="0"/>
          <w:numId w:val="53"/>
        </w:numPr>
        <w:tabs>
          <w:tab w:pos="160" w:val="left" w:leader="none"/>
        </w:tabs>
        <w:spacing w:line="280" w:lineRule="auto" w:before="0" w:after="0"/>
        <w:ind w:left="23" w:right="724" w:firstLine="0"/>
        <w:jc w:val="left"/>
        <w:rPr>
          <w:sz w:val="18"/>
        </w:rPr>
      </w:pPr>
      <w:r>
        <w:rPr>
          <w:b/>
          <w:sz w:val="18"/>
        </w:rPr>
        <w:t>Risk</w:t>
      </w:r>
      <w:r>
        <w:rPr>
          <w:b/>
          <w:spacing w:val="-1"/>
          <w:sz w:val="18"/>
        </w:rPr>
        <w:t> </w:t>
      </w:r>
      <w:r>
        <w:rPr>
          <w:b/>
          <w:sz w:val="18"/>
        </w:rPr>
        <w:t>of</w:t>
      </w:r>
      <w:r>
        <w:rPr>
          <w:b/>
          <w:spacing w:val="-2"/>
          <w:sz w:val="18"/>
        </w:rPr>
        <w:t> </w:t>
      </w:r>
      <w:r>
        <w:rPr>
          <w:b/>
          <w:sz w:val="18"/>
        </w:rPr>
        <w:t>bias:</w:t>
      </w:r>
      <w:r>
        <w:rPr>
          <w:b/>
          <w:spacing w:val="-1"/>
          <w:sz w:val="18"/>
        </w:rPr>
        <w:t> </w:t>
      </w:r>
      <w:r>
        <w:rPr>
          <w:b/>
          <w:sz w:val="18"/>
        </w:rPr>
        <w:t>some</w:t>
      </w:r>
      <w:r>
        <w:rPr>
          <w:b/>
          <w:spacing w:val="-2"/>
          <w:sz w:val="18"/>
        </w:rPr>
        <w:t> </w:t>
      </w:r>
      <w:r>
        <w:rPr>
          <w:b/>
          <w:sz w:val="18"/>
        </w:rPr>
        <w:t>concerns</w:t>
      </w:r>
      <w:r>
        <w:rPr>
          <w:b/>
          <w:spacing w:val="-1"/>
          <w:sz w:val="18"/>
        </w:rPr>
        <w:t> </w:t>
      </w:r>
      <w:r>
        <w:rPr>
          <w:b/>
          <w:sz w:val="18"/>
        </w:rPr>
        <w:t>(-1 level).</w:t>
      </w:r>
      <w:r>
        <w:rPr>
          <w:b/>
          <w:spacing w:val="-1"/>
          <w:sz w:val="18"/>
        </w:rPr>
        <w:t> </w:t>
      </w:r>
      <w:r>
        <w:rPr>
          <w:sz w:val="18"/>
        </w:rPr>
        <w:t>No</w:t>
      </w:r>
      <w:r>
        <w:rPr>
          <w:spacing w:val="-1"/>
          <w:sz w:val="18"/>
        </w:rPr>
        <w:t> </w:t>
      </w:r>
      <w:r>
        <w:rPr>
          <w:sz w:val="18"/>
        </w:rPr>
        <w:t>exclusion</w:t>
      </w:r>
      <w:r>
        <w:rPr>
          <w:spacing w:val="-2"/>
          <w:sz w:val="18"/>
        </w:rPr>
        <w:t> </w:t>
      </w:r>
      <w:r>
        <w:rPr>
          <w:sz w:val="18"/>
        </w:rPr>
        <w:t>criteria</w:t>
      </w:r>
      <w:r>
        <w:rPr>
          <w:spacing w:val="-2"/>
          <w:sz w:val="18"/>
        </w:rPr>
        <w:t> </w:t>
      </w:r>
      <w:r>
        <w:rPr>
          <w:sz w:val="18"/>
        </w:rPr>
        <w:t>were</w:t>
      </w:r>
      <w:r>
        <w:rPr>
          <w:spacing w:val="-1"/>
          <w:sz w:val="18"/>
        </w:rPr>
        <w:t> </w:t>
      </w:r>
      <w:r>
        <w:rPr>
          <w:sz w:val="18"/>
        </w:rPr>
        <w:t>defined,</w:t>
      </w:r>
      <w:r>
        <w:rPr>
          <w:spacing w:val="-1"/>
          <w:sz w:val="18"/>
        </w:rPr>
        <w:t> </w:t>
      </w:r>
      <w:r>
        <w:rPr>
          <w:sz w:val="18"/>
        </w:rPr>
        <w:t>and it</w:t>
      </w:r>
      <w:r>
        <w:rPr>
          <w:spacing w:val="-1"/>
          <w:sz w:val="18"/>
        </w:rPr>
        <w:t> </w:t>
      </w:r>
      <w:r>
        <w:rPr>
          <w:sz w:val="18"/>
        </w:rPr>
        <w:t>is unclear</w:t>
      </w:r>
      <w:r>
        <w:rPr>
          <w:spacing w:val="-1"/>
          <w:sz w:val="18"/>
        </w:rPr>
        <w:t> </w:t>
      </w:r>
      <w:r>
        <w:rPr>
          <w:sz w:val="18"/>
        </w:rPr>
        <w:t>whether</w:t>
      </w:r>
      <w:r>
        <w:rPr>
          <w:spacing w:val="-1"/>
          <w:sz w:val="18"/>
        </w:rPr>
        <w:t> </w:t>
      </w:r>
      <w:r>
        <w:rPr>
          <w:sz w:val="18"/>
        </w:rPr>
        <w:t>the</w:t>
      </w:r>
      <w:r>
        <w:rPr>
          <w:spacing w:val="-2"/>
          <w:sz w:val="18"/>
        </w:rPr>
        <w:t> </w:t>
      </w:r>
      <w:r>
        <w:rPr>
          <w:sz w:val="18"/>
        </w:rPr>
        <w:t>outcomes</w:t>
      </w:r>
      <w:r>
        <w:rPr>
          <w:spacing w:val="-2"/>
          <w:sz w:val="18"/>
        </w:rPr>
        <w:t> </w:t>
      </w:r>
      <w:r>
        <w:rPr>
          <w:sz w:val="18"/>
        </w:rPr>
        <w:t>of</w:t>
      </w:r>
      <w:r>
        <w:rPr>
          <w:spacing w:val="-2"/>
          <w:sz w:val="18"/>
        </w:rPr>
        <w:t> </w:t>
      </w:r>
      <w:r>
        <w:rPr>
          <w:sz w:val="18"/>
        </w:rPr>
        <w:t>interest</w:t>
      </w:r>
      <w:r>
        <w:rPr>
          <w:spacing w:val="-1"/>
          <w:sz w:val="18"/>
        </w:rPr>
        <w:t> </w:t>
      </w:r>
      <w:r>
        <w:rPr>
          <w:sz w:val="18"/>
        </w:rPr>
        <w:t>were not</w:t>
      </w:r>
      <w:r>
        <w:rPr>
          <w:spacing w:val="-1"/>
          <w:sz w:val="18"/>
        </w:rPr>
        <w:t> </w:t>
      </w:r>
      <w:r>
        <w:rPr>
          <w:sz w:val="18"/>
        </w:rPr>
        <w:t>present</w:t>
      </w:r>
      <w:r>
        <w:rPr>
          <w:spacing w:val="-1"/>
          <w:sz w:val="18"/>
        </w:rPr>
        <w:t> </w:t>
      </w:r>
      <w:r>
        <w:rPr>
          <w:sz w:val="18"/>
        </w:rPr>
        <w:t>at</w:t>
      </w:r>
      <w:r>
        <w:rPr>
          <w:spacing w:val="-1"/>
          <w:sz w:val="18"/>
        </w:rPr>
        <w:t> </w:t>
      </w:r>
      <w:r>
        <w:rPr>
          <w:sz w:val="18"/>
        </w:rPr>
        <w:t>the</w:t>
      </w:r>
      <w:r>
        <w:rPr>
          <w:spacing w:val="-2"/>
          <w:sz w:val="18"/>
        </w:rPr>
        <w:t> </w:t>
      </w:r>
      <w:r>
        <w:rPr>
          <w:sz w:val="18"/>
        </w:rPr>
        <w:t>start</w:t>
      </w:r>
      <w:r>
        <w:rPr>
          <w:spacing w:val="-1"/>
          <w:sz w:val="18"/>
        </w:rPr>
        <w:t> </w:t>
      </w:r>
      <w:r>
        <w:rPr>
          <w:sz w:val="18"/>
        </w:rPr>
        <w:t>of</w:t>
      </w:r>
      <w:r>
        <w:rPr>
          <w:spacing w:val="-2"/>
          <w:sz w:val="18"/>
        </w:rPr>
        <w:t> </w:t>
      </w:r>
      <w:r>
        <w:rPr>
          <w:sz w:val="18"/>
        </w:rPr>
        <w:t>the</w:t>
      </w:r>
      <w:r>
        <w:rPr>
          <w:spacing w:val="-2"/>
          <w:sz w:val="18"/>
        </w:rPr>
        <w:t> </w:t>
      </w:r>
      <w:r>
        <w:rPr>
          <w:sz w:val="18"/>
        </w:rPr>
        <w:t>study.</w:t>
      </w:r>
      <w:r>
        <w:rPr>
          <w:spacing w:val="-1"/>
          <w:sz w:val="18"/>
        </w:rPr>
        <w:t> </w:t>
      </w:r>
      <w:r>
        <w:rPr>
          <w:b/>
          <w:sz w:val="18"/>
        </w:rPr>
        <w:t>Imprecision: very serious (-2 levels). </w:t>
      </w:r>
      <w:r>
        <w:rPr>
          <w:sz w:val="18"/>
        </w:rPr>
        <w:t>The confidence interval crosses both borders of clinical relevance.</w:t>
      </w:r>
    </w:p>
    <w:p>
      <w:pPr>
        <w:pStyle w:val="ListParagraph"/>
        <w:numPr>
          <w:ilvl w:val="0"/>
          <w:numId w:val="53"/>
        </w:numPr>
        <w:tabs>
          <w:tab w:pos="160" w:val="left" w:leader="none"/>
        </w:tabs>
        <w:spacing w:line="280" w:lineRule="auto" w:before="0" w:after="0"/>
        <w:ind w:left="23" w:right="724" w:firstLine="0"/>
        <w:jc w:val="left"/>
        <w:rPr>
          <w:sz w:val="18"/>
        </w:rPr>
      </w:pPr>
      <w:r>
        <w:rPr>
          <w:b/>
          <w:sz w:val="18"/>
        </w:rPr>
        <w:t>Risk</w:t>
      </w:r>
      <w:r>
        <w:rPr>
          <w:b/>
          <w:spacing w:val="-2"/>
          <w:sz w:val="18"/>
        </w:rPr>
        <w:t> </w:t>
      </w:r>
      <w:r>
        <w:rPr>
          <w:b/>
          <w:sz w:val="18"/>
        </w:rPr>
        <w:t>of</w:t>
      </w:r>
      <w:r>
        <w:rPr>
          <w:b/>
          <w:spacing w:val="-2"/>
          <w:sz w:val="18"/>
        </w:rPr>
        <w:t> </w:t>
      </w:r>
      <w:r>
        <w:rPr>
          <w:b/>
          <w:sz w:val="18"/>
        </w:rPr>
        <w:t>bias:</w:t>
      </w:r>
      <w:r>
        <w:rPr>
          <w:b/>
          <w:spacing w:val="-2"/>
          <w:sz w:val="18"/>
        </w:rPr>
        <w:t> </w:t>
      </w:r>
      <w:r>
        <w:rPr>
          <w:b/>
          <w:sz w:val="18"/>
        </w:rPr>
        <w:t>some</w:t>
      </w:r>
      <w:r>
        <w:rPr>
          <w:b/>
          <w:spacing w:val="-2"/>
          <w:sz w:val="18"/>
        </w:rPr>
        <w:t> </w:t>
      </w:r>
      <w:r>
        <w:rPr>
          <w:b/>
          <w:sz w:val="18"/>
        </w:rPr>
        <w:t>concerns</w:t>
      </w:r>
      <w:r>
        <w:rPr>
          <w:b/>
          <w:spacing w:val="-2"/>
          <w:sz w:val="18"/>
        </w:rPr>
        <w:t> </w:t>
      </w:r>
      <w:r>
        <w:rPr>
          <w:b/>
          <w:sz w:val="18"/>
        </w:rPr>
        <w:t>(-1 level).</w:t>
      </w:r>
      <w:r>
        <w:rPr>
          <w:b/>
          <w:spacing w:val="-2"/>
          <w:sz w:val="18"/>
        </w:rPr>
        <w:t> </w:t>
      </w:r>
      <w:r>
        <w:rPr>
          <w:sz w:val="18"/>
        </w:rPr>
        <w:t>No</w:t>
      </w:r>
      <w:r>
        <w:rPr>
          <w:spacing w:val="-2"/>
          <w:sz w:val="18"/>
        </w:rPr>
        <w:t> </w:t>
      </w:r>
      <w:r>
        <w:rPr>
          <w:sz w:val="18"/>
        </w:rPr>
        <w:t>exclusion</w:t>
      </w:r>
      <w:r>
        <w:rPr>
          <w:spacing w:val="-2"/>
          <w:sz w:val="18"/>
        </w:rPr>
        <w:t> </w:t>
      </w:r>
      <w:r>
        <w:rPr>
          <w:sz w:val="18"/>
        </w:rPr>
        <w:t>criteria</w:t>
      </w:r>
      <w:r>
        <w:rPr>
          <w:spacing w:val="-2"/>
          <w:sz w:val="18"/>
        </w:rPr>
        <w:t> </w:t>
      </w:r>
      <w:r>
        <w:rPr>
          <w:sz w:val="18"/>
        </w:rPr>
        <w:t>were</w:t>
      </w:r>
      <w:r>
        <w:rPr>
          <w:spacing w:val="-2"/>
          <w:sz w:val="18"/>
        </w:rPr>
        <w:t> </w:t>
      </w:r>
      <w:r>
        <w:rPr>
          <w:sz w:val="18"/>
        </w:rPr>
        <w:t>defined,</w:t>
      </w:r>
      <w:r>
        <w:rPr>
          <w:spacing w:val="-2"/>
          <w:sz w:val="18"/>
        </w:rPr>
        <w:t> </w:t>
      </w:r>
      <w:r>
        <w:rPr>
          <w:sz w:val="18"/>
        </w:rPr>
        <w:t>and</w:t>
      </w:r>
      <w:r>
        <w:rPr>
          <w:spacing w:val="-1"/>
          <w:sz w:val="18"/>
        </w:rPr>
        <w:t> </w:t>
      </w:r>
      <w:r>
        <w:rPr>
          <w:sz w:val="18"/>
        </w:rPr>
        <w:t>it</w:t>
      </w:r>
      <w:r>
        <w:rPr>
          <w:spacing w:val="-2"/>
          <w:sz w:val="18"/>
        </w:rPr>
        <w:t> </w:t>
      </w:r>
      <w:r>
        <w:rPr>
          <w:sz w:val="18"/>
        </w:rPr>
        <w:t>is</w:t>
      </w:r>
      <w:r>
        <w:rPr>
          <w:spacing w:val="-1"/>
          <w:sz w:val="18"/>
        </w:rPr>
        <w:t> </w:t>
      </w:r>
      <w:r>
        <w:rPr>
          <w:sz w:val="18"/>
        </w:rPr>
        <w:t>unclear</w:t>
      </w:r>
      <w:r>
        <w:rPr>
          <w:spacing w:val="-2"/>
          <w:sz w:val="18"/>
        </w:rPr>
        <w:t> </w:t>
      </w:r>
      <w:r>
        <w:rPr>
          <w:sz w:val="18"/>
        </w:rPr>
        <w:t>whether</w:t>
      </w:r>
      <w:r>
        <w:rPr>
          <w:spacing w:val="-2"/>
          <w:sz w:val="18"/>
        </w:rPr>
        <w:t> </w:t>
      </w:r>
      <w:r>
        <w:rPr>
          <w:sz w:val="18"/>
        </w:rPr>
        <w:t>the</w:t>
      </w:r>
      <w:r>
        <w:rPr>
          <w:spacing w:val="-2"/>
          <w:sz w:val="18"/>
        </w:rPr>
        <w:t> </w:t>
      </w:r>
      <w:r>
        <w:rPr>
          <w:sz w:val="18"/>
        </w:rPr>
        <w:t>outcomes</w:t>
      </w:r>
      <w:r>
        <w:rPr>
          <w:spacing w:val="-2"/>
          <w:sz w:val="18"/>
        </w:rPr>
        <w:t> </w:t>
      </w:r>
      <w:r>
        <w:rPr>
          <w:sz w:val="18"/>
        </w:rPr>
        <w:t>of</w:t>
      </w:r>
      <w:r>
        <w:rPr>
          <w:spacing w:val="-2"/>
          <w:sz w:val="18"/>
        </w:rPr>
        <w:t> </w:t>
      </w:r>
      <w:r>
        <w:rPr>
          <w:sz w:val="18"/>
        </w:rPr>
        <w:t>interest</w:t>
      </w:r>
      <w:r>
        <w:rPr>
          <w:spacing w:val="-2"/>
          <w:sz w:val="18"/>
        </w:rPr>
        <w:t> </w:t>
      </w:r>
      <w:r>
        <w:rPr>
          <w:sz w:val="18"/>
        </w:rPr>
        <w:t>were</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2"/>
          <w:sz w:val="18"/>
        </w:rPr>
        <w:t> </w:t>
      </w:r>
      <w:r>
        <w:rPr>
          <w:sz w:val="18"/>
        </w:rPr>
        <w:t>start</w:t>
      </w:r>
      <w:r>
        <w:rPr>
          <w:spacing w:val="-2"/>
          <w:sz w:val="18"/>
        </w:rPr>
        <w:t> </w:t>
      </w:r>
      <w:r>
        <w:rPr>
          <w:sz w:val="18"/>
        </w:rPr>
        <w:t>of</w:t>
      </w:r>
      <w:r>
        <w:rPr>
          <w:spacing w:val="-2"/>
          <w:sz w:val="18"/>
        </w:rPr>
        <w:t> </w:t>
      </w:r>
      <w:r>
        <w:rPr>
          <w:sz w:val="18"/>
        </w:rPr>
        <w:t>the study.</w:t>
      </w:r>
      <w:r>
        <w:rPr>
          <w:spacing w:val="-2"/>
          <w:sz w:val="18"/>
        </w:rPr>
        <w:t> </w:t>
      </w:r>
      <w:r>
        <w:rPr>
          <w:b/>
          <w:sz w:val="18"/>
        </w:rPr>
        <w:t>Imprecision:</w:t>
      </w:r>
      <w:r>
        <w:rPr>
          <w:b/>
          <w:spacing w:val="-1"/>
          <w:sz w:val="18"/>
        </w:rPr>
        <w:t> </w:t>
      </w:r>
      <w:r>
        <w:rPr>
          <w:b/>
          <w:sz w:val="18"/>
        </w:rPr>
        <w:t>very serious (-2 levels). </w:t>
      </w:r>
      <w:r>
        <w:rPr>
          <w:sz w:val="18"/>
        </w:rPr>
        <w:t>The confidence interval crosses both borders of clinical relevance.</w:t>
      </w:r>
    </w:p>
    <w:p>
      <w:pPr>
        <w:pStyle w:val="ListParagraph"/>
        <w:numPr>
          <w:ilvl w:val="0"/>
          <w:numId w:val="53"/>
        </w:numPr>
        <w:tabs>
          <w:tab w:pos="202" w:val="left" w:leader="none"/>
        </w:tabs>
        <w:spacing w:line="280" w:lineRule="auto" w:before="0" w:after="0"/>
        <w:ind w:left="23" w:right="683" w:firstLine="0"/>
        <w:jc w:val="left"/>
        <w:rPr>
          <w:sz w:val="18"/>
        </w:rPr>
      </w:pPr>
      <w:r>
        <w:rPr>
          <w:b/>
          <w:sz w:val="18"/>
        </w:rPr>
        <w:t>Risk</w:t>
      </w:r>
      <w:r>
        <w:rPr>
          <w:b/>
          <w:spacing w:val="-1"/>
          <w:sz w:val="18"/>
        </w:rPr>
        <w:t> </w:t>
      </w:r>
      <w:r>
        <w:rPr>
          <w:b/>
          <w:sz w:val="18"/>
        </w:rPr>
        <w:t>of</w:t>
      </w:r>
      <w:r>
        <w:rPr>
          <w:b/>
          <w:spacing w:val="-2"/>
          <w:sz w:val="18"/>
        </w:rPr>
        <w:t> </w:t>
      </w:r>
      <w:r>
        <w:rPr>
          <w:b/>
          <w:sz w:val="18"/>
        </w:rPr>
        <w:t>bias:</w:t>
      </w:r>
      <w:r>
        <w:rPr>
          <w:b/>
          <w:spacing w:val="-1"/>
          <w:sz w:val="18"/>
        </w:rPr>
        <w:t> </w:t>
      </w:r>
      <w:r>
        <w:rPr>
          <w:b/>
          <w:sz w:val="18"/>
        </w:rPr>
        <w:t>some</w:t>
      </w:r>
      <w:r>
        <w:rPr>
          <w:b/>
          <w:spacing w:val="-2"/>
          <w:sz w:val="18"/>
        </w:rPr>
        <w:t> </w:t>
      </w:r>
      <w:r>
        <w:rPr>
          <w:b/>
          <w:sz w:val="18"/>
        </w:rPr>
        <w:t>concerns</w:t>
      </w:r>
      <w:r>
        <w:rPr>
          <w:b/>
          <w:spacing w:val="-1"/>
          <w:sz w:val="18"/>
        </w:rPr>
        <w:t> </w:t>
      </w:r>
      <w:r>
        <w:rPr>
          <w:b/>
          <w:sz w:val="18"/>
        </w:rPr>
        <w:t>(-1</w:t>
      </w:r>
      <w:r>
        <w:rPr>
          <w:b/>
          <w:spacing w:val="-1"/>
          <w:sz w:val="18"/>
        </w:rPr>
        <w:t> </w:t>
      </w:r>
      <w:r>
        <w:rPr>
          <w:b/>
          <w:sz w:val="18"/>
        </w:rPr>
        <w:t>level).</w:t>
      </w:r>
      <w:r>
        <w:rPr>
          <w:b/>
          <w:spacing w:val="-1"/>
          <w:sz w:val="18"/>
        </w:rPr>
        <w:t> </w:t>
      </w:r>
      <w:r>
        <w:rPr>
          <w:sz w:val="18"/>
        </w:rPr>
        <w:t>No</w:t>
      </w:r>
      <w:r>
        <w:rPr>
          <w:spacing w:val="-1"/>
          <w:sz w:val="18"/>
        </w:rPr>
        <w:t> </w:t>
      </w:r>
      <w:r>
        <w:rPr>
          <w:sz w:val="18"/>
        </w:rPr>
        <w:t>exclusion</w:t>
      </w:r>
      <w:r>
        <w:rPr>
          <w:spacing w:val="-2"/>
          <w:sz w:val="18"/>
        </w:rPr>
        <w:t> </w:t>
      </w:r>
      <w:r>
        <w:rPr>
          <w:sz w:val="18"/>
        </w:rPr>
        <w:t>criteria</w:t>
      </w:r>
      <w:r>
        <w:rPr>
          <w:spacing w:val="-2"/>
          <w:sz w:val="18"/>
        </w:rPr>
        <w:t> </w:t>
      </w:r>
      <w:r>
        <w:rPr>
          <w:sz w:val="18"/>
        </w:rPr>
        <w:t>were</w:t>
      </w:r>
      <w:r>
        <w:rPr>
          <w:spacing w:val="-2"/>
          <w:sz w:val="18"/>
        </w:rPr>
        <w:t> </w:t>
      </w:r>
      <w:r>
        <w:rPr>
          <w:sz w:val="18"/>
        </w:rPr>
        <w:t>defined,</w:t>
      </w:r>
      <w:r>
        <w:rPr>
          <w:spacing w:val="-1"/>
          <w:sz w:val="18"/>
        </w:rPr>
        <w:t> </w:t>
      </w:r>
      <w:r>
        <w:rPr>
          <w:sz w:val="18"/>
        </w:rPr>
        <w:t>and</w:t>
      </w:r>
      <w:r>
        <w:rPr>
          <w:spacing w:val="-2"/>
          <w:sz w:val="18"/>
        </w:rPr>
        <w:t> </w:t>
      </w:r>
      <w:r>
        <w:rPr>
          <w:sz w:val="18"/>
        </w:rPr>
        <w:t>it</w:t>
      </w:r>
      <w:r>
        <w:rPr>
          <w:spacing w:val="-2"/>
          <w:sz w:val="18"/>
        </w:rPr>
        <w:t> </w:t>
      </w:r>
      <w:r>
        <w:rPr>
          <w:sz w:val="18"/>
        </w:rPr>
        <w:t>is unclear</w:t>
      </w:r>
      <w:r>
        <w:rPr>
          <w:spacing w:val="-1"/>
          <w:sz w:val="18"/>
        </w:rPr>
        <w:t> </w:t>
      </w:r>
      <w:r>
        <w:rPr>
          <w:sz w:val="18"/>
        </w:rPr>
        <w:t>whether</w:t>
      </w:r>
      <w:r>
        <w:rPr>
          <w:spacing w:val="-1"/>
          <w:sz w:val="18"/>
        </w:rPr>
        <w:t> </w:t>
      </w:r>
      <w:r>
        <w:rPr>
          <w:sz w:val="18"/>
        </w:rPr>
        <w:t>the</w:t>
      </w:r>
      <w:r>
        <w:rPr>
          <w:spacing w:val="-2"/>
          <w:sz w:val="18"/>
        </w:rPr>
        <w:t> </w:t>
      </w:r>
      <w:r>
        <w:rPr>
          <w:sz w:val="18"/>
        </w:rPr>
        <w:t>outcomes</w:t>
      </w:r>
      <w:r>
        <w:rPr>
          <w:spacing w:val="-2"/>
          <w:sz w:val="18"/>
        </w:rPr>
        <w:t> </w:t>
      </w:r>
      <w:r>
        <w:rPr>
          <w:sz w:val="18"/>
        </w:rPr>
        <w:t>of</w:t>
      </w:r>
      <w:r>
        <w:rPr>
          <w:spacing w:val="-2"/>
          <w:sz w:val="18"/>
        </w:rPr>
        <w:t> </w:t>
      </w:r>
      <w:r>
        <w:rPr>
          <w:sz w:val="18"/>
        </w:rPr>
        <w:t>interest</w:t>
      </w:r>
      <w:r>
        <w:rPr>
          <w:spacing w:val="-1"/>
          <w:sz w:val="18"/>
        </w:rPr>
        <w:t> </w:t>
      </w:r>
      <w:r>
        <w:rPr>
          <w:sz w:val="18"/>
        </w:rPr>
        <w:t>were not present</w:t>
      </w:r>
      <w:r>
        <w:rPr>
          <w:spacing w:val="-1"/>
          <w:sz w:val="18"/>
        </w:rPr>
        <w:t> </w:t>
      </w:r>
      <w:r>
        <w:rPr>
          <w:sz w:val="18"/>
        </w:rPr>
        <w:t>at</w:t>
      </w:r>
      <w:r>
        <w:rPr>
          <w:spacing w:val="-1"/>
          <w:sz w:val="18"/>
        </w:rPr>
        <w:t> </w:t>
      </w:r>
      <w:r>
        <w:rPr>
          <w:sz w:val="18"/>
        </w:rPr>
        <w:t>the</w:t>
      </w:r>
      <w:r>
        <w:rPr>
          <w:spacing w:val="-2"/>
          <w:sz w:val="18"/>
        </w:rPr>
        <w:t> </w:t>
      </w:r>
      <w:r>
        <w:rPr>
          <w:sz w:val="18"/>
        </w:rPr>
        <w:t>start</w:t>
      </w:r>
      <w:r>
        <w:rPr>
          <w:spacing w:val="-1"/>
          <w:sz w:val="18"/>
        </w:rPr>
        <w:t> </w:t>
      </w:r>
      <w:r>
        <w:rPr>
          <w:sz w:val="18"/>
        </w:rPr>
        <w:t>of</w:t>
      </w:r>
      <w:r>
        <w:rPr>
          <w:spacing w:val="-2"/>
          <w:sz w:val="18"/>
        </w:rPr>
        <w:t> </w:t>
      </w:r>
      <w:r>
        <w:rPr>
          <w:sz w:val="18"/>
        </w:rPr>
        <w:t>the</w:t>
      </w:r>
      <w:r>
        <w:rPr>
          <w:spacing w:val="-2"/>
          <w:sz w:val="18"/>
        </w:rPr>
        <w:t> </w:t>
      </w:r>
      <w:r>
        <w:rPr>
          <w:sz w:val="18"/>
        </w:rPr>
        <w:t>study. </w:t>
      </w:r>
      <w:r>
        <w:rPr>
          <w:b/>
          <w:sz w:val="18"/>
        </w:rPr>
        <w:t>Imprecision: very serious (-2 levels). </w:t>
      </w:r>
      <w:r>
        <w:rPr>
          <w:sz w:val="18"/>
        </w:rPr>
        <w:t>The confidence interval crosses both borders of clinical relevance.</w:t>
      </w:r>
    </w:p>
    <w:p>
      <w:pPr>
        <w:pStyle w:val="ListParagraph"/>
        <w:numPr>
          <w:ilvl w:val="0"/>
          <w:numId w:val="53"/>
        </w:numPr>
        <w:tabs>
          <w:tab w:pos="202" w:val="left" w:leader="none"/>
        </w:tabs>
        <w:spacing w:line="280" w:lineRule="auto" w:before="0" w:after="0"/>
        <w:ind w:left="23" w:right="1303" w:firstLine="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Method</w:t>
      </w:r>
      <w:r>
        <w:rPr>
          <w:spacing w:val="-3"/>
          <w:sz w:val="18"/>
        </w:rPr>
        <w:t> </w:t>
      </w:r>
      <w:r>
        <w:rPr>
          <w:sz w:val="18"/>
        </w:rPr>
        <w:t>of</w:t>
      </w:r>
      <w:r>
        <w:rPr>
          <w:spacing w:val="-3"/>
          <w:sz w:val="18"/>
        </w:rPr>
        <w:t> </w:t>
      </w:r>
      <w:r>
        <w:rPr>
          <w:sz w:val="18"/>
        </w:rPr>
        <w:t>randomization</w:t>
      </w:r>
      <w:r>
        <w:rPr>
          <w:spacing w:val="-3"/>
          <w:sz w:val="18"/>
        </w:rPr>
        <w:t> </w:t>
      </w:r>
      <w:r>
        <w:rPr>
          <w:sz w:val="18"/>
        </w:rPr>
        <w:t>is</w:t>
      </w:r>
      <w:r>
        <w:rPr>
          <w:spacing w:val="-4"/>
          <w:sz w:val="18"/>
        </w:rPr>
        <w:t> </w:t>
      </w:r>
      <w:r>
        <w:rPr>
          <w:sz w:val="18"/>
        </w:rPr>
        <w:t>unclear,</w:t>
      </w:r>
      <w:r>
        <w:rPr>
          <w:spacing w:val="-2"/>
          <w:sz w:val="18"/>
        </w:rPr>
        <w:t> </w:t>
      </w:r>
      <w:r>
        <w:rPr>
          <w:sz w:val="18"/>
        </w:rPr>
        <w:t>no</w:t>
      </w:r>
      <w:r>
        <w:rPr>
          <w:spacing w:val="-2"/>
          <w:sz w:val="18"/>
        </w:rPr>
        <w:t> </w:t>
      </w:r>
      <w:r>
        <w:rPr>
          <w:sz w:val="18"/>
        </w:rPr>
        <w:t>reporting</w:t>
      </w:r>
      <w:r>
        <w:rPr>
          <w:spacing w:val="-3"/>
          <w:sz w:val="18"/>
        </w:rPr>
        <w:t> </w:t>
      </w:r>
      <w:r>
        <w:rPr>
          <w:sz w:val="18"/>
        </w:rPr>
        <w:t>on</w:t>
      </w:r>
      <w:r>
        <w:rPr>
          <w:spacing w:val="-3"/>
          <w:sz w:val="18"/>
        </w:rPr>
        <w:t> </w:t>
      </w:r>
      <w:r>
        <w:rPr>
          <w:sz w:val="18"/>
        </w:rPr>
        <w:t>allocation</w:t>
      </w:r>
      <w:r>
        <w:rPr>
          <w:spacing w:val="-3"/>
          <w:sz w:val="18"/>
        </w:rPr>
        <w:t> </w:t>
      </w:r>
      <w:r>
        <w:rPr>
          <w:sz w:val="18"/>
        </w:rPr>
        <w:t>concealment,</w:t>
      </w:r>
      <w:r>
        <w:rPr>
          <w:spacing w:val="-2"/>
          <w:sz w:val="18"/>
        </w:rPr>
        <w:t> </w:t>
      </w:r>
      <w:r>
        <w:rPr>
          <w:sz w:val="18"/>
        </w:rPr>
        <w:t>and</w:t>
      </w:r>
      <w:r>
        <w:rPr>
          <w:spacing w:val="-3"/>
          <w:sz w:val="18"/>
        </w:rPr>
        <w:t> </w:t>
      </w:r>
      <w:r>
        <w:rPr>
          <w:sz w:val="18"/>
        </w:rPr>
        <w:t>the</w:t>
      </w:r>
      <w:r>
        <w:rPr>
          <w:spacing w:val="-3"/>
          <w:sz w:val="18"/>
        </w:rPr>
        <w:t> </w:t>
      </w:r>
      <w:r>
        <w:rPr>
          <w:sz w:val="18"/>
        </w:rPr>
        <w:t>study was</w:t>
      </w:r>
      <w:r>
        <w:rPr>
          <w:spacing w:val="-3"/>
          <w:sz w:val="18"/>
        </w:rPr>
        <w:t> </w:t>
      </w:r>
      <w:r>
        <w:rPr>
          <w:sz w:val="18"/>
        </w:rPr>
        <w:t>not</w:t>
      </w:r>
      <w:r>
        <w:rPr>
          <w:spacing w:val="-2"/>
          <w:sz w:val="18"/>
        </w:rPr>
        <w:t> </w:t>
      </w:r>
      <w:r>
        <w:rPr>
          <w:sz w:val="18"/>
        </w:rPr>
        <w:t>blinded. </w:t>
      </w:r>
      <w:r>
        <w:rPr>
          <w:b/>
          <w:sz w:val="18"/>
        </w:rPr>
        <w:t>Imprecision:</w:t>
      </w:r>
      <w:r>
        <w:rPr>
          <w:b/>
          <w:spacing w:val="-1"/>
          <w:sz w:val="18"/>
        </w:rPr>
        <w:t> </w:t>
      </w:r>
      <w:r>
        <w:rPr>
          <w:b/>
          <w:sz w:val="18"/>
        </w:rPr>
        <w:t>very</w:t>
      </w:r>
      <w:r>
        <w:rPr>
          <w:b/>
          <w:spacing w:val="-2"/>
          <w:sz w:val="18"/>
        </w:rPr>
        <w:t> </w:t>
      </w:r>
      <w:r>
        <w:rPr>
          <w:b/>
          <w:sz w:val="18"/>
        </w:rPr>
        <w:t>serious</w:t>
      </w:r>
      <w:r>
        <w:rPr>
          <w:b/>
          <w:spacing w:val="-1"/>
          <w:sz w:val="18"/>
        </w:rPr>
        <w:t> </w:t>
      </w:r>
      <w:r>
        <w:rPr>
          <w:b/>
          <w:sz w:val="18"/>
        </w:rPr>
        <w:t>(-2 levels). </w:t>
      </w:r>
      <w:r>
        <w:rPr>
          <w:sz w:val="18"/>
        </w:rPr>
        <w:t>The confidence interval crosses both borders of clinical relevance.</w:t>
      </w:r>
    </w:p>
    <w:p>
      <w:pPr>
        <w:pStyle w:val="ListParagraph"/>
        <w:numPr>
          <w:ilvl w:val="0"/>
          <w:numId w:val="53"/>
        </w:numPr>
        <w:tabs>
          <w:tab w:pos="202" w:val="left" w:leader="none"/>
        </w:tabs>
        <w:spacing w:line="278" w:lineRule="auto" w:before="0" w:after="0"/>
        <w:ind w:left="23" w:right="1303" w:firstLine="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Method</w:t>
      </w:r>
      <w:r>
        <w:rPr>
          <w:spacing w:val="-3"/>
          <w:sz w:val="18"/>
        </w:rPr>
        <w:t> </w:t>
      </w:r>
      <w:r>
        <w:rPr>
          <w:sz w:val="18"/>
        </w:rPr>
        <w:t>of</w:t>
      </w:r>
      <w:r>
        <w:rPr>
          <w:spacing w:val="-3"/>
          <w:sz w:val="18"/>
        </w:rPr>
        <w:t> </w:t>
      </w:r>
      <w:r>
        <w:rPr>
          <w:sz w:val="18"/>
        </w:rPr>
        <w:t>randomization</w:t>
      </w:r>
      <w:r>
        <w:rPr>
          <w:spacing w:val="-3"/>
          <w:sz w:val="18"/>
        </w:rPr>
        <w:t> </w:t>
      </w:r>
      <w:r>
        <w:rPr>
          <w:sz w:val="18"/>
        </w:rPr>
        <w:t>is</w:t>
      </w:r>
      <w:r>
        <w:rPr>
          <w:spacing w:val="-4"/>
          <w:sz w:val="18"/>
        </w:rPr>
        <w:t> </w:t>
      </w:r>
      <w:r>
        <w:rPr>
          <w:sz w:val="18"/>
        </w:rPr>
        <w:t>unclear,</w:t>
      </w:r>
      <w:r>
        <w:rPr>
          <w:spacing w:val="-2"/>
          <w:sz w:val="18"/>
        </w:rPr>
        <w:t> </w:t>
      </w:r>
      <w:r>
        <w:rPr>
          <w:sz w:val="18"/>
        </w:rPr>
        <w:t>no</w:t>
      </w:r>
      <w:r>
        <w:rPr>
          <w:spacing w:val="-2"/>
          <w:sz w:val="18"/>
        </w:rPr>
        <w:t> </w:t>
      </w:r>
      <w:r>
        <w:rPr>
          <w:sz w:val="18"/>
        </w:rPr>
        <w:t>reporting</w:t>
      </w:r>
      <w:r>
        <w:rPr>
          <w:spacing w:val="-3"/>
          <w:sz w:val="18"/>
        </w:rPr>
        <w:t> </w:t>
      </w:r>
      <w:r>
        <w:rPr>
          <w:sz w:val="18"/>
        </w:rPr>
        <w:t>on</w:t>
      </w:r>
      <w:r>
        <w:rPr>
          <w:spacing w:val="-3"/>
          <w:sz w:val="18"/>
        </w:rPr>
        <w:t> </w:t>
      </w:r>
      <w:r>
        <w:rPr>
          <w:sz w:val="18"/>
        </w:rPr>
        <w:t>allocation</w:t>
      </w:r>
      <w:r>
        <w:rPr>
          <w:spacing w:val="-3"/>
          <w:sz w:val="18"/>
        </w:rPr>
        <w:t> </w:t>
      </w:r>
      <w:r>
        <w:rPr>
          <w:sz w:val="18"/>
        </w:rPr>
        <w:t>concealment,</w:t>
      </w:r>
      <w:r>
        <w:rPr>
          <w:spacing w:val="-2"/>
          <w:sz w:val="18"/>
        </w:rPr>
        <w:t> </w:t>
      </w:r>
      <w:r>
        <w:rPr>
          <w:sz w:val="18"/>
        </w:rPr>
        <w:t>and</w:t>
      </w:r>
      <w:r>
        <w:rPr>
          <w:spacing w:val="-3"/>
          <w:sz w:val="18"/>
        </w:rPr>
        <w:t> </w:t>
      </w:r>
      <w:r>
        <w:rPr>
          <w:sz w:val="18"/>
        </w:rPr>
        <w:t>the</w:t>
      </w:r>
      <w:r>
        <w:rPr>
          <w:spacing w:val="-3"/>
          <w:sz w:val="18"/>
        </w:rPr>
        <w:t> </w:t>
      </w:r>
      <w:r>
        <w:rPr>
          <w:sz w:val="18"/>
        </w:rPr>
        <w:t>study was</w:t>
      </w:r>
      <w:r>
        <w:rPr>
          <w:spacing w:val="-3"/>
          <w:sz w:val="18"/>
        </w:rPr>
        <w:t> </w:t>
      </w:r>
      <w:r>
        <w:rPr>
          <w:sz w:val="18"/>
        </w:rPr>
        <w:t>not</w:t>
      </w:r>
      <w:r>
        <w:rPr>
          <w:spacing w:val="-2"/>
          <w:sz w:val="18"/>
        </w:rPr>
        <w:t> </w:t>
      </w:r>
      <w:r>
        <w:rPr>
          <w:sz w:val="18"/>
        </w:rPr>
        <w:t>blinded. </w:t>
      </w:r>
      <w:r>
        <w:rPr>
          <w:b/>
          <w:sz w:val="18"/>
        </w:rPr>
        <w:t>Imprecision:</w:t>
      </w:r>
      <w:r>
        <w:rPr>
          <w:b/>
          <w:spacing w:val="-1"/>
          <w:sz w:val="18"/>
        </w:rPr>
        <w:t> </w:t>
      </w:r>
      <w:r>
        <w:rPr>
          <w:b/>
          <w:sz w:val="18"/>
        </w:rPr>
        <w:t>very</w:t>
      </w:r>
      <w:r>
        <w:rPr>
          <w:b/>
          <w:spacing w:val="-2"/>
          <w:sz w:val="18"/>
        </w:rPr>
        <w:t> </w:t>
      </w:r>
      <w:r>
        <w:rPr>
          <w:b/>
          <w:sz w:val="18"/>
        </w:rPr>
        <w:t>serious</w:t>
      </w:r>
      <w:r>
        <w:rPr>
          <w:b/>
          <w:spacing w:val="-1"/>
          <w:sz w:val="18"/>
        </w:rPr>
        <w:t> </w:t>
      </w:r>
      <w:r>
        <w:rPr>
          <w:b/>
          <w:sz w:val="18"/>
        </w:rPr>
        <w:t>(-2 levels). </w:t>
      </w:r>
      <w:r>
        <w:rPr>
          <w:sz w:val="18"/>
        </w:rPr>
        <w:t>The confidence interval crosses both borders of clinical relevance.</w:t>
      </w:r>
    </w:p>
    <w:p>
      <w:pPr>
        <w:pStyle w:val="ListParagraph"/>
        <w:numPr>
          <w:ilvl w:val="0"/>
          <w:numId w:val="53"/>
        </w:numPr>
        <w:tabs>
          <w:tab w:pos="202" w:val="left" w:leader="none"/>
        </w:tabs>
        <w:spacing w:line="278" w:lineRule="auto" w:before="0" w:after="0"/>
        <w:ind w:left="23" w:right="1303" w:firstLine="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Method</w:t>
      </w:r>
      <w:r>
        <w:rPr>
          <w:spacing w:val="-3"/>
          <w:sz w:val="18"/>
        </w:rPr>
        <w:t> </w:t>
      </w:r>
      <w:r>
        <w:rPr>
          <w:sz w:val="18"/>
        </w:rPr>
        <w:t>of</w:t>
      </w:r>
      <w:r>
        <w:rPr>
          <w:spacing w:val="-3"/>
          <w:sz w:val="18"/>
        </w:rPr>
        <w:t> </w:t>
      </w:r>
      <w:r>
        <w:rPr>
          <w:sz w:val="18"/>
        </w:rPr>
        <w:t>randomization</w:t>
      </w:r>
      <w:r>
        <w:rPr>
          <w:spacing w:val="-3"/>
          <w:sz w:val="18"/>
        </w:rPr>
        <w:t> </w:t>
      </w:r>
      <w:r>
        <w:rPr>
          <w:sz w:val="18"/>
        </w:rPr>
        <w:t>is</w:t>
      </w:r>
      <w:r>
        <w:rPr>
          <w:spacing w:val="-4"/>
          <w:sz w:val="18"/>
        </w:rPr>
        <w:t> </w:t>
      </w:r>
      <w:r>
        <w:rPr>
          <w:sz w:val="18"/>
        </w:rPr>
        <w:t>unclear,</w:t>
      </w:r>
      <w:r>
        <w:rPr>
          <w:spacing w:val="-2"/>
          <w:sz w:val="18"/>
        </w:rPr>
        <w:t> </w:t>
      </w:r>
      <w:r>
        <w:rPr>
          <w:sz w:val="18"/>
        </w:rPr>
        <w:t>no</w:t>
      </w:r>
      <w:r>
        <w:rPr>
          <w:spacing w:val="-2"/>
          <w:sz w:val="18"/>
        </w:rPr>
        <w:t> </w:t>
      </w:r>
      <w:r>
        <w:rPr>
          <w:sz w:val="18"/>
        </w:rPr>
        <w:t>reporting</w:t>
      </w:r>
      <w:r>
        <w:rPr>
          <w:spacing w:val="-3"/>
          <w:sz w:val="18"/>
        </w:rPr>
        <w:t> </w:t>
      </w:r>
      <w:r>
        <w:rPr>
          <w:sz w:val="18"/>
        </w:rPr>
        <w:t>on</w:t>
      </w:r>
      <w:r>
        <w:rPr>
          <w:spacing w:val="-3"/>
          <w:sz w:val="18"/>
        </w:rPr>
        <w:t> </w:t>
      </w:r>
      <w:r>
        <w:rPr>
          <w:sz w:val="18"/>
        </w:rPr>
        <w:t>allocation</w:t>
      </w:r>
      <w:r>
        <w:rPr>
          <w:spacing w:val="-3"/>
          <w:sz w:val="18"/>
        </w:rPr>
        <w:t> </w:t>
      </w:r>
      <w:r>
        <w:rPr>
          <w:sz w:val="18"/>
        </w:rPr>
        <w:t>concealment,</w:t>
      </w:r>
      <w:r>
        <w:rPr>
          <w:spacing w:val="-2"/>
          <w:sz w:val="18"/>
        </w:rPr>
        <w:t> </w:t>
      </w:r>
      <w:r>
        <w:rPr>
          <w:sz w:val="18"/>
        </w:rPr>
        <w:t>and</w:t>
      </w:r>
      <w:r>
        <w:rPr>
          <w:spacing w:val="-3"/>
          <w:sz w:val="18"/>
        </w:rPr>
        <w:t> </w:t>
      </w:r>
      <w:r>
        <w:rPr>
          <w:sz w:val="18"/>
        </w:rPr>
        <w:t>the</w:t>
      </w:r>
      <w:r>
        <w:rPr>
          <w:spacing w:val="-3"/>
          <w:sz w:val="18"/>
        </w:rPr>
        <w:t> </w:t>
      </w:r>
      <w:r>
        <w:rPr>
          <w:sz w:val="18"/>
        </w:rPr>
        <w:t>study was</w:t>
      </w:r>
      <w:r>
        <w:rPr>
          <w:spacing w:val="-3"/>
          <w:sz w:val="18"/>
        </w:rPr>
        <w:t> </w:t>
      </w:r>
      <w:r>
        <w:rPr>
          <w:sz w:val="18"/>
        </w:rPr>
        <w:t>not</w:t>
      </w:r>
      <w:r>
        <w:rPr>
          <w:spacing w:val="-2"/>
          <w:sz w:val="18"/>
        </w:rPr>
        <w:t> </w:t>
      </w:r>
      <w:r>
        <w:rPr>
          <w:sz w:val="18"/>
        </w:rPr>
        <w:t>blinded. </w:t>
      </w:r>
      <w:r>
        <w:rPr>
          <w:b/>
          <w:sz w:val="18"/>
        </w:rPr>
        <w:t>Imprecision:</w:t>
      </w:r>
      <w:r>
        <w:rPr>
          <w:b/>
          <w:spacing w:val="-1"/>
          <w:sz w:val="18"/>
        </w:rPr>
        <w:t> </w:t>
      </w:r>
      <w:r>
        <w:rPr>
          <w:b/>
          <w:sz w:val="18"/>
        </w:rPr>
        <w:t>very</w:t>
      </w:r>
      <w:r>
        <w:rPr>
          <w:b/>
          <w:spacing w:val="-2"/>
          <w:sz w:val="18"/>
        </w:rPr>
        <w:t> </w:t>
      </w:r>
      <w:r>
        <w:rPr>
          <w:b/>
          <w:sz w:val="18"/>
        </w:rPr>
        <w:t>serious</w:t>
      </w:r>
      <w:r>
        <w:rPr>
          <w:b/>
          <w:spacing w:val="-1"/>
          <w:sz w:val="18"/>
        </w:rPr>
        <w:t> </w:t>
      </w:r>
      <w:r>
        <w:rPr>
          <w:b/>
          <w:sz w:val="18"/>
        </w:rPr>
        <w:t>(-2 levels). </w:t>
      </w:r>
      <w:r>
        <w:rPr>
          <w:sz w:val="18"/>
        </w:rPr>
        <w:t>The confidence interval crosses both borders of clinical relevance.</w:t>
      </w:r>
    </w:p>
    <w:p>
      <w:pPr>
        <w:pStyle w:val="ListParagraph"/>
        <w:numPr>
          <w:ilvl w:val="0"/>
          <w:numId w:val="53"/>
        </w:numPr>
        <w:tabs>
          <w:tab w:pos="202" w:val="left" w:leader="none"/>
        </w:tabs>
        <w:spacing w:line="278" w:lineRule="auto" w:before="0" w:after="0"/>
        <w:ind w:left="23" w:right="1303" w:firstLine="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Method</w:t>
      </w:r>
      <w:r>
        <w:rPr>
          <w:spacing w:val="-3"/>
          <w:sz w:val="18"/>
        </w:rPr>
        <w:t> </w:t>
      </w:r>
      <w:r>
        <w:rPr>
          <w:sz w:val="18"/>
        </w:rPr>
        <w:t>of</w:t>
      </w:r>
      <w:r>
        <w:rPr>
          <w:spacing w:val="-3"/>
          <w:sz w:val="18"/>
        </w:rPr>
        <w:t> </w:t>
      </w:r>
      <w:r>
        <w:rPr>
          <w:sz w:val="18"/>
        </w:rPr>
        <w:t>randomization</w:t>
      </w:r>
      <w:r>
        <w:rPr>
          <w:spacing w:val="-3"/>
          <w:sz w:val="18"/>
        </w:rPr>
        <w:t> </w:t>
      </w:r>
      <w:r>
        <w:rPr>
          <w:sz w:val="18"/>
        </w:rPr>
        <w:t>is</w:t>
      </w:r>
      <w:r>
        <w:rPr>
          <w:spacing w:val="-4"/>
          <w:sz w:val="18"/>
        </w:rPr>
        <w:t> </w:t>
      </w:r>
      <w:r>
        <w:rPr>
          <w:sz w:val="18"/>
        </w:rPr>
        <w:t>unclear,</w:t>
      </w:r>
      <w:r>
        <w:rPr>
          <w:spacing w:val="-2"/>
          <w:sz w:val="18"/>
        </w:rPr>
        <w:t> </w:t>
      </w:r>
      <w:r>
        <w:rPr>
          <w:sz w:val="18"/>
        </w:rPr>
        <w:t>no</w:t>
      </w:r>
      <w:r>
        <w:rPr>
          <w:spacing w:val="-2"/>
          <w:sz w:val="18"/>
        </w:rPr>
        <w:t> </w:t>
      </w:r>
      <w:r>
        <w:rPr>
          <w:sz w:val="18"/>
        </w:rPr>
        <w:t>reporting</w:t>
      </w:r>
      <w:r>
        <w:rPr>
          <w:spacing w:val="-3"/>
          <w:sz w:val="18"/>
        </w:rPr>
        <w:t> </w:t>
      </w:r>
      <w:r>
        <w:rPr>
          <w:sz w:val="18"/>
        </w:rPr>
        <w:t>on</w:t>
      </w:r>
      <w:r>
        <w:rPr>
          <w:spacing w:val="-3"/>
          <w:sz w:val="18"/>
        </w:rPr>
        <w:t> </w:t>
      </w:r>
      <w:r>
        <w:rPr>
          <w:sz w:val="18"/>
        </w:rPr>
        <w:t>allocation</w:t>
      </w:r>
      <w:r>
        <w:rPr>
          <w:spacing w:val="-3"/>
          <w:sz w:val="18"/>
        </w:rPr>
        <w:t> </w:t>
      </w:r>
      <w:r>
        <w:rPr>
          <w:sz w:val="18"/>
        </w:rPr>
        <w:t>concealment,</w:t>
      </w:r>
      <w:r>
        <w:rPr>
          <w:spacing w:val="-2"/>
          <w:sz w:val="18"/>
        </w:rPr>
        <w:t> </w:t>
      </w:r>
      <w:r>
        <w:rPr>
          <w:sz w:val="18"/>
        </w:rPr>
        <w:t>and</w:t>
      </w:r>
      <w:r>
        <w:rPr>
          <w:spacing w:val="-3"/>
          <w:sz w:val="18"/>
        </w:rPr>
        <w:t> </w:t>
      </w:r>
      <w:r>
        <w:rPr>
          <w:sz w:val="18"/>
        </w:rPr>
        <w:t>the</w:t>
      </w:r>
      <w:r>
        <w:rPr>
          <w:spacing w:val="-3"/>
          <w:sz w:val="18"/>
        </w:rPr>
        <w:t> </w:t>
      </w:r>
      <w:r>
        <w:rPr>
          <w:sz w:val="18"/>
        </w:rPr>
        <w:t>study was</w:t>
      </w:r>
      <w:r>
        <w:rPr>
          <w:spacing w:val="-3"/>
          <w:sz w:val="18"/>
        </w:rPr>
        <w:t> </w:t>
      </w:r>
      <w:r>
        <w:rPr>
          <w:sz w:val="18"/>
        </w:rPr>
        <w:t>not</w:t>
      </w:r>
      <w:r>
        <w:rPr>
          <w:spacing w:val="-2"/>
          <w:sz w:val="18"/>
        </w:rPr>
        <w:t> </w:t>
      </w:r>
      <w:r>
        <w:rPr>
          <w:sz w:val="18"/>
        </w:rPr>
        <w:t>blinded. </w:t>
      </w:r>
      <w:r>
        <w:rPr>
          <w:b/>
          <w:sz w:val="18"/>
        </w:rPr>
        <w:t>Imprecision:</w:t>
      </w:r>
      <w:r>
        <w:rPr>
          <w:b/>
          <w:spacing w:val="-1"/>
          <w:sz w:val="18"/>
        </w:rPr>
        <w:t> </w:t>
      </w:r>
      <w:r>
        <w:rPr>
          <w:b/>
          <w:sz w:val="18"/>
        </w:rPr>
        <w:t>very</w:t>
      </w:r>
      <w:r>
        <w:rPr>
          <w:b/>
          <w:spacing w:val="-2"/>
          <w:sz w:val="18"/>
        </w:rPr>
        <w:t> </w:t>
      </w:r>
      <w:r>
        <w:rPr>
          <w:b/>
          <w:sz w:val="18"/>
        </w:rPr>
        <w:t>serious</w:t>
      </w:r>
      <w:r>
        <w:rPr>
          <w:b/>
          <w:spacing w:val="-1"/>
          <w:sz w:val="18"/>
        </w:rPr>
        <w:t> </w:t>
      </w:r>
      <w:r>
        <w:rPr>
          <w:b/>
          <w:sz w:val="18"/>
        </w:rPr>
        <w:t>(-2 levels). </w:t>
      </w:r>
      <w:r>
        <w:rPr>
          <w:sz w:val="18"/>
        </w:rPr>
        <w:t>The confidence interval crosses both borders of clinical relevance.</w:t>
      </w:r>
    </w:p>
    <w:p>
      <w:pPr>
        <w:pStyle w:val="ListParagraph"/>
        <w:numPr>
          <w:ilvl w:val="0"/>
          <w:numId w:val="53"/>
        </w:numPr>
        <w:tabs>
          <w:tab w:pos="202" w:val="left" w:leader="none"/>
        </w:tabs>
        <w:spacing w:line="278" w:lineRule="auto" w:before="0" w:after="0"/>
        <w:ind w:left="23" w:right="1303" w:firstLine="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Method</w:t>
      </w:r>
      <w:r>
        <w:rPr>
          <w:spacing w:val="-3"/>
          <w:sz w:val="18"/>
        </w:rPr>
        <w:t> </w:t>
      </w:r>
      <w:r>
        <w:rPr>
          <w:sz w:val="18"/>
        </w:rPr>
        <w:t>of</w:t>
      </w:r>
      <w:r>
        <w:rPr>
          <w:spacing w:val="-3"/>
          <w:sz w:val="18"/>
        </w:rPr>
        <w:t> </w:t>
      </w:r>
      <w:r>
        <w:rPr>
          <w:sz w:val="18"/>
        </w:rPr>
        <w:t>randomization</w:t>
      </w:r>
      <w:r>
        <w:rPr>
          <w:spacing w:val="-3"/>
          <w:sz w:val="18"/>
        </w:rPr>
        <w:t> </w:t>
      </w:r>
      <w:r>
        <w:rPr>
          <w:sz w:val="18"/>
        </w:rPr>
        <w:t>is</w:t>
      </w:r>
      <w:r>
        <w:rPr>
          <w:spacing w:val="-4"/>
          <w:sz w:val="18"/>
        </w:rPr>
        <w:t> </w:t>
      </w:r>
      <w:r>
        <w:rPr>
          <w:sz w:val="18"/>
        </w:rPr>
        <w:t>unclear,</w:t>
      </w:r>
      <w:r>
        <w:rPr>
          <w:spacing w:val="-2"/>
          <w:sz w:val="18"/>
        </w:rPr>
        <w:t> </w:t>
      </w:r>
      <w:r>
        <w:rPr>
          <w:sz w:val="18"/>
        </w:rPr>
        <w:t>no</w:t>
      </w:r>
      <w:r>
        <w:rPr>
          <w:spacing w:val="-2"/>
          <w:sz w:val="18"/>
        </w:rPr>
        <w:t> </w:t>
      </w:r>
      <w:r>
        <w:rPr>
          <w:sz w:val="18"/>
        </w:rPr>
        <w:t>reporting</w:t>
      </w:r>
      <w:r>
        <w:rPr>
          <w:spacing w:val="-3"/>
          <w:sz w:val="18"/>
        </w:rPr>
        <w:t> </w:t>
      </w:r>
      <w:r>
        <w:rPr>
          <w:sz w:val="18"/>
        </w:rPr>
        <w:t>on</w:t>
      </w:r>
      <w:r>
        <w:rPr>
          <w:spacing w:val="-3"/>
          <w:sz w:val="18"/>
        </w:rPr>
        <w:t> </w:t>
      </w:r>
      <w:r>
        <w:rPr>
          <w:sz w:val="18"/>
        </w:rPr>
        <w:t>allocation</w:t>
      </w:r>
      <w:r>
        <w:rPr>
          <w:spacing w:val="-3"/>
          <w:sz w:val="18"/>
        </w:rPr>
        <w:t> </w:t>
      </w:r>
      <w:r>
        <w:rPr>
          <w:sz w:val="18"/>
        </w:rPr>
        <w:t>concealment,</w:t>
      </w:r>
      <w:r>
        <w:rPr>
          <w:spacing w:val="-2"/>
          <w:sz w:val="18"/>
        </w:rPr>
        <w:t> </w:t>
      </w:r>
      <w:r>
        <w:rPr>
          <w:sz w:val="18"/>
        </w:rPr>
        <w:t>and</w:t>
      </w:r>
      <w:r>
        <w:rPr>
          <w:spacing w:val="-3"/>
          <w:sz w:val="18"/>
        </w:rPr>
        <w:t> </w:t>
      </w:r>
      <w:r>
        <w:rPr>
          <w:sz w:val="18"/>
        </w:rPr>
        <w:t>the</w:t>
      </w:r>
      <w:r>
        <w:rPr>
          <w:spacing w:val="-3"/>
          <w:sz w:val="18"/>
        </w:rPr>
        <w:t> </w:t>
      </w:r>
      <w:r>
        <w:rPr>
          <w:sz w:val="18"/>
        </w:rPr>
        <w:t>study was</w:t>
      </w:r>
      <w:r>
        <w:rPr>
          <w:spacing w:val="-3"/>
          <w:sz w:val="18"/>
        </w:rPr>
        <w:t> </w:t>
      </w:r>
      <w:r>
        <w:rPr>
          <w:sz w:val="18"/>
        </w:rPr>
        <w:t>not</w:t>
      </w:r>
      <w:r>
        <w:rPr>
          <w:spacing w:val="-2"/>
          <w:sz w:val="18"/>
        </w:rPr>
        <w:t> </w:t>
      </w:r>
      <w:r>
        <w:rPr>
          <w:sz w:val="18"/>
        </w:rPr>
        <w:t>blinded. </w:t>
      </w:r>
      <w:r>
        <w:rPr>
          <w:b/>
          <w:sz w:val="18"/>
        </w:rPr>
        <w:t>Imprecision:</w:t>
      </w:r>
      <w:r>
        <w:rPr>
          <w:b/>
          <w:spacing w:val="-1"/>
          <w:sz w:val="18"/>
        </w:rPr>
        <w:t> </w:t>
      </w:r>
      <w:r>
        <w:rPr>
          <w:b/>
          <w:sz w:val="18"/>
        </w:rPr>
        <w:t>very</w:t>
      </w:r>
      <w:r>
        <w:rPr>
          <w:b/>
          <w:spacing w:val="-2"/>
          <w:sz w:val="18"/>
        </w:rPr>
        <w:t> </w:t>
      </w:r>
      <w:r>
        <w:rPr>
          <w:b/>
          <w:sz w:val="18"/>
        </w:rPr>
        <w:t>serious</w:t>
      </w:r>
      <w:r>
        <w:rPr>
          <w:b/>
          <w:spacing w:val="-1"/>
          <w:sz w:val="18"/>
        </w:rPr>
        <w:t> </w:t>
      </w:r>
      <w:r>
        <w:rPr>
          <w:b/>
          <w:sz w:val="18"/>
        </w:rPr>
        <w:t>(-2 levels). </w:t>
      </w:r>
      <w:r>
        <w:rPr>
          <w:sz w:val="18"/>
        </w:rPr>
        <w:t>The confidence interval crosses both borders of clinical relevance.</w:t>
      </w:r>
    </w:p>
    <w:p>
      <w:pPr>
        <w:pStyle w:val="ListParagraph"/>
        <w:numPr>
          <w:ilvl w:val="0"/>
          <w:numId w:val="53"/>
        </w:numPr>
        <w:tabs>
          <w:tab w:pos="202" w:val="left" w:leader="none"/>
        </w:tabs>
        <w:spacing w:line="219" w:lineRule="exact" w:before="0" w:after="0"/>
        <w:ind w:left="202" w:right="0" w:hanging="179"/>
        <w:jc w:val="left"/>
        <w:rPr>
          <w:sz w:val="18"/>
        </w:rPr>
      </w:pPr>
      <w:r>
        <w:rPr>
          <w:b/>
          <w:sz w:val="18"/>
        </w:rPr>
        <w:t>Risk</w:t>
      </w:r>
      <w:r>
        <w:rPr>
          <w:b/>
          <w:spacing w:val="-4"/>
          <w:sz w:val="18"/>
        </w:rPr>
        <w:t> </w:t>
      </w:r>
      <w:r>
        <w:rPr>
          <w:b/>
          <w:sz w:val="18"/>
        </w:rPr>
        <w:t>of</w:t>
      </w:r>
      <w:r>
        <w:rPr>
          <w:b/>
          <w:spacing w:val="-2"/>
          <w:sz w:val="18"/>
        </w:rPr>
        <w:t> </w:t>
      </w:r>
      <w:r>
        <w:rPr>
          <w:b/>
          <w:sz w:val="18"/>
        </w:rPr>
        <w:t>bias:</w:t>
      </w:r>
      <w:r>
        <w:rPr>
          <w:b/>
          <w:spacing w:val="-2"/>
          <w:sz w:val="18"/>
        </w:rPr>
        <w:t> </w:t>
      </w:r>
      <w:r>
        <w:rPr>
          <w:b/>
          <w:sz w:val="18"/>
        </w:rPr>
        <w:t>some</w:t>
      </w:r>
      <w:r>
        <w:rPr>
          <w:b/>
          <w:spacing w:val="-2"/>
          <w:sz w:val="18"/>
        </w:rPr>
        <w:t> </w:t>
      </w:r>
      <w:r>
        <w:rPr>
          <w:b/>
          <w:sz w:val="18"/>
        </w:rPr>
        <w:t>concerns</w:t>
      </w:r>
      <w:r>
        <w:rPr>
          <w:b/>
          <w:spacing w:val="-2"/>
          <w:sz w:val="18"/>
        </w:rPr>
        <w:t> </w:t>
      </w:r>
      <w:r>
        <w:rPr>
          <w:b/>
          <w:sz w:val="18"/>
        </w:rPr>
        <w:t>(-1</w:t>
      </w:r>
      <w:r>
        <w:rPr>
          <w:b/>
          <w:spacing w:val="-1"/>
          <w:sz w:val="18"/>
        </w:rPr>
        <w:t> </w:t>
      </w:r>
      <w:r>
        <w:rPr>
          <w:b/>
          <w:sz w:val="18"/>
        </w:rPr>
        <w:t>level).</w:t>
      </w:r>
      <w:r>
        <w:rPr>
          <w:b/>
          <w:spacing w:val="-1"/>
          <w:sz w:val="18"/>
        </w:rPr>
        <w:t> </w:t>
      </w:r>
      <w:r>
        <w:rPr>
          <w:sz w:val="18"/>
        </w:rPr>
        <w:t>Method</w:t>
      </w:r>
      <w:r>
        <w:rPr>
          <w:spacing w:val="-3"/>
          <w:sz w:val="18"/>
        </w:rPr>
        <w:t> </w:t>
      </w:r>
      <w:r>
        <w:rPr>
          <w:sz w:val="18"/>
        </w:rPr>
        <w:t>of</w:t>
      </w:r>
      <w:r>
        <w:rPr>
          <w:spacing w:val="-2"/>
          <w:sz w:val="18"/>
        </w:rPr>
        <w:t> </w:t>
      </w:r>
      <w:r>
        <w:rPr>
          <w:sz w:val="18"/>
        </w:rPr>
        <w:t>randomization</w:t>
      </w:r>
      <w:r>
        <w:rPr>
          <w:spacing w:val="-3"/>
          <w:sz w:val="18"/>
        </w:rPr>
        <w:t> </w:t>
      </w:r>
      <w:r>
        <w:rPr>
          <w:sz w:val="18"/>
        </w:rPr>
        <w:t>is</w:t>
      </w:r>
      <w:r>
        <w:rPr>
          <w:spacing w:val="-3"/>
          <w:sz w:val="18"/>
        </w:rPr>
        <w:t> </w:t>
      </w:r>
      <w:r>
        <w:rPr>
          <w:sz w:val="18"/>
        </w:rPr>
        <w:t>unclear,</w:t>
      </w:r>
      <w:r>
        <w:rPr>
          <w:spacing w:val="-1"/>
          <w:sz w:val="18"/>
        </w:rPr>
        <w:t> </w:t>
      </w:r>
      <w:r>
        <w:rPr>
          <w:sz w:val="18"/>
        </w:rPr>
        <w:t>no</w:t>
      </w:r>
      <w:r>
        <w:rPr>
          <w:spacing w:val="-2"/>
          <w:sz w:val="18"/>
        </w:rPr>
        <w:t> </w:t>
      </w:r>
      <w:r>
        <w:rPr>
          <w:sz w:val="18"/>
        </w:rPr>
        <w:t>reporting</w:t>
      </w:r>
      <w:r>
        <w:rPr>
          <w:spacing w:val="-2"/>
          <w:sz w:val="18"/>
        </w:rPr>
        <w:t> </w:t>
      </w:r>
      <w:r>
        <w:rPr>
          <w:sz w:val="18"/>
        </w:rPr>
        <w:t>on</w:t>
      </w:r>
      <w:r>
        <w:rPr>
          <w:spacing w:val="-3"/>
          <w:sz w:val="18"/>
        </w:rPr>
        <w:t> </w:t>
      </w:r>
      <w:r>
        <w:rPr>
          <w:sz w:val="18"/>
        </w:rPr>
        <w:t>allocation</w:t>
      </w:r>
      <w:r>
        <w:rPr>
          <w:spacing w:val="-2"/>
          <w:sz w:val="18"/>
        </w:rPr>
        <w:t> </w:t>
      </w:r>
      <w:r>
        <w:rPr>
          <w:sz w:val="18"/>
        </w:rPr>
        <w:t>concealment,</w:t>
      </w:r>
      <w:r>
        <w:rPr>
          <w:spacing w:val="-1"/>
          <w:sz w:val="18"/>
        </w:rPr>
        <w:t> </w:t>
      </w:r>
      <w:r>
        <w:rPr>
          <w:sz w:val="18"/>
        </w:rPr>
        <w:t>and</w:t>
      </w:r>
      <w:r>
        <w:rPr>
          <w:spacing w:val="-3"/>
          <w:sz w:val="18"/>
        </w:rPr>
        <w:t> </w:t>
      </w:r>
      <w:r>
        <w:rPr>
          <w:sz w:val="18"/>
        </w:rPr>
        <w:t>the</w:t>
      </w:r>
      <w:r>
        <w:rPr>
          <w:spacing w:val="-2"/>
          <w:sz w:val="18"/>
        </w:rPr>
        <w:t> </w:t>
      </w:r>
      <w:r>
        <w:rPr>
          <w:sz w:val="18"/>
        </w:rPr>
        <w:t>study was</w:t>
      </w:r>
      <w:r>
        <w:rPr>
          <w:spacing w:val="-2"/>
          <w:sz w:val="18"/>
        </w:rPr>
        <w:t> </w:t>
      </w:r>
      <w:r>
        <w:rPr>
          <w:sz w:val="18"/>
        </w:rPr>
        <w:t>not</w:t>
      </w:r>
      <w:r>
        <w:rPr>
          <w:spacing w:val="-1"/>
          <w:sz w:val="18"/>
        </w:rPr>
        <w:t> </w:t>
      </w:r>
      <w:r>
        <w:rPr>
          <w:spacing w:val="-2"/>
          <w:sz w:val="18"/>
        </w:rPr>
        <w:t>blinded.</w:t>
      </w:r>
    </w:p>
    <w:p>
      <w:pPr>
        <w:pStyle w:val="ListParagraph"/>
        <w:spacing w:after="0" w:line="219" w:lineRule="exact"/>
        <w:jc w:val="left"/>
        <w:rPr>
          <w:sz w:val="18"/>
        </w:rPr>
        <w:sectPr>
          <w:pgSz w:w="16840" w:h="11910" w:orient="landscape"/>
          <w:pgMar w:top="1340" w:bottom="280" w:left="1417" w:right="992"/>
        </w:sectPr>
      </w:pPr>
    </w:p>
    <w:p>
      <w:pPr>
        <w:pStyle w:val="BodyText"/>
        <w:spacing w:before="93"/>
        <w:ind w:left="23"/>
      </w:pPr>
      <w:r>
        <w:rPr/>
        <w:t>Table</w:t>
      </w:r>
      <w:r>
        <w:rPr>
          <w:spacing w:val="-4"/>
        </w:rPr>
        <w:t> </w:t>
      </w:r>
      <w:r>
        <w:rPr/>
        <w:t>3.4.2</w:t>
      </w:r>
      <w:r>
        <w:rPr>
          <w:spacing w:val="-3"/>
        </w:rPr>
        <w:t> </w:t>
      </w:r>
      <w:r>
        <w:rPr/>
        <w:t>Summary</w:t>
      </w:r>
      <w:r>
        <w:rPr>
          <w:spacing w:val="-5"/>
        </w:rPr>
        <w:t> </w:t>
      </w:r>
      <w:r>
        <w:rPr/>
        <w:t>of</w:t>
      </w:r>
      <w:r>
        <w:rPr>
          <w:spacing w:val="-6"/>
        </w:rPr>
        <w:t> </w:t>
      </w:r>
      <w:r>
        <w:rPr/>
        <w:t>findings;</w:t>
      </w:r>
      <w:r>
        <w:rPr>
          <w:spacing w:val="-3"/>
        </w:rPr>
        <w:t> </w:t>
      </w:r>
      <w:r>
        <w:rPr/>
        <w:t>studies</w:t>
      </w:r>
      <w:r>
        <w:rPr>
          <w:spacing w:val="-6"/>
        </w:rPr>
        <w:t> </w:t>
      </w:r>
      <w:r>
        <w:rPr/>
        <w:t>with</w:t>
      </w:r>
      <w:r>
        <w:rPr>
          <w:spacing w:val="-3"/>
        </w:rPr>
        <w:t> </w:t>
      </w:r>
      <w:r>
        <w:rPr/>
        <w:t>follow-up</w:t>
      </w:r>
      <w:r>
        <w:rPr>
          <w:spacing w:val="-4"/>
        </w:rPr>
        <w:t> </w:t>
      </w:r>
      <w:r>
        <w:rPr/>
        <w:t>&gt;</w:t>
      </w:r>
      <w:r>
        <w:rPr>
          <w:spacing w:val="-3"/>
        </w:rPr>
        <w:t> </w:t>
      </w:r>
      <w:r>
        <w:rPr/>
        <w:t>1</w:t>
      </w:r>
      <w:r>
        <w:rPr>
          <w:spacing w:val="-4"/>
        </w:rPr>
        <w:t> year</w:t>
      </w:r>
    </w:p>
    <w:p>
      <w:pPr>
        <w:pStyle w:val="BodyText"/>
        <w:spacing w:line="278" w:lineRule="auto" w:before="204"/>
        <w:ind w:left="23" w:right="466"/>
      </w:pPr>
      <w:r>
        <w:rPr/>
        <w:t>Comparison</w:t>
      </w:r>
      <w:r>
        <w:rPr>
          <w:spacing w:val="-4"/>
        </w:rPr>
        <w:t> </w:t>
      </w:r>
      <w:r>
        <w:rPr/>
        <w:t>of</w:t>
      </w:r>
      <w:r>
        <w:rPr>
          <w:spacing w:val="-3"/>
        </w:rPr>
        <w:t> </w:t>
      </w:r>
      <w:r>
        <w:rPr/>
        <w:t>thromboprophylaxis</w:t>
      </w:r>
      <w:r>
        <w:rPr>
          <w:spacing w:val="-1"/>
        </w:rPr>
        <w:t> </w:t>
      </w:r>
      <w:r>
        <w:rPr/>
        <w:t>A</w:t>
      </w:r>
      <w:r>
        <w:rPr>
          <w:spacing w:val="-4"/>
        </w:rPr>
        <w:t> </w:t>
      </w:r>
      <w:r>
        <w:rPr/>
        <w:t>versus</w:t>
      </w:r>
      <w:r>
        <w:rPr>
          <w:spacing w:val="-4"/>
        </w:rPr>
        <w:t> </w:t>
      </w:r>
      <w:r>
        <w:rPr/>
        <w:t>thromboprophylaxis</w:t>
      </w:r>
      <w:r>
        <w:rPr>
          <w:spacing w:val="-4"/>
        </w:rPr>
        <w:t> </w:t>
      </w:r>
      <w:r>
        <w:rPr/>
        <w:t>B</w:t>
      </w:r>
      <w:r>
        <w:rPr>
          <w:spacing w:val="-1"/>
        </w:rPr>
        <w:t> </w:t>
      </w:r>
      <w:r>
        <w:rPr/>
        <w:t>with</w:t>
      </w:r>
      <w:r>
        <w:rPr>
          <w:spacing w:val="-1"/>
        </w:rPr>
        <w:t> </w:t>
      </w:r>
      <w:r>
        <w:rPr/>
        <w:t>outcomes thrombosis,</w:t>
      </w:r>
      <w:r>
        <w:rPr>
          <w:spacing w:val="-4"/>
        </w:rPr>
        <w:t> </w:t>
      </w:r>
      <w:r>
        <w:rPr/>
        <w:t>hemorrhage,</w:t>
      </w:r>
      <w:r>
        <w:rPr>
          <w:spacing w:val="-3"/>
        </w:rPr>
        <w:t> </w:t>
      </w:r>
      <w:r>
        <w:rPr/>
        <w:t>mortality,</w:t>
      </w:r>
      <w:r>
        <w:rPr>
          <w:spacing w:val="-4"/>
        </w:rPr>
        <w:t> </w:t>
      </w:r>
      <w:r>
        <w:rPr/>
        <w:t>ischemic</w:t>
      </w:r>
      <w:r>
        <w:rPr>
          <w:spacing w:val="-4"/>
        </w:rPr>
        <w:t> </w:t>
      </w:r>
      <w:r>
        <w:rPr/>
        <w:t>stroke, quality</w:t>
      </w:r>
      <w:r>
        <w:rPr>
          <w:spacing w:val="-2"/>
        </w:rPr>
        <w:t> </w:t>
      </w:r>
      <w:r>
        <w:rPr/>
        <w:t>of</w:t>
      </w:r>
      <w:r>
        <w:rPr>
          <w:spacing w:val="-1"/>
        </w:rPr>
        <w:t> </w:t>
      </w:r>
      <w:r>
        <w:rPr/>
        <w:t>life</w:t>
      </w:r>
      <w:r>
        <w:rPr>
          <w:spacing w:val="-1"/>
        </w:rPr>
        <w:t> </w:t>
      </w:r>
      <w:r>
        <w:rPr/>
        <w:t>(QOL) and adverse events</w:t>
      </w:r>
    </w:p>
    <w:p>
      <w:pPr>
        <w:pStyle w:val="BodyText"/>
        <w:spacing w:before="4"/>
        <w:rPr>
          <w:sz w:val="13"/>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32"/>
        <w:gridCol w:w="1010"/>
        <w:gridCol w:w="2506"/>
        <w:gridCol w:w="1099"/>
        <w:gridCol w:w="115"/>
        <w:gridCol w:w="1272"/>
        <w:gridCol w:w="2028"/>
        <w:gridCol w:w="4882"/>
      </w:tblGrid>
      <w:tr>
        <w:trPr>
          <w:trHeight w:val="829" w:hRule="atLeast"/>
        </w:trPr>
        <w:tc>
          <w:tcPr>
            <w:tcW w:w="2042" w:type="dxa"/>
            <w:gridSpan w:val="2"/>
          </w:tcPr>
          <w:p>
            <w:pPr>
              <w:pStyle w:val="TableParagraph"/>
              <w:spacing w:line="218" w:lineRule="exact"/>
              <w:ind w:left="6"/>
              <w:rPr>
                <w:b/>
                <w:sz w:val="18"/>
              </w:rPr>
            </w:pPr>
            <w:r>
              <w:rPr>
                <w:b/>
                <w:spacing w:val="-2"/>
                <w:sz w:val="18"/>
              </w:rPr>
              <w:t>Outcome</w:t>
            </w:r>
          </w:p>
        </w:tc>
        <w:tc>
          <w:tcPr>
            <w:tcW w:w="2506" w:type="dxa"/>
          </w:tcPr>
          <w:p>
            <w:pPr>
              <w:pStyle w:val="TableParagraph"/>
              <w:spacing w:line="218" w:lineRule="exact"/>
              <w:ind w:left="7"/>
              <w:rPr>
                <w:b/>
                <w:sz w:val="18"/>
              </w:rPr>
            </w:pPr>
            <w:r>
              <w:rPr>
                <w:b/>
                <w:sz w:val="18"/>
              </w:rPr>
              <w:t>Study</w:t>
            </w:r>
            <w:r>
              <w:rPr>
                <w:b/>
                <w:spacing w:val="-2"/>
                <w:sz w:val="18"/>
              </w:rPr>
              <w:t> </w:t>
            </w:r>
            <w:r>
              <w:rPr>
                <w:b/>
                <w:sz w:val="18"/>
              </w:rPr>
              <w:t>results</w:t>
            </w:r>
            <w:r>
              <w:rPr>
                <w:b/>
                <w:spacing w:val="-2"/>
                <w:sz w:val="18"/>
              </w:rPr>
              <w:t> </w:t>
            </w:r>
            <w:r>
              <w:rPr>
                <w:b/>
                <w:sz w:val="18"/>
              </w:rPr>
              <w:t>and</w:t>
            </w:r>
            <w:r>
              <w:rPr>
                <w:b/>
                <w:spacing w:val="-3"/>
                <w:sz w:val="18"/>
              </w:rPr>
              <w:t> </w:t>
            </w:r>
            <w:r>
              <w:rPr>
                <w:b/>
                <w:spacing w:val="-2"/>
                <w:sz w:val="18"/>
              </w:rPr>
              <w:t>measurements</w:t>
            </w:r>
          </w:p>
        </w:tc>
        <w:tc>
          <w:tcPr>
            <w:tcW w:w="2486" w:type="dxa"/>
            <w:gridSpan w:val="3"/>
          </w:tcPr>
          <w:p>
            <w:pPr>
              <w:pStyle w:val="TableParagraph"/>
              <w:spacing w:line="218" w:lineRule="exact"/>
              <w:ind w:left="5"/>
              <w:rPr>
                <w:b/>
                <w:sz w:val="18"/>
              </w:rPr>
            </w:pPr>
            <w:r>
              <w:rPr>
                <w:b/>
                <w:sz w:val="18"/>
              </w:rPr>
              <w:t>Absolute</w:t>
            </w:r>
            <w:r>
              <w:rPr>
                <w:b/>
                <w:spacing w:val="-3"/>
                <w:sz w:val="18"/>
              </w:rPr>
              <w:t> </w:t>
            </w:r>
            <w:r>
              <w:rPr>
                <w:b/>
                <w:sz w:val="18"/>
              </w:rPr>
              <w:t>effect</w:t>
            </w:r>
            <w:r>
              <w:rPr>
                <w:b/>
                <w:spacing w:val="-2"/>
                <w:sz w:val="18"/>
              </w:rPr>
              <w:t> estimates</w:t>
            </w:r>
          </w:p>
        </w:tc>
        <w:tc>
          <w:tcPr>
            <w:tcW w:w="2028" w:type="dxa"/>
          </w:tcPr>
          <w:p>
            <w:pPr>
              <w:pStyle w:val="TableParagraph"/>
              <w:spacing w:line="218" w:lineRule="exact"/>
              <w:ind w:left="8"/>
              <w:rPr>
                <w:b/>
                <w:sz w:val="18"/>
              </w:rPr>
            </w:pPr>
            <w:r>
              <w:rPr>
                <w:b/>
                <w:sz w:val="18"/>
              </w:rPr>
              <w:t>Certainty</w:t>
            </w:r>
            <w:r>
              <w:rPr>
                <w:b/>
                <w:spacing w:val="-2"/>
                <w:sz w:val="18"/>
              </w:rPr>
              <w:t> </w:t>
            </w:r>
            <w:r>
              <w:rPr>
                <w:b/>
                <w:sz w:val="18"/>
              </w:rPr>
              <w:t>of</w:t>
            </w:r>
            <w:r>
              <w:rPr>
                <w:b/>
                <w:spacing w:val="-2"/>
                <w:sz w:val="18"/>
              </w:rPr>
              <w:t> </w:t>
            </w:r>
            <w:r>
              <w:rPr>
                <w:b/>
                <w:sz w:val="18"/>
              </w:rPr>
              <w:t>the</w:t>
            </w:r>
            <w:r>
              <w:rPr>
                <w:b/>
                <w:spacing w:val="-1"/>
                <w:sz w:val="18"/>
              </w:rPr>
              <w:t> </w:t>
            </w:r>
            <w:r>
              <w:rPr>
                <w:b/>
                <w:spacing w:val="-2"/>
                <w:sz w:val="18"/>
              </w:rPr>
              <w:t>Evidence</w:t>
            </w:r>
          </w:p>
          <w:p>
            <w:pPr>
              <w:pStyle w:val="TableParagraph"/>
              <w:spacing w:before="195"/>
              <w:ind w:left="8"/>
              <w:rPr>
                <w:sz w:val="18"/>
              </w:rPr>
            </w:pPr>
            <w:r>
              <w:rPr>
                <w:sz w:val="18"/>
              </w:rPr>
              <w:t>(Quality</w:t>
            </w:r>
            <w:r>
              <w:rPr>
                <w:spacing w:val="-1"/>
                <w:sz w:val="18"/>
              </w:rPr>
              <w:t> </w:t>
            </w:r>
            <w:r>
              <w:rPr>
                <w:sz w:val="18"/>
              </w:rPr>
              <w:t>of</w:t>
            </w:r>
            <w:r>
              <w:rPr>
                <w:spacing w:val="-1"/>
                <w:sz w:val="18"/>
              </w:rPr>
              <w:t> </w:t>
            </w:r>
            <w:r>
              <w:rPr>
                <w:spacing w:val="-2"/>
                <w:sz w:val="18"/>
              </w:rPr>
              <w:t>evidence)</w:t>
            </w:r>
          </w:p>
        </w:tc>
        <w:tc>
          <w:tcPr>
            <w:tcW w:w="4882" w:type="dxa"/>
          </w:tcPr>
          <w:p>
            <w:pPr>
              <w:pStyle w:val="TableParagraph"/>
              <w:spacing w:line="218" w:lineRule="exact"/>
              <w:ind w:left="8"/>
              <w:rPr>
                <w:b/>
                <w:sz w:val="18"/>
              </w:rPr>
            </w:pPr>
            <w:r>
              <w:rPr>
                <w:b/>
                <w:spacing w:val="-2"/>
                <w:sz w:val="18"/>
              </w:rPr>
              <w:t>Summary</w:t>
            </w:r>
          </w:p>
        </w:tc>
      </w:tr>
      <w:tr>
        <w:trPr>
          <w:trHeight w:val="415" w:hRule="atLeast"/>
        </w:trPr>
        <w:tc>
          <w:tcPr>
            <w:tcW w:w="13944" w:type="dxa"/>
            <w:gridSpan w:val="8"/>
            <w:shd w:val="clear" w:color="auto" w:fill="D9D9D9"/>
          </w:tcPr>
          <w:p>
            <w:pPr>
              <w:pStyle w:val="TableParagraph"/>
              <w:spacing w:line="218" w:lineRule="exact"/>
              <w:ind w:left="6"/>
              <w:rPr>
                <w:b/>
                <w:i/>
                <w:sz w:val="18"/>
              </w:rPr>
            </w:pPr>
            <w:r>
              <w:rPr>
                <w:b/>
                <w:i/>
                <w:sz w:val="18"/>
              </w:rPr>
              <w:t>Aspirin</w:t>
            </w:r>
            <w:r>
              <w:rPr>
                <w:b/>
                <w:i/>
                <w:spacing w:val="-3"/>
                <w:sz w:val="18"/>
              </w:rPr>
              <w:t> </w:t>
            </w:r>
            <w:r>
              <w:rPr>
                <w:b/>
                <w:i/>
                <w:sz w:val="18"/>
              </w:rPr>
              <w:t>versus</w:t>
            </w:r>
            <w:r>
              <w:rPr>
                <w:b/>
                <w:i/>
                <w:spacing w:val="-3"/>
                <w:sz w:val="18"/>
              </w:rPr>
              <w:t> </w:t>
            </w:r>
            <w:r>
              <w:rPr>
                <w:b/>
                <w:i/>
                <w:spacing w:val="-2"/>
                <w:sz w:val="18"/>
              </w:rPr>
              <w:t>warfarin</w:t>
            </w:r>
          </w:p>
        </w:tc>
      </w:tr>
      <w:tr>
        <w:trPr>
          <w:trHeight w:val="416" w:hRule="atLeast"/>
        </w:trPr>
        <w:tc>
          <w:tcPr>
            <w:tcW w:w="2042" w:type="dxa"/>
            <w:gridSpan w:val="2"/>
          </w:tcPr>
          <w:p>
            <w:pPr>
              <w:pStyle w:val="TableParagraph"/>
              <w:rPr>
                <w:rFonts w:ascii="Times New Roman"/>
                <w:sz w:val="18"/>
              </w:rPr>
            </w:pPr>
          </w:p>
        </w:tc>
        <w:tc>
          <w:tcPr>
            <w:tcW w:w="2506" w:type="dxa"/>
          </w:tcPr>
          <w:p>
            <w:pPr>
              <w:pStyle w:val="TableParagraph"/>
              <w:rPr>
                <w:rFonts w:ascii="Times New Roman"/>
                <w:sz w:val="18"/>
              </w:rPr>
            </w:pPr>
          </w:p>
        </w:tc>
        <w:tc>
          <w:tcPr>
            <w:tcW w:w="1099" w:type="dxa"/>
          </w:tcPr>
          <w:p>
            <w:pPr>
              <w:pStyle w:val="TableParagraph"/>
              <w:spacing w:before="1"/>
              <w:ind w:left="5"/>
              <w:rPr>
                <w:sz w:val="18"/>
              </w:rPr>
            </w:pPr>
            <w:r>
              <w:rPr>
                <w:spacing w:val="-2"/>
                <w:sz w:val="18"/>
              </w:rPr>
              <w:t>Aspirin</w:t>
            </w:r>
          </w:p>
        </w:tc>
        <w:tc>
          <w:tcPr>
            <w:tcW w:w="1387" w:type="dxa"/>
            <w:gridSpan w:val="2"/>
          </w:tcPr>
          <w:p>
            <w:pPr>
              <w:pStyle w:val="TableParagraph"/>
              <w:spacing w:before="1"/>
              <w:ind w:left="8"/>
              <w:rPr>
                <w:sz w:val="18"/>
              </w:rPr>
            </w:pPr>
            <w:r>
              <w:rPr>
                <w:spacing w:val="-2"/>
                <w:sz w:val="18"/>
              </w:rPr>
              <w:t>Warfarin</w:t>
            </w:r>
          </w:p>
        </w:tc>
        <w:tc>
          <w:tcPr>
            <w:tcW w:w="2028" w:type="dxa"/>
          </w:tcPr>
          <w:p>
            <w:pPr>
              <w:pStyle w:val="TableParagraph"/>
              <w:rPr>
                <w:rFonts w:ascii="Times New Roman"/>
                <w:sz w:val="18"/>
              </w:rPr>
            </w:pPr>
          </w:p>
        </w:tc>
        <w:tc>
          <w:tcPr>
            <w:tcW w:w="4882" w:type="dxa"/>
          </w:tcPr>
          <w:p>
            <w:pPr>
              <w:pStyle w:val="TableParagraph"/>
              <w:rPr>
                <w:rFonts w:ascii="Times New Roman"/>
                <w:sz w:val="18"/>
              </w:rPr>
            </w:pPr>
          </w:p>
        </w:tc>
      </w:tr>
      <w:tr>
        <w:trPr>
          <w:trHeight w:val="829" w:hRule="atLeast"/>
        </w:trPr>
        <w:tc>
          <w:tcPr>
            <w:tcW w:w="2042" w:type="dxa"/>
            <w:gridSpan w:val="2"/>
            <w:vMerge w:val="restart"/>
          </w:tcPr>
          <w:p>
            <w:pPr>
              <w:pStyle w:val="TableParagraph"/>
              <w:spacing w:line="278" w:lineRule="auto"/>
              <w:ind w:left="6" w:right="104"/>
              <w:rPr>
                <w:sz w:val="18"/>
              </w:rPr>
            </w:pPr>
            <w:r>
              <w:rPr>
                <w:sz w:val="18"/>
              </w:rPr>
              <w:t>Thrombotic</w:t>
            </w:r>
            <w:r>
              <w:rPr>
                <w:spacing w:val="-11"/>
                <w:sz w:val="18"/>
              </w:rPr>
              <w:t> </w:t>
            </w:r>
            <w:r>
              <w:rPr>
                <w:sz w:val="18"/>
              </w:rPr>
              <w:t>complications </w:t>
            </w:r>
            <w:r>
              <w:rPr>
                <w:spacing w:val="-2"/>
                <w:sz w:val="18"/>
              </w:rPr>
              <w:t>(critical)</w:t>
            </w:r>
          </w:p>
        </w:tc>
        <w:tc>
          <w:tcPr>
            <w:tcW w:w="2506" w:type="dxa"/>
            <w:vMerge w:val="restart"/>
          </w:tcPr>
          <w:p>
            <w:pPr>
              <w:pStyle w:val="TableParagraph"/>
              <w:spacing w:line="218" w:lineRule="exact"/>
              <w:ind w:left="7"/>
              <w:rPr>
                <w:b/>
                <w:sz w:val="18"/>
              </w:rPr>
            </w:pPr>
            <w:r>
              <w:rPr>
                <w:sz w:val="18"/>
              </w:rPr>
              <w:t>Relative</w:t>
            </w:r>
            <w:r>
              <w:rPr>
                <w:spacing w:val="-3"/>
                <w:sz w:val="18"/>
              </w:rPr>
              <w:t> </w:t>
            </w:r>
            <w:r>
              <w:rPr>
                <w:sz w:val="18"/>
              </w:rPr>
              <w:t>risk:</w:t>
            </w:r>
            <w:r>
              <w:rPr>
                <w:spacing w:val="-2"/>
                <w:sz w:val="18"/>
              </w:rPr>
              <w:t> </w:t>
            </w:r>
            <w:r>
              <w:rPr>
                <w:b/>
                <w:spacing w:val="-4"/>
                <w:sz w:val="18"/>
              </w:rPr>
              <w:t>1.42</w:t>
            </w:r>
          </w:p>
          <w:p>
            <w:pPr>
              <w:pStyle w:val="TableParagraph"/>
              <w:spacing w:before="195"/>
              <w:ind w:left="7"/>
              <w:rPr>
                <w:sz w:val="18"/>
              </w:rPr>
            </w:pPr>
            <w:r>
              <w:rPr>
                <w:sz w:val="18"/>
              </w:rPr>
              <w:t>(95%</w:t>
            </w:r>
            <w:r>
              <w:rPr>
                <w:spacing w:val="-1"/>
                <w:sz w:val="18"/>
              </w:rPr>
              <w:t> </w:t>
            </w:r>
            <w:r>
              <w:rPr>
                <w:sz w:val="18"/>
              </w:rPr>
              <w:t>CI 0.35 to </w:t>
            </w:r>
            <w:r>
              <w:rPr>
                <w:spacing w:val="-2"/>
                <w:sz w:val="18"/>
              </w:rPr>
              <w:t>40.04)</w:t>
            </w:r>
          </w:p>
          <w:p>
            <w:pPr>
              <w:pStyle w:val="TableParagraph"/>
              <w:rPr>
                <w:sz w:val="18"/>
              </w:rPr>
            </w:pPr>
          </w:p>
          <w:p>
            <w:pPr>
              <w:pStyle w:val="TableParagraph"/>
              <w:spacing w:before="171"/>
              <w:rPr>
                <w:sz w:val="18"/>
              </w:rPr>
            </w:pPr>
          </w:p>
          <w:p>
            <w:pPr>
              <w:pStyle w:val="TableParagraph"/>
              <w:spacing w:line="278" w:lineRule="auto"/>
              <w:ind w:left="7" w:right="643"/>
              <w:rPr>
                <w:sz w:val="18"/>
              </w:rPr>
            </w:pPr>
            <w:r>
              <w:rPr>
                <w:sz w:val="18"/>
              </w:rPr>
              <w:t>Based</w:t>
            </w:r>
            <w:r>
              <w:rPr>
                <w:spacing w:val="-10"/>
                <w:sz w:val="18"/>
              </w:rPr>
              <w:t> </w:t>
            </w:r>
            <w:r>
              <w:rPr>
                <w:sz w:val="18"/>
              </w:rPr>
              <w:t>on</w:t>
            </w:r>
            <w:r>
              <w:rPr>
                <w:spacing w:val="-10"/>
                <w:sz w:val="18"/>
              </w:rPr>
              <w:t> </w:t>
            </w:r>
            <w:r>
              <w:rPr>
                <w:sz w:val="18"/>
              </w:rPr>
              <w:t>data</w:t>
            </w:r>
            <w:r>
              <w:rPr>
                <w:spacing w:val="-10"/>
                <w:sz w:val="18"/>
              </w:rPr>
              <w:t> </w:t>
            </w:r>
            <w:r>
              <w:rPr>
                <w:sz w:val="18"/>
              </w:rPr>
              <w:t>from</w:t>
            </w:r>
            <w:r>
              <w:rPr>
                <w:spacing w:val="-10"/>
                <w:sz w:val="18"/>
              </w:rPr>
              <w:t> </w:t>
            </w:r>
            <w:r>
              <w:rPr>
                <w:sz w:val="18"/>
              </w:rPr>
              <w:t>1533 participants in 7 studies Follow-up: ≥ 24 months</w:t>
            </w:r>
          </w:p>
        </w:tc>
        <w:tc>
          <w:tcPr>
            <w:tcW w:w="1099" w:type="dxa"/>
          </w:tcPr>
          <w:p>
            <w:pPr>
              <w:pStyle w:val="TableParagraph"/>
              <w:spacing w:line="218" w:lineRule="exact"/>
              <w:ind w:left="5"/>
              <w:rPr>
                <w:b/>
                <w:sz w:val="18"/>
              </w:rPr>
            </w:pPr>
            <w:r>
              <w:rPr>
                <w:b/>
                <w:spacing w:val="-5"/>
                <w:sz w:val="18"/>
              </w:rPr>
              <w:t>19</w:t>
            </w:r>
          </w:p>
          <w:p>
            <w:pPr>
              <w:pStyle w:val="TableParagraph"/>
              <w:spacing w:before="195"/>
              <w:ind w:left="5"/>
              <w:rPr>
                <w:sz w:val="18"/>
              </w:rPr>
            </w:pPr>
            <w:r>
              <w:rPr>
                <w:sz w:val="18"/>
              </w:rPr>
              <w:t>per</w:t>
            </w:r>
            <w:r>
              <w:rPr>
                <w:spacing w:val="-3"/>
                <w:sz w:val="18"/>
              </w:rPr>
              <w:t> </w:t>
            </w:r>
            <w:r>
              <w:rPr>
                <w:spacing w:val="-5"/>
                <w:sz w:val="18"/>
              </w:rPr>
              <w:t>100</w:t>
            </w:r>
          </w:p>
        </w:tc>
        <w:tc>
          <w:tcPr>
            <w:tcW w:w="1387" w:type="dxa"/>
            <w:gridSpan w:val="2"/>
          </w:tcPr>
          <w:p>
            <w:pPr>
              <w:pStyle w:val="TableParagraph"/>
              <w:spacing w:line="218" w:lineRule="exact"/>
              <w:ind w:left="8"/>
              <w:rPr>
                <w:b/>
                <w:sz w:val="18"/>
              </w:rPr>
            </w:pPr>
            <w:r>
              <w:rPr>
                <w:b/>
                <w:spacing w:val="-10"/>
                <w:sz w:val="18"/>
              </w:rPr>
              <w:t>9</w:t>
            </w:r>
          </w:p>
          <w:p>
            <w:pPr>
              <w:pStyle w:val="TableParagraph"/>
              <w:spacing w:before="195"/>
              <w:ind w:left="8"/>
              <w:rPr>
                <w:sz w:val="18"/>
              </w:rPr>
            </w:pPr>
            <w:r>
              <w:rPr>
                <w:sz w:val="18"/>
              </w:rPr>
              <w:t>per</w:t>
            </w:r>
            <w:r>
              <w:rPr>
                <w:spacing w:val="-3"/>
                <w:sz w:val="18"/>
              </w:rPr>
              <w:t> </w:t>
            </w:r>
            <w:r>
              <w:rPr>
                <w:spacing w:val="-5"/>
                <w:sz w:val="18"/>
              </w:rPr>
              <w:t>100</w:t>
            </w:r>
          </w:p>
        </w:tc>
        <w:tc>
          <w:tcPr>
            <w:tcW w:w="2028"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82"/>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line="280" w:lineRule="auto" w:before="35"/>
              <w:ind w:left="8"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line="217" w:lineRule="exact"/>
              <w:ind w:left="8"/>
              <w:rPr>
                <w:position w:val="5"/>
                <w:sz w:val="12"/>
              </w:rPr>
            </w:pPr>
            <w:r>
              <w:rPr>
                <w:sz w:val="18"/>
              </w:rPr>
              <w:t>serious</w:t>
            </w:r>
            <w:r>
              <w:rPr>
                <w:spacing w:val="-5"/>
                <w:sz w:val="18"/>
              </w:rPr>
              <w:t> </w:t>
            </w:r>
            <w:r>
              <w:rPr>
                <w:spacing w:val="-2"/>
                <w:sz w:val="18"/>
              </w:rPr>
              <w:t>imprecision</w:t>
            </w:r>
            <w:r>
              <w:rPr>
                <w:spacing w:val="-2"/>
                <w:position w:val="5"/>
                <w:sz w:val="12"/>
              </w:rPr>
              <w:t>1</w:t>
            </w:r>
          </w:p>
        </w:tc>
        <w:tc>
          <w:tcPr>
            <w:tcW w:w="488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1"/>
              <w:rPr>
                <w:sz w:val="18"/>
              </w:rPr>
            </w:pPr>
          </w:p>
          <w:p>
            <w:pPr>
              <w:pStyle w:val="TableParagraph"/>
              <w:spacing w:line="278" w:lineRule="auto"/>
              <w:ind w:left="8" w:right="469"/>
              <w:jc w:val="both"/>
              <w:rPr>
                <w:sz w:val="18"/>
              </w:rPr>
            </w:pPr>
            <w:r>
              <w:rPr>
                <w:sz w:val="18"/>
              </w:rPr>
              <w:t>The</w:t>
            </w:r>
            <w:r>
              <w:rPr>
                <w:spacing w:val="-5"/>
                <w:sz w:val="18"/>
              </w:rPr>
              <w:t> </w:t>
            </w:r>
            <w:r>
              <w:rPr>
                <w:sz w:val="18"/>
              </w:rPr>
              <w:t>evidence</w:t>
            </w:r>
            <w:r>
              <w:rPr>
                <w:spacing w:val="-5"/>
                <w:sz w:val="18"/>
              </w:rPr>
              <w:t> </w:t>
            </w:r>
            <w:r>
              <w:rPr>
                <w:sz w:val="18"/>
              </w:rPr>
              <w:t>is</w:t>
            </w:r>
            <w:r>
              <w:rPr>
                <w:spacing w:val="-6"/>
                <w:sz w:val="18"/>
              </w:rPr>
              <w:t> </w:t>
            </w:r>
            <w:r>
              <w:rPr>
                <w:sz w:val="18"/>
              </w:rPr>
              <w:t>very</w:t>
            </w:r>
            <w:r>
              <w:rPr>
                <w:spacing w:val="-4"/>
                <w:sz w:val="18"/>
              </w:rPr>
              <w:t> </w:t>
            </w:r>
            <w:r>
              <w:rPr>
                <w:sz w:val="18"/>
              </w:rPr>
              <w:t>uncertain</w:t>
            </w:r>
            <w:r>
              <w:rPr>
                <w:spacing w:val="-6"/>
                <w:sz w:val="18"/>
              </w:rPr>
              <w:t> </w:t>
            </w:r>
            <w:r>
              <w:rPr>
                <w:sz w:val="18"/>
              </w:rPr>
              <w:t>about</w:t>
            </w:r>
            <w:r>
              <w:rPr>
                <w:spacing w:val="-4"/>
                <w:sz w:val="18"/>
              </w:rPr>
              <w:t> </w:t>
            </w:r>
            <w:r>
              <w:rPr>
                <w:sz w:val="18"/>
              </w:rPr>
              <w:t>the</w:t>
            </w:r>
            <w:r>
              <w:rPr>
                <w:spacing w:val="-5"/>
                <w:sz w:val="18"/>
              </w:rPr>
              <w:t> </w:t>
            </w:r>
            <w:r>
              <w:rPr>
                <w:sz w:val="18"/>
              </w:rPr>
              <w:t>effect</w:t>
            </w:r>
            <w:r>
              <w:rPr>
                <w:spacing w:val="-4"/>
                <w:sz w:val="18"/>
              </w:rPr>
              <w:t> </w:t>
            </w:r>
            <w:r>
              <w:rPr>
                <w:sz w:val="18"/>
              </w:rPr>
              <w:t>of</w:t>
            </w:r>
            <w:r>
              <w:rPr>
                <w:spacing w:val="-5"/>
                <w:sz w:val="18"/>
              </w:rPr>
              <w:t> </w:t>
            </w:r>
            <w:r>
              <w:rPr>
                <w:sz w:val="18"/>
              </w:rPr>
              <w:t>aspirin</w:t>
            </w:r>
            <w:r>
              <w:rPr>
                <w:spacing w:val="-5"/>
                <w:sz w:val="18"/>
              </w:rPr>
              <w:t> </w:t>
            </w:r>
            <w:r>
              <w:rPr>
                <w:sz w:val="18"/>
              </w:rPr>
              <w:t>on thrombotic</w:t>
            </w:r>
            <w:r>
              <w:rPr>
                <w:spacing w:val="-1"/>
                <w:sz w:val="18"/>
              </w:rPr>
              <w:t> </w:t>
            </w:r>
            <w:r>
              <w:rPr>
                <w:sz w:val="18"/>
              </w:rPr>
              <w:t>complications,</w:t>
            </w:r>
            <w:r>
              <w:rPr>
                <w:spacing w:val="-1"/>
                <w:sz w:val="18"/>
              </w:rPr>
              <w:t> </w:t>
            </w:r>
            <w:r>
              <w:rPr>
                <w:sz w:val="18"/>
              </w:rPr>
              <w:t>when compared</w:t>
            </w:r>
            <w:r>
              <w:rPr>
                <w:spacing w:val="-2"/>
                <w:sz w:val="18"/>
              </w:rPr>
              <w:t> </w:t>
            </w:r>
            <w:r>
              <w:rPr>
                <w:sz w:val="18"/>
              </w:rPr>
              <w:t>with</w:t>
            </w:r>
            <w:r>
              <w:rPr>
                <w:spacing w:val="-3"/>
                <w:sz w:val="18"/>
              </w:rPr>
              <w:t> </w:t>
            </w:r>
            <w:r>
              <w:rPr>
                <w:sz w:val="18"/>
              </w:rPr>
              <w:t>warfarin</w:t>
            </w:r>
            <w:r>
              <w:rPr>
                <w:spacing w:val="-2"/>
                <w:sz w:val="18"/>
              </w:rPr>
              <w:t> </w:t>
            </w:r>
            <w:r>
              <w:rPr>
                <w:sz w:val="18"/>
              </w:rPr>
              <w:t>in children with an indication for the Fontan procedure</w:t>
            </w:r>
          </w:p>
          <w:p>
            <w:pPr>
              <w:pStyle w:val="TableParagraph"/>
              <w:rPr>
                <w:sz w:val="18"/>
              </w:rPr>
            </w:pPr>
          </w:p>
          <w:p>
            <w:pPr>
              <w:pStyle w:val="TableParagraph"/>
              <w:spacing w:before="138"/>
              <w:rPr>
                <w:sz w:val="18"/>
              </w:rPr>
            </w:pPr>
          </w:p>
          <w:p>
            <w:pPr>
              <w:pStyle w:val="TableParagraph"/>
              <w:ind w:left="8"/>
              <w:jc w:val="both"/>
              <w:rPr>
                <w:sz w:val="18"/>
              </w:rPr>
            </w:pPr>
            <w:r>
              <w:rPr>
                <w:sz w:val="18"/>
              </w:rPr>
              <w:t>(Al-Jazairi,</w:t>
            </w:r>
            <w:r>
              <w:rPr>
                <w:spacing w:val="-2"/>
                <w:sz w:val="18"/>
              </w:rPr>
              <w:t> </w:t>
            </w:r>
            <w:r>
              <w:rPr>
                <w:sz w:val="18"/>
              </w:rPr>
              <w:t>2019;</w:t>
            </w:r>
            <w:r>
              <w:rPr>
                <w:spacing w:val="-1"/>
                <w:sz w:val="18"/>
              </w:rPr>
              <w:t> </w:t>
            </w:r>
            <w:r>
              <w:rPr>
                <w:sz w:val="18"/>
              </w:rPr>
              <w:t>Egbe,</w:t>
            </w:r>
            <w:r>
              <w:rPr>
                <w:spacing w:val="-1"/>
                <w:sz w:val="18"/>
              </w:rPr>
              <w:t> </w:t>
            </w:r>
            <w:r>
              <w:rPr>
                <w:sz w:val="18"/>
              </w:rPr>
              <w:t>2017;</w:t>
            </w:r>
            <w:r>
              <w:rPr>
                <w:spacing w:val="-2"/>
                <w:sz w:val="18"/>
              </w:rPr>
              <w:t> </w:t>
            </w:r>
            <w:r>
              <w:rPr>
                <w:sz w:val="18"/>
              </w:rPr>
              <w:t>Iyengar, 2016;</w:t>
            </w:r>
            <w:r>
              <w:rPr>
                <w:spacing w:val="-2"/>
                <w:sz w:val="18"/>
              </w:rPr>
              <w:t> McCrindle,</w:t>
            </w:r>
          </w:p>
          <w:p>
            <w:pPr>
              <w:pStyle w:val="TableParagraph"/>
              <w:spacing w:before="37"/>
              <w:ind w:left="8"/>
              <w:jc w:val="both"/>
              <w:rPr>
                <w:sz w:val="18"/>
              </w:rPr>
            </w:pPr>
            <w:r>
              <w:rPr>
                <w:sz w:val="18"/>
              </w:rPr>
              <w:t>2013;</w:t>
            </w:r>
            <w:r>
              <w:rPr>
                <w:spacing w:val="-4"/>
                <w:sz w:val="18"/>
              </w:rPr>
              <w:t> </w:t>
            </w:r>
            <w:r>
              <w:rPr>
                <w:sz w:val="18"/>
              </w:rPr>
              <w:t>Pessotti,</w:t>
            </w:r>
            <w:r>
              <w:rPr>
                <w:spacing w:val="-2"/>
                <w:sz w:val="18"/>
              </w:rPr>
              <w:t> </w:t>
            </w:r>
            <w:r>
              <w:rPr>
                <w:sz w:val="18"/>
              </w:rPr>
              <w:t>2014;</w:t>
            </w:r>
            <w:r>
              <w:rPr>
                <w:spacing w:val="-2"/>
                <w:sz w:val="18"/>
              </w:rPr>
              <w:t> </w:t>
            </w:r>
            <w:r>
              <w:rPr>
                <w:sz w:val="18"/>
              </w:rPr>
              <w:t>Potter,</w:t>
            </w:r>
            <w:r>
              <w:rPr>
                <w:spacing w:val="-3"/>
                <w:sz w:val="18"/>
              </w:rPr>
              <w:t> </w:t>
            </w:r>
            <w:r>
              <w:rPr>
                <w:sz w:val="18"/>
              </w:rPr>
              <w:t>2013;</w:t>
            </w:r>
            <w:r>
              <w:rPr>
                <w:spacing w:val="-1"/>
                <w:sz w:val="18"/>
              </w:rPr>
              <w:t> </w:t>
            </w:r>
            <w:r>
              <w:rPr>
                <w:sz w:val="18"/>
              </w:rPr>
              <w:t>Seipelt,</w:t>
            </w:r>
            <w:r>
              <w:rPr>
                <w:spacing w:val="-2"/>
                <w:sz w:val="18"/>
              </w:rPr>
              <w:t> 2002)</w:t>
            </w:r>
          </w:p>
        </w:tc>
      </w:tr>
      <w:tr>
        <w:trPr>
          <w:trHeight w:val="2829" w:hRule="atLeast"/>
        </w:trPr>
        <w:tc>
          <w:tcPr>
            <w:tcW w:w="2042" w:type="dxa"/>
            <w:gridSpan w:val="2"/>
            <w:vMerge/>
            <w:tcBorders>
              <w:top w:val="nil"/>
            </w:tcBorders>
          </w:tcPr>
          <w:p>
            <w:pPr>
              <w:rPr>
                <w:sz w:val="2"/>
                <w:szCs w:val="2"/>
              </w:rPr>
            </w:pPr>
          </w:p>
        </w:tc>
        <w:tc>
          <w:tcPr>
            <w:tcW w:w="2506" w:type="dxa"/>
            <w:vMerge/>
            <w:tcBorders>
              <w:top w:val="nil"/>
            </w:tcBorders>
          </w:tcPr>
          <w:p>
            <w:pPr>
              <w:rPr>
                <w:sz w:val="2"/>
                <w:szCs w:val="2"/>
              </w:rPr>
            </w:pPr>
          </w:p>
        </w:tc>
        <w:tc>
          <w:tcPr>
            <w:tcW w:w="2486" w:type="dxa"/>
            <w:gridSpan w:val="3"/>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ind w:left="5"/>
              <w:rPr>
                <w:b/>
                <w:sz w:val="18"/>
              </w:rPr>
            </w:pPr>
            <w:r>
              <w:rPr>
                <w:sz w:val="18"/>
              </w:rPr>
              <w:t>Difference:</w:t>
            </w:r>
            <w:r>
              <w:rPr>
                <w:spacing w:val="-2"/>
                <w:sz w:val="18"/>
              </w:rPr>
              <w:t> </w:t>
            </w:r>
            <w:r>
              <w:rPr>
                <w:b/>
                <w:sz w:val="18"/>
              </w:rPr>
              <w:t>5</w:t>
            </w:r>
            <w:r>
              <w:rPr>
                <w:b/>
                <w:spacing w:val="-2"/>
                <w:sz w:val="18"/>
              </w:rPr>
              <w:t> </w:t>
            </w:r>
            <w:r>
              <w:rPr>
                <w:b/>
                <w:sz w:val="18"/>
              </w:rPr>
              <w:t>more</w:t>
            </w:r>
            <w:r>
              <w:rPr>
                <w:b/>
                <w:spacing w:val="-2"/>
                <w:sz w:val="18"/>
              </w:rPr>
              <w:t> </w:t>
            </w:r>
            <w:r>
              <w:rPr>
                <w:b/>
                <w:sz w:val="18"/>
              </w:rPr>
              <w:t>per</w:t>
            </w:r>
            <w:r>
              <w:rPr>
                <w:b/>
                <w:spacing w:val="-1"/>
                <w:sz w:val="18"/>
              </w:rPr>
              <w:t> </w:t>
            </w:r>
            <w:r>
              <w:rPr>
                <w:b/>
                <w:spacing w:val="-5"/>
                <w:sz w:val="18"/>
              </w:rPr>
              <w:t>100</w:t>
            </w:r>
          </w:p>
          <w:p>
            <w:pPr>
              <w:pStyle w:val="TableParagraph"/>
              <w:spacing w:before="196"/>
              <w:ind w:left="5"/>
              <w:rPr>
                <w:sz w:val="18"/>
              </w:rPr>
            </w:pPr>
            <w:r>
              <w:rPr>
                <w:sz w:val="18"/>
              </w:rPr>
              <w:t>(95%</w:t>
            </w:r>
            <w:r>
              <w:rPr>
                <w:spacing w:val="-3"/>
                <w:sz w:val="18"/>
              </w:rPr>
              <w:t> </w:t>
            </w:r>
            <w:r>
              <w:rPr>
                <w:sz w:val="18"/>
              </w:rPr>
              <w:t>CI 9 fewer</w:t>
            </w:r>
            <w:r>
              <w:rPr>
                <w:spacing w:val="-1"/>
                <w:sz w:val="18"/>
              </w:rPr>
              <w:t> </w:t>
            </w:r>
            <w:r>
              <w:rPr>
                <w:sz w:val="18"/>
              </w:rPr>
              <w:t>to 19 </w:t>
            </w:r>
            <w:r>
              <w:rPr>
                <w:spacing w:val="-4"/>
                <w:sz w:val="18"/>
              </w:rPr>
              <w:t>more)</w:t>
            </w:r>
          </w:p>
        </w:tc>
        <w:tc>
          <w:tcPr>
            <w:tcW w:w="2028" w:type="dxa"/>
            <w:vMerge/>
            <w:tcBorders>
              <w:top w:val="nil"/>
            </w:tcBorders>
          </w:tcPr>
          <w:p>
            <w:pPr>
              <w:rPr>
                <w:sz w:val="2"/>
                <w:szCs w:val="2"/>
              </w:rPr>
            </w:pPr>
          </w:p>
        </w:tc>
        <w:tc>
          <w:tcPr>
            <w:tcW w:w="4882" w:type="dxa"/>
            <w:vMerge/>
            <w:tcBorders>
              <w:top w:val="nil"/>
            </w:tcBorders>
          </w:tcPr>
          <w:p>
            <w:pPr>
              <w:rPr>
                <w:sz w:val="2"/>
                <w:szCs w:val="2"/>
              </w:rPr>
            </w:pPr>
          </w:p>
        </w:tc>
      </w:tr>
      <w:tr>
        <w:trPr>
          <w:trHeight w:val="829" w:hRule="atLeast"/>
        </w:trPr>
        <w:tc>
          <w:tcPr>
            <w:tcW w:w="1032" w:type="dxa"/>
            <w:vMerge w:val="restart"/>
          </w:tcPr>
          <w:p>
            <w:pPr>
              <w:pStyle w:val="TableParagraph"/>
              <w:spacing w:line="280" w:lineRule="auto"/>
              <w:ind w:left="6"/>
              <w:rPr>
                <w:sz w:val="18"/>
              </w:rPr>
            </w:pPr>
            <w:r>
              <w:rPr>
                <w:spacing w:val="-2"/>
                <w:sz w:val="18"/>
              </w:rPr>
              <w:t>Hemorrhage</w:t>
            </w:r>
            <w:r>
              <w:rPr>
                <w:sz w:val="18"/>
              </w:rPr>
              <w:t> </w:t>
            </w:r>
            <w:r>
              <w:rPr>
                <w:spacing w:val="-2"/>
                <w:sz w:val="18"/>
              </w:rPr>
              <w:t>(important)</w:t>
            </w:r>
          </w:p>
        </w:tc>
        <w:tc>
          <w:tcPr>
            <w:tcW w:w="1010" w:type="dxa"/>
            <w:vMerge w:val="restart"/>
          </w:tcPr>
          <w:p>
            <w:pPr>
              <w:pStyle w:val="TableParagraph"/>
              <w:spacing w:line="280" w:lineRule="auto"/>
              <w:ind w:left="7" w:right="353"/>
              <w:rPr>
                <w:sz w:val="18"/>
              </w:rPr>
            </w:pPr>
            <w:r>
              <w:rPr>
                <w:spacing w:val="-2"/>
                <w:sz w:val="18"/>
              </w:rPr>
              <w:t>Major</w:t>
            </w:r>
            <w:r>
              <w:rPr>
                <w:sz w:val="18"/>
              </w:rPr>
              <w:t> </w:t>
            </w:r>
            <w:r>
              <w:rPr>
                <w:spacing w:val="-2"/>
                <w:sz w:val="18"/>
              </w:rPr>
              <w:t>bleeding</w:t>
            </w:r>
          </w:p>
        </w:tc>
        <w:tc>
          <w:tcPr>
            <w:tcW w:w="2506" w:type="dxa"/>
            <w:vMerge w:val="restart"/>
          </w:tcPr>
          <w:p>
            <w:pPr>
              <w:pStyle w:val="TableParagraph"/>
              <w:spacing w:line="218" w:lineRule="exact"/>
              <w:ind w:left="7"/>
              <w:rPr>
                <w:b/>
                <w:sz w:val="18"/>
              </w:rPr>
            </w:pPr>
            <w:r>
              <w:rPr>
                <w:sz w:val="18"/>
              </w:rPr>
              <w:t>Relative</w:t>
            </w:r>
            <w:r>
              <w:rPr>
                <w:spacing w:val="-3"/>
                <w:sz w:val="18"/>
              </w:rPr>
              <w:t> </w:t>
            </w:r>
            <w:r>
              <w:rPr>
                <w:sz w:val="18"/>
              </w:rPr>
              <w:t>risk:</w:t>
            </w:r>
            <w:r>
              <w:rPr>
                <w:spacing w:val="-2"/>
                <w:sz w:val="18"/>
              </w:rPr>
              <w:t> </w:t>
            </w:r>
            <w:r>
              <w:rPr>
                <w:b/>
                <w:spacing w:val="-4"/>
                <w:sz w:val="18"/>
              </w:rPr>
              <w:t>0.89</w:t>
            </w:r>
          </w:p>
          <w:p>
            <w:pPr>
              <w:pStyle w:val="TableParagraph"/>
              <w:spacing w:before="195"/>
              <w:ind w:left="7"/>
              <w:rPr>
                <w:sz w:val="18"/>
              </w:rPr>
            </w:pPr>
            <w:r>
              <w:rPr>
                <w:sz w:val="18"/>
              </w:rPr>
              <w:t>(95%</w:t>
            </w:r>
            <w:r>
              <w:rPr>
                <w:spacing w:val="-1"/>
                <w:sz w:val="18"/>
              </w:rPr>
              <w:t> </w:t>
            </w:r>
            <w:r>
              <w:rPr>
                <w:sz w:val="18"/>
              </w:rPr>
              <w:t>CI 0.74 to </w:t>
            </w:r>
            <w:r>
              <w:rPr>
                <w:spacing w:val="-4"/>
                <w:sz w:val="18"/>
              </w:rPr>
              <w:t>1.08)</w:t>
            </w:r>
          </w:p>
          <w:p>
            <w:pPr>
              <w:pStyle w:val="TableParagraph"/>
              <w:rPr>
                <w:sz w:val="18"/>
              </w:rPr>
            </w:pPr>
          </w:p>
          <w:p>
            <w:pPr>
              <w:pStyle w:val="TableParagraph"/>
              <w:spacing w:before="172"/>
              <w:rPr>
                <w:sz w:val="18"/>
              </w:rPr>
            </w:pPr>
          </w:p>
          <w:p>
            <w:pPr>
              <w:pStyle w:val="TableParagraph"/>
              <w:spacing w:line="280" w:lineRule="auto"/>
              <w:ind w:left="7"/>
              <w:rPr>
                <w:sz w:val="18"/>
              </w:rPr>
            </w:pPr>
            <w:r>
              <w:rPr>
                <w:sz w:val="18"/>
              </w:rPr>
              <w:t>Based</w:t>
            </w:r>
            <w:r>
              <w:rPr>
                <w:spacing w:val="-10"/>
                <w:sz w:val="18"/>
              </w:rPr>
              <w:t> </w:t>
            </w:r>
            <w:r>
              <w:rPr>
                <w:sz w:val="18"/>
              </w:rPr>
              <w:t>on</w:t>
            </w:r>
            <w:r>
              <w:rPr>
                <w:spacing w:val="-10"/>
                <w:sz w:val="18"/>
              </w:rPr>
              <w:t> </w:t>
            </w:r>
            <w:r>
              <w:rPr>
                <w:sz w:val="18"/>
              </w:rPr>
              <w:t>data</w:t>
            </w:r>
            <w:r>
              <w:rPr>
                <w:spacing w:val="-10"/>
                <w:sz w:val="18"/>
              </w:rPr>
              <w:t> </w:t>
            </w:r>
            <w:r>
              <w:rPr>
                <w:sz w:val="18"/>
              </w:rPr>
              <w:t>from</w:t>
            </w:r>
            <w:r>
              <w:rPr>
                <w:spacing w:val="-10"/>
                <w:sz w:val="18"/>
              </w:rPr>
              <w:t> </w:t>
            </w:r>
            <w:r>
              <w:rPr>
                <w:sz w:val="18"/>
              </w:rPr>
              <w:t>147 participants</w:t>
            </w:r>
            <w:r>
              <w:rPr>
                <w:spacing w:val="-4"/>
                <w:sz w:val="18"/>
              </w:rPr>
              <w:t> </w:t>
            </w:r>
            <w:r>
              <w:rPr>
                <w:sz w:val="18"/>
              </w:rPr>
              <w:t>in</w:t>
            </w:r>
            <w:r>
              <w:rPr>
                <w:spacing w:val="-3"/>
                <w:sz w:val="18"/>
              </w:rPr>
              <w:t> </w:t>
            </w:r>
            <w:r>
              <w:rPr>
                <w:sz w:val="18"/>
              </w:rPr>
              <w:t>2</w:t>
            </w:r>
            <w:r>
              <w:rPr>
                <w:spacing w:val="-1"/>
                <w:sz w:val="18"/>
              </w:rPr>
              <w:t> </w:t>
            </w:r>
            <w:r>
              <w:rPr>
                <w:spacing w:val="-2"/>
                <w:sz w:val="18"/>
              </w:rPr>
              <w:t>studies</w:t>
            </w:r>
          </w:p>
          <w:p>
            <w:pPr>
              <w:pStyle w:val="TableParagraph"/>
              <w:spacing w:line="217" w:lineRule="exact"/>
              <w:ind w:left="7"/>
              <w:rPr>
                <w:sz w:val="18"/>
              </w:rPr>
            </w:pPr>
            <w:r>
              <w:rPr>
                <w:sz w:val="18"/>
              </w:rPr>
              <w:t>Follow-up:</w:t>
            </w:r>
            <w:r>
              <w:rPr>
                <w:spacing w:val="-5"/>
                <w:sz w:val="18"/>
              </w:rPr>
              <w:t> </w:t>
            </w:r>
            <w:r>
              <w:rPr>
                <w:sz w:val="18"/>
              </w:rPr>
              <w:t>2.5</w:t>
            </w:r>
            <w:r>
              <w:rPr>
                <w:spacing w:val="-3"/>
                <w:sz w:val="18"/>
              </w:rPr>
              <w:t> </w:t>
            </w:r>
            <w:r>
              <w:rPr>
                <w:sz w:val="18"/>
              </w:rPr>
              <w:t>years-13.6</w:t>
            </w:r>
            <w:r>
              <w:rPr>
                <w:spacing w:val="-3"/>
                <w:sz w:val="18"/>
              </w:rPr>
              <w:t> </w:t>
            </w:r>
            <w:r>
              <w:rPr>
                <w:spacing w:val="-4"/>
                <w:sz w:val="18"/>
              </w:rPr>
              <w:t>years</w:t>
            </w:r>
          </w:p>
        </w:tc>
        <w:tc>
          <w:tcPr>
            <w:tcW w:w="1214" w:type="dxa"/>
            <w:gridSpan w:val="2"/>
          </w:tcPr>
          <w:p>
            <w:pPr>
              <w:pStyle w:val="TableParagraph"/>
              <w:spacing w:line="218" w:lineRule="exact"/>
              <w:ind w:left="5"/>
              <w:rPr>
                <w:b/>
                <w:sz w:val="18"/>
              </w:rPr>
            </w:pPr>
            <w:r>
              <w:rPr>
                <w:b/>
                <w:spacing w:val="-5"/>
                <w:sz w:val="18"/>
              </w:rPr>
              <w:t>12</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line="218" w:lineRule="exact"/>
              <w:ind w:left="8"/>
              <w:rPr>
                <w:b/>
                <w:sz w:val="18"/>
              </w:rPr>
            </w:pPr>
            <w:r>
              <w:rPr>
                <w:b/>
                <w:spacing w:val="-5"/>
                <w:sz w:val="18"/>
              </w:rPr>
              <w:t>14</w:t>
            </w:r>
          </w:p>
          <w:p>
            <w:pPr>
              <w:pStyle w:val="TableParagraph"/>
              <w:spacing w:before="195"/>
              <w:ind w:left="8"/>
              <w:rPr>
                <w:sz w:val="18"/>
              </w:rPr>
            </w:pPr>
            <w:r>
              <w:rPr>
                <w:sz w:val="18"/>
              </w:rPr>
              <w:t>per</w:t>
            </w:r>
            <w:r>
              <w:rPr>
                <w:spacing w:val="-3"/>
                <w:sz w:val="18"/>
              </w:rPr>
              <w:t> </w:t>
            </w:r>
            <w:r>
              <w:rPr>
                <w:spacing w:val="-5"/>
                <w:sz w:val="18"/>
              </w:rPr>
              <w:t>100</w:t>
            </w:r>
          </w:p>
        </w:tc>
        <w:tc>
          <w:tcPr>
            <w:tcW w:w="2028"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6"/>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line="278" w:lineRule="auto" w:before="37"/>
              <w:ind w:left="8"/>
              <w:rPr>
                <w:position w:val="5"/>
                <w:sz w:val="12"/>
              </w:rPr>
            </w:pPr>
            <w:r>
              <w:rPr>
                <w:sz w:val="18"/>
              </w:rPr>
              <w:t>Due</w:t>
            </w:r>
            <w:r>
              <w:rPr>
                <w:spacing w:val="-8"/>
                <w:sz w:val="18"/>
              </w:rPr>
              <w:t> </w:t>
            </w:r>
            <w:r>
              <w:rPr>
                <w:sz w:val="18"/>
              </w:rPr>
              <w:t>to</w:t>
            </w:r>
            <w:r>
              <w:rPr>
                <w:spacing w:val="-7"/>
                <w:sz w:val="18"/>
              </w:rPr>
              <w:t> </w:t>
            </w:r>
            <w:r>
              <w:rPr>
                <w:sz w:val="18"/>
              </w:rPr>
              <w:t>risk</w:t>
            </w:r>
            <w:r>
              <w:rPr>
                <w:spacing w:val="-7"/>
                <w:sz w:val="18"/>
              </w:rPr>
              <w:t> </w:t>
            </w:r>
            <w:r>
              <w:rPr>
                <w:sz w:val="18"/>
              </w:rPr>
              <w:t>of</w:t>
            </w:r>
            <w:r>
              <w:rPr>
                <w:spacing w:val="-8"/>
                <w:sz w:val="18"/>
              </w:rPr>
              <w:t> </w:t>
            </w:r>
            <w:r>
              <w:rPr>
                <w:sz w:val="18"/>
              </w:rPr>
              <w:t>bias,</w:t>
            </w:r>
            <w:r>
              <w:rPr>
                <w:spacing w:val="-7"/>
                <w:sz w:val="18"/>
              </w:rPr>
              <w:t> </w:t>
            </w:r>
            <w:r>
              <w:rPr>
                <w:sz w:val="18"/>
              </w:rPr>
              <w:t>due</w:t>
            </w:r>
            <w:r>
              <w:rPr>
                <w:spacing w:val="-8"/>
                <w:sz w:val="18"/>
              </w:rPr>
              <w:t> </w:t>
            </w:r>
            <w:r>
              <w:rPr>
                <w:sz w:val="18"/>
              </w:rPr>
              <w:t>to serious</w:t>
            </w:r>
            <w:r>
              <w:rPr>
                <w:spacing w:val="-2"/>
                <w:sz w:val="18"/>
              </w:rPr>
              <w:t> </w:t>
            </w:r>
            <w:r>
              <w:rPr>
                <w:sz w:val="18"/>
              </w:rPr>
              <w:t>imprecision</w:t>
            </w:r>
            <w:r>
              <w:rPr>
                <w:position w:val="5"/>
                <w:sz w:val="12"/>
              </w:rPr>
              <w:t>2</w:t>
            </w:r>
          </w:p>
        </w:tc>
        <w:tc>
          <w:tcPr>
            <w:tcW w:w="488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6"/>
              <w:rPr>
                <w:sz w:val="18"/>
              </w:rPr>
            </w:pPr>
          </w:p>
          <w:p>
            <w:pPr>
              <w:pStyle w:val="TableParagraph"/>
              <w:spacing w:line="278" w:lineRule="auto"/>
              <w:ind w:left="8" w:right="-14"/>
              <w:rPr>
                <w:sz w:val="18"/>
              </w:rPr>
            </w:pPr>
            <w:r>
              <w:rPr>
                <w:sz w:val="18"/>
              </w:rPr>
              <w:t>The</w:t>
            </w:r>
            <w:r>
              <w:rPr>
                <w:spacing w:val="-3"/>
                <w:sz w:val="18"/>
              </w:rPr>
              <w:t> </w:t>
            </w:r>
            <w:r>
              <w:rPr>
                <w:sz w:val="18"/>
              </w:rPr>
              <w:t>evidence</w:t>
            </w:r>
            <w:r>
              <w:rPr>
                <w:spacing w:val="-3"/>
                <w:sz w:val="18"/>
              </w:rPr>
              <w:t> </w:t>
            </w:r>
            <w:r>
              <w:rPr>
                <w:sz w:val="18"/>
              </w:rPr>
              <w:t>is</w:t>
            </w:r>
            <w:r>
              <w:rPr>
                <w:spacing w:val="-4"/>
                <w:sz w:val="18"/>
              </w:rPr>
              <w:t> </w:t>
            </w:r>
            <w:r>
              <w:rPr>
                <w:sz w:val="18"/>
              </w:rPr>
              <w:t>very</w:t>
            </w:r>
            <w:r>
              <w:rPr>
                <w:spacing w:val="-2"/>
                <w:sz w:val="18"/>
              </w:rPr>
              <w:t> </w:t>
            </w:r>
            <w:r>
              <w:rPr>
                <w:sz w:val="18"/>
              </w:rPr>
              <w:t>uncertain</w:t>
            </w:r>
            <w:r>
              <w:rPr>
                <w:spacing w:val="-4"/>
                <w:sz w:val="18"/>
              </w:rPr>
              <w:t> </w:t>
            </w:r>
            <w:r>
              <w:rPr>
                <w:sz w:val="18"/>
              </w:rPr>
              <w:t>about</w:t>
            </w:r>
            <w:r>
              <w:rPr>
                <w:spacing w:val="-2"/>
                <w:sz w:val="18"/>
              </w:rPr>
              <w:t> </w:t>
            </w:r>
            <w:r>
              <w:rPr>
                <w:sz w:val="18"/>
              </w:rPr>
              <w:t>the</w:t>
            </w:r>
            <w:r>
              <w:rPr>
                <w:spacing w:val="-3"/>
                <w:sz w:val="18"/>
              </w:rPr>
              <w:t> </w:t>
            </w:r>
            <w:r>
              <w:rPr>
                <w:sz w:val="18"/>
              </w:rPr>
              <w:t>effect</w:t>
            </w:r>
            <w:r>
              <w:rPr>
                <w:spacing w:val="-2"/>
                <w:sz w:val="18"/>
              </w:rPr>
              <w:t> </w:t>
            </w:r>
            <w:r>
              <w:rPr>
                <w:sz w:val="18"/>
              </w:rPr>
              <w:t>of</w:t>
            </w:r>
            <w:r>
              <w:rPr>
                <w:spacing w:val="-3"/>
                <w:sz w:val="18"/>
              </w:rPr>
              <w:t> </w:t>
            </w:r>
            <w:r>
              <w:rPr>
                <w:sz w:val="18"/>
              </w:rPr>
              <w:t>aspirin</w:t>
            </w:r>
            <w:r>
              <w:rPr>
                <w:spacing w:val="-3"/>
                <w:sz w:val="18"/>
              </w:rPr>
              <w:t> </w:t>
            </w:r>
            <w:r>
              <w:rPr>
                <w:sz w:val="18"/>
              </w:rPr>
              <w:t>on</w:t>
            </w:r>
            <w:r>
              <w:rPr>
                <w:spacing w:val="-3"/>
                <w:sz w:val="18"/>
              </w:rPr>
              <w:t> </w:t>
            </w:r>
            <w:r>
              <w:rPr>
                <w:sz w:val="18"/>
              </w:rPr>
              <w:t>major bleeding, when compared with warfarin in children with an indication for the Fontan procedure</w:t>
            </w:r>
          </w:p>
        </w:tc>
      </w:tr>
      <w:tr>
        <w:trPr>
          <w:trHeight w:val="1329" w:hRule="atLeast"/>
        </w:trPr>
        <w:tc>
          <w:tcPr>
            <w:tcW w:w="1032" w:type="dxa"/>
            <w:vMerge/>
            <w:tcBorders>
              <w:top w:val="nil"/>
            </w:tcBorders>
          </w:tcPr>
          <w:p>
            <w:pPr>
              <w:rPr>
                <w:sz w:val="2"/>
                <w:szCs w:val="2"/>
              </w:rPr>
            </w:pPr>
          </w:p>
        </w:tc>
        <w:tc>
          <w:tcPr>
            <w:tcW w:w="1010" w:type="dxa"/>
            <w:vMerge/>
            <w:tcBorders>
              <w:top w:val="nil"/>
            </w:tcBorders>
          </w:tcPr>
          <w:p>
            <w:pPr>
              <w:rPr>
                <w:sz w:val="2"/>
                <w:szCs w:val="2"/>
              </w:rPr>
            </w:pPr>
          </w:p>
        </w:tc>
        <w:tc>
          <w:tcPr>
            <w:tcW w:w="2506" w:type="dxa"/>
            <w:vMerge/>
            <w:tcBorders>
              <w:top w:val="nil"/>
            </w:tcBorders>
          </w:tcPr>
          <w:p>
            <w:pPr>
              <w:rPr>
                <w:sz w:val="2"/>
                <w:szCs w:val="2"/>
              </w:rPr>
            </w:pPr>
          </w:p>
        </w:tc>
        <w:tc>
          <w:tcPr>
            <w:tcW w:w="2486" w:type="dxa"/>
            <w:gridSpan w:val="3"/>
          </w:tcPr>
          <w:p>
            <w:pPr>
              <w:pStyle w:val="TableParagraph"/>
              <w:rPr>
                <w:sz w:val="18"/>
              </w:rPr>
            </w:pPr>
          </w:p>
          <w:p>
            <w:pPr>
              <w:pStyle w:val="TableParagraph"/>
              <w:rPr>
                <w:sz w:val="18"/>
              </w:rPr>
            </w:pPr>
          </w:p>
          <w:p>
            <w:pPr>
              <w:pStyle w:val="TableParagraph"/>
              <w:spacing w:before="172"/>
              <w:rPr>
                <w:sz w:val="18"/>
              </w:rPr>
            </w:pPr>
          </w:p>
          <w:p>
            <w:pPr>
              <w:pStyle w:val="TableParagraph"/>
              <w:spacing w:before="1"/>
              <w:ind w:left="5"/>
              <w:rPr>
                <w:b/>
                <w:sz w:val="18"/>
              </w:rPr>
            </w:pPr>
            <w:r>
              <w:rPr>
                <w:sz w:val="18"/>
              </w:rPr>
              <w:t>Difference:</w:t>
            </w:r>
            <w:r>
              <w:rPr>
                <w:spacing w:val="-3"/>
                <w:sz w:val="18"/>
              </w:rPr>
              <w:t> </w:t>
            </w:r>
            <w:r>
              <w:rPr>
                <w:b/>
                <w:sz w:val="18"/>
              </w:rPr>
              <w:t>0</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tc>
        <w:tc>
          <w:tcPr>
            <w:tcW w:w="2028" w:type="dxa"/>
            <w:vMerge/>
            <w:tcBorders>
              <w:top w:val="nil"/>
            </w:tcBorders>
          </w:tcPr>
          <w:p>
            <w:pPr>
              <w:rPr>
                <w:sz w:val="2"/>
                <w:szCs w:val="2"/>
              </w:rPr>
            </w:pPr>
          </w:p>
        </w:tc>
        <w:tc>
          <w:tcPr>
            <w:tcW w:w="4882" w:type="dxa"/>
            <w:vMerge/>
            <w:tcBorders>
              <w:top w:val="nil"/>
            </w:tcBorders>
          </w:tcPr>
          <w:p>
            <w:pPr>
              <w:rPr>
                <w:sz w:val="2"/>
                <w:szCs w:val="2"/>
              </w:rPr>
            </w:pPr>
          </w:p>
        </w:tc>
      </w:tr>
    </w:tbl>
    <w:p>
      <w:pPr>
        <w:spacing w:after="0"/>
        <w:rPr>
          <w:sz w:val="2"/>
          <w:szCs w:val="2"/>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32"/>
        <w:gridCol w:w="1010"/>
        <w:gridCol w:w="2506"/>
        <w:gridCol w:w="1214"/>
        <w:gridCol w:w="1272"/>
        <w:gridCol w:w="2028"/>
        <w:gridCol w:w="4882"/>
      </w:tblGrid>
      <w:tr>
        <w:trPr>
          <w:trHeight w:val="325" w:hRule="atLeast"/>
        </w:trPr>
        <w:tc>
          <w:tcPr>
            <w:tcW w:w="1032" w:type="dxa"/>
            <w:vMerge w:val="restart"/>
          </w:tcPr>
          <w:p>
            <w:pPr>
              <w:pStyle w:val="TableParagraph"/>
              <w:rPr>
                <w:rFonts w:ascii="Times New Roman"/>
                <w:sz w:val="16"/>
              </w:rPr>
            </w:pPr>
          </w:p>
        </w:tc>
        <w:tc>
          <w:tcPr>
            <w:tcW w:w="1010" w:type="dxa"/>
            <w:vMerge w:val="restart"/>
          </w:tcPr>
          <w:p>
            <w:pPr>
              <w:pStyle w:val="TableParagraph"/>
              <w:rPr>
                <w:rFonts w:ascii="Times New Roman"/>
                <w:sz w:val="16"/>
              </w:rPr>
            </w:pPr>
          </w:p>
        </w:tc>
        <w:tc>
          <w:tcPr>
            <w:tcW w:w="2506" w:type="dxa"/>
            <w:vMerge w:val="restart"/>
          </w:tcPr>
          <w:p>
            <w:pPr>
              <w:pStyle w:val="TableParagraph"/>
              <w:rPr>
                <w:rFonts w:ascii="Times New Roman"/>
                <w:sz w:val="16"/>
              </w:rPr>
            </w:pPr>
          </w:p>
        </w:tc>
        <w:tc>
          <w:tcPr>
            <w:tcW w:w="2486" w:type="dxa"/>
            <w:gridSpan w:val="2"/>
            <w:tcBorders>
              <w:bottom w:val="nil"/>
            </w:tcBorders>
          </w:tcPr>
          <w:p>
            <w:pPr>
              <w:pStyle w:val="TableParagraph"/>
              <w:spacing w:line="218" w:lineRule="exact"/>
              <w:ind w:left="5"/>
              <w:rPr>
                <w:sz w:val="18"/>
              </w:rPr>
            </w:pPr>
            <w:r>
              <w:rPr>
                <w:sz w:val="18"/>
              </w:rPr>
              <w:t>(95%</w:t>
            </w:r>
            <w:r>
              <w:rPr>
                <w:spacing w:val="-3"/>
                <w:sz w:val="18"/>
              </w:rPr>
              <w:t> </w:t>
            </w:r>
            <w:r>
              <w:rPr>
                <w:sz w:val="18"/>
              </w:rPr>
              <w:t>CI 11</w:t>
            </w:r>
            <w:r>
              <w:rPr>
                <w:spacing w:val="-1"/>
                <w:sz w:val="18"/>
              </w:rPr>
              <w:t> </w:t>
            </w:r>
            <w:r>
              <w:rPr>
                <w:sz w:val="18"/>
              </w:rPr>
              <w:t>fewer to</w:t>
            </w:r>
            <w:r>
              <w:rPr>
                <w:spacing w:val="-1"/>
                <w:sz w:val="18"/>
              </w:rPr>
              <w:t> </w:t>
            </w:r>
            <w:r>
              <w:rPr>
                <w:sz w:val="18"/>
              </w:rPr>
              <w:t>10 </w:t>
            </w:r>
            <w:r>
              <w:rPr>
                <w:spacing w:val="-4"/>
                <w:sz w:val="18"/>
              </w:rPr>
              <w:t>more)</w:t>
            </w:r>
          </w:p>
        </w:tc>
        <w:tc>
          <w:tcPr>
            <w:tcW w:w="2028" w:type="dxa"/>
            <w:vMerge w:val="restart"/>
          </w:tcPr>
          <w:p>
            <w:pPr>
              <w:pStyle w:val="TableParagraph"/>
              <w:rPr>
                <w:rFonts w:ascii="Times New Roman"/>
                <w:sz w:val="16"/>
              </w:rPr>
            </w:pPr>
          </w:p>
        </w:tc>
        <w:tc>
          <w:tcPr>
            <w:tcW w:w="4882" w:type="dxa"/>
            <w:tcBorders>
              <w:bottom w:val="nil"/>
            </w:tcBorders>
          </w:tcPr>
          <w:p>
            <w:pPr>
              <w:pStyle w:val="TableParagraph"/>
              <w:rPr>
                <w:rFonts w:ascii="Times New Roman"/>
                <w:sz w:val="16"/>
              </w:rPr>
            </w:pPr>
          </w:p>
        </w:tc>
      </w:tr>
      <w:tr>
        <w:trPr>
          <w:trHeight w:val="489" w:hRule="atLeast"/>
        </w:trPr>
        <w:tc>
          <w:tcPr>
            <w:tcW w:w="1032" w:type="dxa"/>
            <w:vMerge/>
            <w:tcBorders>
              <w:top w:val="nil"/>
            </w:tcBorders>
          </w:tcPr>
          <w:p>
            <w:pPr>
              <w:rPr>
                <w:sz w:val="2"/>
                <w:szCs w:val="2"/>
              </w:rPr>
            </w:pPr>
          </w:p>
        </w:tc>
        <w:tc>
          <w:tcPr>
            <w:tcW w:w="1010" w:type="dxa"/>
            <w:vMerge/>
            <w:tcBorders>
              <w:top w:val="nil"/>
            </w:tcBorders>
          </w:tcPr>
          <w:p>
            <w:pPr>
              <w:rPr>
                <w:sz w:val="2"/>
                <w:szCs w:val="2"/>
              </w:rPr>
            </w:pPr>
          </w:p>
        </w:tc>
        <w:tc>
          <w:tcPr>
            <w:tcW w:w="2506" w:type="dxa"/>
            <w:vMerge/>
            <w:tcBorders>
              <w:top w:val="nil"/>
            </w:tcBorders>
          </w:tcPr>
          <w:p>
            <w:pPr>
              <w:rPr>
                <w:sz w:val="2"/>
                <w:szCs w:val="2"/>
              </w:rPr>
            </w:pPr>
          </w:p>
        </w:tc>
        <w:tc>
          <w:tcPr>
            <w:tcW w:w="2486" w:type="dxa"/>
            <w:gridSpan w:val="2"/>
            <w:tcBorders>
              <w:top w:val="nil"/>
            </w:tcBorders>
          </w:tcPr>
          <w:p>
            <w:pPr>
              <w:pStyle w:val="TableParagraph"/>
              <w:rPr>
                <w:rFonts w:ascii="Times New Roman"/>
                <w:sz w:val="16"/>
              </w:rPr>
            </w:pPr>
          </w:p>
        </w:tc>
        <w:tc>
          <w:tcPr>
            <w:tcW w:w="2028" w:type="dxa"/>
            <w:vMerge/>
            <w:tcBorders>
              <w:top w:val="nil"/>
            </w:tcBorders>
          </w:tcPr>
          <w:p>
            <w:pPr>
              <w:rPr>
                <w:sz w:val="2"/>
                <w:szCs w:val="2"/>
              </w:rPr>
            </w:pPr>
          </w:p>
        </w:tc>
        <w:tc>
          <w:tcPr>
            <w:tcW w:w="4882" w:type="dxa"/>
            <w:tcBorders>
              <w:top w:val="nil"/>
            </w:tcBorders>
          </w:tcPr>
          <w:p>
            <w:pPr>
              <w:pStyle w:val="TableParagraph"/>
              <w:spacing w:before="73"/>
              <w:ind w:left="8"/>
              <w:rPr>
                <w:sz w:val="18"/>
              </w:rPr>
            </w:pPr>
            <w:r>
              <w:rPr>
                <w:sz w:val="18"/>
              </w:rPr>
              <w:t>(Al-Jazairi,</w:t>
            </w:r>
            <w:r>
              <w:rPr>
                <w:spacing w:val="-5"/>
                <w:sz w:val="18"/>
              </w:rPr>
              <w:t> </w:t>
            </w:r>
            <w:r>
              <w:rPr>
                <w:sz w:val="18"/>
              </w:rPr>
              <w:t>2019;</w:t>
            </w:r>
            <w:r>
              <w:rPr>
                <w:spacing w:val="-3"/>
                <w:sz w:val="18"/>
              </w:rPr>
              <w:t> </w:t>
            </w:r>
            <w:r>
              <w:rPr>
                <w:sz w:val="18"/>
              </w:rPr>
              <w:t>McCrindle,</w:t>
            </w:r>
            <w:r>
              <w:rPr>
                <w:spacing w:val="-2"/>
                <w:sz w:val="18"/>
              </w:rPr>
              <w:t> 2013)</w:t>
            </w:r>
          </w:p>
        </w:tc>
      </w:tr>
      <w:tr>
        <w:trPr>
          <w:trHeight w:val="832" w:hRule="atLeast"/>
        </w:trPr>
        <w:tc>
          <w:tcPr>
            <w:tcW w:w="1032" w:type="dxa"/>
            <w:vMerge/>
            <w:tcBorders>
              <w:top w:val="nil"/>
            </w:tcBorders>
          </w:tcPr>
          <w:p>
            <w:pPr>
              <w:rPr>
                <w:sz w:val="2"/>
                <w:szCs w:val="2"/>
              </w:rPr>
            </w:pPr>
          </w:p>
        </w:tc>
        <w:tc>
          <w:tcPr>
            <w:tcW w:w="1010" w:type="dxa"/>
            <w:vMerge w:val="restart"/>
            <w:tcBorders>
              <w:bottom w:val="nil"/>
            </w:tcBorders>
          </w:tcPr>
          <w:p>
            <w:pPr>
              <w:pStyle w:val="TableParagraph"/>
              <w:spacing w:line="278" w:lineRule="auto" w:before="1"/>
              <w:ind w:left="7" w:right="269"/>
              <w:rPr>
                <w:sz w:val="18"/>
              </w:rPr>
            </w:pPr>
            <w:r>
              <w:rPr>
                <w:spacing w:val="-2"/>
                <w:sz w:val="18"/>
              </w:rPr>
              <w:t>Clinically</w:t>
            </w:r>
            <w:r>
              <w:rPr>
                <w:sz w:val="18"/>
              </w:rPr>
              <w:t> </w:t>
            </w:r>
            <w:r>
              <w:rPr>
                <w:spacing w:val="-2"/>
                <w:sz w:val="18"/>
              </w:rPr>
              <w:t>relevant</w:t>
            </w:r>
            <w:r>
              <w:rPr>
                <w:sz w:val="18"/>
              </w:rPr>
              <w:t> </w:t>
            </w:r>
            <w:r>
              <w:rPr>
                <w:spacing w:val="-2"/>
                <w:sz w:val="18"/>
              </w:rPr>
              <w:t>nonmajor</w:t>
            </w:r>
            <w:r>
              <w:rPr>
                <w:sz w:val="18"/>
              </w:rPr>
              <w:t> </w:t>
            </w:r>
            <w:r>
              <w:rPr>
                <w:spacing w:val="-2"/>
                <w:sz w:val="18"/>
              </w:rPr>
              <w:t>bleeding</w:t>
            </w:r>
          </w:p>
        </w:tc>
        <w:tc>
          <w:tcPr>
            <w:tcW w:w="2506" w:type="dxa"/>
            <w:vMerge w:val="restart"/>
            <w:tcBorders>
              <w:bottom w:val="nil"/>
            </w:tcBorders>
          </w:tcPr>
          <w:p>
            <w:pPr>
              <w:pStyle w:val="TableParagraph"/>
              <w:spacing w:before="1"/>
              <w:ind w:left="7"/>
              <w:rPr>
                <w:b/>
                <w:sz w:val="18"/>
              </w:rPr>
            </w:pPr>
            <w:r>
              <w:rPr>
                <w:sz w:val="18"/>
              </w:rPr>
              <w:t>Relative</w:t>
            </w:r>
            <w:r>
              <w:rPr>
                <w:spacing w:val="-3"/>
                <w:sz w:val="18"/>
              </w:rPr>
              <w:t> </w:t>
            </w:r>
            <w:r>
              <w:rPr>
                <w:sz w:val="18"/>
              </w:rPr>
              <w:t>risk:</w:t>
            </w:r>
            <w:r>
              <w:rPr>
                <w:spacing w:val="-2"/>
                <w:sz w:val="18"/>
              </w:rPr>
              <w:t> </w:t>
            </w:r>
            <w:r>
              <w:rPr>
                <w:b/>
                <w:spacing w:val="-4"/>
                <w:sz w:val="18"/>
              </w:rPr>
              <w:t>0.45</w:t>
            </w:r>
          </w:p>
          <w:p>
            <w:pPr>
              <w:pStyle w:val="TableParagraph"/>
              <w:spacing w:before="195"/>
              <w:ind w:left="7"/>
              <w:rPr>
                <w:sz w:val="18"/>
              </w:rPr>
            </w:pPr>
            <w:r>
              <w:rPr>
                <w:sz w:val="18"/>
              </w:rPr>
              <w:t>(95%</w:t>
            </w:r>
            <w:r>
              <w:rPr>
                <w:spacing w:val="-1"/>
                <w:sz w:val="18"/>
              </w:rPr>
              <w:t> </w:t>
            </w:r>
            <w:r>
              <w:rPr>
                <w:sz w:val="18"/>
              </w:rPr>
              <w:t>CI 0.20 to </w:t>
            </w:r>
            <w:r>
              <w:rPr>
                <w:spacing w:val="-4"/>
                <w:sz w:val="18"/>
              </w:rPr>
              <w:t>1.01)</w:t>
            </w:r>
          </w:p>
          <w:p>
            <w:pPr>
              <w:pStyle w:val="TableParagraph"/>
              <w:rPr>
                <w:sz w:val="18"/>
              </w:rPr>
            </w:pPr>
          </w:p>
          <w:p>
            <w:pPr>
              <w:pStyle w:val="TableParagraph"/>
              <w:spacing w:before="171"/>
              <w:rPr>
                <w:sz w:val="18"/>
              </w:rPr>
            </w:pPr>
          </w:p>
          <w:p>
            <w:pPr>
              <w:pStyle w:val="TableParagraph"/>
              <w:spacing w:line="278" w:lineRule="auto" w:before="1"/>
              <w:ind w:left="7" w:right="643"/>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32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before="2"/>
              <w:ind w:left="7"/>
              <w:rPr>
                <w:sz w:val="18"/>
              </w:rPr>
            </w:pPr>
            <w:r>
              <w:rPr>
                <w:sz w:val="18"/>
              </w:rPr>
              <w:t>Follow-up:</w:t>
            </w:r>
            <w:r>
              <w:rPr>
                <w:spacing w:val="-3"/>
                <w:sz w:val="18"/>
              </w:rPr>
              <w:t> </w:t>
            </w:r>
            <w:r>
              <w:rPr>
                <w:sz w:val="18"/>
              </w:rPr>
              <w:t>13.6</w:t>
            </w:r>
            <w:r>
              <w:rPr>
                <w:spacing w:val="-3"/>
                <w:sz w:val="18"/>
              </w:rPr>
              <w:t> </w:t>
            </w:r>
            <w:r>
              <w:rPr>
                <w:sz w:val="18"/>
              </w:rPr>
              <w:t>years</w:t>
            </w:r>
            <w:r>
              <w:rPr>
                <w:spacing w:val="-4"/>
                <w:sz w:val="18"/>
              </w:rPr>
              <w:t> </w:t>
            </w:r>
            <w:r>
              <w:rPr>
                <w:spacing w:val="-2"/>
                <w:sz w:val="18"/>
              </w:rPr>
              <w:t>(median)</w:t>
            </w:r>
          </w:p>
        </w:tc>
        <w:tc>
          <w:tcPr>
            <w:tcW w:w="1214" w:type="dxa"/>
          </w:tcPr>
          <w:p>
            <w:pPr>
              <w:pStyle w:val="TableParagraph"/>
              <w:spacing w:before="1"/>
              <w:ind w:left="5"/>
              <w:rPr>
                <w:b/>
                <w:sz w:val="18"/>
              </w:rPr>
            </w:pPr>
            <w:r>
              <w:rPr>
                <w:b/>
                <w:spacing w:val="-5"/>
                <w:sz w:val="18"/>
              </w:rPr>
              <w:t>31</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before="1"/>
              <w:ind w:left="8"/>
              <w:rPr>
                <w:b/>
                <w:sz w:val="18"/>
              </w:rPr>
            </w:pPr>
            <w:r>
              <w:rPr>
                <w:b/>
                <w:spacing w:val="-5"/>
                <w:sz w:val="18"/>
              </w:rPr>
              <w:t>69</w:t>
            </w:r>
          </w:p>
          <w:p>
            <w:pPr>
              <w:pStyle w:val="TableParagraph"/>
              <w:spacing w:before="195"/>
              <w:ind w:left="8"/>
              <w:rPr>
                <w:sz w:val="18"/>
              </w:rPr>
            </w:pPr>
            <w:r>
              <w:rPr>
                <w:sz w:val="18"/>
              </w:rPr>
              <w:t>per</w:t>
            </w:r>
            <w:r>
              <w:rPr>
                <w:spacing w:val="-3"/>
                <w:sz w:val="18"/>
              </w:rPr>
              <w:t> </w:t>
            </w:r>
            <w:r>
              <w:rPr>
                <w:spacing w:val="-5"/>
                <w:sz w:val="18"/>
              </w:rPr>
              <w:t>100</w:t>
            </w:r>
          </w:p>
        </w:tc>
        <w:tc>
          <w:tcPr>
            <w:tcW w:w="2028" w:type="dxa"/>
            <w:vMerge w:val="restart"/>
            <w:tcBorders>
              <w:bottom w:val="nil"/>
            </w:tcBorders>
          </w:tcPr>
          <w:p>
            <w:pPr>
              <w:pStyle w:val="TableParagraph"/>
              <w:rPr>
                <w:sz w:val="18"/>
              </w:rPr>
            </w:pPr>
          </w:p>
          <w:p>
            <w:pPr>
              <w:pStyle w:val="TableParagraph"/>
              <w:rPr>
                <w:sz w:val="18"/>
              </w:rPr>
            </w:pPr>
          </w:p>
          <w:p>
            <w:pPr>
              <w:pStyle w:val="TableParagraph"/>
              <w:rPr>
                <w:sz w:val="18"/>
              </w:rPr>
            </w:pPr>
          </w:p>
          <w:p>
            <w:pPr>
              <w:pStyle w:val="TableParagraph"/>
              <w:spacing w:before="48"/>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line="280" w:lineRule="auto" w:before="35"/>
              <w:ind w:left="8"/>
              <w:rPr>
                <w:position w:val="5"/>
                <w:sz w:val="12"/>
              </w:rPr>
            </w:pPr>
            <w:r>
              <w:rPr>
                <w:sz w:val="18"/>
              </w:rPr>
              <w:t>Due</w:t>
            </w:r>
            <w:r>
              <w:rPr>
                <w:spacing w:val="-8"/>
                <w:sz w:val="18"/>
              </w:rPr>
              <w:t> </w:t>
            </w:r>
            <w:r>
              <w:rPr>
                <w:sz w:val="18"/>
              </w:rPr>
              <w:t>to</w:t>
            </w:r>
            <w:r>
              <w:rPr>
                <w:spacing w:val="-7"/>
                <w:sz w:val="18"/>
              </w:rPr>
              <w:t> </w:t>
            </w:r>
            <w:r>
              <w:rPr>
                <w:sz w:val="18"/>
              </w:rPr>
              <w:t>risk</w:t>
            </w:r>
            <w:r>
              <w:rPr>
                <w:spacing w:val="-7"/>
                <w:sz w:val="18"/>
              </w:rPr>
              <w:t> </w:t>
            </w:r>
            <w:r>
              <w:rPr>
                <w:sz w:val="18"/>
              </w:rPr>
              <w:t>of</w:t>
            </w:r>
            <w:r>
              <w:rPr>
                <w:spacing w:val="-8"/>
                <w:sz w:val="18"/>
              </w:rPr>
              <w:t> </w:t>
            </w:r>
            <w:r>
              <w:rPr>
                <w:sz w:val="18"/>
              </w:rPr>
              <w:t>bias,</w:t>
            </w:r>
            <w:r>
              <w:rPr>
                <w:spacing w:val="-7"/>
                <w:sz w:val="18"/>
              </w:rPr>
              <w:t> </w:t>
            </w:r>
            <w:r>
              <w:rPr>
                <w:sz w:val="18"/>
              </w:rPr>
              <w:t>due</w:t>
            </w:r>
            <w:r>
              <w:rPr>
                <w:spacing w:val="-8"/>
                <w:sz w:val="18"/>
              </w:rPr>
              <w:t> </w:t>
            </w:r>
            <w:r>
              <w:rPr>
                <w:sz w:val="18"/>
              </w:rPr>
              <w:t>to serious</w:t>
            </w:r>
            <w:r>
              <w:rPr>
                <w:spacing w:val="-2"/>
                <w:sz w:val="18"/>
              </w:rPr>
              <w:t> </w:t>
            </w:r>
            <w:r>
              <w:rPr>
                <w:sz w:val="18"/>
              </w:rPr>
              <w:t>imprecision</w:t>
            </w:r>
            <w:r>
              <w:rPr>
                <w:position w:val="5"/>
                <w:sz w:val="12"/>
              </w:rPr>
              <w:t>3</w:t>
            </w:r>
          </w:p>
        </w:tc>
        <w:tc>
          <w:tcPr>
            <w:tcW w:w="4882" w:type="dxa"/>
            <w:vMerge w:val="restart"/>
            <w:tcBorders>
              <w:bottom w:val="nil"/>
            </w:tcBorders>
          </w:tcPr>
          <w:p>
            <w:pPr>
              <w:pStyle w:val="TableParagraph"/>
              <w:rPr>
                <w:sz w:val="18"/>
              </w:rPr>
            </w:pPr>
          </w:p>
          <w:p>
            <w:pPr>
              <w:pStyle w:val="TableParagraph"/>
              <w:rPr>
                <w:sz w:val="18"/>
              </w:rPr>
            </w:pPr>
          </w:p>
          <w:p>
            <w:pPr>
              <w:pStyle w:val="TableParagraph"/>
              <w:spacing w:before="172"/>
              <w:rPr>
                <w:sz w:val="18"/>
              </w:rPr>
            </w:pPr>
          </w:p>
          <w:p>
            <w:pPr>
              <w:pStyle w:val="TableParagraph"/>
              <w:spacing w:line="278" w:lineRule="auto"/>
              <w:ind w:left="8"/>
              <w:rPr>
                <w:sz w:val="18"/>
              </w:rPr>
            </w:pPr>
            <w:r>
              <w:rPr>
                <w:sz w:val="18"/>
              </w:rPr>
              <w:t>The evidence is very uncertain about the effect of aspirin on clinically relevant nonmajor bleeding, when compared with warfarin</w:t>
            </w:r>
            <w:r>
              <w:rPr>
                <w:spacing w:val="-5"/>
                <w:sz w:val="18"/>
              </w:rPr>
              <w:t> </w:t>
            </w:r>
            <w:r>
              <w:rPr>
                <w:sz w:val="18"/>
              </w:rPr>
              <w:t>in</w:t>
            </w:r>
            <w:r>
              <w:rPr>
                <w:spacing w:val="-6"/>
                <w:sz w:val="18"/>
              </w:rPr>
              <w:t> </w:t>
            </w:r>
            <w:r>
              <w:rPr>
                <w:sz w:val="18"/>
              </w:rPr>
              <w:t>children</w:t>
            </w:r>
            <w:r>
              <w:rPr>
                <w:spacing w:val="-5"/>
                <w:sz w:val="18"/>
              </w:rPr>
              <w:t> </w:t>
            </w:r>
            <w:r>
              <w:rPr>
                <w:sz w:val="18"/>
              </w:rPr>
              <w:t>with</w:t>
            </w:r>
            <w:r>
              <w:rPr>
                <w:spacing w:val="-5"/>
                <w:sz w:val="18"/>
              </w:rPr>
              <w:t> </w:t>
            </w:r>
            <w:r>
              <w:rPr>
                <w:sz w:val="18"/>
              </w:rPr>
              <w:t>an</w:t>
            </w:r>
            <w:r>
              <w:rPr>
                <w:spacing w:val="-5"/>
                <w:sz w:val="18"/>
              </w:rPr>
              <w:t> </w:t>
            </w:r>
            <w:r>
              <w:rPr>
                <w:sz w:val="18"/>
              </w:rPr>
              <w:t>indication</w:t>
            </w:r>
            <w:r>
              <w:rPr>
                <w:spacing w:val="-4"/>
                <w:sz w:val="18"/>
              </w:rPr>
              <w:t> </w:t>
            </w:r>
            <w:r>
              <w:rPr>
                <w:sz w:val="18"/>
              </w:rPr>
              <w:t>for</w:t>
            </w:r>
            <w:r>
              <w:rPr>
                <w:spacing w:val="-4"/>
                <w:sz w:val="18"/>
              </w:rPr>
              <w:t> </w:t>
            </w:r>
            <w:r>
              <w:rPr>
                <w:sz w:val="18"/>
              </w:rPr>
              <w:t>the</w:t>
            </w:r>
            <w:r>
              <w:rPr>
                <w:spacing w:val="-5"/>
                <w:sz w:val="18"/>
              </w:rPr>
              <w:t> </w:t>
            </w:r>
            <w:r>
              <w:rPr>
                <w:sz w:val="18"/>
              </w:rPr>
              <w:t>Fontan</w:t>
            </w:r>
            <w:r>
              <w:rPr>
                <w:spacing w:val="-3"/>
                <w:sz w:val="18"/>
              </w:rPr>
              <w:t> </w:t>
            </w:r>
            <w:r>
              <w:rPr>
                <w:sz w:val="18"/>
              </w:rPr>
              <w:t>procedure</w:t>
            </w:r>
          </w:p>
        </w:tc>
      </w:tr>
      <w:tr>
        <w:trPr>
          <w:trHeight w:val="1196" w:hRule="atLeast"/>
        </w:trPr>
        <w:tc>
          <w:tcPr>
            <w:tcW w:w="1032" w:type="dxa"/>
            <w:vMerge/>
            <w:tcBorders>
              <w:top w:val="nil"/>
            </w:tcBorders>
          </w:tcPr>
          <w:p>
            <w:pPr>
              <w:rPr>
                <w:sz w:val="2"/>
                <w:szCs w:val="2"/>
              </w:rPr>
            </w:pPr>
          </w:p>
        </w:tc>
        <w:tc>
          <w:tcPr>
            <w:tcW w:w="1010" w:type="dxa"/>
            <w:vMerge/>
            <w:tcBorders>
              <w:top w:val="nil"/>
              <w:bottom w:val="nil"/>
            </w:tcBorders>
          </w:tcPr>
          <w:p>
            <w:pPr>
              <w:rPr>
                <w:sz w:val="2"/>
                <w:szCs w:val="2"/>
              </w:rPr>
            </w:pPr>
          </w:p>
        </w:tc>
        <w:tc>
          <w:tcPr>
            <w:tcW w:w="2506" w:type="dxa"/>
            <w:vMerge/>
            <w:tcBorders>
              <w:top w:val="nil"/>
              <w:bottom w:val="nil"/>
            </w:tcBorders>
          </w:tcPr>
          <w:p>
            <w:pPr>
              <w:rPr>
                <w:sz w:val="2"/>
                <w:szCs w:val="2"/>
              </w:rPr>
            </w:pPr>
          </w:p>
        </w:tc>
        <w:tc>
          <w:tcPr>
            <w:tcW w:w="2486" w:type="dxa"/>
            <w:gridSpan w:val="2"/>
            <w:tcBorders>
              <w:bottom w:val="nil"/>
            </w:tcBorders>
          </w:tcPr>
          <w:p>
            <w:pPr>
              <w:pStyle w:val="TableParagraph"/>
              <w:rPr>
                <w:sz w:val="18"/>
              </w:rPr>
            </w:pPr>
          </w:p>
          <w:p>
            <w:pPr>
              <w:pStyle w:val="TableParagraph"/>
              <w:rPr>
                <w:sz w:val="18"/>
              </w:rPr>
            </w:pPr>
          </w:p>
          <w:p>
            <w:pPr>
              <w:pStyle w:val="TableParagraph"/>
              <w:spacing w:before="170"/>
              <w:rPr>
                <w:sz w:val="18"/>
              </w:rPr>
            </w:pPr>
          </w:p>
          <w:p>
            <w:pPr>
              <w:pStyle w:val="TableParagraph"/>
              <w:ind w:left="5"/>
              <w:rPr>
                <w:b/>
                <w:sz w:val="18"/>
              </w:rPr>
            </w:pPr>
            <w:r>
              <w:rPr>
                <w:sz w:val="18"/>
              </w:rPr>
              <w:t>Difference:</w:t>
            </w:r>
            <w:r>
              <w:rPr>
                <w:spacing w:val="-3"/>
                <w:sz w:val="18"/>
              </w:rPr>
              <w:t> </w:t>
            </w:r>
            <w:r>
              <w:rPr>
                <w:b/>
                <w:sz w:val="18"/>
              </w:rPr>
              <w:t>38</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tc>
        <w:tc>
          <w:tcPr>
            <w:tcW w:w="2028" w:type="dxa"/>
            <w:vMerge/>
            <w:tcBorders>
              <w:top w:val="nil"/>
              <w:bottom w:val="nil"/>
            </w:tcBorders>
          </w:tcPr>
          <w:p>
            <w:pPr>
              <w:rPr>
                <w:sz w:val="2"/>
                <w:szCs w:val="2"/>
              </w:rPr>
            </w:pPr>
          </w:p>
        </w:tc>
        <w:tc>
          <w:tcPr>
            <w:tcW w:w="4882" w:type="dxa"/>
            <w:vMerge/>
            <w:tcBorders>
              <w:top w:val="nil"/>
              <w:bottom w:val="nil"/>
            </w:tcBorders>
          </w:tcPr>
          <w:p>
            <w:pPr>
              <w:rPr>
                <w:sz w:val="2"/>
                <w:szCs w:val="2"/>
              </w:rPr>
            </w:pPr>
          </w:p>
        </w:tc>
      </w:tr>
      <w:tr>
        <w:trPr>
          <w:trHeight w:val="530" w:hRule="atLeast"/>
        </w:trPr>
        <w:tc>
          <w:tcPr>
            <w:tcW w:w="1032" w:type="dxa"/>
            <w:vMerge/>
            <w:tcBorders>
              <w:top w:val="nil"/>
            </w:tcBorders>
          </w:tcPr>
          <w:p>
            <w:pPr>
              <w:rPr>
                <w:sz w:val="2"/>
                <w:szCs w:val="2"/>
              </w:rPr>
            </w:pPr>
          </w:p>
        </w:tc>
        <w:tc>
          <w:tcPr>
            <w:tcW w:w="1010" w:type="dxa"/>
            <w:tcBorders>
              <w:top w:val="nil"/>
            </w:tcBorders>
          </w:tcPr>
          <w:p>
            <w:pPr>
              <w:pStyle w:val="TableParagraph"/>
              <w:rPr>
                <w:rFonts w:ascii="Times New Roman"/>
                <w:sz w:val="16"/>
              </w:rPr>
            </w:pPr>
          </w:p>
        </w:tc>
        <w:tc>
          <w:tcPr>
            <w:tcW w:w="2506" w:type="dxa"/>
            <w:tcBorders>
              <w:top w:val="nil"/>
            </w:tcBorders>
          </w:tcPr>
          <w:p>
            <w:pPr>
              <w:pStyle w:val="TableParagraph"/>
              <w:rPr>
                <w:rFonts w:ascii="Times New Roman"/>
                <w:sz w:val="16"/>
              </w:rPr>
            </w:pPr>
          </w:p>
        </w:tc>
        <w:tc>
          <w:tcPr>
            <w:tcW w:w="2486" w:type="dxa"/>
            <w:gridSpan w:val="2"/>
            <w:tcBorders>
              <w:top w:val="nil"/>
            </w:tcBorders>
          </w:tcPr>
          <w:p>
            <w:pPr>
              <w:pStyle w:val="TableParagraph"/>
              <w:spacing w:before="33"/>
              <w:ind w:left="5"/>
              <w:rPr>
                <w:sz w:val="18"/>
              </w:rPr>
            </w:pPr>
            <w:r>
              <w:rPr>
                <w:sz w:val="18"/>
              </w:rPr>
              <w:t>(95%</w:t>
            </w:r>
            <w:r>
              <w:rPr>
                <w:spacing w:val="-3"/>
                <w:sz w:val="18"/>
              </w:rPr>
              <w:t> </w:t>
            </w:r>
            <w:r>
              <w:rPr>
                <w:sz w:val="18"/>
              </w:rPr>
              <w:t>CI 70</w:t>
            </w:r>
            <w:r>
              <w:rPr>
                <w:spacing w:val="-1"/>
                <w:sz w:val="18"/>
              </w:rPr>
              <w:t> </w:t>
            </w:r>
            <w:r>
              <w:rPr>
                <w:sz w:val="18"/>
              </w:rPr>
              <w:t>fewer to</w:t>
            </w:r>
            <w:r>
              <w:rPr>
                <w:spacing w:val="-1"/>
                <w:sz w:val="18"/>
              </w:rPr>
              <w:t> </w:t>
            </w:r>
            <w:r>
              <w:rPr>
                <w:sz w:val="18"/>
              </w:rPr>
              <w:t>5 </w:t>
            </w:r>
            <w:r>
              <w:rPr>
                <w:spacing w:val="-4"/>
                <w:sz w:val="18"/>
              </w:rPr>
              <w:t>more)</w:t>
            </w:r>
          </w:p>
        </w:tc>
        <w:tc>
          <w:tcPr>
            <w:tcW w:w="2028" w:type="dxa"/>
            <w:tcBorders>
              <w:top w:val="nil"/>
            </w:tcBorders>
          </w:tcPr>
          <w:p>
            <w:pPr>
              <w:pStyle w:val="TableParagraph"/>
              <w:rPr>
                <w:rFonts w:ascii="Times New Roman"/>
                <w:sz w:val="16"/>
              </w:rPr>
            </w:pPr>
          </w:p>
        </w:tc>
        <w:tc>
          <w:tcPr>
            <w:tcW w:w="4882" w:type="dxa"/>
            <w:tcBorders>
              <w:top w:val="nil"/>
            </w:tcBorders>
          </w:tcPr>
          <w:p>
            <w:pPr>
              <w:pStyle w:val="TableParagraph"/>
              <w:spacing w:before="114"/>
              <w:ind w:left="8"/>
              <w:rPr>
                <w:sz w:val="18"/>
              </w:rPr>
            </w:pPr>
            <w:r>
              <w:rPr>
                <w:sz w:val="18"/>
              </w:rPr>
              <w:t>(Al-Jazairi,</w:t>
            </w:r>
            <w:r>
              <w:rPr>
                <w:spacing w:val="-4"/>
                <w:sz w:val="18"/>
              </w:rPr>
              <w:t> </w:t>
            </w:r>
            <w:r>
              <w:rPr>
                <w:spacing w:val="-2"/>
                <w:sz w:val="18"/>
              </w:rPr>
              <w:t>2019)</w:t>
            </w:r>
          </w:p>
        </w:tc>
      </w:tr>
      <w:tr>
        <w:trPr>
          <w:trHeight w:val="829" w:hRule="atLeast"/>
        </w:trPr>
        <w:tc>
          <w:tcPr>
            <w:tcW w:w="1032" w:type="dxa"/>
            <w:vMerge/>
            <w:tcBorders>
              <w:top w:val="nil"/>
            </w:tcBorders>
          </w:tcPr>
          <w:p>
            <w:pPr>
              <w:rPr>
                <w:sz w:val="2"/>
                <w:szCs w:val="2"/>
              </w:rPr>
            </w:pPr>
          </w:p>
        </w:tc>
        <w:tc>
          <w:tcPr>
            <w:tcW w:w="1010" w:type="dxa"/>
            <w:tcBorders>
              <w:bottom w:val="nil"/>
            </w:tcBorders>
          </w:tcPr>
          <w:p>
            <w:pPr>
              <w:pStyle w:val="TableParagraph"/>
              <w:spacing w:line="280" w:lineRule="auto"/>
              <w:ind w:left="7" w:right="353"/>
              <w:rPr>
                <w:sz w:val="18"/>
              </w:rPr>
            </w:pPr>
            <w:r>
              <w:rPr>
                <w:spacing w:val="-2"/>
                <w:sz w:val="18"/>
              </w:rPr>
              <w:t>Minor</w:t>
            </w:r>
            <w:r>
              <w:rPr>
                <w:sz w:val="18"/>
              </w:rPr>
              <w:t> </w:t>
            </w:r>
            <w:r>
              <w:rPr>
                <w:spacing w:val="-2"/>
                <w:sz w:val="18"/>
              </w:rPr>
              <w:t>bleeding</w:t>
            </w:r>
          </w:p>
        </w:tc>
        <w:tc>
          <w:tcPr>
            <w:tcW w:w="2506" w:type="dxa"/>
            <w:tcBorders>
              <w:bottom w:val="nil"/>
            </w:tcBorders>
          </w:tcPr>
          <w:p>
            <w:pPr>
              <w:pStyle w:val="TableParagraph"/>
              <w:spacing w:line="218" w:lineRule="exact"/>
              <w:ind w:left="7"/>
              <w:rPr>
                <w:b/>
                <w:sz w:val="18"/>
              </w:rPr>
            </w:pPr>
            <w:r>
              <w:rPr>
                <w:sz w:val="18"/>
              </w:rPr>
              <w:t>Relative</w:t>
            </w:r>
            <w:r>
              <w:rPr>
                <w:spacing w:val="-3"/>
                <w:sz w:val="18"/>
              </w:rPr>
              <w:t> </w:t>
            </w:r>
            <w:r>
              <w:rPr>
                <w:sz w:val="18"/>
              </w:rPr>
              <w:t>risk:</w:t>
            </w:r>
            <w:r>
              <w:rPr>
                <w:spacing w:val="-2"/>
                <w:sz w:val="18"/>
              </w:rPr>
              <w:t> </w:t>
            </w:r>
            <w:r>
              <w:rPr>
                <w:b/>
                <w:spacing w:val="-4"/>
                <w:sz w:val="18"/>
              </w:rPr>
              <w:t>0.57</w:t>
            </w:r>
          </w:p>
          <w:p>
            <w:pPr>
              <w:pStyle w:val="TableParagraph"/>
              <w:spacing w:before="195"/>
              <w:ind w:left="7"/>
              <w:rPr>
                <w:sz w:val="18"/>
              </w:rPr>
            </w:pPr>
            <w:r>
              <w:rPr>
                <w:sz w:val="18"/>
              </w:rPr>
              <w:t>(95%</w:t>
            </w:r>
            <w:r>
              <w:rPr>
                <w:spacing w:val="-1"/>
                <w:sz w:val="18"/>
              </w:rPr>
              <w:t> </w:t>
            </w:r>
            <w:r>
              <w:rPr>
                <w:sz w:val="18"/>
              </w:rPr>
              <w:t>CI 0.09 to </w:t>
            </w:r>
            <w:r>
              <w:rPr>
                <w:spacing w:val="-4"/>
                <w:sz w:val="18"/>
              </w:rPr>
              <w:t>3.61)</w:t>
            </w:r>
          </w:p>
        </w:tc>
        <w:tc>
          <w:tcPr>
            <w:tcW w:w="1214" w:type="dxa"/>
          </w:tcPr>
          <w:p>
            <w:pPr>
              <w:pStyle w:val="TableParagraph"/>
              <w:spacing w:line="218" w:lineRule="exact"/>
              <w:ind w:left="5"/>
              <w:rPr>
                <w:b/>
                <w:sz w:val="18"/>
              </w:rPr>
            </w:pPr>
            <w:r>
              <w:rPr>
                <w:b/>
                <w:spacing w:val="-5"/>
                <w:sz w:val="18"/>
              </w:rPr>
              <w:t>27</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line="218" w:lineRule="exact"/>
              <w:ind w:left="8"/>
              <w:rPr>
                <w:b/>
                <w:sz w:val="18"/>
              </w:rPr>
            </w:pPr>
            <w:r>
              <w:rPr>
                <w:b/>
                <w:spacing w:val="-5"/>
                <w:sz w:val="18"/>
              </w:rPr>
              <w:t>49</w:t>
            </w:r>
          </w:p>
          <w:p>
            <w:pPr>
              <w:pStyle w:val="TableParagraph"/>
              <w:spacing w:before="195"/>
              <w:ind w:left="8"/>
              <w:rPr>
                <w:sz w:val="18"/>
              </w:rPr>
            </w:pPr>
            <w:r>
              <w:rPr>
                <w:sz w:val="18"/>
              </w:rPr>
              <w:t>per</w:t>
            </w:r>
            <w:r>
              <w:rPr>
                <w:spacing w:val="-3"/>
                <w:sz w:val="18"/>
              </w:rPr>
              <w:t> </w:t>
            </w:r>
            <w:r>
              <w:rPr>
                <w:spacing w:val="-5"/>
                <w:sz w:val="18"/>
              </w:rPr>
              <w:t>100</w:t>
            </w:r>
          </w:p>
        </w:tc>
        <w:tc>
          <w:tcPr>
            <w:tcW w:w="2028" w:type="dxa"/>
            <w:tcBorders>
              <w:bottom w:val="nil"/>
            </w:tcBorders>
          </w:tcPr>
          <w:p>
            <w:pPr>
              <w:pStyle w:val="TableParagraph"/>
              <w:rPr>
                <w:rFonts w:ascii="Times New Roman"/>
                <w:sz w:val="16"/>
              </w:rPr>
            </w:pPr>
          </w:p>
        </w:tc>
        <w:tc>
          <w:tcPr>
            <w:tcW w:w="4882" w:type="dxa"/>
            <w:tcBorders>
              <w:bottom w:val="nil"/>
            </w:tcBorders>
          </w:tcPr>
          <w:p>
            <w:pPr>
              <w:pStyle w:val="TableParagraph"/>
              <w:rPr>
                <w:rFonts w:ascii="Times New Roman"/>
                <w:sz w:val="16"/>
              </w:rPr>
            </w:pPr>
          </w:p>
        </w:tc>
      </w:tr>
      <w:tr>
        <w:trPr>
          <w:trHeight w:val="1614" w:hRule="atLeast"/>
        </w:trPr>
        <w:tc>
          <w:tcPr>
            <w:tcW w:w="1032" w:type="dxa"/>
            <w:vMerge/>
            <w:tcBorders>
              <w:top w:val="nil"/>
            </w:tcBorders>
          </w:tcPr>
          <w:p>
            <w:pPr>
              <w:rPr>
                <w:sz w:val="2"/>
                <w:szCs w:val="2"/>
              </w:rPr>
            </w:pPr>
          </w:p>
        </w:tc>
        <w:tc>
          <w:tcPr>
            <w:tcW w:w="1010" w:type="dxa"/>
            <w:tcBorders>
              <w:top w:val="nil"/>
              <w:bottom w:val="nil"/>
            </w:tcBorders>
          </w:tcPr>
          <w:p>
            <w:pPr>
              <w:pStyle w:val="TableParagraph"/>
              <w:rPr>
                <w:rFonts w:ascii="Times New Roman"/>
                <w:sz w:val="16"/>
              </w:rPr>
            </w:pPr>
          </w:p>
        </w:tc>
        <w:tc>
          <w:tcPr>
            <w:tcW w:w="2506" w:type="dxa"/>
            <w:tcBorders>
              <w:top w:val="nil"/>
              <w:bottom w:val="nil"/>
            </w:tcBorders>
          </w:tcPr>
          <w:p>
            <w:pPr>
              <w:pStyle w:val="TableParagraph"/>
              <w:spacing w:before="182"/>
              <w:rPr>
                <w:sz w:val="18"/>
              </w:rPr>
            </w:pPr>
          </w:p>
          <w:p>
            <w:pPr>
              <w:pStyle w:val="TableParagraph"/>
              <w:spacing w:line="278" w:lineRule="auto"/>
              <w:ind w:left="7"/>
              <w:rPr>
                <w:sz w:val="18"/>
              </w:rPr>
            </w:pPr>
            <w:r>
              <w:rPr>
                <w:sz w:val="18"/>
              </w:rPr>
              <w:t>Based</w:t>
            </w:r>
            <w:r>
              <w:rPr>
                <w:spacing w:val="-10"/>
                <w:sz w:val="18"/>
              </w:rPr>
              <w:t> </w:t>
            </w:r>
            <w:r>
              <w:rPr>
                <w:sz w:val="18"/>
              </w:rPr>
              <w:t>on</w:t>
            </w:r>
            <w:r>
              <w:rPr>
                <w:spacing w:val="-10"/>
                <w:sz w:val="18"/>
              </w:rPr>
              <w:t> </w:t>
            </w:r>
            <w:r>
              <w:rPr>
                <w:sz w:val="18"/>
              </w:rPr>
              <w:t>data</w:t>
            </w:r>
            <w:r>
              <w:rPr>
                <w:spacing w:val="-10"/>
                <w:sz w:val="18"/>
              </w:rPr>
              <w:t> </w:t>
            </w:r>
            <w:r>
              <w:rPr>
                <w:sz w:val="18"/>
              </w:rPr>
              <w:t>from</w:t>
            </w:r>
            <w:r>
              <w:rPr>
                <w:spacing w:val="-10"/>
                <w:sz w:val="18"/>
              </w:rPr>
              <w:t> </w:t>
            </w:r>
            <w:r>
              <w:rPr>
                <w:sz w:val="18"/>
              </w:rPr>
              <w:t>243 participants</w:t>
            </w:r>
            <w:r>
              <w:rPr>
                <w:spacing w:val="-4"/>
                <w:sz w:val="18"/>
              </w:rPr>
              <w:t> </w:t>
            </w:r>
            <w:r>
              <w:rPr>
                <w:sz w:val="18"/>
              </w:rPr>
              <w:t>in</w:t>
            </w:r>
            <w:r>
              <w:rPr>
                <w:spacing w:val="-3"/>
                <w:sz w:val="18"/>
              </w:rPr>
              <w:t> </w:t>
            </w:r>
            <w:r>
              <w:rPr>
                <w:sz w:val="18"/>
              </w:rPr>
              <w:t>2</w:t>
            </w:r>
            <w:r>
              <w:rPr>
                <w:spacing w:val="-1"/>
                <w:sz w:val="18"/>
              </w:rPr>
              <w:t> </w:t>
            </w:r>
            <w:r>
              <w:rPr>
                <w:spacing w:val="-2"/>
                <w:sz w:val="18"/>
              </w:rPr>
              <w:t>studies</w:t>
            </w:r>
          </w:p>
          <w:p>
            <w:pPr>
              <w:pStyle w:val="TableParagraph"/>
              <w:spacing w:line="219" w:lineRule="exact"/>
              <w:ind w:left="7"/>
              <w:rPr>
                <w:sz w:val="18"/>
              </w:rPr>
            </w:pPr>
            <w:r>
              <w:rPr>
                <w:sz w:val="18"/>
              </w:rPr>
              <w:t>Follow-up:</w:t>
            </w:r>
            <w:r>
              <w:rPr>
                <w:spacing w:val="-5"/>
                <w:sz w:val="18"/>
              </w:rPr>
              <w:t> </w:t>
            </w:r>
            <w:r>
              <w:rPr>
                <w:sz w:val="18"/>
              </w:rPr>
              <w:t>2.5</w:t>
            </w:r>
            <w:r>
              <w:rPr>
                <w:spacing w:val="-3"/>
                <w:sz w:val="18"/>
              </w:rPr>
              <w:t> </w:t>
            </w:r>
            <w:r>
              <w:rPr>
                <w:sz w:val="18"/>
              </w:rPr>
              <w:t>years-13.6</w:t>
            </w:r>
            <w:r>
              <w:rPr>
                <w:spacing w:val="-3"/>
                <w:sz w:val="18"/>
              </w:rPr>
              <w:t> </w:t>
            </w:r>
            <w:r>
              <w:rPr>
                <w:spacing w:val="-4"/>
                <w:sz w:val="18"/>
              </w:rPr>
              <w:t>years</w:t>
            </w:r>
          </w:p>
        </w:tc>
        <w:tc>
          <w:tcPr>
            <w:tcW w:w="2486" w:type="dxa"/>
            <w:gridSpan w:val="2"/>
            <w:tcBorders>
              <w:bottom w:val="nil"/>
            </w:tcBorders>
          </w:tcPr>
          <w:p>
            <w:pPr>
              <w:pStyle w:val="TableParagraph"/>
              <w:rPr>
                <w:sz w:val="18"/>
              </w:rPr>
            </w:pPr>
          </w:p>
          <w:p>
            <w:pPr>
              <w:pStyle w:val="TableParagraph"/>
              <w:rPr>
                <w:sz w:val="18"/>
              </w:rPr>
            </w:pPr>
          </w:p>
          <w:p>
            <w:pPr>
              <w:pStyle w:val="TableParagraph"/>
              <w:spacing w:before="172"/>
              <w:rPr>
                <w:sz w:val="18"/>
              </w:rPr>
            </w:pPr>
          </w:p>
          <w:p>
            <w:pPr>
              <w:pStyle w:val="TableParagraph"/>
              <w:ind w:left="5"/>
              <w:rPr>
                <w:b/>
                <w:sz w:val="18"/>
              </w:rPr>
            </w:pPr>
            <w:r>
              <w:rPr>
                <w:sz w:val="18"/>
              </w:rPr>
              <w:t>Difference:</w:t>
            </w:r>
            <w:r>
              <w:rPr>
                <w:spacing w:val="-3"/>
                <w:sz w:val="18"/>
              </w:rPr>
              <w:t> </w:t>
            </w:r>
            <w:r>
              <w:rPr>
                <w:b/>
                <w:sz w:val="18"/>
              </w:rPr>
              <w:t>22</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96"/>
              <w:ind w:left="5"/>
              <w:rPr>
                <w:sz w:val="18"/>
              </w:rPr>
            </w:pPr>
            <w:r>
              <w:rPr>
                <w:sz w:val="18"/>
              </w:rPr>
              <w:t>(95%</w:t>
            </w:r>
            <w:r>
              <w:rPr>
                <w:spacing w:val="-3"/>
                <w:sz w:val="18"/>
              </w:rPr>
              <w:t> </w:t>
            </w:r>
            <w:r>
              <w:rPr>
                <w:sz w:val="18"/>
              </w:rPr>
              <w:t>CI 53</w:t>
            </w:r>
            <w:r>
              <w:rPr>
                <w:spacing w:val="-1"/>
                <w:sz w:val="18"/>
              </w:rPr>
              <w:t> </w:t>
            </w:r>
            <w:r>
              <w:rPr>
                <w:sz w:val="18"/>
              </w:rPr>
              <w:t>fewer to</w:t>
            </w:r>
            <w:r>
              <w:rPr>
                <w:spacing w:val="-1"/>
                <w:sz w:val="18"/>
              </w:rPr>
              <w:t> </w:t>
            </w:r>
            <w:r>
              <w:rPr>
                <w:sz w:val="18"/>
              </w:rPr>
              <w:t>10 </w:t>
            </w:r>
            <w:r>
              <w:rPr>
                <w:spacing w:val="-4"/>
                <w:sz w:val="18"/>
              </w:rPr>
              <w:t>more)</w:t>
            </w:r>
          </w:p>
        </w:tc>
        <w:tc>
          <w:tcPr>
            <w:tcW w:w="2028" w:type="dxa"/>
            <w:tcBorders>
              <w:top w:val="nil"/>
              <w:bottom w:val="nil"/>
            </w:tcBorders>
          </w:tcPr>
          <w:p>
            <w:pPr>
              <w:pStyle w:val="TableParagraph"/>
              <w:spacing w:before="182"/>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line="278" w:lineRule="auto" w:before="35"/>
              <w:ind w:left="8"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before="1"/>
              <w:ind w:left="8"/>
              <w:rPr>
                <w:position w:val="5"/>
                <w:sz w:val="12"/>
              </w:rPr>
            </w:pPr>
            <w:r>
              <w:rPr>
                <w:sz w:val="18"/>
              </w:rPr>
              <w:t>serious</w:t>
            </w:r>
            <w:r>
              <w:rPr>
                <w:spacing w:val="-5"/>
                <w:sz w:val="18"/>
              </w:rPr>
              <w:t> </w:t>
            </w:r>
            <w:r>
              <w:rPr>
                <w:spacing w:val="-2"/>
                <w:sz w:val="18"/>
              </w:rPr>
              <w:t>imprecision</w:t>
            </w:r>
            <w:r>
              <w:rPr>
                <w:spacing w:val="-2"/>
                <w:position w:val="5"/>
                <w:sz w:val="12"/>
              </w:rPr>
              <w:t>4</w:t>
            </w:r>
          </w:p>
        </w:tc>
        <w:tc>
          <w:tcPr>
            <w:tcW w:w="4882" w:type="dxa"/>
            <w:tcBorders>
              <w:top w:val="nil"/>
              <w:bottom w:val="nil"/>
            </w:tcBorders>
          </w:tcPr>
          <w:p>
            <w:pPr>
              <w:pStyle w:val="TableParagraph"/>
              <w:spacing w:before="182"/>
              <w:rPr>
                <w:sz w:val="18"/>
              </w:rPr>
            </w:pPr>
          </w:p>
          <w:p>
            <w:pPr>
              <w:pStyle w:val="TableParagraph"/>
              <w:spacing w:line="278" w:lineRule="auto"/>
              <w:ind w:left="8" w:right="47"/>
              <w:rPr>
                <w:sz w:val="18"/>
              </w:rPr>
            </w:pPr>
            <w:r>
              <w:rPr>
                <w:sz w:val="18"/>
              </w:rPr>
              <w:t>The evidence is very uncertain about the effect of aspirin on minor</w:t>
            </w:r>
            <w:r>
              <w:rPr>
                <w:spacing w:val="-4"/>
                <w:sz w:val="18"/>
              </w:rPr>
              <w:t> </w:t>
            </w:r>
            <w:r>
              <w:rPr>
                <w:sz w:val="18"/>
              </w:rPr>
              <w:t>bleeding,</w:t>
            </w:r>
            <w:r>
              <w:rPr>
                <w:spacing w:val="-4"/>
                <w:sz w:val="18"/>
              </w:rPr>
              <w:t> </w:t>
            </w:r>
            <w:r>
              <w:rPr>
                <w:sz w:val="18"/>
              </w:rPr>
              <w:t>when</w:t>
            </w:r>
            <w:r>
              <w:rPr>
                <w:spacing w:val="-5"/>
                <w:sz w:val="18"/>
              </w:rPr>
              <w:t> </w:t>
            </w:r>
            <w:r>
              <w:rPr>
                <w:sz w:val="18"/>
              </w:rPr>
              <w:t>compared</w:t>
            </w:r>
            <w:r>
              <w:rPr>
                <w:spacing w:val="-3"/>
                <w:sz w:val="18"/>
              </w:rPr>
              <w:t> </w:t>
            </w:r>
            <w:r>
              <w:rPr>
                <w:sz w:val="18"/>
              </w:rPr>
              <w:t>with</w:t>
            </w:r>
            <w:r>
              <w:rPr>
                <w:spacing w:val="-6"/>
                <w:sz w:val="18"/>
              </w:rPr>
              <w:t> </w:t>
            </w:r>
            <w:r>
              <w:rPr>
                <w:sz w:val="18"/>
              </w:rPr>
              <w:t>warfarin</w:t>
            </w:r>
            <w:r>
              <w:rPr>
                <w:spacing w:val="-5"/>
                <w:sz w:val="18"/>
              </w:rPr>
              <w:t> </w:t>
            </w:r>
            <w:r>
              <w:rPr>
                <w:sz w:val="18"/>
              </w:rPr>
              <w:t>in</w:t>
            </w:r>
            <w:r>
              <w:rPr>
                <w:spacing w:val="-6"/>
                <w:sz w:val="18"/>
              </w:rPr>
              <w:t> </w:t>
            </w:r>
            <w:r>
              <w:rPr>
                <w:sz w:val="18"/>
              </w:rPr>
              <w:t>children</w:t>
            </w:r>
            <w:r>
              <w:rPr>
                <w:spacing w:val="-5"/>
                <w:sz w:val="18"/>
              </w:rPr>
              <w:t> </w:t>
            </w:r>
            <w:r>
              <w:rPr>
                <w:sz w:val="18"/>
              </w:rPr>
              <w:t>with</w:t>
            </w:r>
            <w:r>
              <w:rPr>
                <w:spacing w:val="-2"/>
                <w:sz w:val="18"/>
              </w:rPr>
              <w:t> </w:t>
            </w:r>
            <w:r>
              <w:rPr>
                <w:sz w:val="18"/>
              </w:rPr>
              <w:t>an indication for the Fontan procedure</w:t>
            </w:r>
          </w:p>
        </w:tc>
      </w:tr>
      <w:tr>
        <w:trPr>
          <w:trHeight w:val="530" w:hRule="atLeast"/>
        </w:trPr>
        <w:tc>
          <w:tcPr>
            <w:tcW w:w="1032" w:type="dxa"/>
            <w:vMerge/>
            <w:tcBorders>
              <w:top w:val="nil"/>
            </w:tcBorders>
          </w:tcPr>
          <w:p>
            <w:pPr>
              <w:rPr>
                <w:sz w:val="2"/>
                <w:szCs w:val="2"/>
              </w:rPr>
            </w:pPr>
          </w:p>
        </w:tc>
        <w:tc>
          <w:tcPr>
            <w:tcW w:w="1010" w:type="dxa"/>
            <w:tcBorders>
              <w:top w:val="nil"/>
            </w:tcBorders>
          </w:tcPr>
          <w:p>
            <w:pPr>
              <w:pStyle w:val="TableParagraph"/>
              <w:rPr>
                <w:rFonts w:ascii="Times New Roman"/>
                <w:sz w:val="16"/>
              </w:rPr>
            </w:pPr>
          </w:p>
        </w:tc>
        <w:tc>
          <w:tcPr>
            <w:tcW w:w="2506" w:type="dxa"/>
            <w:tcBorders>
              <w:top w:val="nil"/>
            </w:tcBorders>
          </w:tcPr>
          <w:p>
            <w:pPr>
              <w:pStyle w:val="TableParagraph"/>
              <w:rPr>
                <w:rFonts w:ascii="Times New Roman"/>
                <w:sz w:val="16"/>
              </w:rPr>
            </w:pPr>
          </w:p>
        </w:tc>
        <w:tc>
          <w:tcPr>
            <w:tcW w:w="2486" w:type="dxa"/>
            <w:gridSpan w:val="2"/>
            <w:tcBorders>
              <w:top w:val="nil"/>
            </w:tcBorders>
          </w:tcPr>
          <w:p>
            <w:pPr>
              <w:pStyle w:val="TableParagraph"/>
              <w:rPr>
                <w:rFonts w:ascii="Times New Roman"/>
                <w:sz w:val="16"/>
              </w:rPr>
            </w:pPr>
          </w:p>
        </w:tc>
        <w:tc>
          <w:tcPr>
            <w:tcW w:w="2028" w:type="dxa"/>
            <w:tcBorders>
              <w:top w:val="nil"/>
            </w:tcBorders>
          </w:tcPr>
          <w:p>
            <w:pPr>
              <w:pStyle w:val="TableParagraph"/>
              <w:rPr>
                <w:rFonts w:ascii="Times New Roman"/>
                <w:sz w:val="16"/>
              </w:rPr>
            </w:pPr>
          </w:p>
        </w:tc>
        <w:tc>
          <w:tcPr>
            <w:tcW w:w="4882" w:type="dxa"/>
            <w:tcBorders>
              <w:top w:val="nil"/>
            </w:tcBorders>
          </w:tcPr>
          <w:p>
            <w:pPr>
              <w:pStyle w:val="TableParagraph"/>
              <w:spacing w:before="114"/>
              <w:ind w:left="8"/>
              <w:rPr>
                <w:sz w:val="18"/>
              </w:rPr>
            </w:pPr>
            <w:r>
              <w:rPr>
                <w:sz w:val="18"/>
              </w:rPr>
              <w:t>(Al-Jazairi,</w:t>
            </w:r>
            <w:r>
              <w:rPr>
                <w:spacing w:val="-5"/>
                <w:sz w:val="18"/>
              </w:rPr>
              <w:t> </w:t>
            </w:r>
            <w:r>
              <w:rPr>
                <w:sz w:val="18"/>
              </w:rPr>
              <w:t>2019;</w:t>
            </w:r>
            <w:r>
              <w:rPr>
                <w:spacing w:val="-3"/>
                <w:sz w:val="18"/>
              </w:rPr>
              <w:t> </w:t>
            </w:r>
            <w:r>
              <w:rPr>
                <w:sz w:val="18"/>
              </w:rPr>
              <w:t>McCrindle,</w:t>
            </w:r>
            <w:r>
              <w:rPr>
                <w:spacing w:val="-2"/>
                <w:sz w:val="18"/>
              </w:rPr>
              <w:t> 2013)</w:t>
            </w:r>
          </w:p>
        </w:tc>
      </w:tr>
      <w:tr>
        <w:trPr>
          <w:trHeight w:val="325" w:hRule="atLeast"/>
        </w:trPr>
        <w:tc>
          <w:tcPr>
            <w:tcW w:w="2042" w:type="dxa"/>
            <w:gridSpan w:val="2"/>
            <w:tcBorders>
              <w:bottom w:val="nil"/>
            </w:tcBorders>
          </w:tcPr>
          <w:p>
            <w:pPr>
              <w:pStyle w:val="TableParagraph"/>
              <w:spacing w:line="218" w:lineRule="exact"/>
              <w:ind w:left="6"/>
              <w:rPr>
                <w:sz w:val="18"/>
              </w:rPr>
            </w:pPr>
            <w:r>
              <w:rPr>
                <w:sz w:val="18"/>
              </w:rPr>
              <w:t>Mortality</w:t>
            </w:r>
            <w:r>
              <w:rPr>
                <w:spacing w:val="-3"/>
                <w:sz w:val="18"/>
              </w:rPr>
              <w:t> </w:t>
            </w:r>
            <w:r>
              <w:rPr>
                <w:spacing w:val="-2"/>
                <w:sz w:val="18"/>
              </w:rPr>
              <w:t>(important)</w:t>
            </w:r>
          </w:p>
        </w:tc>
        <w:tc>
          <w:tcPr>
            <w:tcW w:w="2506" w:type="dxa"/>
            <w:tcBorders>
              <w:bottom w:val="nil"/>
            </w:tcBorders>
          </w:tcPr>
          <w:p>
            <w:pPr>
              <w:pStyle w:val="TableParagraph"/>
              <w:spacing w:line="218" w:lineRule="exact"/>
              <w:ind w:left="7"/>
              <w:rPr>
                <w:b/>
                <w:sz w:val="18"/>
              </w:rPr>
            </w:pPr>
            <w:r>
              <w:rPr>
                <w:sz w:val="18"/>
              </w:rPr>
              <w:t>Relative</w:t>
            </w:r>
            <w:r>
              <w:rPr>
                <w:spacing w:val="-3"/>
                <w:sz w:val="18"/>
              </w:rPr>
              <w:t> </w:t>
            </w:r>
            <w:r>
              <w:rPr>
                <w:sz w:val="18"/>
              </w:rPr>
              <w:t>risk:</w:t>
            </w:r>
            <w:r>
              <w:rPr>
                <w:spacing w:val="-2"/>
                <w:sz w:val="18"/>
              </w:rPr>
              <w:t> </w:t>
            </w:r>
            <w:r>
              <w:rPr>
                <w:b/>
                <w:spacing w:val="-4"/>
                <w:sz w:val="18"/>
              </w:rPr>
              <w:t>2.84</w:t>
            </w:r>
          </w:p>
        </w:tc>
        <w:tc>
          <w:tcPr>
            <w:tcW w:w="1214" w:type="dxa"/>
            <w:tcBorders>
              <w:bottom w:val="nil"/>
            </w:tcBorders>
          </w:tcPr>
          <w:p>
            <w:pPr>
              <w:pStyle w:val="TableParagraph"/>
              <w:spacing w:line="218" w:lineRule="exact"/>
              <w:ind w:left="5"/>
              <w:rPr>
                <w:b/>
                <w:sz w:val="18"/>
              </w:rPr>
            </w:pPr>
            <w:r>
              <w:rPr>
                <w:b/>
                <w:spacing w:val="-10"/>
                <w:sz w:val="18"/>
              </w:rPr>
              <w:t>2</w:t>
            </w:r>
          </w:p>
        </w:tc>
        <w:tc>
          <w:tcPr>
            <w:tcW w:w="1272" w:type="dxa"/>
            <w:tcBorders>
              <w:bottom w:val="nil"/>
            </w:tcBorders>
          </w:tcPr>
          <w:p>
            <w:pPr>
              <w:pStyle w:val="TableParagraph"/>
              <w:spacing w:line="218" w:lineRule="exact"/>
              <w:ind w:left="8"/>
              <w:rPr>
                <w:b/>
                <w:sz w:val="18"/>
              </w:rPr>
            </w:pPr>
            <w:r>
              <w:rPr>
                <w:b/>
                <w:spacing w:val="-10"/>
                <w:sz w:val="18"/>
              </w:rPr>
              <w:t>0</w:t>
            </w:r>
          </w:p>
        </w:tc>
        <w:tc>
          <w:tcPr>
            <w:tcW w:w="2028" w:type="dxa"/>
            <w:vMerge w:val="restart"/>
          </w:tcPr>
          <w:p>
            <w:pPr>
              <w:pStyle w:val="TableParagraph"/>
              <w:rPr>
                <w:rFonts w:ascii="Times New Roman"/>
                <w:sz w:val="16"/>
              </w:rPr>
            </w:pPr>
          </w:p>
        </w:tc>
        <w:tc>
          <w:tcPr>
            <w:tcW w:w="4882" w:type="dxa"/>
            <w:vMerge w:val="restart"/>
          </w:tcPr>
          <w:p>
            <w:pPr>
              <w:pStyle w:val="TableParagraph"/>
              <w:rPr>
                <w:rFonts w:ascii="Times New Roman"/>
                <w:sz w:val="16"/>
              </w:rPr>
            </w:pPr>
          </w:p>
        </w:tc>
      </w:tr>
      <w:tr>
        <w:trPr>
          <w:trHeight w:val="489" w:hRule="atLeast"/>
        </w:trPr>
        <w:tc>
          <w:tcPr>
            <w:tcW w:w="2042" w:type="dxa"/>
            <w:gridSpan w:val="2"/>
            <w:tcBorders>
              <w:top w:val="nil"/>
              <w:bottom w:val="nil"/>
            </w:tcBorders>
          </w:tcPr>
          <w:p>
            <w:pPr>
              <w:pStyle w:val="TableParagraph"/>
              <w:rPr>
                <w:rFonts w:ascii="Times New Roman"/>
                <w:sz w:val="16"/>
              </w:rPr>
            </w:pPr>
          </w:p>
        </w:tc>
        <w:tc>
          <w:tcPr>
            <w:tcW w:w="2506" w:type="dxa"/>
            <w:tcBorders>
              <w:top w:val="nil"/>
              <w:bottom w:val="nil"/>
            </w:tcBorders>
          </w:tcPr>
          <w:p>
            <w:pPr>
              <w:pStyle w:val="TableParagraph"/>
              <w:spacing w:before="73"/>
              <w:ind w:left="7"/>
              <w:rPr>
                <w:sz w:val="18"/>
              </w:rPr>
            </w:pPr>
            <w:r>
              <w:rPr>
                <w:sz w:val="18"/>
              </w:rPr>
              <w:t>(95%</w:t>
            </w:r>
            <w:r>
              <w:rPr>
                <w:spacing w:val="-1"/>
                <w:sz w:val="18"/>
              </w:rPr>
              <w:t> </w:t>
            </w:r>
            <w:r>
              <w:rPr>
                <w:sz w:val="18"/>
              </w:rPr>
              <w:t>CI 0.12 to </w:t>
            </w:r>
            <w:r>
              <w:rPr>
                <w:spacing w:val="-2"/>
                <w:sz w:val="18"/>
              </w:rPr>
              <w:t>68.36)</w:t>
            </w:r>
          </w:p>
        </w:tc>
        <w:tc>
          <w:tcPr>
            <w:tcW w:w="1214" w:type="dxa"/>
            <w:tcBorders>
              <w:top w:val="nil"/>
            </w:tcBorders>
          </w:tcPr>
          <w:p>
            <w:pPr>
              <w:pStyle w:val="TableParagraph"/>
              <w:spacing w:before="73"/>
              <w:ind w:left="5"/>
              <w:rPr>
                <w:sz w:val="18"/>
              </w:rPr>
            </w:pPr>
            <w:r>
              <w:rPr>
                <w:sz w:val="18"/>
              </w:rPr>
              <w:t>per</w:t>
            </w:r>
            <w:r>
              <w:rPr>
                <w:spacing w:val="-3"/>
                <w:sz w:val="18"/>
              </w:rPr>
              <w:t> </w:t>
            </w:r>
            <w:r>
              <w:rPr>
                <w:spacing w:val="-5"/>
                <w:sz w:val="18"/>
              </w:rPr>
              <w:t>100</w:t>
            </w:r>
          </w:p>
        </w:tc>
        <w:tc>
          <w:tcPr>
            <w:tcW w:w="1272" w:type="dxa"/>
            <w:tcBorders>
              <w:top w:val="nil"/>
            </w:tcBorders>
          </w:tcPr>
          <w:p>
            <w:pPr>
              <w:pStyle w:val="TableParagraph"/>
              <w:spacing w:before="73"/>
              <w:ind w:left="8"/>
              <w:rPr>
                <w:sz w:val="18"/>
              </w:rPr>
            </w:pPr>
            <w:r>
              <w:rPr>
                <w:sz w:val="18"/>
              </w:rPr>
              <w:t>per</w:t>
            </w:r>
            <w:r>
              <w:rPr>
                <w:spacing w:val="-3"/>
                <w:sz w:val="18"/>
              </w:rPr>
              <w:t> </w:t>
            </w:r>
            <w:r>
              <w:rPr>
                <w:spacing w:val="-5"/>
                <w:sz w:val="18"/>
              </w:rPr>
              <w:t>100</w:t>
            </w:r>
          </w:p>
        </w:tc>
        <w:tc>
          <w:tcPr>
            <w:tcW w:w="2028" w:type="dxa"/>
            <w:vMerge/>
            <w:tcBorders>
              <w:top w:val="nil"/>
            </w:tcBorders>
          </w:tcPr>
          <w:p>
            <w:pPr>
              <w:rPr>
                <w:sz w:val="2"/>
                <w:szCs w:val="2"/>
              </w:rPr>
            </w:pPr>
          </w:p>
        </w:tc>
        <w:tc>
          <w:tcPr>
            <w:tcW w:w="4882" w:type="dxa"/>
            <w:vMerge/>
            <w:tcBorders>
              <w:top w:val="nil"/>
            </w:tcBorders>
          </w:tcPr>
          <w:p>
            <w:pPr>
              <w:rPr>
                <w:sz w:val="2"/>
                <w:szCs w:val="2"/>
              </w:rPr>
            </w:pPr>
          </w:p>
        </w:tc>
      </w:tr>
      <w:tr>
        <w:trPr>
          <w:trHeight w:val="1198" w:hRule="atLeast"/>
        </w:trPr>
        <w:tc>
          <w:tcPr>
            <w:tcW w:w="2042" w:type="dxa"/>
            <w:gridSpan w:val="2"/>
            <w:tcBorders>
              <w:top w:val="nil"/>
              <w:bottom w:val="nil"/>
            </w:tcBorders>
          </w:tcPr>
          <w:p>
            <w:pPr>
              <w:pStyle w:val="TableParagraph"/>
              <w:rPr>
                <w:rFonts w:ascii="Times New Roman"/>
                <w:sz w:val="16"/>
              </w:rPr>
            </w:pPr>
          </w:p>
        </w:tc>
        <w:tc>
          <w:tcPr>
            <w:tcW w:w="2506" w:type="dxa"/>
            <w:tcBorders>
              <w:top w:val="nil"/>
              <w:bottom w:val="nil"/>
            </w:tcBorders>
          </w:tcPr>
          <w:p>
            <w:pPr>
              <w:pStyle w:val="TableParagraph"/>
              <w:spacing w:before="180"/>
              <w:rPr>
                <w:sz w:val="18"/>
              </w:rPr>
            </w:pPr>
          </w:p>
          <w:p>
            <w:pPr>
              <w:pStyle w:val="TableParagraph"/>
              <w:spacing w:line="278" w:lineRule="auto"/>
              <w:ind w:left="7" w:right="734"/>
              <w:rPr>
                <w:sz w:val="18"/>
              </w:rPr>
            </w:pPr>
            <w:r>
              <w:rPr>
                <w:sz w:val="18"/>
              </w:rPr>
              <w:t>Based</w:t>
            </w:r>
            <w:r>
              <w:rPr>
                <w:spacing w:val="-10"/>
                <w:sz w:val="18"/>
              </w:rPr>
              <w:t> </w:t>
            </w:r>
            <w:r>
              <w:rPr>
                <w:sz w:val="18"/>
              </w:rPr>
              <w:t>on</w:t>
            </w:r>
            <w:r>
              <w:rPr>
                <w:spacing w:val="-10"/>
                <w:sz w:val="18"/>
              </w:rPr>
              <w:t> </w:t>
            </w:r>
            <w:r>
              <w:rPr>
                <w:sz w:val="18"/>
              </w:rPr>
              <w:t>data</w:t>
            </w:r>
            <w:r>
              <w:rPr>
                <w:spacing w:val="-10"/>
                <w:sz w:val="18"/>
              </w:rPr>
              <w:t> </w:t>
            </w:r>
            <w:r>
              <w:rPr>
                <w:sz w:val="18"/>
              </w:rPr>
              <w:t>from</w:t>
            </w:r>
            <w:r>
              <w:rPr>
                <w:spacing w:val="-10"/>
                <w:sz w:val="18"/>
              </w:rPr>
              <w:t> </w:t>
            </w:r>
            <w:r>
              <w:rPr>
                <w:sz w:val="18"/>
              </w:rPr>
              <w:t>111 participants in 1 study Follow-up: 2.5 years</w:t>
            </w:r>
          </w:p>
        </w:tc>
        <w:tc>
          <w:tcPr>
            <w:tcW w:w="2486" w:type="dxa"/>
            <w:gridSpan w:val="2"/>
            <w:tcBorders>
              <w:bottom w:val="nil"/>
            </w:tcBorders>
          </w:tcPr>
          <w:p>
            <w:pPr>
              <w:pStyle w:val="TableParagraph"/>
              <w:rPr>
                <w:rFonts w:ascii="Times New Roman"/>
                <w:sz w:val="16"/>
              </w:rPr>
            </w:pPr>
          </w:p>
        </w:tc>
        <w:tc>
          <w:tcPr>
            <w:tcW w:w="2028" w:type="dxa"/>
            <w:vMerge/>
            <w:tcBorders>
              <w:top w:val="nil"/>
            </w:tcBorders>
          </w:tcPr>
          <w:p>
            <w:pPr>
              <w:rPr>
                <w:sz w:val="2"/>
                <w:szCs w:val="2"/>
              </w:rPr>
            </w:pPr>
          </w:p>
        </w:tc>
        <w:tc>
          <w:tcPr>
            <w:tcW w:w="4882" w:type="dxa"/>
            <w:vMerge/>
            <w:tcBorders>
              <w:top w:val="nil"/>
            </w:tcBorders>
          </w:tcPr>
          <w:p>
            <w:pPr>
              <w:rPr>
                <w:sz w:val="2"/>
                <w:szCs w:val="2"/>
              </w:rPr>
            </w:pPr>
          </w:p>
        </w:tc>
      </w:tr>
      <w:tr>
        <w:trPr>
          <w:trHeight w:val="449" w:hRule="atLeast"/>
        </w:trPr>
        <w:tc>
          <w:tcPr>
            <w:tcW w:w="2042" w:type="dxa"/>
            <w:gridSpan w:val="2"/>
            <w:tcBorders>
              <w:top w:val="nil"/>
            </w:tcBorders>
          </w:tcPr>
          <w:p>
            <w:pPr>
              <w:pStyle w:val="TableParagraph"/>
              <w:rPr>
                <w:rFonts w:ascii="Times New Roman"/>
                <w:sz w:val="16"/>
              </w:rPr>
            </w:pPr>
          </w:p>
        </w:tc>
        <w:tc>
          <w:tcPr>
            <w:tcW w:w="2506" w:type="dxa"/>
            <w:tcBorders>
              <w:top w:val="nil"/>
            </w:tcBorders>
          </w:tcPr>
          <w:p>
            <w:pPr>
              <w:pStyle w:val="TableParagraph"/>
              <w:rPr>
                <w:rFonts w:ascii="Times New Roman"/>
                <w:sz w:val="16"/>
              </w:rPr>
            </w:pPr>
          </w:p>
        </w:tc>
        <w:tc>
          <w:tcPr>
            <w:tcW w:w="2486" w:type="dxa"/>
            <w:gridSpan w:val="2"/>
            <w:tcBorders>
              <w:top w:val="nil"/>
            </w:tcBorders>
          </w:tcPr>
          <w:p>
            <w:pPr>
              <w:pStyle w:val="TableParagraph"/>
              <w:spacing w:before="34"/>
              <w:ind w:left="5"/>
              <w:rPr>
                <w:b/>
                <w:sz w:val="18"/>
              </w:rPr>
            </w:pPr>
            <w:r>
              <w:rPr>
                <w:sz w:val="18"/>
              </w:rPr>
              <w:t>Difference:</w:t>
            </w:r>
            <w:r>
              <w:rPr>
                <w:spacing w:val="-2"/>
                <w:sz w:val="18"/>
              </w:rPr>
              <w:t> </w:t>
            </w:r>
            <w:r>
              <w:rPr>
                <w:b/>
                <w:sz w:val="18"/>
              </w:rPr>
              <w:t>2</w:t>
            </w:r>
            <w:r>
              <w:rPr>
                <w:b/>
                <w:spacing w:val="-2"/>
                <w:sz w:val="18"/>
              </w:rPr>
              <w:t> </w:t>
            </w:r>
            <w:r>
              <w:rPr>
                <w:b/>
                <w:sz w:val="18"/>
              </w:rPr>
              <w:t>more</w:t>
            </w:r>
            <w:r>
              <w:rPr>
                <w:b/>
                <w:spacing w:val="-2"/>
                <w:sz w:val="18"/>
              </w:rPr>
              <w:t> </w:t>
            </w:r>
            <w:r>
              <w:rPr>
                <w:b/>
                <w:sz w:val="18"/>
              </w:rPr>
              <w:t>per</w:t>
            </w:r>
            <w:r>
              <w:rPr>
                <w:b/>
                <w:spacing w:val="-1"/>
                <w:sz w:val="18"/>
              </w:rPr>
              <w:t> </w:t>
            </w:r>
            <w:r>
              <w:rPr>
                <w:b/>
                <w:spacing w:val="-5"/>
                <w:sz w:val="18"/>
              </w:rPr>
              <w:t>100</w:t>
            </w:r>
          </w:p>
        </w:tc>
        <w:tc>
          <w:tcPr>
            <w:tcW w:w="2028" w:type="dxa"/>
            <w:vMerge/>
            <w:tcBorders>
              <w:top w:val="nil"/>
            </w:tcBorders>
          </w:tcPr>
          <w:p>
            <w:pPr>
              <w:rPr>
                <w:sz w:val="2"/>
                <w:szCs w:val="2"/>
              </w:rPr>
            </w:pPr>
          </w:p>
        </w:tc>
        <w:tc>
          <w:tcPr>
            <w:tcW w:w="4882" w:type="dxa"/>
            <w:vMerge/>
            <w:tcBorders>
              <w:top w:val="nil"/>
            </w:tcBorders>
          </w:tcPr>
          <w:p>
            <w:pPr>
              <w:rPr>
                <w:sz w:val="2"/>
                <w:szCs w:val="2"/>
              </w:rPr>
            </w:pPr>
          </w:p>
        </w:tc>
      </w:tr>
    </w:tbl>
    <w:p>
      <w:pPr>
        <w:spacing w:after="0"/>
        <w:rPr>
          <w:sz w:val="2"/>
          <w:szCs w:val="2"/>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043"/>
        <w:gridCol w:w="2506"/>
        <w:gridCol w:w="1214"/>
        <w:gridCol w:w="1272"/>
        <w:gridCol w:w="2028"/>
        <w:gridCol w:w="4882"/>
      </w:tblGrid>
      <w:tr>
        <w:trPr>
          <w:trHeight w:val="414" w:hRule="atLeast"/>
        </w:trPr>
        <w:tc>
          <w:tcPr>
            <w:tcW w:w="2043" w:type="dxa"/>
            <w:vMerge w:val="restart"/>
          </w:tcPr>
          <w:p>
            <w:pPr>
              <w:pStyle w:val="TableParagraph"/>
              <w:rPr>
                <w:rFonts w:ascii="Times New Roman"/>
                <w:sz w:val="18"/>
              </w:rPr>
            </w:pPr>
          </w:p>
        </w:tc>
        <w:tc>
          <w:tcPr>
            <w:tcW w:w="2506" w:type="dxa"/>
          </w:tcPr>
          <w:p>
            <w:pPr>
              <w:pStyle w:val="TableParagraph"/>
              <w:rPr>
                <w:rFonts w:ascii="Times New Roman"/>
                <w:sz w:val="18"/>
              </w:rPr>
            </w:pPr>
          </w:p>
        </w:tc>
        <w:tc>
          <w:tcPr>
            <w:tcW w:w="2486" w:type="dxa"/>
            <w:gridSpan w:val="2"/>
          </w:tcPr>
          <w:p>
            <w:pPr>
              <w:pStyle w:val="TableParagraph"/>
              <w:spacing w:line="218" w:lineRule="exact"/>
              <w:ind w:left="4"/>
              <w:rPr>
                <w:sz w:val="18"/>
              </w:rPr>
            </w:pPr>
            <w:r>
              <w:rPr>
                <w:sz w:val="18"/>
              </w:rPr>
              <w:t>(95%</w:t>
            </w:r>
            <w:r>
              <w:rPr>
                <w:spacing w:val="-3"/>
                <w:sz w:val="18"/>
              </w:rPr>
              <w:t> </w:t>
            </w:r>
            <w:r>
              <w:rPr>
                <w:sz w:val="18"/>
              </w:rPr>
              <w:t>CI 3 fewer</w:t>
            </w:r>
            <w:r>
              <w:rPr>
                <w:spacing w:val="-1"/>
                <w:sz w:val="18"/>
              </w:rPr>
              <w:t> </w:t>
            </w:r>
            <w:r>
              <w:rPr>
                <w:sz w:val="18"/>
              </w:rPr>
              <w:t>to 7 </w:t>
            </w:r>
            <w:r>
              <w:rPr>
                <w:spacing w:val="-4"/>
                <w:sz w:val="18"/>
              </w:rPr>
              <w:t>more)</w:t>
            </w:r>
          </w:p>
        </w:tc>
        <w:tc>
          <w:tcPr>
            <w:tcW w:w="2028" w:type="dxa"/>
            <w:vMerge w:val="restart"/>
            <w:tcBorders>
              <w:bottom w:val="nil"/>
            </w:tcBorders>
          </w:tcPr>
          <w:p>
            <w:pPr>
              <w:pStyle w:val="TableParagraph"/>
              <w:spacing w:line="218" w:lineRule="exact"/>
              <w:ind w:left="7"/>
              <w:rPr>
                <w:b/>
                <w:sz w:val="18"/>
              </w:rPr>
            </w:pPr>
            <w:r>
              <w:rPr>
                <w:b/>
                <w:sz w:val="18"/>
              </w:rPr>
              <w:t>Very</w:t>
            </w:r>
            <w:r>
              <w:rPr>
                <w:b/>
                <w:spacing w:val="-1"/>
                <w:sz w:val="18"/>
              </w:rPr>
              <w:t> </w:t>
            </w:r>
            <w:r>
              <w:rPr>
                <w:b/>
                <w:spacing w:val="-5"/>
                <w:sz w:val="18"/>
              </w:rPr>
              <w:t>low</w:t>
            </w:r>
          </w:p>
          <w:p>
            <w:pPr>
              <w:pStyle w:val="TableParagraph"/>
              <w:spacing w:line="278" w:lineRule="auto" w:before="37"/>
              <w:ind w:left="7"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before="1"/>
              <w:ind w:left="7"/>
              <w:rPr>
                <w:position w:val="5"/>
                <w:sz w:val="12"/>
              </w:rPr>
            </w:pPr>
            <w:r>
              <w:rPr>
                <w:sz w:val="18"/>
              </w:rPr>
              <w:t>serious</w:t>
            </w:r>
            <w:r>
              <w:rPr>
                <w:spacing w:val="-5"/>
                <w:sz w:val="18"/>
              </w:rPr>
              <w:t> </w:t>
            </w:r>
            <w:r>
              <w:rPr>
                <w:spacing w:val="-2"/>
                <w:sz w:val="18"/>
              </w:rPr>
              <w:t>imprecision</w:t>
            </w:r>
            <w:r>
              <w:rPr>
                <w:spacing w:val="-2"/>
                <w:position w:val="5"/>
                <w:sz w:val="12"/>
              </w:rPr>
              <w:t>5</w:t>
            </w:r>
          </w:p>
        </w:tc>
        <w:tc>
          <w:tcPr>
            <w:tcW w:w="4882" w:type="dxa"/>
            <w:vMerge w:val="restart"/>
            <w:tcBorders>
              <w:bottom w:val="nil"/>
            </w:tcBorders>
          </w:tcPr>
          <w:p>
            <w:pPr>
              <w:pStyle w:val="TableParagraph"/>
              <w:spacing w:line="278" w:lineRule="auto"/>
              <w:ind w:left="7" w:right="470"/>
              <w:jc w:val="both"/>
              <w:rPr>
                <w:sz w:val="18"/>
              </w:rPr>
            </w:pPr>
            <w:r>
              <w:rPr>
                <w:sz w:val="18"/>
              </w:rPr>
              <w:t>The</w:t>
            </w:r>
            <w:r>
              <w:rPr>
                <w:spacing w:val="-5"/>
                <w:sz w:val="18"/>
              </w:rPr>
              <w:t> </w:t>
            </w:r>
            <w:r>
              <w:rPr>
                <w:sz w:val="18"/>
              </w:rPr>
              <w:t>evidence</w:t>
            </w:r>
            <w:r>
              <w:rPr>
                <w:spacing w:val="-5"/>
                <w:sz w:val="18"/>
              </w:rPr>
              <w:t> </w:t>
            </w:r>
            <w:r>
              <w:rPr>
                <w:sz w:val="18"/>
              </w:rPr>
              <w:t>is</w:t>
            </w:r>
            <w:r>
              <w:rPr>
                <w:spacing w:val="-6"/>
                <w:sz w:val="18"/>
              </w:rPr>
              <w:t> </w:t>
            </w:r>
            <w:r>
              <w:rPr>
                <w:sz w:val="18"/>
              </w:rPr>
              <w:t>very</w:t>
            </w:r>
            <w:r>
              <w:rPr>
                <w:spacing w:val="-4"/>
                <w:sz w:val="18"/>
              </w:rPr>
              <w:t> </w:t>
            </w:r>
            <w:r>
              <w:rPr>
                <w:sz w:val="18"/>
              </w:rPr>
              <w:t>uncertain</w:t>
            </w:r>
            <w:r>
              <w:rPr>
                <w:spacing w:val="-6"/>
                <w:sz w:val="18"/>
              </w:rPr>
              <w:t> </w:t>
            </w:r>
            <w:r>
              <w:rPr>
                <w:sz w:val="18"/>
              </w:rPr>
              <w:t>about</w:t>
            </w:r>
            <w:r>
              <w:rPr>
                <w:spacing w:val="-4"/>
                <w:sz w:val="18"/>
              </w:rPr>
              <w:t> </w:t>
            </w:r>
            <w:r>
              <w:rPr>
                <w:sz w:val="18"/>
              </w:rPr>
              <w:t>the</w:t>
            </w:r>
            <w:r>
              <w:rPr>
                <w:spacing w:val="-5"/>
                <w:sz w:val="18"/>
              </w:rPr>
              <w:t> </w:t>
            </w:r>
            <w:r>
              <w:rPr>
                <w:sz w:val="18"/>
              </w:rPr>
              <w:t>effect</w:t>
            </w:r>
            <w:r>
              <w:rPr>
                <w:spacing w:val="-4"/>
                <w:sz w:val="18"/>
              </w:rPr>
              <w:t> </w:t>
            </w:r>
            <w:r>
              <w:rPr>
                <w:sz w:val="18"/>
              </w:rPr>
              <w:t>of</w:t>
            </w:r>
            <w:r>
              <w:rPr>
                <w:spacing w:val="-5"/>
                <w:sz w:val="18"/>
              </w:rPr>
              <w:t> </w:t>
            </w:r>
            <w:r>
              <w:rPr>
                <w:sz w:val="18"/>
              </w:rPr>
              <w:t>aspirin</w:t>
            </w:r>
            <w:r>
              <w:rPr>
                <w:spacing w:val="-5"/>
                <w:sz w:val="18"/>
              </w:rPr>
              <w:t> </w:t>
            </w:r>
            <w:r>
              <w:rPr>
                <w:sz w:val="18"/>
              </w:rPr>
              <w:t>on mortality,</w:t>
            </w:r>
            <w:r>
              <w:rPr>
                <w:spacing w:val="-3"/>
                <w:sz w:val="18"/>
              </w:rPr>
              <w:t> </w:t>
            </w:r>
            <w:r>
              <w:rPr>
                <w:sz w:val="18"/>
              </w:rPr>
              <w:t>when</w:t>
            </w:r>
            <w:r>
              <w:rPr>
                <w:spacing w:val="-4"/>
                <w:sz w:val="18"/>
              </w:rPr>
              <w:t> </w:t>
            </w:r>
            <w:r>
              <w:rPr>
                <w:sz w:val="18"/>
              </w:rPr>
              <w:t>compared</w:t>
            </w:r>
            <w:r>
              <w:rPr>
                <w:spacing w:val="-4"/>
                <w:sz w:val="18"/>
              </w:rPr>
              <w:t> </w:t>
            </w:r>
            <w:r>
              <w:rPr>
                <w:sz w:val="18"/>
              </w:rPr>
              <w:t>with</w:t>
            </w:r>
            <w:r>
              <w:rPr>
                <w:spacing w:val="-2"/>
                <w:sz w:val="18"/>
              </w:rPr>
              <w:t> </w:t>
            </w:r>
            <w:r>
              <w:rPr>
                <w:sz w:val="18"/>
              </w:rPr>
              <w:t>warfarin</w:t>
            </w:r>
            <w:r>
              <w:rPr>
                <w:spacing w:val="-4"/>
                <w:sz w:val="18"/>
              </w:rPr>
              <w:t> </w:t>
            </w:r>
            <w:r>
              <w:rPr>
                <w:sz w:val="18"/>
              </w:rPr>
              <w:t>in</w:t>
            </w:r>
            <w:r>
              <w:rPr>
                <w:spacing w:val="-5"/>
                <w:sz w:val="18"/>
              </w:rPr>
              <w:t> </w:t>
            </w:r>
            <w:r>
              <w:rPr>
                <w:sz w:val="18"/>
              </w:rPr>
              <w:t>children</w:t>
            </w:r>
            <w:r>
              <w:rPr>
                <w:spacing w:val="-4"/>
                <w:sz w:val="18"/>
              </w:rPr>
              <w:t> </w:t>
            </w:r>
            <w:r>
              <w:rPr>
                <w:sz w:val="18"/>
              </w:rPr>
              <w:t>with</w:t>
            </w:r>
            <w:r>
              <w:rPr>
                <w:spacing w:val="-2"/>
                <w:sz w:val="18"/>
              </w:rPr>
              <w:t> </w:t>
            </w:r>
            <w:r>
              <w:rPr>
                <w:sz w:val="18"/>
              </w:rPr>
              <w:t>an indication for the Fontan procedure</w:t>
            </w:r>
          </w:p>
        </w:tc>
      </w:tr>
      <w:tr>
        <w:trPr>
          <w:trHeight w:val="832" w:hRule="atLeast"/>
        </w:trPr>
        <w:tc>
          <w:tcPr>
            <w:tcW w:w="2043" w:type="dxa"/>
            <w:vMerge/>
            <w:tcBorders>
              <w:top w:val="nil"/>
            </w:tcBorders>
          </w:tcPr>
          <w:p>
            <w:pPr>
              <w:rPr>
                <w:sz w:val="2"/>
                <w:szCs w:val="2"/>
              </w:rPr>
            </w:pPr>
          </w:p>
        </w:tc>
        <w:tc>
          <w:tcPr>
            <w:tcW w:w="2506" w:type="dxa"/>
            <w:tcBorders>
              <w:bottom w:val="nil"/>
            </w:tcBorders>
          </w:tcPr>
          <w:p>
            <w:pPr>
              <w:pStyle w:val="TableParagraph"/>
              <w:spacing w:before="1"/>
              <w:ind w:left="6"/>
              <w:rPr>
                <w:b/>
                <w:sz w:val="18"/>
              </w:rPr>
            </w:pPr>
            <w:r>
              <w:rPr>
                <w:sz w:val="18"/>
              </w:rPr>
              <w:t>Relative</w:t>
            </w:r>
            <w:r>
              <w:rPr>
                <w:spacing w:val="-3"/>
                <w:sz w:val="18"/>
              </w:rPr>
              <w:t> </w:t>
            </w:r>
            <w:r>
              <w:rPr>
                <w:sz w:val="18"/>
              </w:rPr>
              <w:t>risk:</w:t>
            </w:r>
            <w:r>
              <w:rPr>
                <w:spacing w:val="-2"/>
                <w:sz w:val="18"/>
              </w:rPr>
              <w:t> </w:t>
            </w:r>
            <w:r>
              <w:rPr>
                <w:b/>
                <w:spacing w:val="-4"/>
                <w:sz w:val="18"/>
              </w:rPr>
              <w:t>0.20</w:t>
            </w:r>
          </w:p>
          <w:p>
            <w:pPr>
              <w:pStyle w:val="TableParagraph"/>
              <w:spacing w:before="195"/>
              <w:ind w:left="6"/>
              <w:rPr>
                <w:sz w:val="18"/>
              </w:rPr>
            </w:pPr>
            <w:r>
              <w:rPr>
                <w:sz w:val="18"/>
              </w:rPr>
              <w:t>(95%</w:t>
            </w:r>
            <w:r>
              <w:rPr>
                <w:spacing w:val="-1"/>
                <w:sz w:val="18"/>
              </w:rPr>
              <w:t> </w:t>
            </w:r>
            <w:r>
              <w:rPr>
                <w:sz w:val="18"/>
              </w:rPr>
              <w:t>CI 0.01 to </w:t>
            </w:r>
            <w:r>
              <w:rPr>
                <w:spacing w:val="-4"/>
                <w:sz w:val="18"/>
              </w:rPr>
              <w:t>3.85)</w:t>
            </w:r>
          </w:p>
        </w:tc>
        <w:tc>
          <w:tcPr>
            <w:tcW w:w="1214" w:type="dxa"/>
          </w:tcPr>
          <w:p>
            <w:pPr>
              <w:pStyle w:val="TableParagraph"/>
              <w:spacing w:before="1"/>
              <w:ind w:left="4"/>
              <w:rPr>
                <w:b/>
                <w:sz w:val="18"/>
              </w:rPr>
            </w:pPr>
            <w:r>
              <w:rPr>
                <w:b/>
                <w:spacing w:val="-10"/>
                <w:sz w:val="18"/>
              </w:rPr>
              <w:t>0</w:t>
            </w:r>
          </w:p>
          <w:p>
            <w:pPr>
              <w:pStyle w:val="TableParagraph"/>
              <w:spacing w:before="195"/>
              <w:ind w:left="4"/>
              <w:rPr>
                <w:sz w:val="18"/>
              </w:rPr>
            </w:pPr>
            <w:r>
              <w:rPr>
                <w:sz w:val="18"/>
              </w:rPr>
              <w:t>per</w:t>
            </w:r>
            <w:r>
              <w:rPr>
                <w:spacing w:val="-3"/>
                <w:sz w:val="18"/>
              </w:rPr>
              <w:t> </w:t>
            </w:r>
            <w:r>
              <w:rPr>
                <w:spacing w:val="-5"/>
                <w:sz w:val="18"/>
              </w:rPr>
              <w:t>100</w:t>
            </w:r>
          </w:p>
        </w:tc>
        <w:tc>
          <w:tcPr>
            <w:tcW w:w="1272" w:type="dxa"/>
          </w:tcPr>
          <w:p>
            <w:pPr>
              <w:pStyle w:val="TableParagraph"/>
              <w:spacing w:before="1"/>
              <w:ind w:left="7"/>
              <w:rPr>
                <w:b/>
                <w:sz w:val="18"/>
              </w:rPr>
            </w:pPr>
            <w:r>
              <w:rPr>
                <w:b/>
                <w:spacing w:val="-5"/>
                <w:sz w:val="18"/>
              </w:rPr>
              <w:t>13</w:t>
            </w:r>
          </w:p>
          <w:p>
            <w:pPr>
              <w:pStyle w:val="TableParagraph"/>
              <w:spacing w:before="195"/>
              <w:ind w:left="7"/>
              <w:rPr>
                <w:sz w:val="18"/>
              </w:rPr>
            </w:pPr>
            <w:r>
              <w:rPr>
                <w:sz w:val="18"/>
              </w:rPr>
              <w:t>per</w:t>
            </w:r>
            <w:r>
              <w:rPr>
                <w:spacing w:val="-3"/>
                <w:sz w:val="18"/>
              </w:rPr>
              <w:t> </w:t>
            </w:r>
            <w:r>
              <w:rPr>
                <w:spacing w:val="-5"/>
                <w:sz w:val="18"/>
              </w:rPr>
              <w:t>100</w:t>
            </w:r>
          </w:p>
        </w:tc>
        <w:tc>
          <w:tcPr>
            <w:tcW w:w="2028" w:type="dxa"/>
            <w:vMerge/>
            <w:tcBorders>
              <w:top w:val="nil"/>
              <w:bottom w:val="nil"/>
            </w:tcBorders>
          </w:tcPr>
          <w:p>
            <w:pPr>
              <w:rPr>
                <w:sz w:val="2"/>
                <w:szCs w:val="2"/>
              </w:rPr>
            </w:pPr>
          </w:p>
        </w:tc>
        <w:tc>
          <w:tcPr>
            <w:tcW w:w="4882" w:type="dxa"/>
            <w:vMerge/>
            <w:tcBorders>
              <w:top w:val="nil"/>
              <w:bottom w:val="nil"/>
            </w:tcBorders>
          </w:tcPr>
          <w:p>
            <w:pPr>
              <w:rPr>
                <w:sz w:val="2"/>
                <w:szCs w:val="2"/>
              </w:rPr>
            </w:pPr>
          </w:p>
        </w:tc>
      </w:tr>
      <w:tr>
        <w:trPr>
          <w:trHeight w:val="350" w:hRule="atLeast"/>
        </w:trPr>
        <w:tc>
          <w:tcPr>
            <w:tcW w:w="2043" w:type="dxa"/>
            <w:vMerge/>
            <w:tcBorders>
              <w:top w:val="nil"/>
            </w:tcBorders>
          </w:tcPr>
          <w:p>
            <w:pPr>
              <w:rPr>
                <w:sz w:val="2"/>
                <w:szCs w:val="2"/>
              </w:rPr>
            </w:pPr>
          </w:p>
        </w:tc>
        <w:tc>
          <w:tcPr>
            <w:tcW w:w="2506" w:type="dxa"/>
            <w:tcBorders>
              <w:top w:val="nil"/>
              <w:bottom w:val="nil"/>
            </w:tcBorders>
          </w:tcPr>
          <w:p>
            <w:pPr>
              <w:pStyle w:val="TableParagraph"/>
              <w:rPr>
                <w:rFonts w:ascii="Times New Roman"/>
                <w:sz w:val="18"/>
              </w:rPr>
            </w:pPr>
          </w:p>
        </w:tc>
        <w:tc>
          <w:tcPr>
            <w:tcW w:w="2486" w:type="dxa"/>
            <w:gridSpan w:val="2"/>
            <w:tcBorders>
              <w:bottom w:val="nil"/>
            </w:tcBorders>
          </w:tcPr>
          <w:p>
            <w:pPr>
              <w:pStyle w:val="TableParagraph"/>
              <w:rPr>
                <w:rFonts w:ascii="Times New Roman"/>
                <w:sz w:val="18"/>
              </w:rPr>
            </w:pPr>
          </w:p>
        </w:tc>
        <w:tc>
          <w:tcPr>
            <w:tcW w:w="2028" w:type="dxa"/>
            <w:tcBorders>
              <w:top w:val="nil"/>
              <w:bottom w:val="nil"/>
            </w:tcBorders>
          </w:tcPr>
          <w:p>
            <w:pPr>
              <w:pStyle w:val="TableParagraph"/>
              <w:rPr>
                <w:rFonts w:ascii="Times New Roman"/>
                <w:sz w:val="18"/>
              </w:rPr>
            </w:pPr>
          </w:p>
        </w:tc>
        <w:tc>
          <w:tcPr>
            <w:tcW w:w="4882" w:type="dxa"/>
            <w:tcBorders>
              <w:top w:val="nil"/>
              <w:bottom w:val="nil"/>
            </w:tcBorders>
          </w:tcPr>
          <w:p>
            <w:pPr>
              <w:pStyle w:val="TableParagraph"/>
              <w:spacing w:before="63"/>
              <w:ind w:left="7"/>
              <w:rPr>
                <w:sz w:val="18"/>
              </w:rPr>
            </w:pPr>
            <w:r>
              <w:rPr>
                <w:sz w:val="18"/>
              </w:rPr>
              <w:t>(McCrindle,</w:t>
            </w:r>
            <w:r>
              <w:rPr>
                <w:spacing w:val="-4"/>
                <w:sz w:val="18"/>
              </w:rPr>
              <w:t> </w:t>
            </w:r>
            <w:r>
              <w:rPr>
                <w:sz w:val="18"/>
              </w:rPr>
              <w:t>2013;</w:t>
            </w:r>
            <w:r>
              <w:rPr>
                <w:spacing w:val="-3"/>
                <w:sz w:val="18"/>
              </w:rPr>
              <w:t> </w:t>
            </w:r>
            <w:r>
              <w:rPr>
                <w:sz w:val="18"/>
              </w:rPr>
              <w:t>Pessotti,</w:t>
            </w:r>
            <w:r>
              <w:rPr>
                <w:spacing w:val="-3"/>
                <w:sz w:val="18"/>
              </w:rPr>
              <w:t> </w:t>
            </w:r>
            <w:r>
              <w:rPr>
                <w:spacing w:val="-2"/>
                <w:sz w:val="18"/>
              </w:rPr>
              <w:t>2014)</w:t>
            </w:r>
          </w:p>
        </w:tc>
      </w:tr>
      <w:tr>
        <w:trPr>
          <w:trHeight w:val="961" w:hRule="atLeast"/>
        </w:trPr>
        <w:tc>
          <w:tcPr>
            <w:tcW w:w="2043" w:type="dxa"/>
            <w:vMerge/>
            <w:tcBorders>
              <w:top w:val="nil"/>
            </w:tcBorders>
          </w:tcPr>
          <w:p>
            <w:pPr>
              <w:rPr>
                <w:sz w:val="2"/>
                <w:szCs w:val="2"/>
              </w:rPr>
            </w:pPr>
          </w:p>
        </w:tc>
        <w:tc>
          <w:tcPr>
            <w:tcW w:w="2506" w:type="dxa"/>
            <w:tcBorders>
              <w:top w:val="nil"/>
            </w:tcBorders>
          </w:tcPr>
          <w:p>
            <w:pPr>
              <w:pStyle w:val="TableParagraph"/>
              <w:spacing w:line="278" w:lineRule="auto" w:before="34"/>
              <w:ind w:left="6" w:right="827"/>
              <w:jc w:val="both"/>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30 participants</w:t>
            </w:r>
            <w:r>
              <w:rPr>
                <w:spacing w:val="-2"/>
                <w:sz w:val="18"/>
              </w:rPr>
              <w:t> </w:t>
            </w:r>
            <w:r>
              <w:rPr>
                <w:sz w:val="18"/>
              </w:rPr>
              <w:t>in</w:t>
            </w:r>
            <w:r>
              <w:rPr>
                <w:spacing w:val="-1"/>
                <w:sz w:val="18"/>
              </w:rPr>
              <w:t> </w:t>
            </w:r>
            <w:r>
              <w:rPr>
                <w:sz w:val="18"/>
              </w:rPr>
              <w:t>1 study Follow-up: 2 years</w:t>
            </w:r>
          </w:p>
        </w:tc>
        <w:tc>
          <w:tcPr>
            <w:tcW w:w="2486" w:type="dxa"/>
            <w:gridSpan w:val="2"/>
            <w:tcBorders>
              <w:top w:val="nil"/>
            </w:tcBorders>
          </w:tcPr>
          <w:p>
            <w:pPr>
              <w:pStyle w:val="TableParagraph"/>
              <w:spacing w:before="48"/>
              <w:ind w:left="4"/>
              <w:rPr>
                <w:b/>
                <w:sz w:val="18"/>
              </w:rPr>
            </w:pPr>
            <w:r>
              <w:rPr>
                <w:sz w:val="18"/>
              </w:rPr>
              <w:t>Difference:</w:t>
            </w:r>
            <w:r>
              <w:rPr>
                <w:spacing w:val="-3"/>
                <w:sz w:val="18"/>
              </w:rPr>
              <w:t> </w:t>
            </w:r>
            <w:r>
              <w:rPr>
                <w:b/>
                <w:sz w:val="18"/>
              </w:rPr>
              <w:t>13</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96"/>
              <w:ind w:left="4"/>
              <w:rPr>
                <w:sz w:val="18"/>
              </w:rPr>
            </w:pPr>
            <w:r>
              <w:rPr>
                <w:sz w:val="18"/>
              </w:rPr>
              <w:t>(95%</w:t>
            </w:r>
            <w:r>
              <w:rPr>
                <w:spacing w:val="-3"/>
                <w:sz w:val="18"/>
              </w:rPr>
              <w:t> </w:t>
            </w:r>
            <w:r>
              <w:rPr>
                <w:sz w:val="18"/>
              </w:rPr>
              <w:t>CI 33</w:t>
            </w:r>
            <w:r>
              <w:rPr>
                <w:spacing w:val="-1"/>
                <w:sz w:val="18"/>
              </w:rPr>
              <w:t> </w:t>
            </w:r>
            <w:r>
              <w:rPr>
                <w:sz w:val="18"/>
              </w:rPr>
              <w:t>fewer to 6 </w:t>
            </w:r>
            <w:r>
              <w:rPr>
                <w:spacing w:val="-4"/>
                <w:sz w:val="18"/>
              </w:rPr>
              <w:t>more)</w:t>
            </w:r>
          </w:p>
        </w:tc>
        <w:tc>
          <w:tcPr>
            <w:tcW w:w="2028" w:type="dxa"/>
            <w:tcBorders>
              <w:top w:val="nil"/>
            </w:tcBorders>
          </w:tcPr>
          <w:p>
            <w:pPr>
              <w:pStyle w:val="TableParagraph"/>
              <w:rPr>
                <w:rFonts w:ascii="Times New Roman"/>
                <w:sz w:val="18"/>
              </w:rPr>
            </w:pPr>
          </w:p>
        </w:tc>
        <w:tc>
          <w:tcPr>
            <w:tcW w:w="4882" w:type="dxa"/>
            <w:tcBorders>
              <w:top w:val="nil"/>
            </w:tcBorders>
          </w:tcPr>
          <w:p>
            <w:pPr>
              <w:pStyle w:val="TableParagraph"/>
              <w:rPr>
                <w:rFonts w:ascii="Times New Roman"/>
                <w:sz w:val="18"/>
              </w:rPr>
            </w:pPr>
          </w:p>
        </w:tc>
      </w:tr>
      <w:tr>
        <w:trPr>
          <w:trHeight w:val="601" w:hRule="atLeast"/>
        </w:trPr>
        <w:tc>
          <w:tcPr>
            <w:tcW w:w="2043" w:type="dxa"/>
            <w:tcBorders>
              <w:bottom w:val="nil"/>
            </w:tcBorders>
          </w:tcPr>
          <w:p>
            <w:pPr>
              <w:pStyle w:val="TableParagraph"/>
              <w:numPr>
                <w:ilvl w:val="0"/>
                <w:numId w:val="54"/>
              </w:numPr>
              <w:tabs>
                <w:tab w:pos="727" w:val="left" w:leader="none"/>
              </w:tabs>
              <w:spacing w:line="273" w:lineRule="auto" w:before="0" w:after="0"/>
              <w:ind w:left="727" w:right="162" w:hanging="360"/>
              <w:jc w:val="left"/>
              <w:rPr>
                <w:sz w:val="18"/>
              </w:rPr>
            </w:pPr>
            <w:r>
              <w:rPr>
                <w:sz w:val="18"/>
              </w:rPr>
              <w:t>Ischemic</w:t>
            </w:r>
            <w:r>
              <w:rPr>
                <w:spacing w:val="-11"/>
                <w:sz w:val="18"/>
              </w:rPr>
              <w:t> </w:t>
            </w:r>
            <w:r>
              <w:rPr>
                <w:sz w:val="18"/>
              </w:rPr>
              <w:t>stroke </w:t>
            </w:r>
            <w:r>
              <w:rPr>
                <w:spacing w:val="-2"/>
                <w:sz w:val="18"/>
              </w:rPr>
              <w:t>(important)</w:t>
            </w:r>
          </w:p>
        </w:tc>
        <w:tc>
          <w:tcPr>
            <w:tcW w:w="2506" w:type="dxa"/>
            <w:tcBorders>
              <w:bottom w:val="nil"/>
            </w:tcBorders>
          </w:tcPr>
          <w:p>
            <w:pPr>
              <w:pStyle w:val="TableParagraph"/>
              <w:rPr>
                <w:rFonts w:ascii="Times New Roman"/>
                <w:sz w:val="18"/>
              </w:rPr>
            </w:pPr>
          </w:p>
        </w:tc>
        <w:tc>
          <w:tcPr>
            <w:tcW w:w="2486" w:type="dxa"/>
            <w:gridSpan w:val="2"/>
            <w:tcBorders>
              <w:bottom w:val="nil"/>
            </w:tcBorders>
          </w:tcPr>
          <w:p>
            <w:pPr>
              <w:pStyle w:val="TableParagraph"/>
              <w:rPr>
                <w:rFonts w:ascii="Times New Roman"/>
                <w:sz w:val="18"/>
              </w:rPr>
            </w:pPr>
          </w:p>
        </w:tc>
        <w:tc>
          <w:tcPr>
            <w:tcW w:w="2028" w:type="dxa"/>
            <w:tcBorders>
              <w:bottom w:val="nil"/>
            </w:tcBorders>
          </w:tcPr>
          <w:p>
            <w:pPr>
              <w:pStyle w:val="TableParagraph"/>
              <w:rPr>
                <w:rFonts w:ascii="Times New Roman"/>
                <w:sz w:val="18"/>
              </w:rPr>
            </w:pPr>
          </w:p>
        </w:tc>
        <w:tc>
          <w:tcPr>
            <w:tcW w:w="4882" w:type="dxa"/>
            <w:tcBorders>
              <w:bottom w:val="nil"/>
            </w:tcBorders>
          </w:tcPr>
          <w:p>
            <w:pPr>
              <w:pStyle w:val="TableParagraph"/>
              <w:rPr>
                <w:rFonts w:ascii="Times New Roman"/>
                <w:sz w:val="18"/>
              </w:rPr>
            </w:pPr>
          </w:p>
        </w:tc>
      </w:tr>
      <w:tr>
        <w:trPr>
          <w:trHeight w:val="1754" w:hRule="atLeast"/>
        </w:trPr>
        <w:tc>
          <w:tcPr>
            <w:tcW w:w="2043" w:type="dxa"/>
            <w:tcBorders>
              <w:top w:val="nil"/>
            </w:tcBorders>
          </w:tcPr>
          <w:p>
            <w:pPr>
              <w:pStyle w:val="TableParagraph"/>
              <w:numPr>
                <w:ilvl w:val="0"/>
                <w:numId w:val="55"/>
              </w:numPr>
              <w:tabs>
                <w:tab w:pos="727" w:val="left" w:leader="none"/>
              </w:tabs>
              <w:spacing w:line="273" w:lineRule="auto" w:before="99" w:after="0"/>
              <w:ind w:left="727" w:right="314" w:hanging="360"/>
              <w:jc w:val="left"/>
              <w:rPr>
                <w:sz w:val="18"/>
              </w:rPr>
            </w:pPr>
            <w:r>
              <w:rPr>
                <w:sz w:val="18"/>
              </w:rPr>
              <w:t>Quality</w:t>
            </w:r>
            <w:r>
              <w:rPr>
                <w:spacing w:val="-11"/>
                <w:sz w:val="18"/>
              </w:rPr>
              <w:t> </w:t>
            </w:r>
            <w:r>
              <w:rPr>
                <w:sz w:val="18"/>
              </w:rPr>
              <w:t>of</w:t>
            </w:r>
            <w:r>
              <w:rPr>
                <w:spacing w:val="-10"/>
                <w:sz w:val="18"/>
              </w:rPr>
              <w:t> </w:t>
            </w:r>
            <w:r>
              <w:rPr>
                <w:sz w:val="18"/>
              </w:rPr>
              <w:t>life </w:t>
            </w:r>
            <w:r>
              <w:rPr>
                <w:spacing w:val="-2"/>
                <w:sz w:val="18"/>
              </w:rPr>
              <w:t>(QOL)</w:t>
            </w:r>
          </w:p>
          <w:p>
            <w:pPr>
              <w:pStyle w:val="TableParagraph"/>
              <w:spacing w:before="5"/>
              <w:ind w:left="727"/>
              <w:rPr>
                <w:sz w:val="18"/>
              </w:rPr>
            </w:pPr>
            <w:r>
              <w:rPr>
                <w:spacing w:val="-2"/>
                <w:sz w:val="18"/>
              </w:rPr>
              <w:t>(important)</w:t>
            </w:r>
          </w:p>
          <w:p>
            <w:pPr>
              <w:pStyle w:val="TableParagraph"/>
              <w:numPr>
                <w:ilvl w:val="0"/>
                <w:numId w:val="55"/>
              </w:numPr>
              <w:tabs>
                <w:tab w:pos="727" w:val="left" w:leader="none"/>
              </w:tabs>
              <w:spacing w:line="273" w:lineRule="auto" w:before="197" w:after="0"/>
              <w:ind w:left="727" w:right="182" w:hanging="360"/>
              <w:jc w:val="left"/>
              <w:rPr>
                <w:sz w:val="18"/>
              </w:rPr>
            </w:pPr>
            <w:r>
              <w:rPr>
                <w:sz w:val="18"/>
              </w:rPr>
              <w:t>Adverse</w:t>
            </w:r>
            <w:r>
              <w:rPr>
                <w:spacing w:val="-11"/>
                <w:sz w:val="18"/>
              </w:rPr>
              <w:t> </w:t>
            </w:r>
            <w:r>
              <w:rPr>
                <w:sz w:val="18"/>
              </w:rPr>
              <w:t>events </w:t>
            </w:r>
            <w:r>
              <w:rPr>
                <w:spacing w:val="-2"/>
                <w:sz w:val="18"/>
              </w:rPr>
              <w:t>(important)</w:t>
            </w:r>
          </w:p>
        </w:tc>
        <w:tc>
          <w:tcPr>
            <w:tcW w:w="2506" w:type="dxa"/>
            <w:tcBorders>
              <w:top w:val="nil"/>
            </w:tcBorders>
          </w:tcPr>
          <w:p>
            <w:pPr>
              <w:pStyle w:val="TableParagraph"/>
              <w:rPr>
                <w:sz w:val="18"/>
              </w:rPr>
            </w:pPr>
          </w:p>
          <w:p>
            <w:pPr>
              <w:pStyle w:val="TableParagraph"/>
              <w:spacing w:before="203"/>
              <w:rPr>
                <w:sz w:val="18"/>
              </w:rPr>
            </w:pPr>
          </w:p>
          <w:p>
            <w:pPr>
              <w:pStyle w:val="TableParagraph"/>
              <w:ind w:left="6"/>
              <w:rPr>
                <w:sz w:val="18"/>
              </w:rPr>
            </w:pPr>
            <w:r>
              <w:rPr>
                <w:spacing w:val="-10"/>
                <w:sz w:val="18"/>
              </w:rPr>
              <w:t>-</w:t>
            </w:r>
          </w:p>
        </w:tc>
        <w:tc>
          <w:tcPr>
            <w:tcW w:w="2486" w:type="dxa"/>
            <w:gridSpan w:val="2"/>
            <w:tcBorders>
              <w:top w:val="nil"/>
            </w:tcBorders>
          </w:tcPr>
          <w:p>
            <w:pPr>
              <w:pStyle w:val="TableParagraph"/>
              <w:rPr>
                <w:sz w:val="18"/>
              </w:rPr>
            </w:pPr>
          </w:p>
          <w:p>
            <w:pPr>
              <w:pStyle w:val="TableParagraph"/>
              <w:spacing w:before="203"/>
              <w:rPr>
                <w:sz w:val="18"/>
              </w:rPr>
            </w:pPr>
          </w:p>
          <w:p>
            <w:pPr>
              <w:pStyle w:val="TableParagraph"/>
              <w:ind w:left="4"/>
              <w:rPr>
                <w:sz w:val="18"/>
              </w:rPr>
            </w:pPr>
            <w:r>
              <w:rPr>
                <w:spacing w:val="-10"/>
                <w:sz w:val="18"/>
              </w:rPr>
              <w:t>-</w:t>
            </w:r>
          </w:p>
        </w:tc>
        <w:tc>
          <w:tcPr>
            <w:tcW w:w="2028" w:type="dxa"/>
            <w:tcBorders>
              <w:top w:val="nil"/>
            </w:tcBorders>
          </w:tcPr>
          <w:p>
            <w:pPr>
              <w:pStyle w:val="TableParagraph"/>
              <w:rPr>
                <w:sz w:val="18"/>
              </w:rPr>
            </w:pPr>
          </w:p>
          <w:p>
            <w:pPr>
              <w:pStyle w:val="TableParagraph"/>
              <w:spacing w:before="45"/>
              <w:rPr>
                <w:sz w:val="18"/>
              </w:rPr>
            </w:pPr>
          </w:p>
          <w:p>
            <w:pPr>
              <w:pStyle w:val="TableParagraph"/>
              <w:ind w:left="7"/>
              <w:rPr>
                <w:b/>
                <w:sz w:val="18"/>
              </w:rPr>
            </w:pPr>
            <w:r>
              <w:rPr>
                <w:b/>
                <w:sz w:val="18"/>
              </w:rPr>
              <w:t>No</w:t>
            </w:r>
            <w:r>
              <w:rPr>
                <w:b/>
                <w:spacing w:val="-5"/>
                <w:sz w:val="18"/>
              </w:rPr>
              <w:t> </w:t>
            </w:r>
            <w:r>
              <w:rPr>
                <w:b/>
                <w:spacing w:val="-2"/>
                <w:sz w:val="18"/>
              </w:rPr>
              <w:t>GRADE</w:t>
            </w:r>
          </w:p>
          <w:p>
            <w:pPr>
              <w:pStyle w:val="TableParagraph"/>
              <w:spacing w:before="35"/>
              <w:ind w:left="7"/>
              <w:rPr>
                <w:sz w:val="18"/>
              </w:rPr>
            </w:pPr>
            <w:r>
              <w:rPr>
                <w:sz w:val="18"/>
              </w:rPr>
              <w:t>(No</w:t>
            </w:r>
            <w:r>
              <w:rPr>
                <w:spacing w:val="-4"/>
                <w:sz w:val="18"/>
              </w:rPr>
              <w:t> </w:t>
            </w:r>
            <w:r>
              <w:rPr>
                <w:sz w:val="18"/>
              </w:rPr>
              <w:t>evidence</w:t>
            </w:r>
            <w:r>
              <w:rPr>
                <w:spacing w:val="-4"/>
                <w:sz w:val="18"/>
              </w:rPr>
              <w:t> </w:t>
            </w:r>
            <w:r>
              <w:rPr>
                <w:sz w:val="18"/>
              </w:rPr>
              <w:t>was</w:t>
            </w:r>
            <w:r>
              <w:rPr>
                <w:spacing w:val="-3"/>
                <w:sz w:val="18"/>
              </w:rPr>
              <w:t> </w:t>
            </w:r>
            <w:r>
              <w:rPr>
                <w:spacing w:val="-2"/>
                <w:sz w:val="18"/>
              </w:rPr>
              <w:t>found)</w:t>
            </w:r>
          </w:p>
        </w:tc>
        <w:tc>
          <w:tcPr>
            <w:tcW w:w="4882" w:type="dxa"/>
            <w:tcBorders>
              <w:top w:val="nil"/>
            </w:tcBorders>
          </w:tcPr>
          <w:p>
            <w:pPr>
              <w:pStyle w:val="TableParagraph"/>
              <w:spacing w:before="8"/>
              <w:rPr>
                <w:sz w:val="18"/>
              </w:rPr>
            </w:pPr>
          </w:p>
          <w:p>
            <w:pPr>
              <w:pStyle w:val="TableParagraph"/>
              <w:spacing w:line="280" w:lineRule="auto"/>
              <w:ind w:left="7"/>
              <w:rPr>
                <w:sz w:val="18"/>
              </w:rPr>
            </w:pPr>
            <w:r>
              <w:rPr>
                <w:sz w:val="18"/>
              </w:rPr>
              <w:t>No</w:t>
            </w:r>
            <w:r>
              <w:rPr>
                <w:spacing w:val="-4"/>
                <w:sz w:val="18"/>
              </w:rPr>
              <w:t> </w:t>
            </w:r>
            <w:r>
              <w:rPr>
                <w:sz w:val="18"/>
              </w:rPr>
              <w:t>evidence</w:t>
            </w:r>
            <w:r>
              <w:rPr>
                <w:spacing w:val="-5"/>
                <w:sz w:val="18"/>
              </w:rPr>
              <w:t> </w:t>
            </w:r>
            <w:r>
              <w:rPr>
                <w:sz w:val="18"/>
              </w:rPr>
              <w:t>was</w:t>
            </w:r>
            <w:r>
              <w:rPr>
                <w:spacing w:val="-5"/>
                <w:sz w:val="18"/>
              </w:rPr>
              <w:t> </w:t>
            </w:r>
            <w:r>
              <w:rPr>
                <w:sz w:val="18"/>
              </w:rPr>
              <w:t>found</w:t>
            </w:r>
            <w:r>
              <w:rPr>
                <w:spacing w:val="-4"/>
                <w:sz w:val="18"/>
              </w:rPr>
              <w:t> </w:t>
            </w:r>
            <w:r>
              <w:rPr>
                <w:sz w:val="18"/>
              </w:rPr>
              <w:t>regarding</w:t>
            </w:r>
            <w:r>
              <w:rPr>
                <w:spacing w:val="-2"/>
                <w:sz w:val="18"/>
              </w:rPr>
              <w:t> </w:t>
            </w:r>
            <w:r>
              <w:rPr>
                <w:sz w:val="18"/>
              </w:rPr>
              <w:t>the</w:t>
            </w:r>
            <w:r>
              <w:rPr>
                <w:spacing w:val="-5"/>
                <w:sz w:val="18"/>
              </w:rPr>
              <w:t> </w:t>
            </w:r>
            <w:r>
              <w:rPr>
                <w:sz w:val="18"/>
              </w:rPr>
              <w:t>effect</w:t>
            </w:r>
            <w:r>
              <w:rPr>
                <w:spacing w:val="-4"/>
                <w:sz w:val="18"/>
              </w:rPr>
              <w:t> </w:t>
            </w:r>
            <w:r>
              <w:rPr>
                <w:sz w:val="18"/>
              </w:rPr>
              <w:t>of</w:t>
            </w:r>
            <w:r>
              <w:rPr>
                <w:spacing w:val="-5"/>
                <w:sz w:val="18"/>
              </w:rPr>
              <w:t> </w:t>
            </w:r>
            <w:r>
              <w:rPr>
                <w:sz w:val="18"/>
              </w:rPr>
              <w:t>aspirin</w:t>
            </w:r>
            <w:r>
              <w:rPr>
                <w:spacing w:val="-5"/>
                <w:sz w:val="18"/>
              </w:rPr>
              <w:t> </w:t>
            </w:r>
            <w:r>
              <w:rPr>
                <w:sz w:val="18"/>
              </w:rPr>
              <w:t>on</w:t>
            </w:r>
            <w:r>
              <w:rPr>
                <w:spacing w:val="-5"/>
                <w:sz w:val="18"/>
              </w:rPr>
              <w:t> </w:t>
            </w:r>
            <w:r>
              <w:rPr>
                <w:sz w:val="18"/>
              </w:rPr>
              <w:t>ischemic stroke, quality of life (QOL), and adverse events, when compared with warfarin in children with an indication for the Fontan </w:t>
            </w:r>
            <w:r>
              <w:rPr>
                <w:spacing w:val="-2"/>
                <w:sz w:val="18"/>
              </w:rPr>
              <w:t>procedure</w:t>
            </w:r>
          </w:p>
        </w:tc>
      </w:tr>
      <w:tr>
        <w:trPr>
          <w:trHeight w:val="417" w:hRule="atLeast"/>
        </w:trPr>
        <w:tc>
          <w:tcPr>
            <w:tcW w:w="13945" w:type="dxa"/>
            <w:gridSpan w:val="6"/>
            <w:shd w:val="clear" w:color="auto" w:fill="D0CECE"/>
          </w:tcPr>
          <w:p>
            <w:pPr>
              <w:pStyle w:val="TableParagraph"/>
              <w:spacing w:line="219" w:lineRule="exact"/>
              <w:ind w:left="6"/>
              <w:rPr>
                <w:b/>
                <w:i/>
                <w:sz w:val="18"/>
              </w:rPr>
            </w:pPr>
            <w:r>
              <w:rPr>
                <w:b/>
                <w:i/>
                <w:sz w:val="18"/>
              </w:rPr>
              <w:t>DOACs</w:t>
            </w:r>
            <w:r>
              <w:rPr>
                <w:b/>
                <w:i/>
                <w:spacing w:val="-2"/>
                <w:sz w:val="18"/>
              </w:rPr>
              <w:t> </w:t>
            </w:r>
            <w:r>
              <w:rPr>
                <w:b/>
                <w:i/>
                <w:sz w:val="18"/>
              </w:rPr>
              <w:t>versus</w:t>
            </w:r>
            <w:r>
              <w:rPr>
                <w:b/>
                <w:i/>
                <w:spacing w:val="-1"/>
                <w:sz w:val="18"/>
              </w:rPr>
              <w:t> </w:t>
            </w:r>
            <w:r>
              <w:rPr>
                <w:b/>
                <w:i/>
                <w:spacing w:val="-2"/>
                <w:sz w:val="18"/>
              </w:rPr>
              <w:t>antiplatelets</w:t>
            </w:r>
          </w:p>
        </w:tc>
      </w:tr>
      <w:tr>
        <w:trPr>
          <w:trHeight w:val="414" w:hRule="atLeast"/>
        </w:trPr>
        <w:tc>
          <w:tcPr>
            <w:tcW w:w="2043" w:type="dxa"/>
          </w:tcPr>
          <w:p>
            <w:pPr>
              <w:pStyle w:val="TableParagraph"/>
              <w:rPr>
                <w:rFonts w:ascii="Times New Roman"/>
                <w:sz w:val="18"/>
              </w:rPr>
            </w:pPr>
          </w:p>
        </w:tc>
        <w:tc>
          <w:tcPr>
            <w:tcW w:w="2506" w:type="dxa"/>
          </w:tcPr>
          <w:p>
            <w:pPr>
              <w:pStyle w:val="TableParagraph"/>
              <w:rPr>
                <w:rFonts w:ascii="Times New Roman"/>
                <w:sz w:val="18"/>
              </w:rPr>
            </w:pPr>
          </w:p>
        </w:tc>
        <w:tc>
          <w:tcPr>
            <w:tcW w:w="1214" w:type="dxa"/>
          </w:tcPr>
          <w:p>
            <w:pPr>
              <w:pStyle w:val="TableParagraph"/>
              <w:spacing w:line="218" w:lineRule="exact"/>
              <w:ind w:left="4"/>
              <w:rPr>
                <w:sz w:val="18"/>
              </w:rPr>
            </w:pPr>
            <w:r>
              <w:rPr>
                <w:spacing w:val="-4"/>
                <w:sz w:val="18"/>
              </w:rPr>
              <w:t>DOACs</w:t>
            </w:r>
          </w:p>
        </w:tc>
        <w:tc>
          <w:tcPr>
            <w:tcW w:w="1272" w:type="dxa"/>
          </w:tcPr>
          <w:p>
            <w:pPr>
              <w:pStyle w:val="TableParagraph"/>
              <w:spacing w:line="218" w:lineRule="exact"/>
              <w:ind w:left="7"/>
              <w:rPr>
                <w:sz w:val="18"/>
              </w:rPr>
            </w:pPr>
            <w:r>
              <w:rPr>
                <w:spacing w:val="-2"/>
                <w:sz w:val="18"/>
              </w:rPr>
              <w:t>Antiplatelets</w:t>
            </w:r>
          </w:p>
        </w:tc>
        <w:tc>
          <w:tcPr>
            <w:tcW w:w="2028" w:type="dxa"/>
          </w:tcPr>
          <w:p>
            <w:pPr>
              <w:pStyle w:val="TableParagraph"/>
              <w:rPr>
                <w:rFonts w:ascii="Times New Roman"/>
                <w:sz w:val="18"/>
              </w:rPr>
            </w:pPr>
          </w:p>
        </w:tc>
        <w:tc>
          <w:tcPr>
            <w:tcW w:w="4882" w:type="dxa"/>
          </w:tcPr>
          <w:p>
            <w:pPr>
              <w:pStyle w:val="TableParagraph"/>
              <w:rPr>
                <w:rFonts w:ascii="Times New Roman"/>
                <w:sz w:val="18"/>
              </w:rPr>
            </w:pPr>
          </w:p>
        </w:tc>
      </w:tr>
      <w:tr>
        <w:trPr>
          <w:trHeight w:val="829" w:hRule="atLeast"/>
        </w:trPr>
        <w:tc>
          <w:tcPr>
            <w:tcW w:w="2043" w:type="dxa"/>
            <w:tcBorders>
              <w:bottom w:val="nil"/>
            </w:tcBorders>
          </w:tcPr>
          <w:p>
            <w:pPr>
              <w:pStyle w:val="TableParagraph"/>
              <w:spacing w:line="280" w:lineRule="auto"/>
              <w:ind w:left="6" w:right="105"/>
              <w:rPr>
                <w:sz w:val="18"/>
              </w:rPr>
            </w:pPr>
            <w:r>
              <w:rPr>
                <w:sz w:val="18"/>
              </w:rPr>
              <w:t>Thrombotic</w:t>
            </w:r>
            <w:r>
              <w:rPr>
                <w:spacing w:val="-11"/>
                <w:sz w:val="18"/>
              </w:rPr>
              <w:t> </w:t>
            </w:r>
            <w:r>
              <w:rPr>
                <w:sz w:val="18"/>
              </w:rPr>
              <w:t>complications </w:t>
            </w:r>
            <w:r>
              <w:rPr>
                <w:spacing w:val="-2"/>
                <w:sz w:val="18"/>
              </w:rPr>
              <w:t>(critical)</w:t>
            </w:r>
          </w:p>
        </w:tc>
        <w:tc>
          <w:tcPr>
            <w:tcW w:w="2506" w:type="dxa"/>
            <w:tcBorders>
              <w:bottom w:val="nil"/>
            </w:tcBorders>
          </w:tcPr>
          <w:p>
            <w:pPr>
              <w:pStyle w:val="TableParagraph"/>
              <w:spacing w:line="218" w:lineRule="exact"/>
              <w:ind w:left="6"/>
              <w:rPr>
                <w:b/>
                <w:sz w:val="18"/>
              </w:rPr>
            </w:pPr>
            <w:r>
              <w:rPr>
                <w:sz w:val="18"/>
              </w:rPr>
              <w:t>Relative</w:t>
            </w:r>
            <w:r>
              <w:rPr>
                <w:spacing w:val="-3"/>
                <w:sz w:val="18"/>
              </w:rPr>
              <w:t> </w:t>
            </w:r>
            <w:r>
              <w:rPr>
                <w:sz w:val="18"/>
              </w:rPr>
              <w:t>risk:</w:t>
            </w:r>
            <w:r>
              <w:rPr>
                <w:spacing w:val="-2"/>
                <w:sz w:val="18"/>
              </w:rPr>
              <w:t> </w:t>
            </w:r>
            <w:r>
              <w:rPr>
                <w:b/>
                <w:spacing w:val="-4"/>
                <w:sz w:val="18"/>
              </w:rPr>
              <w:t>0.17</w:t>
            </w:r>
          </w:p>
          <w:p>
            <w:pPr>
              <w:pStyle w:val="TableParagraph"/>
              <w:spacing w:before="195"/>
              <w:ind w:left="6"/>
              <w:rPr>
                <w:sz w:val="18"/>
              </w:rPr>
            </w:pPr>
            <w:r>
              <w:rPr>
                <w:sz w:val="18"/>
              </w:rPr>
              <w:t>(95%</w:t>
            </w:r>
            <w:r>
              <w:rPr>
                <w:spacing w:val="-1"/>
                <w:sz w:val="18"/>
              </w:rPr>
              <w:t> </w:t>
            </w:r>
            <w:r>
              <w:rPr>
                <w:sz w:val="18"/>
              </w:rPr>
              <w:t>CI 0.01 to</w:t>
            </w:r>
            <w:r>
              <w:rPr>
                <w:spacing w:val="1"/>
                <w:sz w:val="18"/>
              </w:rPr>
              <w:t> </w:t>
            </w:r>
            <w:r>
              <w:rPr>
                <w:spacing w:val="-4"/>
                <w:sz w:val="18"/>
              </w:rPr>
              <w:t>3.18)</w:t>
            </w:r>
          </w:p>
        </w:tc>
        <w:tc>
          <w:tcPr>
            <w:tcW w:w="1214" w:type="dxa"/>
          </w:tcPr>
          <w:p>
            <w:pPr>
              <w:pStyle w:val="TableParagraph"/>
              <w:spacing w:line="218" w:lineRule="exact"/>
              <w:ind w:left="4"/>
              <w:rPr>
                <w:b/>
                <w:sz w:val="18"/>
              </w:rPr>
            </w:pPr>
            <w:r>
              <w:rPr>
                <w:b/>
                <w:spacing w:val="-10"/>
                <w:sz w:val="18"/>
              </w:rPr>
              <w:t>0</w:t>
            </w:r>
          </w:p>
          <w:p>
            <w:pPr>
              <w:pStyle w:val="TableParagraph"/>
              <w:spacing w:before="195"/>
              <w:ind w:left="4"/>
              <w:rPr>
                <w:sz w:val="18"/>
              </w:rPr>
            </w:pPr>
            <w:r>
              <w:rPr>
                <w:sz w:val="18"/>
              </w:rPr>
              <w:t>per</w:t>
            </w:r>
            <w:r>
              <w:rPr>
                <w:spacing w:val="-3"/>
                <w:sz w:val="18"/>
              </w:rPr>
              <w:t> </w:t>
            </w:r>
            <w:r>
              <w:rPr>
                <w:spacing w:val="-5"/>
                <w:sz w:val="18"/>
              </w:rPr>
              <w:t>100</w:t>
            </w:r>
          </w:p>
        </w:tc>
        <w:tc>
          <w:tcPr>
            <w:tcW w:w="1272" w:type="dxa"/>
          </w:tcPr>
          <w:p>
            <w:pPr>
              <w:pStyle w:val="TableParagraph"/>
              <w:spacing w:line="218" w:lineRule="exact"/>
              <w:ind w:left="7"/>
              <w:rPr>
                <w:b/>
                <w:sz w:val="18"/>
              </w:rPr>
            </w:pPr>
            <w:r>
              <w:rPr>
                <w:b/>
                <w:spacing w:val="-10"/>
                <w:sz w:val="18"/>
              </w:rPr>
              <w:t>7</w:t>
            </w:r>
          </w:p>
          <w:p>
            <w:pPr>
              <w:pStyle w:val="TableParagraph"/>
              <w:spacing w:before="195"/>
              <w:ind w:left="7"/>
              <w:rPr>
                <w:sz w:val="18"/>
              </w:rPr>
            </w:pPr>
            <w:r>
              <w:rPr>
                <w:sz w:val="18"/>
              </w:rPr>
              <w:t>per</w:t>
            </w:r>
            <w:r>
              <w:rPr>
                <w:spacing w:val="-3"/>
                <w:sz w:val="18"/>
              </w:rPr>
              <w:t> </w:t>
            </w:r>
            <w:r>
              <w:rPr>
                <w:spacing w:val="-5"/>
                <w:sz w:val="18"/>
              </w:rPr>
              <w:t>100</w:t>
            </w:r>
          </w:p>
        </w:tc>
        <w:tc>
          <w:tcPr>
            <w:tcW w:w="2028" w:type="dxa"/>
            <w:tcBorders>
              <w:bottom w:val="nil"/>
            </w:tcBorders>
          </w:tcPr>
          <w:p>
            <w:pPr>
              <w:pStyle w:val="TableParagraph"/>
              <w:rPr>
                <w:rFonts w:ascii="Times New Roman"/>
                <w:sz w:val="18"/>
              </w:rPr>
            </w:pPr>
          </w:p>
        </w:tc>
        <w:tc>
          <w:tcPr>
            <w:tcW w:w="4882" w:type="dxa"/>
            <w:tcBorders>
              <w:bottom w:val="nil"/>
            </w:tcBorders>
          </w:tcPr>
          <w:p>
            <w:pPr>
              <w:pStyle w:val="TableParagraph"/>
              <w:rPr>
                <w:rFonts w:ascii="Times New Roman"/>
                <w:sz w:val="18"/>
              </w:rPr>
            </w:pPr>
          </w:p>
        </w:tc>
      </w:tr>
      <w:tr>
        <w:trPr>
          <w:trHeight w:val="1205" w:hRule="atLeast"/>
        </w:trPr>
        <w:tc>
          <w:tcPr>
            <w:tcW w:w="2043" w:type="dxa"/>
            <w:tcBorders>
              <w:top w:val="nil"/>
              <w:bottom w:val="nil"/>
            </w:tcBorders>
          </w:tcPr>
          <w:p>
            <w:pPr>
              <w:pStyle w:val="TableParagraph"/>
              <w:rPr>
                <w:rFonts w:ascii="Times New Roman"/>
                <w:sz w:val="18"/>
              </w:rPr>
            </w:pPr>
          </w:p>
        </w:tc>
        <w:tc>
          <w:tcPr>
            <w:tcW w:w="2506" w:type="dxa"/>
            <w:tcBorders>
              <w:top w:val="nil"/>
              <w:bottom w:val="nil"/>
            </w:tcBorders>
          </w:tcPr>
          <w:p>
            <w:pPr>
              <w:pStyle w:val="TableParagraph"/>
              <w:spacing w:before="179"/>
              <w:rPr>
                <w:sz w:val="18"/>
              </w:rPr>
            </w:pPr>
          </w:p>
          <w:p>
            <w:pPr>
              <w:pStyle w:val="TableParagraph"/>
              <w:spacing w:line="280" w:lineRule="auto"/>
              <w:ind w:left="6" w:right="643"/>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79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line="217" w:lineRule="exact"/>
              <w:ind w:left="6"/>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2486" w:type="dxa"/>
            <w:gridSpan w:val="2"/>
            <w:tcBorders>
              <w:bottom w:val="nil"/>
            </w:tcBorders>
          </w:tcPr>
          <w:p>
            <w:pPr>
              <w:pStyle w:val="TableParagraph"/>
              <w:rPr>
                <w:sz w:val="18"/>
              </w:rPr>
            </w:pPr>
          </w:p>
          <w:p>
            <w:pPr>
              <w:pStyle w:val="TableParagraph"/>
              <w:rPr>
                <w:sz w:val="18"/>
              </w:rPr>
            </w:pPr>
          </w:p>
          <w:p>
            <w:pPr>
              <w:pStyle w:val="TableParagraph"/>
              <w:spacing w:before="172"/>
              <w:rPr>
                <w:sz w:val="18"/>
              </w:rPr>
            </w:pPr>
          </w:p>
          <w:p>
            <w:pPr>
              <w:pStyle w:val="TableParagraph"/>
              <w:ind w:left="4"/>
              <w:rPr>
                <w:b/>
                <w:sz w:val="18"/>
              </w:rPr>
            </w:pPr>
            <w:r>
              <w:rPr>
                <w:sz w:val="18"/>
              </w:rPr>
              <w:t>Difference:</w:t>
            </w:r>
            <w:r>
              <w:rPr>
                <w:spacing w:val="-3"/>
                <w:sz w:val="18"/>
              </w:rPr>
              <w:t> </w:t>
            </w:r>
            <w:r>
              <w:rPr>
                <w:b/>
                <w:sz w:val="18"/>
              </w:rPr>
              <w:t>7</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tc>
        <w:tc>
          <w:tcPr>
            <w:tcW w:w="2028" w:type="dxa"/>
            <w:tcBorders>
              <w:top w:val="nil"/>
              <w:bottom w:val="nil"/>
            </w:tcBorders>
          </w:tcPr>
          <w:p>
            <w:pPr>
              <w:pStyle w:val="TableParagraph"/>
              <w:spacing w:line="204" w:lineRule="exact"/>
              <w:ind w:left="7"/>
              <w:rPr>
                <w:b/>
                <w:sz w:val="18"/>
              </w:rPr>
            </w:pPr>
            <w:r>
              <w:rPr>
                <w:b/>
                <w:sz w:val="18"/>
              </w:rPr>
              <w:t>Very</w:t>
            </w:r>
            <w:r>
              <w:rPr>
                <w:b/>
                <w:spacing w:val="-1"/>
                <w:sz w:val="18"/>
              </w:rPr>
              <w:t> </w:t>
            </w:r>
            <w:r>
              <w:rPr>
                <w:b/>
                <w:spacing w:val="-5"/>
                <w:sz w:val="18"/>
              </w:rPr>
              <w:t>low</w:t>
            </w:r>
          </w:p>
          <w:p>
            <w:pPr>
              <w:pStyle w:val="TableParagraph"/>
              <w:spacing w:line="278" w:lineRule="auto" w:before="37"/>
              <w:ind w:left="7"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before="1"/>
              <w:ind w:left="7"/>
              <w:rPr>
                <w:position w:val="5"/>
                <w:sz w:val="12"/>
              </w:rPr>
            </w:pPr>
            <w:r>
              <w:rPr>
                <w:sz w:val="18"/>
              </w:rPr>
              <w:t>serious</w:t>
            </w:r>
            <w:r>
              <w:rPr>
                <w:spacing w:val="-5"/>
                <w:sz w:val="18"/>
              </w:rPr>
              <w:t> </w:t>
            </w:r>
            <w:r>
              <w:rPr>
                <w:spacing w:val="-2"/>
                <w:sz w:val="18"/>
              </w:rPr>
              <w:t>imprecision</w:t>
            </w:r>
            <w:r>
              <w:rPr>
                <w:spacing w:val="-2"/>
                <w:position w:val="5"/>
                <w:sz w:val="12"/>
              </w:rPr>
              <w:t>6</w:t>
            </w:r>
          </w:p>
        </w:tc>
        <w:tc>
          <w:tcPr>
            <w:tcW w:w="4882" w:type="dxa"/>
            <w:tcBorders>
              <w:top w:val="nil"/>
              <w:bottom w:val="nil"/>
            </w:tcBorders>
          </w:tcPr>
          <w:p>
            <w:pPr>
              <w:pStyle w:val="TableParagraph"/>
              <w:spacing w:before="179"/>
              <w:rPr>
                <w:sz w:val="18"/>
              </w:rPr>
            </w:pPr>
          </w:p>
          <w:p>
            <w:pPr>
              <w:pStyle w:val="TableParagraph"/>
              <w:spacing w:line="278" w:lineRule="auto"/>
              <w:ind w:left="7"/>
              <w:rPr>
                <w:sz w:val="18"/>
              </w:rPr>
            </w:pPr>
            <w:r>
              <w:rPr>
                <w:sz w:val="18"/>
              </w:rPr>
              <w:t>The evidence is very uncertain about the effect of DOACs on thrombotic</w:t>
            </w:r>
            <w:r>
              <w:rPr>
                <w:spacing w:val="-7"/>
                <w:sz w:val="18"/>
              </w:rPr>
              <w:t> </w:t>
            </w:r>
            <w:r>
              <w:rPr>
                <w:sz w:val="18"/>
              </w:rPr>
              <w:t>complications,</w:t>
            </w:r>
            <w:r>
              <w:rPr>
                <w:spacing w:val="-7"/>
                <w:sz w:val="18"/>
              </w:rPr>
              <w:t> </w:t>
            </w:r>
            <w:r>
              <w:rPr>
                <w:sz w:val="18"/>
              </w:rPr>
              <w:t>when</w:t>
            </w:r>
            <w:r>
              <w:rPr>
                <w:spacing w:val="-6"/>
                <w:sz w:val="18"/>
              </w:rPr>
              <w:t> </w:t>
            </w:r>
            <w:r>
              <w:rPr>
                <w:sz w:val="18"/>
              </w:rPr>
              <w:t>compared</w:t>
            </w:r>
            <w:r>
              <w:rPr>
                <w:spacing w:val="-8"/>
                <w:sz w:val="18"/>
              </w:rPr>
              <w:t> </w:t>
            </w:r>
            <w:r>
              <w:rPr>
                <w:sz w:val="18"/>
              </w:rPr>
              <w:t>with</w:t>
            </w:r>
            <w:r>
              <w:rPr>
                <w:spacing w:val="-9"/>
                <w:sz w:val="18"/>
              </w:rPr>
              <w:t> </w:t>
            </w:r>
            <w:r>
              <w:rPr>
                <w:sz w:val="18"/>
              </w:rPr>
              <w:t>antiplatelets</w:t>
            </w:r>
            <w:r>
              <w:rPr>
                <w:spacing w:val="-6"/>
                <w:sz w:val="18"/>
              </w:rPr>
              <w:t> </w:t>
            </w:r>
            <w:r>
              <w:rPr>
                <w:sz w:val="18"/>
              </w:rPr>
              <w:t>in children with an indication for the Fontan procedure</w:t>
            </w:r>
          </w:p>
        </w:tc>
      </w:tr>
      <w:tr>
        <w:trPr>
          <w:trHeight w:val="416" w:hRule="atLeast"/>
        </w:trPr>
        <w:tc>
          <w:tcPr>
            <w:tcW w:w="2043" w:type="dxa"/>
            <w:tcBorders>
              <w:top w:val="nil"/>
              <w:bottom w:val="nil"/>
            </w:tcBorders>
          </w:tcPr>
          <w:p>
            <w:pPr>
              <w:pStyle w:val="TableParagraph"/>
              <w:rPr>
                <w:rFonts w:ascii="Times New Roman"/>
                <w:sz w:val="18"/>
              </w:rPr>
            </w:pPr>
          </w:p>
        </w:tc>
        <w:tc>
          <w:tcPr>
            <w:tcW w:w="2506" w:type="dxa"/>
            <w:tcBorders>
              <w:top w:val="nil"/>
              <w:bottom w:val="nil"/>
            </w:tcBorders>
          </w:tcPr>
          <w:p>
            <w:pPr>
              <w:pStyle w:val="TableParagraph"/>
              <w:rPr>
                <w:rFonts w:ascii="Times New Roman"/>
                <w:sz w:val="18"/>
              </w:rPr>
            </w:pPr>
          </w:p>
        </w:tc>
        <w:tc>
          <w:tcPr>
            <w:tcW w:w="2486" w:type="dxa"/>
            <w:gridSpan w:val="2"/>
            <w:tcBorders>
              <w:top w:val="nil"/>
              <w:bottom w:val="nil"/>
            </w:tcBorders>
          </w:tcPr>
          <w:p>
            <w:pPr>
              <w:pStyle w:val="TableParagraph"/>
              <w:spacing w:before="42"/>
              <w:ind w:left="4"/>
              <w:rPr>
                <w:sz w:val="18"/>
              </w:rPr>
            </w:pPr>
            <w:r>
              <w:rPr>
                <w:sz w:val="18"/>
              </w:rPr>
              <w:t>(95%</w:t>
            </w:r>
            <w:r>
              <w:rPr>
                <w:spacing w:val="-3"/>
                <w:sz w:val="18"/>
              </w:rPr>
              <w:t> </w:t>
            </w:r>
            <w:r>
              <w:rPr>
                <w:sz w:val="18"/>
              </w:rPr>
              <w:t>CI 16</w:t>
            </w:r>
            <w:r>
              <w:rPr>
                <w:spacing w:val="-1"/>
                <w:sz w:val="18"/>
              </w:rPr>
              <w:t> </w:t>
            </w:r>
            <w:r>
              <w:rPr>
                <w:sz w:val="18"/>
              </w:rPr>
              <w:t>fewer to</w:t>
            </w:r>
            <w:r>
              <w:rPr>
                <w:spacing w:val="-1"/>
                <w:sz w:val="18"/>
              </w:rPr>
              <w:t> </w:t>
            </w:r>
            <w:r>
              <w:rPr>
                <w:sz w:val="18"/>
              </w:rPr>
              <w:t>2 </w:t>
            </w:r>
            <w:r>
              <w:rPr>
                <w:spacing w:val="-4"/>
                <w:sz w:val="18"/>
              </w:rPr>
              <w:t>more)</w:t>
            </w:r>
          </w:p>
        </w:tc>
        <w:tc>
          <w:tcPr>
            <w:tcW w:w="2028" w:type="dxa"/>
            <w:tcBorders>
              <w:top w:val="nil"/>
              <w:bottom w:val="nil"/>
            </w:tcBorders>
          </w:tcPr>
          <w:p>
            <w:pPr>
              <w:pStyle w:val="TableParagraph"/>
              <w:rPr>
                <w:rFonts w:ascii="Times New Roman"/>
                <w:sz w:val="18"/>
              </w:rPr>
            </w:pPr>
          </w:p>
        </w:tc>
        <w:tc>
          <w:tcPr>
            <w:tcW w:w="4882" w:type="dxa"/>
            <w:tcBorders>
              <w:top w:val="nil"/>
              <w:bottom w:val="nil"/>
            </w:tcBorders>
          </w:tcPr>
          <w:p>
            <w:pPr>
              <w:pStyle w:val="TableParagraph"/>
              <w:rPr>
                <w:rFonts w:ascii="Times New Roman"/>
                <w:sz w:val="18"/>
              </w:rPr>
            </w:pPr>
          </w:p>
        </w:tc>
      </w:tr>
      <w:tr>
        <w:trPr>
          <w:trHeight w:val="537" w:hRule="atLeast"/>
        </w:trPr>
        <w:tc>
          <w:tcPr>
            <w:tcW w:w="2043" w:type="dxa"/>
            <w:tcBorders>
              <w:top w:val="nil"/>
            </w:tcBorders>
          </w:tcPr>
          <w:p>
            <w:pPr>
              <w:pStyle w:val="TableParagraph"/>
              <w:rPr>
                <w:rFonts w:ascii="Times New Roman"/>
                <w:sz w:val="18"/>
              </w:rPr>
            </w:pPr>
          </w:p>
        </w:tc>
        <w:tc>
          <w:tcPr>
            <w:tcW w:w="2506" w:type="dxa"/>
            <w:tcBorders>
              <w:top w:val="nil"/>
            </w:tcBorders>
          </w:tcPr>
          <w:p>
            <w:pPr>
              <w:pStyle w:val="TableParagraph"/>
              <w:rPr>
                <w:rFonts w:ascii="Times New Roman"/>
                <w:sz w:val="18"/>
              </w:rPr>
            </w:pPr>
          </w:p>
        </w:tc>
        <w:tc>
          <w:tcPr>
            <w:tcW w:w="2486" w:type="dxa"/>
            <w:gridSpan w:val="2"/>
            <w:tcBorders>
              <w:top w:val="nil"/>
            </w:tcBorders>
          </w:tcPr>
          <w:p>
            <w:pPr>
              <w:pStyle w:val="TableParagraph"/>
              <w:rPr>
                <w:rFonts w:ascii="Times New Roman"/>
                <w:sz w:val="18"/>
              </w:rPr>
            </w:pPr>
          </w:p>
        </w:tc>
        <w:tc>
          <w:tcPr>
            <w:tcW w:w="2028" w:type="dxa"/>
            <w:tcBorders>
              <w:top w:val="nil"/>
            </w:tcBorders>
          </w:tcPr>
          <w:p>
            <w:pPr>
              <w:pStyle w:val="TableParagraph"/>
              <w:rPr>
                <w:rFonts w:ascii="Times New Roman"/>
                <w:sz w:val="18"/>
              </w:rPr>
            </w:pPr>
          </w:p>
        </w:tc>
        <w:tc>
          <w:tcPr>
            <w:tcW w:w="4882" w:type="dxa"/>
            <w:tcBorders>
              <w:top w:val="nil"/>
            </w:tcBorders>
          </w:tcPr>
          <w:p>
            <w:pPr>
              <w:pStyle w:val="TableParagraph"/>
              <w:spacing w:before="122"/>
              <w:ind w:left="7"/>
              <w:rPr>
                <w:sz w:val="18"/>
              </w:rPr>
            </w:pPr>
            <w:r>
              <w:rPr>
                <w:sz w:val="18"/>
              </w:rPr>
              <w:t>(Kawamatsu,</w:t>
            </w:r>
            <w:r>
              <w:rPr>
                <w:spacing w:val="-4"/>
                <w:sz w:val="18"/>
              </w:rPr>
              <w:t> </w:t>
            </w:r>
            <w:r>
              <w:rPr>
                <w:spacing w:val="-2"/>
                <w:sz w:val="18"/>
              </w:rPr>
              <w:t>2021)</w:t>
            </w:r>
          </w:p>
        </w:tc>
      </w:tr>
    </w:tbl>
    <w:p>
      <w:pPr>
        <w:pStyle w:val="TableParagraph"/>
        <w:spacing w:after="0"/>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32"/>
        <w:gridCol w:w="1010"/>
        <w:gridCol w:w="2506"/>
        <w:gridCol w:w="1214"/>
        <w:gridCol w:w="1272"/>
        <w:gridCol w:w="2028"/>
        <w:gridCol w:w="4882"/>
      </w:tblGrid>
      <w:tr>
        <w:trPr>
          <w:trHeight w:val="829" w:hRule="atLeast"/>
        </w:trPr>
        <w:tc>
          <w:tcPr>
            <w:tcW w:w="1032" w:type="dxa"/>
            <w:tcBorders>
              <w:bottom w:val="nil"/>
            </w:tcBorders>
          </w:tcPr>
          <w:p>
            <w:pPr>
              <w:pStyle w:val="TableParagraph"/>
              <w:spacing w:line="280" w:lineRule="auto"/>
              <w:ind w:left="6"/>
              <w:rPr>
                <w:sz w:val="18"/>
              </w:rPr>
            </w:pPr>
            <w:r>
              <w:rPr>
                <w:spacing w:val="-2"/>
                <w:sz w:val="18"/>
              </w:rPr>
              <w:t>Hemorrhage</w:t>
            </w:r>
            <w:r>
              <w:rPr>
                <w:sz w:val="18"/>
              </w:rPr>
              <w:t> </w:t>
            </w:r>
            <w:r>
              <w:rPr>
                <w:spacing w:val="-2"/>
                <w:sz w:val="18"/>
              </w:rPr>
              <w:t>(important)</w:t>
            </w:r>
          </w:p>
        </w:tc>
        <w:tc>
          <w:tcPr>
            <w:tcW w:w="1010" w:type="dxa"/>
            <w:tcBorders>
              <w:bottom w:val="nil"/>
            </w:tcBorders>
          </w:tcPr>
          <w:p>
            <w:pPr>
              <w:pStyle w:val="TableParagraph"/>
              <w:spacing w:line="280" w:lineRule="auto"/>
              <w:ind w:left="7" w:right="353"/>
              <w:rPr>
                <w:sz w:val="18"/>
              </w:rPr>
            </w:pPr>
            <w:r>
              <w:rPr>
                <w:spacing w:val="-2"/>
                <w:sz w:val="18"/>
              </w:rPr>
              <w:t>Major</w:t>
            </w:r>
            <w:r>
              <w:rPr>
                <w:sz w:val="18"/>
              </w:rPr>
              <w:t> </w:t>
            </w:r>
            <w:r>
              <w:rPr>
                <w:spacing w:val="-2"/>
                <w:sz w:val="18"/>
              </w:rPr>
              <w:t>bleeding</w:t>
            </w:r>
          </w:p>
        </w:tc>
        <w:tc>
          <w:tcPr>
            <w:tcW w:w="2506" w:type="dxa"/>
            <w:tcBorders>
              <w:bottom w:val="nil"/>
            </w:tcBorders>
          </w:tcPr>
          <w:p>
            <w:pPr>
              <w:pStyle w:val="TableParagraph"/>
              <w:spacing w:line="218" w:lineRule="exact"/>
              <w:ind w:left="7"/>
              <w:rPr>
                <w:b/>
                <w:sz w:val="18"/>
              </w:rPr>
            </w:pPr>
            <w:r>
              <w:rPr>
                <w:sz w:val="18"/>
              </w:rPr>
              <w:t>Relative</w:t>
            </w:r>
            <w:r>
              <w:rPr>
                <w:spacing w:val="-3"/>
                <w:sz w:val="18"/>
              </w:rPr>
              <w:t> </w:t>
            </w:r>
            <w:r>
              <w:rPr>
                <w:sz w:val="18"/>
              </w:rPr>
              <w:t>risk:</w:t>
            </w:r>
            <w:r>
              <w:rPr>
                <w:spacing w:val="-2"/>
                <w:sz w:val="18"/>
              </w:rPr>
              <w:t> </w:t>
            </w:r>
            <w:r>
              <w:rPr>
                <w:b/>
                <w:spacing w:val="-4"/>
                <w:sz w:val="18"/>
              </w:rPr>
              <w:t>0.40</w:t>
            </w:r>
          </w:p>
          <w:p>
            <w:pPr>
              <w:pStyle w:val="TableParagraph"/>
              <w:spacing w:before="195"/>
              <w:ind w:left="7"/>
              <w:rPr>
                <w:sz w:val="18"/>
              </w:rPr>
            </w:pPr>
            <w:r>
              <w:rPr>
                <w:sz w:val="18"/>
              </w:rPr>
              <w:t>(95%</w:t>
            </w:r>
            <w:r>
              <w:rPr>
                <w:spacing w:val="-1"/>
                <w:sz w:val="18"/>
              </w:rPr>
              <w:t> </w:t>
            </w:r>
            <w:r>
              <w:rPr>
                <w:sz w:val="18"/>
              </w:rPr>
              <w:t>CI 0.04 to </w:t>
            </w:r>
            <w:r>
              <w:rPr>
                <w:spacing w:val="-4"/>
                <w:sz w:val="18"/>
              </w:rPr>
              <w:t>3.66)</w:t>
            </w:r>
          </w:p>
        </w:tc>
        <w:tc>
          <w:tcPr>
            <w:tcW w:w="1214" w:type="dxa"/>
          </w:tcPr>
          <w:p>
            <w:pPr>
              <w:pStyle w:val="TableParagraph"/>
              <w:spacing w:line="218" w:lineRule="exact"/>
              <w:ind w:left="5"/>
              <w:rPr>
                <w:b/>
                <w:sz w:val="18"/>
              </w:rPr>
            </w:pPr>
            <w:r>
              <w:rPr>
                <w:b/>
                <w:spacing w:val="-10"/>
                <w:sz w:val="18"/>
              </w:rPr>
              <w:t>3</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line="218" w:lineRule="exact"/>
              <w:ind w:left="8"/>
              <w:rPr>
                <w:b/>
                <w:sz w:val="18"/>
              </w:rPr>
            </w:pPr>
            <w:r>
              <w:rPr>
                <w:b/>
                <w:spacing w:val="-10"/>
                <w:sz w:val="18"/>
              </w:rPr>
              <w:t>7</w:t>
            </w:r>
          </w:p>
          <w:p>
            <w:pPr>
              <w:pStyle w:val="TableParagraph"/>
              <w:spacing w:before="195"/>
              <w:ind w:left="8"/>
              <w:rPr>
                <w:sz w:val="18"/>
              </w:rPr>
            </w:pPr>
            <w:r>
              <w:rPr>
                <w:sz w:val="18"/>
              </w:rPr>
              <w:t>per</w:t>
            </w:r>
            <w:r>
              <w:rPr>
                <w:spacing w:val="-3"/>
                <w:sz w:val="18"/>
              </w:rPr>
              <w:t> </w:t>
            </w:r>
            <w:r>
              <w:rPr>
                <w:spacing w:val="-5"/>
                <w:sz w:val="18"/>
              </w:rPr>
              <w:t>100</w:t>
            </w:r>
          </w:p>
        </w:tc>
        <w:tc>
          <w:tcPr>
            <w:tcW w:w="2028" w:type="dxa"/>
            <w:tcBorders>
              <w:bottom w:val="nil"/>
            </w:tcBorders>
          </w:tcPr>
          <w:p>
            <w:pPr>
              <w:pStyle w:val="TableParagraph"/>
              <w:rPr>
                <w:rFonts w:ascii="Times New Roman"/>
                <w:sz w:val="18"/>
              </w:rPr>
            </w:pPr>
          </w:p>
        </w:tc>
        <w:tc>
          <w:tcPr>
            <w:tcW w:w="4882" w:type="dxa"/>
            <w:tcBorders>
              <w:bottom w:val="nil"/>
            </w:tcBorders>
          </w:tcPr>
          <w:p>
            <w:pPr>
              <w:pStyle w:val="TableParagraph"/>
              <w:rPr>
                <w:rFonts w:ascii="Times New Roman"/>
                <w:sz w:val="18"/>
              </w:rPr>
            </w:pPr>
          </w:p>
        </w:tc>
      </w:tr>
      <w:tr>
        <w:trPr>
          <w:trHeight w:val="1253" w:hRule="atLeast"/>
        </w:trPr>
        <w:tc>
          <w:tcPr>
            <w:tcW w:w="1032" w:type="dxa"/>
            <w:tcBorders>
              <w:top w:val="nil"/>
              <w:bottom w:val="nil"/>
            </w:tcBorders>
          </w:tcPr>
          <w:p>
            <w:pPr>
              <w:pStyle w:val="TableParagraph"/>
              <w:rPr>
                <w:rFonts w:ascii="Times New Roman"/>
                <w:sz w:val="18"/>
              </w:rPr>
            </w:pPr>
          </w:p>
        </w:tc>
        <w:tc>
          <w:tcPr>
            <w:tcW w:w="1010" w:type="dxa"/>
            <w:tcBorders>
              <w:top w:val="nil"/>
              <w:bottom w:val="nil"/>
            </w:tcBorders>
          </w:tcPr>
          <w:p>
            <w:pPr>
              <w:pStyle w:val="TableParagraph"/>
              <w:rPr>
                <w:rFonts w:ascii="Times New Roman"/>
                <w:sz w:val="18"/>
              </w:rPr>
            </w:pPr>
          </w:p>
        </w:tc>
        <w:tc>
          <w:tcPr>
            <w:tcW w:w="2506" w:type="dxa"/>
            <w:tcBorders>
              <w:top w:val="nil"/>
              <w:bottom w:val="nil"/>
            </w:tcBorders>
          </w:tcPr>
          <w:p>
            <w:pPr>
              <w:pStyle w:val="TableParagraph"/>
              <w:spacing w:before="182"/>
              <w:rPr>
                <w:sz w:val="18"/>
              </w:rPr>
            </w:pPr>
          </w:p>
          <w:p>
            <w:pPr>
              <w:pStyle w:val="TableParagraph"/>
              <w:spacing w:line="278" w:lineRule="auto"/>
              <w:ind w:left="7" w:right="734"/>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79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line="219" w:lineRule="exact"/>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2486" w:type="dxa"/>
            <w:gridSpan w:val="2"/>
            <w:tcBorders>
              <w:bottom w:val="nil"/>
            </w:tcBorders>
          </w:tcPr>
          <w:p>
            <w:pPr>
              <w:pStyle w:val="TableParagraph"/>
              <w:rPr>
                <w:sz w:val="18"/>
              </w:rPr>
            </w:pPr>
          </w:p>
          <w:p>
            <w:pPr>
              <w:pStyle w:val="TableParagraph"/>
              <w:rPr>
                <w:sz w:val="18"/>
              </w:rPr>
            </w:pPr>
          </w:p>
          <w:p>
            <w:pPr>
              <w:pStyle w:val="TableParagraph"/>
              <w:spacing w:before="172"/>
              <w:rPr>
                <w:sz w:val="18"/>
              </w:rPr>
            </w:pPr>
          </w:p>
          <w:p>
            <w:pPr>
              <w:pStyle w:val="TableParagraph"/>
              <w:ind w:left="5"/>
              <w:rPr>
                <w:b/>
                <w:sz w:val="18"/>
              </w:rPr>
            </w:pPr>
            <w:r>
              <w:rPr>
                <w:sz w:val="18"/>
              </w:rPr>
              <w:t>Difference:</w:t>
            </w:r>
            <w:r>
              <w:rPr>
                <w:spacing w:val="-3"/>
                <w:sz w:val="18"/>
              </w:rPr>
              <w:t> </w:t>
            </w:r>
            <w:r>
              <w:rPr>
                <w:b/>
                <w:sz w:val="18"/>
              </w:rPr>
              <w:t>4</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tc>
        <w:tc>
          <w:tcPr>
            <w:tcW w:w="2028" w:type="dxa"/>
            <w:tcBorders>
              <w:top w:val="nil"/>
              <w:bottom w:val="nil"/>
            </w:tcBorders>
          </w:tcPr>
          <w:p>
            <w:pPr>
              <w:pStyle w:val="TableParagraph"/>
              <w:spacing w:before="21"/>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line="280" w:lineRule="auto" w:before="35"/>
              <w:ind w:left="8"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line="217" w:lineRule="exact"/>
              <w:ind w:left="8"/>
              <w:rPr>
                <w:position w:val="5"/>
                <w:sz w:val="12"/>
              </w:rPr>
            </w:pPr>
            <w:r>
              <w:rPr>
                <w:sz w:val="18"/>
              </w:rPr>
              <w:t>serious</w:t>
            </w:r>
            <w:r>
              <w:rPr>
                <w:spacing w:val="-5"/>
                <w:sz w:val="18"/>
              </w:rPr>
              <w:t> </w:t>
            </w:r>
            <w:r>
              <w:rPr>
                <w:spacing w:val="-2"/>
                <w:sz w:val="18"/>
              </w:rPr>
              <w:t>imprecision</w:t>
            </w:r>
            <w:r>
              <w:rPr>
                <w:spacing w:val="-2"/>
                <w:position w:val="5"/>
                <w:sz w:val="12"/>
              </w:rPr>
              <w:t>7</w:t>
            </w:r>
          </w:p>
        </w:tc>
        <w:tc>
          <w:tcPr>
            <w:tcW w:w="4882" w:type="dxa"/>
            <w:tcBorders>
              <w:top w:val="nil"/>
              <w:bottom w:val="nil"/>
            </w:tcBorders>
          </w:tcPr>
          <w:p>
            <w:pPr>
              <w:pStyle w:val="TableParagraph"/>
              <w:spacing w:before="182"/>
              <w:rPr>
                <w:sz w:val="18"/>
              </w:rPr>
            </w:pPr>
          </w:p>
          <w:p>
            <w:pPr>
              <w:pStyle w:val="TableParagraph"/>
              <w:spacing w:line="278" w:lineRule="auto"/>
              <w:ind w:left="8" w:right="216"/>
              <w:rPr>
                <w:sz w:val="18"/>
              </w:rPr>
            </w:pPr>
            <w:r>
              <w:rPr>
                <w:sz w:val="18"/>
              </w:rPr>
              <w:t>The evidence is very uncertain about the effect of DOACs on major</w:t>
            </w:r>
            <w:r>
              <w:rPr>
                <w:spacing w:val="-6"/>
                <w:sz w:val="18"/>
              </w:rPr>
              <w:t> </w:t>
            </w:r>
            <w:r>
              <w:rPr>
                <w:sz w:val="18"/>
              </w:rPr>
              <w:t>bleeding,</w:t>
            </w:r>
            <w:r>
              <w:rPr>
                <w:spacing w:val="-6"/>
                <w:sz w:val="18"/>
              </w:rPr>
              <w:t> </w:t>
            </w:r>
            <w:r>
              <w:rPr>
                <w:sz w:val="18"/>
              </w:rPr>
              <w:t>when</w:t>
            </w:r>
            <w:r>
              <w:rPr>
                <w:spacing w:val="-7"/>
                <w:sz w:val="18"/>
              </w:rPr>
              <w:t> </w:t>
            </w:r>
            <w:r>
              <w:rPr>
                <w:sz w:val="18"/>
              </w:rPr>
              <w:t>compared</w:t>
            </w:r>
            <w:r>
              <w:rPr>
                <w:spacing w:val="-5"/>
                <w:sz w:val="18"/>
              </w:rPr>
              <w:t> </w:t>
            </w:r>
            <w:r>
              <w:rPr>
                <w:sz w:val="18"/>
              </w:rPr>
              <w:t>with</w:t>
            </w:r>
            <w:r>
              <w:rPr>
                <w:spacing w:val="-7"/>
                <w:sz w:val="18"/>
              </w:rPr>
              <w:t> </w:t>
            </w:r>
            <w:r>
              <w:rPr>
                <w:sz w:val="18"/>
              </w:rPr>
              <w:t>antiplatelets</w:t>
            </w:r>
            <w:r>
              <w:rPr>
                <w:spacing w:val="-7"/>
                <w:sz w:val="18"/>
              </w:rPr>
              <w:t> </w:t>
            </w:r>
            <w:r>
              <w:rPr>
                <w:sz w:val="18"/>
              </w:rPr>
              <w:t>in</w:t>
            </w:r>
            <w:r>
              <w:rPr>
                <w:spacing w:val="-7"/>
                <w:sz w:val="18"/>
              </w:rPr>
              <w:t> </w:t>
            </w:r>
            <w:r>
              <w:rPr>
                <w:sz w:val="18"/>
              </w:rPr>
              <w:t>children with an indication for the Fontan procedure</w:t>
            </w:r>
          </w:p>
        </w:tc>
      </w:tr>
      <w:tr>
        <w:trPr>
          <w:trHeight w:val="368" w:hRule="atLeast"/>
        </w:trPr>
        <w:tc>
          <w:tcPr>
            <w:tcW w:w="1032" w:type="dxa"/>
            <w:tcBorders>
              <w:top w:val="nil"/>
              <w:bottom w:val="nil"/>
            </w:tcBorders>
          </w:tcPr>
          <w:p>
            <w:pPr>
              <w:pStyle w:val="TableParagraph"/>
              <w:rPr>
                <w:rFonts w:ascii="Times New Roman"/>
                <w:sz w:val="18"/>
              </w:rPr>
            </w:pPr>
          </w:p>
        </w:tc>
        <w:tc>
          <w:tcPr>
            <w:tcW w:w="1010" w:type="dxa"/>
            <w:tcBorders>
              <w:top w:val="nil"/>
              <w:bottom w:val="nil"/>
            </w:tcBorders>
          </w:tcPr>
          <w:p>
            <w:pPr>
              <w:pStyle w:val="TableParagraph"/>
              <w:rPr>
                <w:rFonts w:ascii="Times New Roman"/>
                <w:sz w:val="18"/>
              </w:rPr>
            </w:pPr>
          </w:p>
        </w:tc>
        <w:tc>
          <w:tcPr>
            <w:tcW w:w="2506" w:type="dxa"/>
            <w:tcBorders>
              <w:top w:val="nil"/>
              <w:bottom w:val="nil"/>
            </w:tcBorders>
          </w:tcPr>
          <w:p>
            <w:pPr>
              <w:pStyle w:val="TableParagraph"/>
              <w:rPr>
                <w:rFonts w:ascii="Times New Roman"/>
                <w:sz w:val="18"/>
              </w:rPr>
            </w:pPr>
          </w:p>
        </w:tc>
        <w:tc>
          <w:tcPr>
            <w:tcW w:w="2486" w:type="dxa"/>
            <w:gridSpan w:val="2"/>
            <w:tcBorders>
              <w:top w:val="nil"/>
              <w:bottom w:val="nil"/>
            </w:tcBorders>
          </w:tcPr>
          <w:p>
            <w:pPr>
              <w:pStyle w:val="TableParagraph"/>
              <w:spacing w:line="213" w:lineRule="exact"/>
              <w:ind w:left="5"/>
              <w:rPr>
                <w:sz w:val="18"/>
              </w:rPr>
            </w:pPr>
            <w:r>
              <w:rPr>
                <w:sz w:val="18"/>
              </w:rPr>
              <w:t>(95%</w:t>
            </w:r>
            <w:r>
              <w:rPr>
                <w:spacing w:val="-3"/>
                <w:sz w:val="18"/>
              </w:rPr>
              <w:t> </w:t>
            </w:r>
            <w:r>
              <w:rPr>
                <w:sz w:val="18"/>
              </w:rPr>
              <w:t>CI 14</w:t>
            </w:r>
            <w:r>
              <w:rPr>
                <w:spacing w:val="-1"/>
                <w:sz w:val="18"/>
              </w:rPr>
              <w:t> </w:t>
            </w:r>
            <w:r>
              <w:rPr>
                <w:sz w:val="18"/>
              </w:rPr>
              <w:t>fewer to</w:t>
            </w:r>
            <w:r>
              <w:rPr>
                <w:spacing w:val="-1"/>
                <w:sz w:val="18"/>
              </w:rPr>
              <w:t> </w:t>
            </w:r>
            <w:r>
              <w:rPr>
                <w:sz w:val="18"/>
              </w:rPr>
              <w:t>5 </w:t>
            </w:r>
            <w:r>
              <w:rPr>
                <w:spacing w:val="-4"/>
                <w:sz w:val="18"/>
              </w:rPr>
              <w:t>more)</w:t>
            </w:r>
          </w:p>
        </w:tc>
        <w:tc>
          <w:tcPr>
            <w:tcW w:w="2028" w:type="dxa"/>
            <w:tcBorders>
              <w:top w:val="nil"/>
              <w:bottom w:val="nil"/>
            </w:tcBorders>
          </w:tcPr>
          <w:p>
            <w:pPr>
              <w:pStyle w:val="TableParagraph"/>
              <w:rPr>
                <w:rFonts w:ascii="Times New Roman"/>
                <w:sz w:val="18"/>
              </w:rPr>
            </w:pPr>
          </w:p>
        </w:tc>
        <w:tc>
          <w:tcPr>
            <w:tcW w:w="4882" w:type="dxa"/>
            <w:tcBorders>
              <w:top w:val="nil"/>
              <w:bottom w:val="nil"/>
            </w:tcBorders>
          </w:tcPr>
          <w:p>
            <w:pPr>
              <w:pStyle w:val="TableParagraph"/>
              <w:rPr>
                <w:rFonts w:ascii="Times New Roman"/>
                <w:sz w:val="18"/>
              </w:rPr>
            </w:pPr>
          </w:p>
        </w:tc>
      </w:tr>
      <w:tr>
        <w:trPr>
          <w:trHeight w:val="538" w:hRule="atLeast"/>
        </w:trPr>
        <w:tc>
          <w:tcPr>
            <w:tcW w:w="1032" w:type="dxa"/>
            <w:tcBorders>
              <w:top w:val="nil"/>
              <w:bottom w:val="nil"/>
            </w:tcBorders>
          </w:tcPr>
          <w:p>
            <w:pPr>
              <w:pStyle w:val="TableParagraph"/>
              <w:rPr>
                <w:rFonts w:ascii="Times New Roman"/>
                <w:sz w:val="18"/>
              </w:rPr>
            </w:pPr>
          </w:p>
        </w:tc>
        <w:tc>
          <w:tcPr>
            <w:tcW w:w="1010" w:type="dxa"/>
            <w:tcBorders>
              <w:top w:val="nil"/>
            </w:tcBorders>
          </w:tcPr>
          <w:p>
            <w:pPr>
              <w:pStyle w:val="TableParagraph"/>
              <w:rPr>
                <w:rFonts w:ascii="Times New Roman"/>
                <w:sz w:val="18"/>
              </w:rPr>
            </w:pPr>
          </w:p>
        </w:tc>
        <w:tc>
          <w:tcPr>
            <w:tcW w:w="2506" w:type="dxa"/>
            <w:tcBorders>
              <w:top w:val="nil"/>
            </w:tcBorders>
          </w:tcPr>
          <w:p>
            <w:pPr>
              <w:pStyle w:val="TableParagraph"/>
              <w:rPr>
                <w:rFonts w:ascii="Times New Roman"/>
                <w:sz w:val="18"/>
              </w:rPr>
            </w:pPr>
          </w:p>
        </w:tc>
        <w:tc>
          <w:tcPr>
            <w:tcW w:w="2486" w:type="dxa"/>
            <w:gridSpan w:val="2"/>
            <w:tcBorders>
              <w:top w:val="nil"/>
            </w:tcBorders>
          </w:tcPr>
          <w:p>
            <w:pPr>
              <w:pStyle w:val="TableParagraph"/>
              <w:rPr>
                <w:rFonts w:ascii="Times New Roman"/>
                <w:sz w:val="18"/>
              </w:rPr>
            </w:pPr>
          </w:p>
        </w:tc>
        <w:tc>
          <w:tcPr>
            <w:tcW w:w="2028" w:type="dxa"/>
            <w:tcBorders>
              <w:top w:val="nil"/>
            </w:tcBorders>
          </w:tcPr>
          <w:p>
            <w:pPr>
              <w:pStyle w:val="TableParagraph"/>
              <w:rPr>
                <w:rFonts w:ascii="Times New Roman"/>
                <w:sz w:val="18"/>
              </w:rPr>
            </w:pPr>
          </w:p>
        </w:tc>
        <w:tc>
          <w:tcPr>
            <w:tcW w:w="4882" w:type="dxa"/>
            <w:tcBorders>
              <w:top w:val="nil"/>
            </w:tcBorders>
          </w:tcPr>
          <w:p>
            <w:pPr>
              <w:pStyle w:val="TableParagraph"/>
              <w:spacing w:before="122"/>
              <w:ind w:left="8"/>
              <w:rPr>
                <w:sz w:val="18"/>
              </w:rPr>
            </w:pPr>
            <w:r>
              <w:rPr>
                <w:sz w:val="18"/>
              </w:rPr>
              <w:t>(Kawamatsu,</w:t>
            </w:r>
            <w:r>
              <w:rPr>
                <w:spacing w:val="-4"/>
                <w:sz w:val="18"/>
              </w:rPr>
              <w:t> </w:t>
            </w:r>
            <w:r>
              <w:rPr>
                <w:spacing w:val="-2"/>
                <w:sz w:val="18"/>
              </w:rPr>
              <w:t>2021)</w:t>
            </w:r>
          </w:p>
        </w:tc>
      </w:tr>
      <w:tr>
        <w:trPr>
          <w:trHeight w:val="829" w:hRule="atLeast"/>
        </w:trPr>
        <w:tc>
          <w:tcPr>
            <w:tcW w:w="1032" w:type="dxa"/>
            <w:tcBorders>
              <w:top w:val="nil"/>
              <w:bottom w:val="nil"/>
            </w:tcBorders>
          </w:tcPr>
          <w:p>
            <w:pPr>
              <w:pStyle w:val="TableParagraph"/>
              <w:rPr>
                <w:rFonts w:ascii="Times New Roman"/>
                <w:sz w:val="18"/>
              </w:rPr>
            </w:pPr>
          </w:p>
        </w:tc>
        <w:tc>
          <w:tcPr>
            <w:tcW w:w="1010" w:type="dxa"/>
            <w:tcBorders>
              <w:bottom w:val="nil"/>
            </w:tcBorders>
          </w:tcPr>
          <w:p>
            <w:pPr>
              <w:pStyle w:val="TableParagraph"/>
              <w:spacing w:line="278" w:lineRule="auto"/>
              <w:ind w:left="7" w:right="353"/>
              <w:rPr>
                <w:sz w:val="18"/>
              </w:rPr>
            </w:pPr>
            <w:r>
              <w:rPr>
                <w:spacing w:val="-2"/>
                <w:sz w:val="18"/>
              </w:rPr>
              <w:t>Minor</w:t>
            </w:r>
            <w:r>
              <w:rPr>
                <w:sz w:val="18"/>
              </w:rPr>
              <w:t> </w:t>
            </w:r>
            <w:r>
              <w:rPr>
                <w:spacing w:val="-2"/>
                <w:sz w:val="18"/>
              </w:rPr>
              <w:t>bleeding</w:t>
            </w:r>
          </w:p>
        </w:tc>
        <w:tc>
          <w:tcPr>
            <w:tcW w:w="2506" w:type="dxa"/>
            <w:tcBorders>
              <w:bottom w:val="nil"/>
            </w:tcBorders>
          </w:tcPr>
          <w:p>
            <w:pPr>
              <w:pStyle w:val="TableParagraph"/>
              <w:spacing w:line="218" w:lineRule="exact"/>
              <w:ind w:left="7"/>
              <w:rPr>
                <w:b/>
                <w:sz w:val="18"/>
              </w:rPr>
            </w:pPr>
            <w:r>
              <w:rPr>
                <w:sz w:val="18"/>
              </w:rPr>
              <w:t>Relative</w:t>
            </w:r>
            <w:r>
              <w:rPr>
                <w:spacing w:val="-3"/>
                <w:sz w:val="18"/>
              </w:rPr>
              <w:t> </w:t>
            </w:r>
            <w:r>
              <w:rPr>
                <w:sz w:val="18"/>
              </w:rPr>
              <w:t>risk:</w:t>
            </w:r>
            <w:r>
              <w:rPr>
                <w:spacing w:val="-2"/>
                <w:sz w:val="18"/>
              </w:rPr>
              <w:t> </w:t>
            </w:r>
            <w:r>
              <w:rPr>
                <w:b/>
                <w:spacing w:val="-4"/>
                <w:sz w:val="18"/>
              </w:rPr>
              <w:t>1.19</w:t>
            </w:r>
          </w:p>
          <w:p>
            <w:pPr>
              <w:pStyle w:val="TableParagraph"/>
              <w:spacing w:before="195"/>
              <w:ind w:left="7"/>
              <w:rPr>
                <w:sz w:val="18"/>
              </w:rPr>
            </w:pPr>
            <w:r>
              <w:rPr>
                <w:sz w:val="18"/>
              </w:rPr>
              <w:t>(95%</w:t>
            </w:r>
            <w:r>
              <w:rPr>
                <w:spacing w:val="-1"/>
                <w:sz w:val="18"/>
              </w:rPr>
              <w:t> </w:t>
            </w:r>
            <w:r>
              <w:rPr>
                <w:sz w:val="18"/>
              </w:rPr>
              <w:t>CI 0.08 to </w:t>
            </w:r>
            <w:r>
              <w:rPr>
                <w:spacing w:val="-2"/>
                <w:sz w:val="18"/>
              </w:rPr>
              <w:t>18.43)</w:t>
            </w:r>
          </w:p>
        </w:tc>
        <w:tc>
          <w:tcPr>
            <w:tcW w:w="1214" w:type="dxa"/>
          </w:tcPr>
          <w:p>
            <w:pPr>
              <w:pStyle w:val="TableParagraph"/>
              <w:spacing w:line="218" w:lineRule="exact"/>
              <w:ind w:left="5"/>
              <w:rPr>
                <w:b/>
                <w:sz w:val="18"/>
              </w:rPr>
            </w:pPr>
            <w:r>
              <w:rPr>
                <w:b/>
                <w:spacing w:val="-10"/>
                <w:sz w:val="18"/>
              </w:rPr>
              <w:t>3</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line="218" w:lineRule="exact"/>
              <w:ind w:left="8"/>
              <w:rPr>
                <w:b/>
                <w:sz w:val="18"/>
              </w:rPr>
            </w:pPr>
            <w:r>
              <w:rPr>
                <w:b/>
                <w:spacing w:val="-10"/>
                <w:sz w:val="18"/>
              </w:rPr>
              <w:t>2</w:t>
            </w:r>
          </w:p>
          <w:p>
            <w:pPr>
              <w:pStyle w:val="TableParagraph"/>
              <w:spacing w:before="195"/>
              <w:ind w:left="8"/>
              <w:rPr>
                <w:sz w:val="18"/>
              </w:rPr>
            </w:pPr>
            <w:r>
              <w:rPr>
                <w:sz w:val="18"/>
              </w:rPr>
              <w:t>per</w:t>
            </w:r>
            <w:r>
              <w:rPr>
                <w:spacing w:val="-3"/>
                <w:sz w:val="18"/>
              </w:rPr>
              <w:t> </w:t>
            </w:r>
            <w:r>
              <w:rPr>
                <w:spacing w:val="-5"/>
                <w:sz w:val="18"/>
              </w:rPr>
              <w:t>100</w:t>
            </w:r>
          </w:p>
        </w:tc>
        <w:tc>
          <w:tcPr>
            <w:tcW w:w="2028" w:type="dxa"/>
            <w:tcBorders>
              <w:bottom w:val="nil"/>
            </w:tcBorders>
          </w:tcPr>
          <w:p>
            <w:pPr>
              <w:pStyle w:val="TableParagraph"/>
              <w:rPr>
                <w:rFonts w:ascii="Times New Roman"/>
                <w:sz w:val="18"/>
              </w:rPr>
            </w:pPr>
          </w:p>
        </w:tc>
        <w:tc>
          <w:tcPr>
            <w:tcW w:w="4882" w:type="dxa"/>
            <w:tcBorders>
              <w:bottom w:val="nil"/>
            </w:tcBorders>
          </w:tcPr>
          <w:p>
            <w:pPr>
              <w:pStyle w:val="TableParagraph"/>
              <w:rPr>
                <w:rFonts w:ascii="Times New Roman"/>
                <w:sz w:val="18"/>
              </w:rPr>
            </w:pPr>
          </w:p>
        </w:tc>
      </w:tr>
      <w:tr>
        <w:trPr>
          <w:trHeight w:val="1620" w:hRule="atLeast"/>
        </w:trPr>
        <w:tc>
          <w:tcPr>
            <w:tcW w:w="1032" w:type="dxa"/>
            <w:tcBorders>
              <w:top w:val="nil"/>
              <w:bottom w:val="nil"/>
            </w:tcBorders>
          </w:tcPr>
          <w:p>
            <w:pPr>
              <w:pStyle w:val="TableParagraph"/>
              <w:rPr>
                <w:rFonts w:ascii="Times New Roman"/>
                <w:sz w:val="18"/>
              </w:rPr>
            </w:pPr>
          </w:p>
        </w:tc>
        <w:tc>
          <w:tcPr>
            <w:tcW w:w="1010" w:type="dxa"/>
            <w:tcBorders>
              <w:top w:val="nil"/>
              <w:bottom w:val="nil"/>
            </w:tcBorders>
          </w:tcPr>
          <w:p>
            <w:pPr>
              <w:pStyle w:val="TableParagraph"/>
              <w:rPr>
                <w:rFonts w:ascii="Times New Roman"/>
                <w:sz w:val="18"/>
              </w:rPr>
            </w:pPr>
          </w:p>
        </w:tc>
        <w:tc>
          <w:tcPr>
            <w:tcW w:w="2506" w:type="dxa"/>
            <w:tcBorders>
              <w:top w:val="nil"/>
              <w:bottom w:val="nil"/>
            </w:tcBorders>
          </w:tcPr>
          <w:p>
            <w:pPr>
              <w:pStyle w:val="TableParagraph"/>
              <w:spacing w:before="179"/>
              <w:rPr>
                <w:sz w:val="18"/>
              </w:rPr>
            </w:pPr>
          </w:p>
          <w:p>
            <w:pPr>
              <w:pStyle w:val="TableParagraph"/>
              <w:spacing w:line="280" w:lineRule="auto"/>
              <w:ind w:left="7" w:right="734"/>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79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line="217" w:lineRule="exact"/>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2486" w:type="dxa"/>
            <w:gridSpan w:val="2"/>
            <w:tcBorders>
              <w:bottom w:val="nil"/>
            </w:tcBorders>
          </w:tcPr>
          <w:p>
            <w:pPr>
              <w:pStyle w:val="TableParagraph"/>
              <w:rPr>
                <w:sz w:val="18"/>
              </w:rPr>
            </w:pPr>
          </w:p>
          <w:p>
            <w:pPr>
              <w:pStyle w:val="TableParagraph"/>
              <w:rPr>
                <w:sz w:val="18"/>
              </w:rPr>
            </w:pPr>
          </w:p>
          <w:p>
            <w:pPr>
              <w:pStyle w:val="TableParagraph"/>
              <w:spacing w:before="172"/>
              <w:rPr>
                <w:sz w:val="18"/>
              </w:rPr>
            </w:pPr>
          </w:p>
          <w:p>
            <w:pPr>
              <w:pStyle w:val="TableParagraph"/>
              <w:ind w:left="5"/>
              <w:rPr>
                <w:b/>
                <w:sz w:val="18"/>
              </w:rPr>
            </w:pPr>
            <w:r>
              <w:rPr>
                <w:sz w:val="18"/>
              </w:rPr>
              <w:t>Difference:</w:t>
            </w:r>
            <w:r>
              <w:rPr>
                <w:spacing w:val="-3"/>
                <w:sz w:val="18"/>
              </w:rPr>
              <w:t> </w:t>
            </w:r>
            <w:r>
              <w:rPr>
                <w:b/>
                <w:sz w:val="18"/>
              </w:rPr>
              <w:t>0</w:t>
            </w:r>
            <w:r>
              <w:rPr>
                <w:b/>
                <w:spacing w:val="-1"/>
                <w:sz w:val="18"/>
              </w:rPr>
              <w:t> </w:t>
            </w:r>
            <w:r>
              <w:rPr>
                <w:b/>
                <w:sz w:val="18"/>
              </w:rPr>
              <w:t>per</w:t>
            </w:r>
            <w:r>
              <w:rPr>
                <w:b/>
                <w:spacing w:val="-2"/>
                <w:sz w:val="18"/>
              </w:rPr>
              <w:t> </w:t>
            </w:r>
            <w:r>
              <w:rPr>
                <w:b/>
                <w:spacing w:val="-5"/>
                <w:sz w:val="18"/>
              </w:rPr>
              <w:t>100</w:t>
            </w:r>
          </w:p>
          <w:p>
            <w:pPr>
              <w:pStyle w:val="TableParagraph"/>
              <w:spacing w:before="196"/>
              <w:ind w:left="5"/>
              <w:rPr>
                <w:sz w:val="18"/>
              </w:rPr>
            </w:pPr>
            <w:r>
              <w:rPr>
                <w:sz w:val="18"/>
              </w:rPr>
              <w:t>(95%</w:t>
            </w:r>
            <w:r>
              <w:rPr>
                <w:spacing w:val="-3"/>
                <w:sz w:val="18"/>
              </w:rPr>
              <w:t> </w:t>
            </w:r>
            <w:r>
              <w:rPr>
                <w:sz w:val="18"/>
              </w:rPr>
              <w:t>CI 7 fewer</w:t>
            </w:r>
            <w:r>
              <w:rPr>
                <w:spacing w:val="-1"/>
                <w:sz w:val="18"/>
              </w:rPr>
              <w:t> </w:t>
            </w:r>
            <w:r>
              <w:rPr>
                <w:sz w:val="18"/>
              </w:rPr>
              <w:t>to 7 </w:t>
            </w:r>
            <w:r>
              <w:rPr>
                <w:spacing w:val="-4"/>
                <w:sz w:val="18"/>
              </w:rPr>
              <w:t>more)</w:t>
            </w:r>
          </w:p>
        </w:tc>
        <w:tc>
          <w:tcPr>
            <w:tcW w:w="2028" w:type="dxa"/>
            <w:tcBorders>
              <w:top w:val="nil"/>
              <w:bottom w:val="nil"/>
            </w:tcBorders>
          </w:tcPr>
          <w:p>
            <w:pPr>
              <w:pStyle w:val="TableParagraph"/>
              <w:spacing w:before="179"/>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line="278" w:lineRule="auto" w:before="38"/>
              <w:ind w:left="8"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before="1"/>
              <w:ind w:left="8"/>
              <w:rPr>
                <w:position w:val="5"/>
                <w:sz w:val="12"/>
              </w:rPr>
            </w:pPr>
            <w:r>
              <w:rPr>
                <w:sz w:val="18"/>
              </w:rPr>
              <w:t>serious</w:t>
            </w:r>
            <w:r>
              <w:rPr>
                <w:spacing w:val="-5"/>
                <w:sz w:val="18"/>
              </w:rPr>
              <w:t> </w:t>
            </w:r>
            <w:r>
              <w:rPr>
                <w:spacing w:val="-2"/>
                <w:sz w:val="18"/>
              </w:rPr>
              <w:t>imprecision</w:t>
            </w:r>
            <w:r>
              <w:rPr>
                <w:spacing w:val="-2"/>
                <w:position w:val="5"/>
                <w:sz w:val="12"/>
              </w:rPr>
              <w:t>8</w:t>
            </w:r>
          </w:p>
        </w:tc>
        <w:tc>
          <w:tcPr>
            <w:tcW w:w="4882" w:type="dxa"/>
            <w:tcBorders>
              <w:top w:val="nil"/>
              <w:bottom w:val="nil"/>
            </w:tcBorders>
          </w:tcPr>
          <w:p>
            <w:pPr>
              <w:pStyle w:val="TableParagraph"/>
              <w:spacing w:before="179"/>
              <w:rPr>
                <w:sz w:val="18"/>
              </w:rPr>
            </w:pPr>
          </w:p>
          <w:p>
            <w:pPr>
              <w:pStyle w:val="TableParagraph"/>
              <w:spacing w:line="278" w:lineRule="auto"/>
              <w:ind w:left="8" w:right="216"/>
              <w:rPr>
                <w:sz w:val="18"/>
              </w:rPr>
            </w:pPr>
            <w:r>
              <w:rPr>
                <w:sz w:val="18"/>
              </w:rPr>
              <w:t>The evidence is very uncertain about the effect of DOACs on minor</w:t>
            </w:r>
            <w:r>
              <w:rPr>
                <w:spacing w:val="-6"/>
                <w:sz w:val="18"/>
              </w:rPr>
              <w:t> </w:t>
            </w:r>
            <w:r>
              <w:rPr>
                <w:sz w:val="18"/>
              </w:rPr>
              <w:t>bleeding,</w:t>
            </w:r>
            <w:r>
              <w:rPr>
                <w:spacing w:val="-6"/>
                <w:sz w:val="18"/>
              </w:rPr>
              <w:t> </w:t>
            </w:r>
            <w:r>
              <w:rPr>
                <w:sz w:val="18"/>
              </w:rPr>
              <w:t>when</w:t>
            </w:r>
            <w:r>
              <w:rPr>
                <w:spacing w:val="-7"/>
                <w:sz w:val="18"/>
              </w:rPr>
              <w:t> </w:t>
            </w:r>
            <w:r>
              <w:rPr>
                <w:sz w:val="18"/>
              </w:rPr>
              <w:t>compared</w:t>
            </w:r>
            <w:r>
              <w:rPr>
                <w:spacing w:val="-5"/>
                <w:sz w:val="18"/>
              </w:rPr>
              <w:t> </w:t>
            </w:r>
            <w:r>
              <w:rPr>
                <w:sz w:val="18"/>
              </w:rPr>
              <w:t>with</w:t>
            </w:r>
            <w:r>
              <w:rPr>
                <w:spacing w:val="-7"/>
                <w:sz w:val="18"/>
              </w:rPr>
              <w:t> </w:t>
            </w:r>
            <w:r>
              <w:rPr>
                <w:sz w:val="18"/>
              </w:rPr>
              <w:t>antiplatelets</w:t>
            </w:r>
            <w:r>
              <w:rPr>
                <w:spacing w:val="-7"/>
                <w:sz w:val="18"/>
              </w:rPr>
              <w:t> </w:t>
            </w:r>
            <w:r>
              <w:rPr>
                <w:sz w:val="18"/>
              </w:rPr>
              <w:t>in</w:t>
            </w:r>
            <w:r>
              <w:rPr>
                <w:spacing w:val="-7"/>
                <w:sz w:val="18"/>
              </w:rPr>
              <w:t> </w:t>
            </w:r>
            <w:r>
              <w:rPr>
                <w:sz w:val="18"/>
              </w:rPr>
              <w:t>children with an indication for the Fontan procedure</w:t>
            </w:r>
          </w:p>
        </w:tc>
      </w:tr>
      <w:tr>
        <w:trPr>
          <w:trHeight w:val="536" w:hRule="atLeast"/>
        </w:trPr>
        <w:tc>
          <w:tcPr>
            <w:tcW w:w="1032" w:type="dxa"/>
            <w:tcBorders>
              <w:top w:val="nil"/>
            </w:tcBorders>
          </w:tcPr>
          <w:p>
            <w:pPr>
              <w:pStyle w:val="TableParagraph"/>
              <w:rPr>
                <w:rFonts w:ascii="Times New Roman"/>
                <w:sz w:val="18"/>
              </w:rPr>
            </w:pPr>
          </w:p>
        </w:tc>
        <w:tc>
          <w:tcPr>
            <w:tcW w:w="1010" w:type="dxa"/>
            <w:tcBorders>
              <w:top w:val="nil"/>
            </w:tcBorders>
          </w:tcPr>
          <w:p>
            <w:pPr>
              <w:pStyle w:val="TableParagraph"/>
              <w:rPr>
                <w:rFonts w:ascii="Times New Roman"/>
                <w:sz w:val="18"/>
              </w:rPr>
            </w:pPr>
          </w:p>
        </w:tc>
        <w:tc>
          <w:tcPr>
            <w:tcW w:w="2506" w:type="dxa"/>
            <w:tcBorders>
              <w:top w:val="nil"/>
            </w:tcBorders>
          </w:tcPr>
          <w:p>
            <w:pPr>
              <w:pStyle w:val="TableParagraph"/>
              <w:rPr>
                <w:rFonts w:ascii="Times New Roman"/>
                <w:sz w:val="18"/>
              </w:rPr>
            </w:pPr>
          </w:p>
        </w:tc>
        <w:tc>
          <w:tcPr>
            <w:tcW w:w="2486" w:type="dxa"/>
            <w:gridSpan w:val="2"/>
            <w:tcBorders>
              <w:top w:val="nil"/>
            </w:tcBorders>
          </w:tcPr>
          <w:p>
            <w:pPr>
              <w:pStyle w:val="TableParagraph"/>
              <w:rPr>
                <w:rFonts w:ascii="Times New Roman"/>
                <w:sz w:val="18"/>
              </w:rPr>
            </w:pPr>
          </w:p>
        </w:tc>
        <w:tc>
          <w:tcPr>
            <w:tcW w:w="2028" w:type="dxa"/>
            <w:tcBorders>
              <w:top w:val="nil"/>
            </w:tcBorders>
          </w:tcPr>
          <w:p>
            <w:pPr>
              <w:pStyle w:val="TableParagraph"/>
              <w:rPr>
                <w:rFonts w:ascii="Times New Roman"/>
                <w:sz w:val="18"/>
              </w:rPr>
            </w:pPr>
          </w:p>
        </w:tc>
        <w:tc>
          <w:tcPr>
            <w:tcW w:w="4882" w:type="dxa"/>
            <w:tcBorders>
              <w:top w:val="nil"/>
            </w:tcBorders>
          </w:tcPr>
          <w:p>
            <w:pPr>
              <w:pStyle w:val="TableParagraph"/>
              <w:spacing w:before="121"/>
              <w:ind w:left="8"/>
              <w:rPr>
                <w:sz w:val="18"/>
              </w:rPr>
            </w:pPr>
            <w:r>
              <w:rPr>
                <w:sz w:val="18"/>
              </w:rPr>
              <w:t>(Kawamatsu,</w:t>
            </w:r>
            <w:r>
              <w:rPr>
                <w:spacing w:val="-4"/>
                <w:sz w:val="18"/>
              </w:rPr>
              <w:t> </w:t>
            </w:r>
            <w:r>
              <w:rPr>
                <w:spacing w:val="-2"/>
                <w:sz w:val="18"/>
              </w:rPr>
              <w:t>2021)</w:t>
            </w:r>
          </w:p>
        </w:tc>
      </w:tr>
      <w:tr>
        <w:trPr>
          <w:trHeight w:val="602" w:hRule="atLeast"/>
        </w:trPr>
        <w:tc>
          <w:tcPr>
            <w:tcW w:w="2042" w:type="dxa"/>
            <w:gridSpan w:val="2"/>
            <w:tcBorders>
              <w:bottom w:val="nil"/>
            </w:tcBorders>
          </w:tcPr>
          <w:p>
            <w:pPr>
              <w:pStyle w:val="TableParagraph"/>
              <w:numPr>
                <w:ilvl w:val="0"/>
                <w:numId w:val="56"/>
              </w:numPr>
              <w:tabs>
                <w:tab w:pos="727" w:val="left" w:leader="none"/>
              </w:tabs>
              <w:spacing w:line="271" w:lineRule="auto" w:before="2" w:after="0"/>
              <w:ind w:left="727" w:right="451" w:hanging="360"/>
              <w:jc w:val="left"/>
              <w:rPr>
                <w:sz w:val="18"/>
              </w:rPr>
            </w:pPr>
            <w:r>
              <w:rPr>
                <w:spacing w:val="-2"/>
                <w:sz w:val="18"/>
              </w:rPr>
              <w:t>Mortality</w:t>
            </w:r>
            <w:r>
              <w:rPr>
                <w:sz w:val="18"/>
              </w:rPr>
              <w:t> </w:t>
            </w:r>
            <w:r>
              <w:rPr>
                <w:spacing w:val="-2"/>
                <w:sz w:val="18"/>
              </w:rPr>
              <w:t>(important)</w:t>
            </w:r>
          </w:p>
        </w:tc>
        <w:tc>
          <w:tcPr>
            <w:tcW w:w="2506" w:type="dxa"/>
            <w:tcBorders>
              <w:bottom w:val="nil"/>
            </w:tcBorders>
          </w:tcPr>
          <w:p>
            <w:pPr>
              <w:pStyle w:val="TableParagraph"/>
              <w:rPr>
                <w:rFonts w:ascii="Times New Roman"/>
                <w:sz w:val="18"/>
              </w:rPr>
            </w:pPr>
          </w:p>
        </w:tc>
        <w:tc>
          <w:tcPr>
            <w:tcW w:w="2486" w:type="dxa"/>
            <w:gridSpan w:val="2"/>
            <w:tcBorders>
              <w:bottom w:val="nil"/>
            </w:tcBorders>
          </w:tcPr>
          <w:p>
            <w:pPr>
              <w:pStyle w:val="TableParagraph"/>
              <w:rPr>
                <w:rFonts w:ascii="Times New Roman"/>
                <w:sz w:val="18"/>
              </w:rPr>
            </w:pPr>
          </w:p>
        </w:tc>
        <w:tc>
          <w:tcPr>
            <w:tcW w:w="2028" w:type="dxa"/>
            <w:tcBorders>
              <w:bottom w:val="nil"/>
            </w:tcBorders>
          </w:tcPr>
          <w:p>
            <w:pPr>
              <w:pStyle w:val="TableParagraph"/>
              <w:rPr>
                <w:rFonts w:ascii="Times New Roman"/>
                <w:sz w:val="18"/>
              </w:rPr>
            </w:pPr>
          </w:p>
        </w:tc>
        <w:tc>
          <w:tcPr>
            <w:tcW w:w="4882" w:type="dxa"/>
            <w:tcBorders>
              <w:bottom w:val="nil"/>
            </w:tcBorders>
          </w:tcPr>
          <w:p>
            <w:pPr>
              <w:pStyle w:val="TableParagraph"/>
              <w:rPr>
                <w:rFonts w:ascii="Times New Roman"/>
                <w:sz w:val="18"/>
              </w:rPr>
            </w:pPr>
          </w:p>
        </w:tc>
      </w:tr>
      <w:tr>
        <w:trPr>
          <w:trHeight w:val="639" w:hRule="atLeast"/>
        </w:trPr>
        <w:tc>
          <w:tcPr>
            <w:tcW w:w="2042" w:type="dxa"/>
            <w:gridSpan w:val="2"/>
            <w:tcBorders>
              <w:top w:val="nil"/>
              <w:bottom w:val="nil"/>
            </w:tcBorders>
          </w:tcPr>
          <w:p>
            <w:pPr>
              <w:pStyle w:val="TableParagraph"/>
              <w:numPr>
                <w:ilvl w:val="0"/>
                <w:numId w:val="57"/>
              </w:numPr>
              <w:tabs>
                <w:tab w:pos="727" w:val="left" w:leader="none"/>
              </w:tabs>
              <w:spacing w:line="250" w:lineRule="atLeast" w:before="100" w:after="0"/>
              <w:ind w:left="727" w:right="161" w:hanging="360"/>
              <w:jc w:val="left"/>
              <w:rPr>
                <w:sz w:val="18"/>
              </w:rPr>
            </w:pPr>
            <w:r>
              <w:rPr>
                <w:sz w:val="18"/>
              </w:rPr>
              <w:t>Ischemic</w:t>
            </w:r>
            <w:r>
              <w:rPr>
                <w:spacing w:val="-11"/>
                <w:sz w:val="18"/>
              </w:rPr>
              <w:t> </w:t>
            </w:r>
            <w:r>
              <w:rPr>
                <w:sz w:val="18"/>
              </w:rPr>
              <w:t>stroke </w:t>
            </w:r>
            <w:r>
              <w:rPr>
                <w:spacing w:val="-2"/>
                <w:sz w:val="18"/>
              </w:rPr>
              <w:t>(important)</w:t>
            </w:r>
          </w:p>
        </w:tc>
        <w:tc>
          <w:tcPr>
            <w:tcW w:w="2506" w:type="dxa"/>
            <w:tcBorders>
              <w:top w:val="nil"/>
              <w:bottom w:val="nil"/>
            </w:tcBorders>
          </w:tcPr>
          <w:p>
            <w:pPr>
              <w:pStyle w:val="TableParagraph"/>
              <w:rPr>
                <w:rFonts w:ascii="Times New Roman"/>
                <w:sz w:val="18"/>
              </w:rPr>
            </w:pPr>
          </w:p>
        </w:tc>
        <w:tc>
          <w:tcPr>
            <w:tcW w:w="2486" w:type="dxa"/>
            <w:gridSpan w:val="2"/>
            <w:tcBorders>
              <w:top w:val="nil"/>
              <w:bottom w:val="nil"/>
            </w:tcBorders>
          </w:tcPr>
          <w:p>
            <w:pPr>
              <w:pStyle w:val="TableParagraph"/>
              <w:rPr>
                <w:rFonts w:ascii="Times New Roman"/>
                <w:sz w:val="18"/>
              </w:rPr>
            </w:pPr>
          </w:p>
        </w:tc>
        <w:tc>
          <w:tcPr>
            <w:tcW w:w="2028" w:type="dxa"/>
            <w:tcBorders>
              <w:top w:val="nil"/>
              <w:bottom w:val="nil"/>
            </w:tcBorders>
          </w:tcPr>
          <w:p>
            <w:pPr>
              <w:pStyle w:val="TableParagraph"/>
              <w:rPr>
                <w:rFonts w:ascii="Times New Roman"/>
                <w:sz w:val="18"/>
              </w:rPr>
            </w:pPr>
          </w:p>
        </w:tc>
        <w:tc>
          <w:tcPr>
            <w:tcW w:w="4882" w:type="dxa"/>
            <w:tcBorders>
              <w:top w:val="nil"/>
              <w:bottom w:val="nil"/>
            </w:tcBorders>
          </w:tcPr>
          <w:p>
            <w:pPr>
              <w:pStyle w:val="TableParagraph"/>
              <w:rPr>
                <w:rFonts w:ascii="Times New Roman"/>
                <w:sz w:val="18"/>
              </w:rPr>
            </w:pPr>
          </w:p>
        </w:tc>
      </w:tr>
      <w:tr>
        <w:trPr>
          <w:trHeight w:val="1188" w:hRule="atLeast"/>
        </w:trPr>
        <w:tc>
          <w:tcPr>
            <w:tcW w:w="2042" w:type="dxa"/>
            <w:gridSpan w:val="2"/>
            <w:tcBorders>
              <w:top w:val="nil"/>
            </w:tcBorders>
          </w:tcPr>
          <w:p>
            <w:pPr>
              <w:pStyle w:val="TableParagraph"/>
              <w:numPr>
                <w:ilvl w:val="0"/>
                <w:numId w:val="58"/>
              </w:numPr>
              <w:tabs>
                <w:tab w:pos="727" w:val="left" w:leader="none"/>
              </w:tabs>
              <w:spacing w:line="273" w:lineRule="auto" w:before="159" w:after="0"/>
              <w:ind w:left="727" w:right="313" w:hanging="360"/>
              <w:jc w:val="left"/>
              <w:rPr>
                <w:sz w:val="18"/>
              </w:rPr>
            </w:pPr>
            <w:r>
              <w:rPr>
                <w:sz w:val="18"/>
              </w:rPr>
              <w:t>Quality</w:t>
            </w:r>
            <w:r>
              <w:rPr>
                <w:spacing w:val="-11"/>
                <w:sz w:val="18"/>
              </w:rPr>
              <w:t> </w:t>
            </w:r>
            <w:r>
              <w:rPr>
                <w:sz w:val="18"/>
              </w:rPr>
              <w:t>of</w:t>
            </w:r>
            <w:r>
              <w:rPr>
                <w:spacing w:val="-10"/>
                <w:sz w:val="18"/>
              </w:rPr>
              <w:t> </w:t>
            </w:r>
            <w:r>
              <w:rPr>
                <w:sz w:val="18"/>
              </w:rPr>
              <w:t>life </w:t>
            </w:r>
            <w:r>
              <w:rPr>
                <w:spacing w:val="-2"/>
                <w:sz w:val="18"/>
              </w:rPr>
              <w:t>(QOL)</w:t>
            </w:r>
          </w:p>
          <w:p>
            <w:pPr>
              <w:pStyle w:val="TableParagraph"/>
              <w:spacing w:before="8"/>
              <w:ind w:left="727"/>
              <w:rPr>
                <w:sz w:val="18"/>
              </w:rPr>
            </w:pPr>
            <w:r>
              <w:rPr>
                <w:spacing w:val="-2"/>
                <w:sz w:val="18"/>
              </w:rPr>
              <w:t>(important)</w:t>
            </w:r>
          </w:p>
        </w:tc>
        <w:tc>
          <w:tcPr>
            <w:tcW w:w="2506" w:type="dxa"/>
            <w:tcBorders>
              <w:top w:val="nil"/>
            </w:tcBorders>
          </w:tcPr>
          <w:p>
            <w:pPr>
              <w:pStyle w:val="TableParagraph"/>
              <w:spacing w:before="200"/>
              <w:rPr>
                <w:sz w:val="18"/>
              </w:rPr>
            </w:pPr>
          </w:p>
          <w:p>
            <w:pPr>
              <w:pStyle w:val="TableParagraph"/>
              <w:ind w:left="7"/>
              <w:rPr>
                <w:sz w:val="18"/>
              </w:rPr>
            </w:pPr>
            <w:r>
              <w:rPr>
                <w:spacing w:val="-10"/>
                <w:sz w:val="18"/>
              </w:rPr>
              <w:t>-</w:t>
            </w:r>
          </w:p>
        </w:tc>
        <w:tc>
          <w:tcPr>
            <w:tcW w:w="2486" w:type="dxa"/>
            <w:gridSpan w:val="2"/>
            <w:tcBorders>
              <w:top w:val="nil"/>
            </w:tcBorders>
          </w:tcPr>
          <w:p>
            <w:pPr>
              <w:pStyle w:val="TableParagraph"/>
              <w:spacing w:before="200"/>
              <w:rPr>
                <w:sz w:val="18"/>
              </w:rPr>
            </w:pPr>
          </w:p>
          <w:p>
            <w:pPr>
              <w:pStyle w:val="TableParagraph"/>
              <w:ind w:left="5"/>
              <w:rPr>
                <w:sz w:val="18"/>
              </w:rPr>
            </w:pPr>
            <w:r>
              <w:rPr>
                <w:spacing w:val="-10"/>
                <w:sz w:val="18"/>
              </w:rPr>
              <w:t>-</w:t>
            </w:r>
          </w:p>
        </w:tc>
        <w:tc>
          <w:tcPr>
            <w:tcW w:w="2028" w:type="dxa"/>
            <w:tcBorders>
              <w:top w:val="nil"/>
            </w:tcBorders>
          </w:tcPr>
          <w:p>
            <w:pPr>
              <w:pStyle w:val="TableParagraph"/>
              <w:spacing w:before="200"/>
              <w:rPr>
                <w:sz w:val="18"/>
              </w:rPr>
            </w:pPr>
          </w:p>
          <w:p>
            <w:pPr>
              <w:pStyle w:val="TableParagraph"/>
              <w:ind w:left="8"/>
              <w:rPr>
                <w:b/>
                <w:sz w:val="18"/>
              </w:rPr>
            </w:pPr>
            <w:r>
              <w:rPr>
                <w:b/>
                <w:sz w:val="18"/>
              </w:rPr>
              <w:t>No</w:t>
            </w:r>
            <w:r>
              <w:rPr>
                <w:b/>
                <w:spacing w:val="-5"/>
                <w:sz w:val="18"/>
              </w:rPr>
              <w:t> </w:t>
            </w:r>
            <w:r>
              <w:rPr>
                <w:b/>
                <w:spacing w:val="-2"/>
                <w:sz w:val="18"/>
              </w:rPr>
              <w:t>GRADE</w:t>
            </w:r>
          </w:p>
          <w:p>
            <w:pPr>
              <w:pStyle w:val="TableParagraph"/>
              <w:spacing w:before="35"/>
              <w:ind w:left="8"/>
              <w:rPr>
                <w:sz w:val="18"/>
              </w:rPr>
            </w:pPr>
            <w:r>
              <w:rPr>
                <w:sz w:val="18"/>
              </w:rPr>
              <w:t>(No</w:t>
            </w:r>
            <w:r>
              <w:rPr>
                <w:spacing w:val="-4"/>
                <w:sz w:val="18"/>
              </w:rPr>
              <w:t> </w:t>
            </w:r>
            <w:r>
              <w:rPr>
                <w:sz w:val="18"/>
              </w:rPr>
              <w:t>evidence</w:t>
            </w:r>
            <w:r>
              <w:rPr>
                <w:spacing w:val="-4"/>
                <w:sz w:val="18"/>
              </w:rPr>
              <w:t> </w:t>
            </w:r>
            <w:r>
              <w:rPr>
                <w:sz w:val="18"/>
              </w:rPr>
              <w:t>was</w:t>
            </w:r>
            <w:r>
              <w:rPr>
                <w:spacing w:val="-3"/>
                <w:sz w:val="18"/>
              </w:rPr>
              <w:t> </w:t>
            </w:r>
            <w:r>
              <w:rPr>
                <w:spacing w:val="-2"/>
                <w:sz w:val="18"/>
              </w:rPr>
              <w:t>found)</w:t>
            </w:r>
          </w:p>
        </w:tc>
        <w:tc>
          <w:tcPr>
            <w:tcW w:w="4882" w:type="dxa"/>
            <w:tcBorders>
              <w:top w:val="nil"/>
            </w:tcBorders>
          </w:tcPr>
          <w:p>
            <w:pPr>
              <w:pStyle w:val="TableParagraph"/>
              <w:spacing w:line="278" w:lineRule="auto" w:before="4"/>
              <w:ind w:left="8"/>
              <w:rPr>
                <w:sz w:val="18"/>
              </w:rPr>
            </w:pPr>
            <w:r>
              <w:rPr>
                <w:sz w:val="18"/>
              </w:rPr>
              <w:t>No evidence was found regarding the effect of DOACs on mortality, ischemic stroke, quality of life (QOL), and adverse events,</w:t>
            </w:r>
            <w:r>
              <w:rPr>
                <w:spacing w:val="-4"/>
                <w:sz w:val="18"/>
              </w:rPr>
              <w:t> </w:t>
            </w:r>
            <w:r>
              <w:rPr>
                <w:sz w:val="18"/>
              </w:rPr>
              <w:t>when</w:t>
            </w:r>
            <w:r>
              <w:rPr>
                <w:spacing w:val="-5"/>
                <w:sz w:val="18"/>
              </w:rPr>
              <w:t> </w:t>
            </w:r>
            <w:r>
              <w:rPr>
                <w:sz w:val="18"/>
              </w:rPr>
              <w:t>compared</w:t>
            </w:r>
            <w:r>
              <w:rPr>
                <w:spacing w:val="-5"/>
                <w:sz w:val="18"/>
              </w:rPr>
              <w:t> </w:t>
            </w:r>
            <w:r>
              <w:rPr>
                <w:sz w:val="18"/>
              </w:rPr>
              <w:t>with</w:t>
            </w:r>
            <w:r>
              <w:rPr>
                <w:spacing w:val="-6"/>
                <w:sz w:val="18"/>
              </w:rPr>
              <w:t> </w:t>
            </w:r>
            <w:r>
              <w:rPr>
                <w:sz w:val="18"/>
              </w:rPr>
              <w:t>antiplatelets</w:t>
            </w:r>
            <w:r>
              <w:rPr>
                <w:spacing w:val="-6"/>
                <w:sz w:val="18"/>
              </w:rPr>
              <w:t> </w:t>
            </w:r>
            <w:r>
              <w:rPr>
                <w:sz w:val="18"/>
              </w:rPr>
              <w:t>in</w:t>
            </w:r>
            <w:r>
              <w:rPr>
                <w:spacing w:val="-5"/>
                <w:sz w:val="18"/>
              </w:rPr>
              <w:t> </w:t>
            </w:r>
            <w:r>
              <w:rPr>
                <w:sz w:val="18"/>
              </w:rPr>
              <w:t>children</w:t>
            </w:r>
            <w:r>
              <w:rPr>
                <w:spacing w:val="-5"/>
                <w:sz w:val="18"/>
              </w:rPr>
              <w:t> </w:t>
            </w:r>
            <w:r>
              <w:rPr>
                <w:sz w:val="18"/>
              </w:rPr>
              <w:t>with</w:t>
            </w:r>
            <w:r>
              <w:rPr>
                <w:spacing w:val="-4"/>
                <w:sz w:val="18"/>
              </w:rPr>
              <w:t> </w:t>
            </w:r>
            <w:r>
              <w:rPr>
                <w:sz w:val="18"/>
              </w:rPr>
              <w:t>an indication for the Fontan procedure</w:t>
            </w:r>
          </w:p>
        </w:tc>
      </w:tr>
    </w:tbl>
    <w:p>
      <w:pPr>
        <w:pStyle w:val="TableParagraph"/>
        <w:spacing w:after="0" w:line="278" w:lineRule="auto"/>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32"/>
        <w:gridCol w:w="1010"/>
        <w:gridCol w:w="2506"/>
        <w:gridCol w:w="1214"/>
        <w:gridCol w:w="1272"/>
        <w:gridCol w:w="2028"/>
        <w:gridCol w:w="4882"/>
      </w:tblGrid>
      <w:tr>
        <w:trPr>
          <w:trHeight w:val="700" w:hRule="atLeast"/>
        </w:trPr>
        <w:tc>
          <w:tcPr>
            <w:tcW w:w="2042" w:type="dxa"/>
            <w:gridSpan w:val="2"/>
          </w:tcPr>
          <w:p>
            <w:pPr>
              <w:pStyle w:val="TableParagraph"/>
              <w:numPr>
                <w:ilvl w:val="0"/>
                <w:numId w:val="59"/>
              </w:numPr>
              <w:tabs>
                <w:tab w:pos="727" w:val="left" w:leader="none"/>
              </w:tabs>
              <w:spacing w:line="273" w:lineRule="auto" w:before="0" w:after="0"/>
              <w:ind w:left="727" w:right="181" w:hanging="360"/>
              <w:jc w:val="left"/>
              <w:rPr>
                <w:sz w:val="18"/>
              </w:rPr>
            </w:pPr>
            <w:r>
              <w:rPr>
                <w:sz w:val="18"/>
              </w:rPr>
              <w:t>Adverse</w:t>
            </w:r>
            <w:r>
              <w:rPr>
                <w:spacing w:val="-11"/>
                <w:sz w:val="18"/>
              </w:rPr>
              <w:t> </w:t>
            </w:r>
            <w:r>
              <w:rPr>
                <w:sz w:val="18"/>
              </w:rPr>
              <w:t>events </w:t>
            </w:r>
            <w:r>
              <w:rPr>
                <w:spacing w:val="-2"/>
                <w:sz w:val="18"/>
              </w:rPr>
              <w:t>(important)</w:t>
            </w:r>
          </w:p>
        </w:tc>
        <w:tc>
          <w:tcPr>
            <w:tcW w:w="2506" w:type="dxa"/>
          </w:tcPr>
          <w:p>
            <w:pPr>
              <w:pStyle w:val="TableParagraph"/>
              <w:rPr>
                <w:rFonts w:ascii="Times New Roman"/>
                <w:sz w:val="16"/>
              </w:rPr>
            </w:pPr>
          </w:p>
        </w:tc>
        <w:tc>
          <w:tcPr>
            <w:tcW w:w="2486" w:type="dxa"/>
            <w:gridSpan w:val="2"/>
          </w:tcPr>
          <w:p>
            <w:pPr>
              <w:pStyle w:val="TableParagraph"/>
              <w:rPr>
                <w:rFonts w:ascii="Times New Roman"/>
                <w:sz w:val="16"/>
              </w:rPr>
            </w:pPr>
          </w:p>
        </w:tc>
        <w:tc>
          <w:tcPr>
            <w:tcW w:w="2028" w:type="dxa"/>
          </w:tcPr>
          <w:p>
            <w:pPr>
              <w:pStyle w:val="TableParagraph"/>
              <w:rPr>
                <w:rFonts w:ascii="Times New Roman"/>
                <w:sz w:val="16"/>
              </w:rPr>
            </w:pPr>
          </w:p>
        </w:tc>
        <w:tc>
          <w:tcPr>
            <w:tcW w:w="4882" w:type="dxa"/>
          </w:tcPr>
          <w:p>
            <w:pPr>
              <w:pStyle w:val="TableParagraph"/>
              <w:rPr>
                <w:rFonts w:ascii="Times New Roman"/>
                <w:sz w:val="16"/>
              </w:rPr>
            </w:pPr>
          </w:p>
        </w:tc>
      </w:tr>
      <w:tr>
        <w:trPr>
          <w:trHeight w:val="414" w:hRule="atLeast"/>
        </w:trPr>
        <w:tc>
          <w:tcPr>
            <w:tcW w:w="13944" w:type="dxa"/>
            <w:gridSpan w:val="7"/>
            <w:shd w:val="clear" w:color="auto" w:fill="D0CECE"/>
          </w:tcPr>
          <w:p>
            <w:pPr>
              <w:pStyle w:val="TableParagraph"/>
              <w:spacing w:line="218" w:lineRule="exact"/>
              <w:ind w:left="6"/>
              <w:rPr>
                <w:b/>
                <w:i/>
                <w:sz w:val="18"/>
              </w:rPr>
            </w:pPr>
            <w:r>
              <w:rPr>
                <w:b/>
                <w:i/>
                <w:sz w:val="18"/>
              </w:rPr>
              <w:t>DOACs</w:t>
            </w:r>
            <w:r>
              <w:rPr>
                <w:b/>
                <w:i/>
                <w:spacing w:val="-2"/>
                <w:sz w:val="18"/>
              </w:rPr>
              <w:t> </w:t>
            </w:r>
            <w:r>
              <w:rPr>
                <w:b/>
                <w:i/>
                <w:sz w:val="18"/>
              </w:rPr>
              <w:t>versus</w:t>
            </w:r>
            <w:r>
              <w:rPr>
                <w:b/>
                <w:i/>
                <w:spacing w:val="-1"/>
                <w:sz w:val="18"/>
              </w:rPr>
              <w:t> </w:t>
            </w:r>
            <w:r>
              <w:rPr>
                <w:b/>
                <w:i/>
                <w:spacing w:val="-4"/>
                <w:sz w:val="18"/>
              </w:rPr>
              <w:t>VKAs</w:t>
            </w:r>
          </w:p>
        </w:tc>
      </w:tr>
      <w:tr>
        <w:trPr>
          <w:trHeight w:val="416" w:hRule="atLeast"/>
        </w:trPr>
        <w:tc>
          <w:tcPr>
            <w:tcW w:w="2042" w:type="dxa"/>
            <w:gridSpan w:val="2"/>
          </w:tcPr>
          <w:p>
            <w:pPr>
              <w:pStyle w:val="TableParagraph"/>
              <w:rPr>
                <w:rFonts w:ascii="Times New Roman"/>
                <w:sz w:val="16"/>
              </w:rPr>
            </w:pPr>
          </w:p>
        </w:tc>
        <w:tc>
          <w:tcPr>
            <w:tcW w:w="2506" w:type="dxa"/>
          </w:tcPr>
          <w:p>
            <w:pPr>
              <w:pStyle w:val="TableParagraph"/>
              <w:rPr>
                <w:rFonts w:ascii="Times New Roman"/>
                <w:sz w:val="16"/>
              </w:rPr>
            </w:pPr>
          </w:p>
        </w:tc>
        <w:tc>
          <w:tcPr>
            <w:tcW w:w="1214" w:type="dxa"/>
          </w:tcPr>
          <w:p>
            <w:pPr>
              <w:pStyle w:val="TableParagraph"/>
              <w:spacing w:before="1"/>
              <w:ind w:left="5"/>
              <w:rPr>
                <w:sz w:val="18"/>
              </w:rPr>
            </w:pPr>
            <w:r>
              <w:rPr>
                <w:spacing w:val="-4"/>
                <w:sz w:val="18"/>
              </w:rPr>
              <w:t>DOACs</w:t>
            </w:r>
          </w:p>
        </w:tc>
        <w:tc>
          <w:tcPr>
            <w:tcW w:w="1272" w:type="dxa"/>
          </w:tcPr>
          <w:p>
            <w:pPr>
              <w:pStyle w:val="TableParagraph"/>
              <w:spacing w:before="1"/>
              <w:ind w:left="8"/>
              <w:rPr>
                <w:sz w:val="18"/>
              </w:rPr>
            </w:pPr>
            <w:r>
              <w:rPr>
                <w:spacing w:val="-4"/>
                <w:sz w:val="18"/>
              </w:rPr>
              <w:t>VKAs</w:t>
            </w:r>
          </w:p>
        </w:tc>
        <w:tc>
          <w:tcPr>
            <w:tcW w:w="2028" w:type="dxa"/>
          </w:tcPr>
          <w:p>
            <w:pPr>
              <w:pStyle w:val="TableParagraph"/>
              <w:rPr>
                <w:rFonts w:ascii="Times New Roman"/>
                <w:sz w:val="16"/>
              </w:rPr>
            </w:pPr>
          </w:p>
        </w:tc>
        <w:tc>
          <w:tcPr>
            <w:tcW w:w="4882" w:type="dxa"/>
          </w:tcPr>
          <w:p>
            <w:pPr>
              <w:pStyle w:val="TableParagraph"/>
              <w:rPr>
                <w:rFonts w:ascii="Times New Roman"/>
                <w:sz w:val="16"/>
              </w:rPr>
            </w:pPr>
          </w:p>
        </w:tc>
      </w:tr>
      <w:tr>
        <w:trPr>
          <w:trHeight w:val="829" w:hRule="atLeast"/>
        </w:trPr>
        <w:tc>
          <w:tcPr>
            <w:tcW w:w="2042" w:type="dxa"/>
            <w:gridSpan w:val="2"/>
            <w:vMerge w:val="restart"/>
          </w:tcPr>
          <w:p>
            <w:pPr>
              <w:pStyle w:val="TableParagraph"/>
              <w:spacing w:line="280" w:lineRule="auto"/>
              <w:ind w:left="6" w:right="104"/>
              <w:rPr>
                <w:sz w:val="18"/>
              </w:rPr>
            </w:pPr>
            <w:r>
              <w:rPr>
                <w:sz w:val="18"/>
              </w:rPr>
              <w:t>Thrombotic</w:t>
            </w:r>
            <w:r>
              <w:rPr>
                <w:spacing w:val="-11"/>
                <w:sz w:val="18"/>
              </w:rPr>
              <w:t> </w:t>
            </w:r>
            <w:r>
              <w:rPr>
                <w:sz w:val="18"/>
              </w:rPr>
              <w:t>complications </w:t>
            </w:r>
            <w:r>
              <w:rPr>
                <w:spacing w:val="-2"/>
                <w:sz w:val="18"/>
              </w:rPr>
              <w:t>(critical)</w:t>
            </w:r>
          </w:p>
        </w:tc>
        <w:tc>
          <w:tcPr>
            <w:tcW w:w="2506" w:type="dxa"/>
            <w:vMerge w:val="restart"/>
          </w:tcPr>
          <w:p>
            <w:pPr>
              <w:pStyle w:val="TableParagraph"/>
              <w:spacing w:line="218" w:lineRule="exact"/>
              <w:ind w:left="7"/>
              <w:rPr>
                <w:b/>
                <w:sz w:val="18"/>
              </w:rPr>
            </w:pPr>
            <w:r>
              <w:rPr>
                <w:sz w:val="18"/>
              </w:rPr>
              <w:t>Relative</w:t>
            </w:r>
            <w:r>
              <w:rPr>
                <w:spacing w:val="-3"/>
                <w:sz w:val="18"/>
              </w:rPr>
              <w:t> </w:t>
            </w:r>
            <w:r>
              <w:rPr>
                <w:sz w:val="18"/>
              </w:rPr>
              <w:t>risk:</w:t>
            </w:r>
            <w:r>
              <w:rPr>
                <w:spacing w:val="-2"/>
                <w:sz w:val="18"/>
              </w:rPr>
              <w:t> </w:t>
            </w:r>
            <w:r>
              <w:rPr>
                <w:b/>
                <w:spacing w:val="-4"/>
                <w:sz w:val="18"/>
              </w:rPr>
              <w:t>0.10</w:t>
            </w:r>
          </w:p>
          <w:p>
            <w:pPr>
              <w:pStyle w:val="TableParagraph"/>
              <w:spacing w:before="195"/>
              <w:ind w:left="7"/>
              <w:rPr>
                <w:sz w:val="18"/>
              </w:rPr>
            </w:pPr>
            <w:r>
              <w:rPr>
                <w:sz w:val="18"/>
              </w:rPr>
              <w:t>(95%</w:t>
            </w:r>
            <w:r>
              <w:rPr>
                <w:spacing w:val="-1"/>
                <w:sz w:val="18"/>
              </w:rPr>
              <w:t> </w:t>
            </w:r>
            <w:r>
              <w:rPr>
                <w:sz w:val="18"/>
              </w:rPr>
              <w:t>CI 0.01 to </w:t>
            </w:r>
            <w:r>
              <w:rPr>
                <w:spacing w:val="-4"/>
                <w:sz w:val="18"/>
              </w:rPr>
              <w:t>1.80)</w:t>
            </w:r>
          </w:p>
          <w:p>
            <w:pPr>
              <w:pStyle w:val="TableParagraph"/>
              <w:rPr>
                <w:sz w:val="18"/>
              </w:rPr>
            </w:pPr>
          </w:p>
          <w:p>
            <w:pPr>
              <w:pStyle w:val="TableParagraph"/>
              <w:spacing w:before="172"/>
              <w:rPr>
                <w:sz w:val="18"/>
              </w:rPr>
            </w:pPr>
          </w:p>
          <w:p>
            <w:pPr>
              <w:pStyle w:val="TableParagraph"/>
              <w:spacing w:line="280" w:lineRule="auto"/>
              <w:ind w:left="7" w:right="643"/>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77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line="217" w:lineRule="exact"/>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1214" w:type="dxa"/>
          </w:tcPr>
          <w:p>
            <w:pPr>
              <w:pStyle w:val="TableParagraph"/>
              <w:spacing w:line="218" w:lineRule="exact"/>
              <w:ind w:left="5"/>
              <w:rPr>
                <w:b/>
                <w:sz w:val="18"/>
              </w:rPr>
            </w:pPr>
            <w:r>
              <w:rPr>
                <w:b/>
                <w:spacing w:val="-10"/>
                <w:sz w:val="18"/>
              </w:rPr>
              <w:t>0</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line="218" w:lineRule="exact"/>
              <w:ind w:left="8"/>
              <w:rPr>
                <w:b/>
                <w:sz w:val="18"/>
              </w:rPr>
            </w:pPr>
            <w:r>
              <w:rPr>
                <w:b/>
                <w:spacing w:val="-5"/>
                <w:sz w:val="18"/>
              </w:rPr>
              <w:t>12</w:t>
            </w:r>
          </w:p>
          <w:p>
            <w:pPr>
              <w:pStyle w:val="TableParagraph"/>
              <w:spacing w:before="195"/>
              <w:ind w:left="8"/>
              <w:rPr>
                <w:sz w:val="18"/>
              </w:rPr>
            </w:pPr>
            <w:r>
              <w:rPr>
                <w:sz w:val="18"/>
              </w:rPr>
              <w:t>per</w:t>
            </w:r>
            <w:r>
              <w:rPr>
                <w:spacing w:val="-3"/>
                <w:sz w:val="18"/>
              </w:rPr>
              <w:t> </w:t>
            </w:r>
            <w:r>
              <w:rPr>
                <w:spacing w:val="-5"/>
                <w:sz w:val="18"/>
              </w:rPr>
              <w:t>100</w:t>
            </w:r>
          </w:p>
        </w:tc>
        <w:tc>
          <w:tcPr>
            <w:tcW w:w="2028" w:type="dxa"/>
            <w:vMerge w:val="restart"/>
          </w:tcPr>
          <w:p>
            <w:pPr>
              <w:pStyle w:val="TableParagraph"/>
              <w:rPr>
                <w:sz w:val="18"/>
              </w:rPr>
            </w:pPr>
          </w:p>
          <w:p>
            <w:pPr>
              <w:pStyle w:val="TableParagraph"/>
              <w:rPr>
                <w:sz w:val="18"/>
              </w:rPr>
            </w:pPr>
          </w:p>
          <w:p>
            <w:pPr>
              <w:pStyle w:val="TableParagraph"/>
              <w:rPr>
                <w:sz w:val="18"/>
              </w:rPr>
            </w:pPr>
          </w:p>
          <w:p>
            <w:pPr>
              <w:pStyle w:val="TableParagraph"/>
              <w:spacing w:before="207"/>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line="280" w:lineRule="auto" w:before="35"/>
              <w:ind w:left="8"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line="217" w:lineRule="exact"/>
              <w:ind w:left="8"/>
              <w:rPr>
                <w:position w:val="5"/>
                <w:sz w:val="12"/>
              </w:rPr>
            </w:pPr>
            <w:r>
              <w:rPr>
                <w:sz w:val="18"/>
              </w:rPr>
              <w:t>serious</w:t>
            </w:r>
            <w:r>
              <w:rPr>
                <w:spacing w:val="-5"/>
                <w:sz w:val="18"/>
              </w:rPr>
              <w:t> </w:t>
            </w:r>
            <w:r>
              <w:rPr>
                <w:spacing w:val="-2"/>
                <w:sz w:val="18"/>
              </w:rPr>
              <w:t>imprecision</w:t>
            </w:r>
            <w:r>
              <w:rPr>
                <w:spacing w:val="-2"/>
                <w:position w:val="5"/>
                <w:sz w:val="12"/>
              </w:rPr>
              <w:t>9</w:t>
            </w:r>
          </w:p>
        </w:tc>
        <w:tc>
          <w:tcPr>
            <w:tcW w:w="488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6"/>
              <w:rPr>
                <w:sz w:val="18"/>
              </w:rPr>
            </w:pPr>
          </w:p>
          <w:p>
            <w:pPr>
              <w:pStyle w:val="TableParagraph"/>
              <w:spacing w:line="278" w:lineRule="auto"/>
              <w:ind w:left="8"/>
              <w:rPr>
                <w:sz w:val="18"/>
              </w:rPr>
            </w:pPr>
            <w:r>
              <w:rPr>
                <w:sz w:val="18"/>
              </w:rPr>
              <w:t>The evidence is very uncertain about the effect of DOACs on thrombotic</w:t>
            </w:r>
            <w:r>
              <w:rPr>
                <w:spacing w:val="-6"/>
                <w:sz w:val="18"/>
              </w:rPr>
              <w:t> </w:t>
            </w:r>
            <w:r>
              <w:rPr>
                <w:sz w:val="18"/>
              </w:rPr>
              <w:t>complications,</w:t>
            </w:r>
            <w:r>
              <w:rPr>
                <w:spacing w:val="-6"/>
                <w:sz w:val="18"/>
              </w:rPr>
              <w:t> </w:t>
            </w:r>
            <w:r>
              <w:rPr>
                <w:sz w:val="18"/>
              </w:rPr>
              <w:t>when</w:t>
            </w:r>
            <w:r>
              <w:rPr>
                <w:spacing w:val="-5"/>
                <w:sz w:val="18"/>
              </w:rPr>
              <w:t> </w:t>
            </w:r>
            <w:r>
              <w:rPr>
                <w:sz w:val="18"/>
              </w:rPr>
              <w:t>compared</w:t>
            </w:r>
            <w:r>
              <w:rPr>
                <w:spacing w:val="-7"/>
                <w:sz w:val="18"/>
              </w:rPr>
              <w:t> </w:t>
            </w:r>
            <w:r>
              <w:rPr>
                <w:sz w:val="18"/>
              </w:rPr>
              <w:t>with</w:t>
            </w:r>
            <w:r>
              <w:rPr>
                <w:spacing w:val="-8"/>
                <w:sz w:val="18"/>
              </w:rPr>
              <w:t> </w:t>
            </w:r>
            <w:r>
              <w:rPr>
                <w:sz w:val="18"/>
              </w:rPr>
              <w:t>VKAs</w:t>
            </w:r>
            <w:r>
              <w:rPr>
                <w:spacing w:val="-7"/>
                <w:sz w:val="18"/>
              </w:rPr>
              <w:t> </w:t>
            </w:r>
            <w:r>
              <w:rPr>
                <w:sz w:val="18"/>
              </w:rPr>
              <w:t>in</w:t>
            </w:r>
            <w:r>
              <w:rPr>
                <w:spacing w:val="-7"/>
                <w:sz w:val="18"/>
              </w:rPr>
              <w:t> </w:t>
            </w:r>
            <w:r>
              <w:rPr>
                <w:sz w:val="18"/>
              </w:rPr>
              <w:t>children with an indication for the Fontan procedure</w:t>
            </w:r>
          </w:p>
          <w:p>
            <w:pPr>
              <w:pStyle w:val="TableParagraph"/>
              <w:rPr>
                <w:sz w:val="18"/>
              </w:rPr>
            </w:pPr>
          </w:p>
          <w:p>
            <w:pPr>
              <w:pStyle w:val="TableParagraph"/>
              <w:spacing w:before="137"/>
              <w:rPr>
                <w:sz w:val="18"/>
              </w:rPr>
            </w:pPr>
          </w:p>
          <w:p>
            <w:pPr>
              <w:pStyle w:val="TableParagraph"/>
              <w:ind w:left="8"/>
              <w:rPr>
                <w:sz w:val="18"/>
              </w:rPr>
            </w:pPr>
            <w:r>
              <w:rPr>
                <w:sz w:val="18"/>
              </w:rPr>
              <w:t>(Kawamatsu,</w:t>
            </w:r>
            <w:r>
              <w:rPr>
                <w:spacing w:val="-4"/>
                <w:sz w:val="18"/>
              </w:rPr>
              <w:t> </w:t>
            </w:r>
            <w:r>
              <w:rPr>
                <w:spacing w:val="-2"/>
                <w:sz w:val="18"/>
              </w:rPr>
              <w:t>2021)</w:t>
            </w:r>
          </w:p>
        </w:tc>
      </w:tr>
      <w:tr>
        <w:trPr>
          <w:trHeight w:val="2160" w:hRule="atLeast"/>
        </w:trPr>
        <w:tc>
          <w:tcPr>
            <w:tcW w:w="2042" w:type="dxa"/>
            <w:gridSpan w:val="2"/>
            <w:vMerge/>
            <w:tcBorders>
              <w:top w:val="nil"/>
            </w:tcBorders>
          </w:tcPr>
          <w:p>
            <w:pPr>
              <w:rPr>
                <w:sz w:val="2"/>
                <w:szCs w:val="2"/>
              </w:rPr>
            </w:pPr>
          </w:p>
        </w:tc>
        <w:tc>
          <w:tcPr>
            <w:tcW w:w="2506" w:type="dxa"/>
            <w:vMerge/>
            <w:tcBorders>
              <w:top w:val="nil"/>
            </w:tcBorders>
          </w:tcPr>
          <w:p>
            <w:pPr>
              <w:rPr>
                <w:sz w:val="2"/>
                <w:szCs w:val="2"/>
              </w:rPr>
            </w:pPr>
          </w:p>
        </w:tc>
        <w:tc>
          <w:tcPr>
            <w:tcW w:w="2486" w:type="dxa"/>
            <w:gridSpan w:val="2"/>
          </w:tcPr>
          <w:p>
            <w:pPr>
              <w:pStyle w:val="TableParagraph"/>
              <w:rPr>
                <w:sz w:val="18"/>
              </w:rPr>
            </w:pPr>
          </w:p>
          <w:p>
            <w:pPr>
              <w:pStyle w:val="TableParagraph"/>
              <w:rPr>
                <w:sz w:val="18"/>
              </w:rPr>
            </w:pPr>
          </w:p>
          <w:p>
            <w:pPr>
              <w:pStyle w:val="TableParagraph"/>
              <w:spacing w:before="172"/>
              <w:rPr>
                <w:sz w:val="18"/>
              </w:rPr>
            </w:pPr>
          </w:p>
          <w:p>
            <w:pPr>
              <w:pStyle w:val="TableParagraph"/>
              <w:spacing w:before="1"/>
              <w:ind w:left="5"/>
              <w:rPr>
                <w:b/>
                <w:sz w:val="18"/>
              </w:rPr>
            </w:pPr>
            <w:r>
              <w:rPr>
                <w:sz w:val="18"/>
              </w:rPr>
              <w:t>Difference:</w:t>
            </w:r>
            <w:r>
              <w:rPr>
                <w:spacing w:val="-3"/>
                <w:sz w:val="18"/>
              </w:rPr>
              <w:t> </w:t>
            </w:r>
            <w:r>
              <w:rPr>
                <w:b/>
                <w:sz w:val="18"/>
              </w:rPr>
              <w:t>12</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95"/>
              <w:ind w:left="5"/>
              <w:rPr>
                <w:sz w:val="18"/>
              </w:rPr>
            </w:pPr>
            <w:r>
              <w:rPr>
                <w:sz w:val="18"/>
              </w:rPr>
              <w:t>(95%</w:t>
            </w:r>
            <w:r>
              <w:rPr>
                <w:spacing w:val="-1"/>
                <w:sz w:val="18"/>
              </w:rPr>
              <w:t> </w:t>
            </w:r>
            <w:r>
              <w:rPr>
                <w:sz w:val="18"/>
              </w:rPr>
              <w:t>CI 23</w:t>
            </w:r>
            <w:r>
              <w:rPr>
                <w:spacing w:val="-1"/>
                <w:sz w:val="18"/>
              </w:rPr>
              <w:t> </w:t>
            </w:r>
            <w:r>
              <w:rPr>
                <w:sz w:val="18"/>
              </w:rPr>
              <w:t>fewer to</w:t>
            </w:r>
            <w:r>
              <w:rPr>
                <w:spacing w:val="-1"/>
                <w:sz w:val="18"/>
              </w:rPr>
              <w:t> </w:t>
            </w:r>
            <w:r>
              <w:rPr>
                <w:sz w:val="18"/>
              </w:rPr>
              <w:t>1 </w:t>
            </w:r>
            <w:r>
              <w:rPr>
                <w:spacing w:val="-2"/>
                <w:sz w:val="18"/>
              </w:rPr>
              <w:t>fewer)</w:t>
            </w:r>
          </w:p>
        </w:tc>
        <w:tc>
          <w:tcPr>
            <w:tcW w:w="2028" w:type="dxa"/>
            <w:vMerge/>
            <w:tcBorders>
              <w:top w:val="nil"/>
            </w:tcBorders>
          </w:tcPr>
          <w:p>
            <w:pPr>
              <w:rPr>
                <w:sz w:val="2"/>
                <w:szCs w:val="2"/>
              </w:rPr>
            </w:pPr>
          </w:p>
        </w:tc>
        <w:tc>
          <w:tcPr>
            <w:tcW w:w="4882" w:type="dxa"/>
            <w:vMerge/>
            <w:tcBorders>
              <w:top w:val="nil"/>
            </w:tcBorders>
          </w:tcPr>
          <w:p>
            <w:pPr>
              <w:rPr>
                <w:sz w:val="2"/>
                <w:szCs w:val="2"/>
              </w:rPr>
            </w:pPr>
          </w:p>
        </w:tc>
      </w:tr>
      <w:tr>
        <w:trPr>
          <w:trHeight w:val="830" w:hRule="atLeast"/>
        </w:trPr>
        <w:tc>
          <w:tcPr>
            <w:tcW w:w="1032" w:type="dxa"/>
            <w:vMerge w:val="restart"/>
          </w:tcPr>
          <w:p>
            <w:pPr>
              <w:pStyle w:val="TableParagraph"/>
              <w:spacing w:line="278" w:lineRule="auto"/>
              <w:ind w:left="6"/>
              <w:rPr>
                <w:sz w:val="18"/>
              </w:rPr>
            </w:pPr>
            <w:r>
              <w:rPr>
                <w:spacing w:val="-2"/>
                <w:sz w:val="18"/>
              </w:rPr>
              <w:t>Hemorrhage</w:t>
            </w:r>
            <w:r>
              <w:rPr>
                <w:sz w:val="18"/>
              </w:rPr>
              <w:t> </w:t>
            </w:r>
            <w:r>
              <w:rPr>
                <w:spacing w:val="-2"/>
                <w:sz w:val="18"/>
              </w:rPr>
              <w:t>(important)</w:t>
            </w:r>
          </w:p>
        </w:tc>
        <w:tc>
          <w:tcPr>
            <w:tcW w:w="1010" w:type="dxa"/>
            <w:vMerge w:val="restart"/>
          </w:tcPr>
          <w:p>
            <w:pPr>
              <w:pStyle w:val="TableParagraph"/>
              <w:spacing w:line="278" w:lineRule="auto"/>
              <w:ind w:left="7" w:right="353"/>
              <w:rPr>
                <w:sz w:val="18"/>
              </w:rPr>
            </w:pPr>
            <w:r>
              <w:rPr>
                <w:spacing w:val="-2"/>
                <w:sz w:val="18"/>
              </w:rPr>
              <w:t>Major</w:t>
            </w:r>
            <w:r>
              <w:rPr>
                <w:sz w:val="18"/>
              </w:rPr>
              <w:t> </w:t>
            </w:r>
            <w:r>
              <w:rPr>
                <w:spacing w:val="-2"/>
                <w:sz w:val="18"/>
              </w:rPr>
              <w:t>bleeding</w:t>
            </w:r>
          </w:p>
        </w:tc>
        <w:tc>
          <w:tcPr>
            <w:tcW w:w="2506" w:type="dxa"/>
            <w:vMerge w:val="restart"/>
          </w:tcPr>
          <w:p>
            <w:pPr>
              <w:pStyle w:val="TableParagraph"/>
              <w:spacing w:line="218" w:lineRule="exact"/>
              <w:ind w:left="7"/>
              <w:rPr>
                <w:b/>
                <w:sz w:val="18"/>
              </w:rPr>
            </w:pPr>
            <w:r>
              <w:rPr>
                <w:sz w:val="18"/>
              </w:rPr>
              <w:t>Relative</w:t>
            </w:r>
            <w:r>
              <w:rPr>
                <w:spacing w:val="-3"/>
                <w:sz w:val="18"/>
              </w:rPr>
              <w:t> </w:t>
            </w:r>
            <w:r>
              <w:rPr>
                <w:sz w:val="18"/>
              </w:rPr>
              <w:t>risk:</w:t>
            </w:r>
            <w:r>
              <w:rPr>
                <w:spacing w:val="-2"/>
                <w:sz w:val="18"/>
              </w:rPr>
              <w:t> </w:t>
            </w:r>
            <w:r>
              <w:rPr>
                <w:b/>
                <w:spacing w:val="-4"/>
                <w:sz w:val="18"/>
              </w:rPr>
              <w:t>0.19</w:t>
            </w:r>
          </w:p>
          <w:p>
            <w:pPr>
              <w:pStyle w:val="TableParagraph"/>
              <w:spacing w:before="196"/>
              <w:ind w:left="7"/>
              <w:rPr>
                <w:sz w:val="18"/>
              </w:rPr>
            </w:pPr>
            <w:r>
              <w:rPr>
                <w:sz w:val="18"/>
              </w:rPr>
              <w:t>(95%</w:t>
            </w:r>
            <w:r>
              <w:rPr>
                <w:spacing w:val="-1"/>
                <w:sz w:val="18"/>
              </w:rPr>
              <w:t> </w:t>
            </w:r>
            <w:r>
              <w:rPr>
                <w:sz w:val="18"/>
              </w:rPr>
              <w:t>CI 0.02 to </w:t>
            </w:r>
            <w:r>
              <w:rPr>
                <w:spacing w:val="-4"/>
                <w:sz w:val="18"/>
              </w:rPr>
              <w:t>1.50)</w:t>
            </w:r>
          </w:p>
          <w:p>
            <w:pPr>
              <w:pStyle w:val="TableParagraph"/>
              <w:rPr>
                <w:sz w:val="18"/>
              </w:rPr>
            </w:pPr>
          </w:p>
          <w:p>
            <w:pPr>
              <w:pStyle w:val="TableParagraph"/>
              <w:spacing w:before="171"/>
              <w:rPr>
                <w:sz w:val="18"/>
              </w:rPr>
            </w:pPr>
          </w:p>
          <w:p>
            <w:pPr>
              <w:pStyle w:val="TableParagraph"/>
              <w:spacing w:line="280" w:lineRule="auto"/>
              <w:ind w:left="7" w:right="643"/>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77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line="217" w:lineRule="exact"/>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1214" w:type="dxa"/>
          </w:tcPr>
          <w:p>
            <w:pPr>
              <w:pStyle w:val="TableParagraph"/>
              <w:spacing w:line="218" w:lineRule="exact"/>
              <w:ind w:left="5"/>
              <w:rPr>
                <w:b/>
                <w:sz w:val="18"/>
              </w:rPr>
            </w:pPr>
            <w:r>
              <w:rPr>
                <w:b/>
                <w:spacing w:val="-10"/>
                <w:sz w:val="18"/>
              </w:rPr>
              <w:t>3</w:t>
            </w:r>
          </w:p>
          <w:p>
            <w:pPr>
              <w:pStyle w:val="TableParagraph"/>
              <w:spacing w:before="196"/>
              <w:ind w:left="5"/>
              <w:rPr>
                <w:sz w:val="18"/>
              </w:rPr>
            </w:pPr>
            <w:r>
              <w:rPr>
                <w:sz w:val="18"/>
              </w:rPr>
              <w:t>per</w:t>
            </w:r>
            <w:r>
              <w:rPr>
                <w:spacing w:val="-3"/>
                <w:sz w:val="18"/>
              </w:rPr>
              <w:t> </w:t>
            </w:r>
            <w:r>
              <w:rPr>
                <w:spacing w:val="-5"/>
                <w:sz w:val="18"/>
              </w:rPr>
              <w:t>100</w:t>
            </w:r>
          </w:p>
        </w:tc>
        <w:tc>
          <w:tcPr>
            <w:tcW w:w="1272" w:type="dxa"/>
          </w:tcPr>
          <w:p>
            <w:pPr>
              <w:pStyle w:val="TableParagraph"/>
              <w:spacing w:line="218" w:lineRule="exact"/>
              <w:ind w:left="8"/>
              <w:rPr>
                <w:b/>
                <w:sz w:val="18"/>
              </w:rPr>
            </w:pPr>
            <w:r>
              <w:rPr>
                <w:b/>
                <w:spacing w:val="-5"/>
                <w:sz w:val="18"/>
              </w:rPr>
              <w:t>15</w:t>
            </w:r>
          </w:p>
          <w:p>
            <w:pPr>
              <w:pStyle w:val="TableParagraph"/>
              <w:spacing w:before="196"/>
              <w:ind w:left="8"/>
              <w:rPr>
                <w:sz w:val="18"/>
              </w:rPr>
            </w:pPr>
            <w:r>
              <w:rPr>
                <w:sz w:val="18"/>
              </w:rPr>
              <w:t>per</w:t>
            </w:r>
            <w:r>
              <w:rPr>
                <w:spacing w:val="-3"/>
                <w:sz w:val="18"/>
              </w:rPr>
              <w:t> </w:t>
            </w:r>
            <w:r>
              <w:rPr>
                <w:spacing w:val="-5"/>
                <w:sz w:val="18"/>
              </w:rPr>
              <w:t>100</w:t>
            </w:r>
          </w:p>
        </w:tc>
        <w:tc>
          <w:tcPr>
            <w:tcW w:w="2028"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6"/>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line="278" w:lineRule="auto" w:before="37"/>
              <w:ind w:left="8"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line="219" w:lineRule="exact"/>
              <w:ind w:left="8"/>
              <w:rPr>
                <w:position w:val="5"/>
                <w:sz w:val="12"/>
              </w:rPr>
            </w:pPr>
            <w:r>
              <w:rPr>
                <w:sz w:val="18"/>
              </w:rPr>
              <w:t>serious</w:t>
            </w:r>
            <w:r>
              <w:rPr>
                <w:spacing w:val="-5"/>
                <w:sz w:val="18"/>
              </w:rPr>
              <w:t> </w:t>
            </w:r>
            <w:r>
              <w:rPr>
                <w:spacing w:val="-2"/>
                <w:sz w:val="18"/>
              </w:rPr>
              <w:t>imprecision</w:t>
            </w:r>
            <w:r>
              <w:rPr>
                <w:spacing w:val="-2"/>
                <w:position w:val="5"/>
                <w:sz w:val="12"/>
              </w:rPr>
              <w:t>10</w:t>
            </w:r>
          </w:p>
        </w:tc>
        <w:tc>
          <w:tcPr>
            <w:tcW w:w="488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6"/>
              <w:rPr>
                <w:sz w:val="18"/>
              </w:rPr>
            </w:pPr>
          </w:p>
          <w:p>
            <w:pPr>
              <w:pStyle w:val="TableParagraph"/>
              <w:spacing w:line="278" w:lineRule="auto"/>
              <w:ind w:left="8" w:right="47"/>
              <w:rPr>
                <w:sz w:val="18"/>
              </w:rPr>
            </w:pPr>
            <w:r>
              <w:rPr>
                <w:sz w:val="18"/>
              </w:rPr>
              <w:t>The evidence is very uncertain about the effect of DOACs on major</w:t>
            </w:r>
            <w:r>
              <w:rPr>
                <w:spacing w:val="-4"/>
                <w:sz w:val="18"/>
              </w:rPr>
              <w:t> </w:t>
            </w:r>
            <w:r>
              <w:rPr>
                <w:sz w:val="18"/>
              </w:rPr>
              <w:t>bleeding,</w:t>
            </w:r>
            <w:r>
              <w:rPr>
                <w:spacing w:val="-4"/>
                <w:sz w:val="18"/>
              </w:rPr>
              <w:t> </w:t>
            </w:r>
            <w:r>
              <w:rPr>
                <w:sz w:val="18"/>
              </w:rPr>
              <w:t>when</w:t>
            </w:r>
            <w:r>
              <w:rPr>
                <w:spacing w:val="-5"/>
                <w:sz w:val="18"/>
              </w:rPr>
              <w:t> </w:t>
            </w:r>
            <w:r>
              <w:rPr>
                <w:sz w:val="18"/>
              </w:rPr>
              <w:t>compared</w:t>
            </w:r>
            <w:r>
              <w:rPr>
                <w:spacing w:val="-3"/>
                <w:sz w:val="18"/>
              </w:rPr>
              <w:t> </w:t>
            </w:r>
            <w:r>
              <w:rPr>
                <w:sz w:val="18"/>
              </w:rPr>
              <w:t>with</w:t>
            </w:r>
            <w:r>
              <w:rPr>
                <w:spacing w:val="-6"/>
                <w:sz w:val="18"/>
              </w:rPr>
              <w:t> </w:t>
            </w:r>
            <w:r>
              <w:rPr>
                <w:sz w:val="18"/>
              </w:rPr>
              <w:t>VKAs</w:t>
            </w:r>
            <w:r>
              <w:rPr>
                <w:spacing w:val="-5"/>
                <w:sz w:val="18"/>
              </w:rPr>
              <w:t> </w:t>
            </w:r>
            <w:r>
              <w:rPr>
                <w:sz w:val="18"/>
              </w:rPr>
              <w:t>in</w:t>
            </w:r>
            <w:r>
              <w:rPr>
                <w:spacing w:val="-6"/>
                <w:sz w:val="18"/>
              </w:rPr>
              <w:t> </w:t>
            </w:r>
            <w:r>
              <w:rPr>
                <w:sz w:val="18"/>
              </w:rPr>
              <w:t>children</w:t>
            </w:r>
            <w:r>
              <w:rPr>
                <w:spacing w:val="-5"/>
                <w:sz w:val="18"/>
              </w:rPr>
              <w:t> </w:t>
            </w:r>
            <w:r>
              <w:rPr>
                <w:sz w:val="18"/>
              </w:rPr>
              <w:t>with</w:t>
            </w:r>
            <w:r>
              <w:rPr>
                <w:spacing w:val="-2"/>
                <w:sz w:val="18"/>
              </w:rPr>
              <w:t> </w:t>
            </w:r>
            <w:r>
              <w:rPr>
                <w:sz w:val="18"/>
              </w:rPr>
              <w:t>an indication for the Fontan procedure</w:t>
            </w:r>
          </w:p>
          <w:p>
            <w:pPr>
              <w:pStyle w:val="TableParagraph"/>
              <w:rPr>
                <w:sz w:val="18"/>
              </w:rPr>
            </w:pPr>
          </w:p>
          <w:p>
            <w:pPr>
              <w:pStyle w:val="TableParagraph"/>
              <w:spacing w:before="137"/>
              <w:rPr>
                <w:sz w:val="18"/>
              </w:rPr>
            </w:pPr>
          </w:p>
          <w:p>
            <w:pPr>
              <w:pStyle w:val="TableParagraph"/>
              <w:ind w:left="8"/>
              <w:rPr>
                <w:sz w:val="18"/>
              </w:rPr>
            </w:pPr>
            <w:r>
              <w:rPr>
                <w:sz w:val="18"/>
              </w:rPr>
              <w:t>(Kawamatsu,</w:t>
            </w:r>
            <w:r>
              <w:rPr>
                <w:spacing w:val="-4"/>
                <w:sz w:val="18"/>
              </w:rPr>
              <w:t> </w:t>
            </w:r>
            <w:r>
              <w:rPr>
                <w:spacing w:val="-2"/>
                <w:sz w:val="18"/>
              </w:rPr>
              <w:t>2021)</w:t>
            </w:r>
          </w:p>
        </w:tc>
      </w:tr>
      <w:tr>
        <w:trPr>
          <w:trHeight w:val="2157" w:hRule="atLeast"/>
        </w:trPr>
        <w:tc>
          <w:tcPr>
            <w:tcW w:w="1032" w:type="dxa"/>
            <w:vMerge/>
            <w:tcBorders>
              <w:top w:val="nil"/>
            </w:tcBorders>
          </w:tcPr>
          <w:p>
            <w:pPr>
              <w:rPr>
                <w:sz w:val="2"/>
                <w:szCs w:val="2"/>
              </w:rPr>
            </w:pPr>
          </w:p>
        </w:tc>
        <w:tc>
          <w:tcPr>
            <w:tcW w:w="1010" w:type="dxa"/>
            <w:vMerge/>
            <w:tcBorders>
              <w:top w:val="nil"/>
            </w:tcBorders>
          </w:tcPr>
          <w:p>
            <w:pPr>
              <w:rPr>
                <w:sz w:val="2"/>
                <w:szCs w:val="2"/>
              </w:rPr>
            </w:pPr>
          </w:p>
        </w:tc>
        <w:tc>
          <w:tcPr>
            <w:tcW w:w="2506" w:type="dxa"/>
            <w:vMerge/>
            <w:tcBorders>
              <w:top w:val="nil"/>
            </w:tcBorders>
          </w:tcPr>
          <w:p>
            <w:pPr>
              <w:rPr>
                <w:sz w:val="2"/>
                <w:szCs w:val="2"/>
              </w:rPr>
            </w:pPr>
          </w:p>
        </w:tc>
        <w:tc>
          <w:tcPr>
            <w:tcW w:w="2486" w:type="dxa"/>
            <w:gridSpan w:val="2"/>
          </w:tcPr>
          <w:p>
            <w:pPr>
              <w:pStyle w:val="TableParagraph"/>
              <w:spacing w:before="194"/>
              <w:rPr>
                <w:sz w:val="18"/>
              </w:rPr>
            </w:pPr>
          </w:p>
          <w:p>
            <w:pPr>
              <w:pStyle w:val="TableParagraph"/>
              <w:ind w:left="5"/>
              <w:rPr>
                <w:b/>
                <w:sz w:val="18"/>
              </w:rPr>
            </w:pPr>
            <w:r>
              <w:rPr>
                <w:sz w:val="18"/>
              </w:rPr>
              <w:t>Difference:</w:t>
            </w:r>
            <w:r>
              <w:rPr>
                <w:spacing w:val="-3"/>
                <w:sz w:val="18"/>
              </w:rPr>
              <w:t> </w:t>
            </w:r>
            <w:r>
              <w:rPr>
                <w:b/>
                <w:sz w:val="18"/>
              </w:rPr>
              <w:t>12</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95"/>
              <w:ind w:left="5"/>
              <w:rPr>
                <w:sz w:val="18"/>
              </w:rPr>
            </w:pPr>
            <w:r>
              <w:rPr>
                <w:sz w:val="18"/>
              </w:rPr>
              <w:t>(95%</w:t>
            </w:r>
            <w:r>
              <w:rPr>
                <w:spacing w:val="-3"/>
                <w:sz w:val="18"/>
              </w:rPr>
              <w:t> </w:t>
            </w:r>
            <w:r>
              <w:rPr>
                <w:sz w:val="18"/>
              </w:rPr>
              <w:t>CI 24</w:t>
            </w:r>
            <w:r>
              <w:rPr>
                <w:spacing w:val="-1"/>
                <w:sz w:val="18"/>
              </w:rPr>
              <w:t> </w:t>
            </w:r>
            <w:r>
              <w:rPr>
                <w:sz w:val="18"/>
              </w:rPr>
              <w:t>fewer to</w:t>
            </w:r>
            <w:r>
              <w:rPr>
                <w:spacing w:val="-1"/>
                <w:sz w:val="18"/>
              </w:rPr>
              <w:t> </w:t>
            </w:r>
            <w:r>
              <w:rPr>
                <w:sz w:val="18"/>
              </w:rPr>
              <w:t>0 </w:t>
            </w:r>
            <w:r>
              <w:rPr>
                <w:spacing w:val="-4"/>
                <w:sz w:val="18"/>
              </w:rPr>
              <w:t>more)</w:t>
            </w:r>
          </w:p>
        </w:tc>
        <w:tc>
          <w:tcPr>
            <w:tcW w:w="2028" w:type="dxa"/>
            <w:vMerge/>
            <w:tcBorders>
              <w:top w:val="nil"/>
            </w:tcBorders>
          </w:tcPr>
          <w:p>
            <w:pPr>
              <w:rPr>
                <w:sz w:val="2"/>
                <w:szCs w:val="2"/>
              </w:rPr>
            </w:pPr>
          </w:p>
        </w:tc>
        <w:tc>
          <w:tcPr>
            <w:tcW w:w="4882" w:type="dxa"/>
            <w:vMerge/>
            <w:tcBorders>
              <w:top w:val="nil"/>
            </w:tcBorders>
          </w:tcPr>
          <w:p>
            <w:pPr>
              <w:rPr>
                <w:sz w:val="2"/>
                <w:szCs w:val="2"/>
              </w:rPr>
            </w:pPr>
          </w:p>
        </w:tc>
      </w:tr>
      <w:tr>
        <w:trPr>
          <w:trHeight w:val="832" w:hRule="atLeast"/>
        </w:trPr>
        <w:tc>
          <w:tcPr>
            <w:tcW w:w="1032" w:type="dxa"/>
            <w:vMerge/>
            <w:tcBorders>
              <w:top w:val="nil"/>
            </w:tcBorders>
          </w:tcPr>
          <w:p>
            <w:pPr>
              <w:rPr>
                <w:sz w:val="2"/>
                <w:szCs w:val="2"/>
              </w:rPr>
            </w:pPr>
          </w:p>
        </w:tc>
        <w:tc>
          <w:tcPr>
            <w:tcW w:w="1010" w:type="dxa"/>
            <w:vMerge w:val="restart"/>
          </w:tcPr>
          <w:p>
            <w:pPr>
              <w:pStyle w:val="TableParagraph"/>
              <w:spacing w:line="280" w:lineRule="auto"/>
              <w:ind w:left="7" w:right="353"/>
              <w:rPr>
                <w:sz w:val="18"/>
              </w:rPr>
            </w:pPr>
            <w:r>
              <w:rPr>
                <w:spacing w:val="-2"/>
                <w:sz w:val="18"/>
              </w:rPr>
              <w:t>Minor</w:t>
            </w:r>
            <w:r>
              <w:rPr>
                <w:sz w:val="18"/>
              </w:rPr>
              <w:t> </w:t>
            </w:r>
            <w:r>
              <w:rPr>
                <w:spacing w:val="-2"/>
                <w:sz w:val="18"/>
              </w:rPr>
              <w:t>bleeding</w:t>
            </w:r>
          </w:p>
        </w:tc>
        <w:tc>
          <w:tcPr>
            <w:tcW w:w="2506" w:type="dxa"/>
            <w:vMerge w:val="restart"/>
          </w:tcPr>
          <w:p>
            <w:pPr>
              <w:pStyle w:val="TableParagraph"/>
              <w:spacing w:line="218" w:lineRule="exact"/>
              <w:ind w:left="7"/>
              <w:rPr>
                <w:b/>
                <w:sz w:val="18"/>
              </w:rPr>
            </w:pPr>
            <w:r>
              <w:rPr>
                <w:sz w:val="18"/>
              </w:rPr>
              <w:t>Relative</w:t>
            </w:r>
            <w:r>
              <w:rPr>
                <w:spacing w:val="-3"/>
                <w:sz w:val="18"/>
              </w:rPr>
              <w:t> </w:t>
            </w:r>
            <w:r>
              <w:rPr>
                <w:sz w:val="18"/>
              </w:rPr>
              <w:t>risk:</w:t>
            </w:r>
            <w:r>
              <w:rPr>
                <w:spacing w:val="-2"/>
                <w:sz w:val="18"/>
              </w:rPr>
              <w:t> </w:t>
            </w:r>
            <w:r>
              <w:rPr>
                <w:b/>
                <w:spacing w:val="-4"/>
                <w:sz w:val="18"/>
              </w:rPr>
              <w:t>0.38</w:t>
            </w:r>
          </w:p>
          <w:p>
            <w:pPr>
              <w:pStyle w:val="TableParagraph"/>
              <w:spacing w:before="198"/>
              <w:ind w:left="7"/>
              <w:rPr>
                <w:sz w:val="18"/>
              </w:rPr>
            </w:pPr>
            <w:r>
              <w:rPr>
                <w:sz w:val="18"/>
              </w:rPr>
              <w:t>(95%</w:t>
            </w:r>
            <w:r>
              <w:rPr>
                <w:spacing w:val="-1"/>
                <w:sz w:val="18"/>
              </w:rPr>
              <w:t> </w:t>
            </w:r>
            <w:r>
              <w:rPr>
                <w:sz w:val="18"/>
              </w:rPr>
              <w:t>CI 0.04 to </w:t>
            </w:r>
            <w:r>
              <w:rPr>
                <w:spacing w:val="-4"/>
                <w:sz w:val="18"/>
              </w:rPr>
              <w:t>3.49)</w:t>
            </w:r>
          </w:p>
        </w:tc>
        <w:tc>
          <w:tcPr>
            <w:tcW w:w="1214" w:type="dxa"/>
          </w:tcPr>
          <w:p>
            <w:pPr>
              <w:pStyle w:val="TableParagraph"/>
              <w:spacing w:line="218" w:lineRule="exact"/>
              <w:ind w:left="5"/>
              <w:rPr>
                <w:b/>
                <w:sz w:val="18"/>
              </w:rPr>
            </w:pPr>
            <w:r>
              <w:rPr>
                <w:b/>
                <w:spacing w:val="-10"/>
                <w:sz w:val="18"/>
              </w:rPr>
              <w:t>3</w:t>
            </w:r>
          </w:p>
          <w:p>
            <w:pPr>
              <w:pStyle w:val="TableParagraph"/>
              <w:spacing w:before="198"/>
              <w:ind w:left="5"/>
              <w:rPr>
                <w:sz w:val="18"/>
              </w:rPr>
            </w:pPr>
            <w:r>
              <w:rPr>
                <w:sz w:val="18"/>
              </w:rPr>
              <w:t>per</w:t>
            </w:r>
            <w:r>
              <w:rPr>
                <w:spacing w:val="-3"/>
                <w:sz w:val="18"/>
              </w:rPr>
              <w:t> </w:t>
            </w:r>
            <w:r>
              <w:rPr>
                <w:spacing w:val="-5"/>
                <w:sz w:val="18"/>
              </w:rPr>
              <w:t>100</w:t>
            </w:r>
          </w:p>
        </w:tc>
        <w:tc>
          <w:tcPr>
            <w:tcW w:w="1272" w:type="dxa"/>
          </w:tcPr>
          <w:p>
            <w:pPr>
              <w:pStyle w:val="TableParagraph"/>
              <w:spacing w:line="218" w:lineRule="exact"/>
              <w:ind w:left="8"/>
              <w:rPr>
                <w:b/>
                <w:sz w:val="18"/>
              </w:rPr>
            </w:pPr>
            <w:r>
              <w:rPr>
                <w:b/>
                <w:spacing w:val="-10"/>
                <w:sz w:val="18"/>
              </w:rPr>
              <w:t>7</w:t>
            </w:r>
          </w:p>
          <w:p>
            <w:pPr>
              <w:pStyle w:val="TableParagraph"/>
              <w:spacing w:before="198"/>
              <w:ind w:left="8"/>
              <w:rPr>
                <w:sz w:val="18"/>
              </w:rPr>
            </w:pPr>
            <w:r>
              <w:rPr>
                <w:sz w:val="18"/>
              </w:rPr>
              <w:t>per</w:t>
            </w:r>
            <w:r>
              <w:rPr>
                <w:spacing w:val="-3"/>
                <w:sz w:val="18"/>
              </w:rPr>
              <w:t> </w:t>
            </w:r>
            <w:r>
              <w:rPr>
                <w:spacing w:val="-5"/>
                <w:sz w:val="18"/>
              </w:rPr>
              <w:t>100</w:t>
            </w:r>
          </w:p>
        </w:tc>
        <w:tc>
          <w:tcPr>
            <w:tcW w:w="2028" w:type="dxa"/>
            <w:vMerge w:val="restart"/>
          </w:tcPr>
          <w:p>
            <w:pPr>
              <w:pStyle w:val="TableParagraph"/>
              <w:rPr>
                <w:sz w:val="18"/>
              </w:rPr>
            </w:pPr>
          </w:p>
          <w:p>
            <w:pPr>
              <w:pStyle w:val="TableParagraph"/>
              <w:rPr>
                <w:sz w:val="18"/>
              </w:rPr>
            </w:pPr>
          </w:p>
          <w:p>
            <w:pPr>
              <w:pStyle w:val="TableParagraph"/>
              <w:rPr>
                <w:sz w:val="18"/>
              </w:rPr>
            </w:pPr>
          </w:p>
          <w:p>
            <w:pPr>
              <w:pStyle w:val="TableParagraph"/>
              <w:spacing w:before="207"/>
              <w:rPr>
                <w:sz w:val="18"/>
              </w:rPr>
            </w:pPr>
          </w:p>
          <w:p>
            <w:pPr>
              <w:pStyle w:val="TableParagraph"/>
              <w:ind w:left="8"/>
              <w:rPr>
                <w:b/>
                <w:sz w:val="18"/>
              </w:rPr>
            </w:pPr>
            <w:r>
              <w:rPr>
                <w:b/>
                <w:sz w:val="18"/>
              </w:rPr>
              <w:t>Very</w:t>
            </w:r>
            <w:r>
              <w:rPr>
                <w:b/>
                <w:spacing w:val="-1"/>
                <w:sz w:val="18"/>
              </w:rPr>
              <w:t> </w:t>
            </w:r>
            <w:r>
              <w:rPr>
                <w:b/>
                <w:spacing w:val="-5"/>
                <w:sz w:val="18"/>
              </w:rPr>
              <w:t>low</w:t>
            </w:r>
          </w:p>
        </w:tc>
        <w:tc>
          <w:tcPr>
            <w:tcW w:w="4882" w:type="dxa"/>
            <w:vMerge w:val="restart"/>
          </w:tcPr>
          <w:p>
            <w:pPr>
              <w:pStyle w:val="TableParagraph"/>
              <w:rPr>
                <w:rFonts w:ascii="Times New Roman"/>
                <w:sz w:val="16"/>
              </w:rPr>
            </w:pPr>
          </w:p>
        </w:tc>
      </w:tr>
      <w:tr>
        <w:trPr>
          <w:trHeight w:val="496" w:hRule="atLeast"/>
        </w:trPr>
        <w:tc>
          <w:tcPr>
            <w:tcW w:w="1032" w:type="dxa"/>
            <w:vMerge/>
            <w:tcBorders>
              <w:top w:val="nil"/>
            </w:tcBorders>
          </w:tcPr>
          <w:p>
            <w:pPr>
              <w:rPr>
                <w:sz w:val="2"/>
                <w:szCs w:val="2"/>
              </w:rPr>
            </w:pPr>
          </w:p>
        </w:tc>
        <w:tc>
          <w:tcPr>
            <w:tcW w:w="1010" w:type="dxa"/>
            <w:vMerge/>
            <w:tcBorders>
              <w:top w:val="nil"/>
            </w:tcBorders>
          </w:tcPr>
          <w:p>
            <w:pPr>
              <w:rPr>
                <w:sz w:val="2"/>
                <w:szCs w:val="2"/>
              </w:rPr>
            </w:pPr>
          </w:p>
        </w:tc>
        <w:tc>
          <w:tcPr>
            <w:tcW w:w="2506" w:type="dxa"/>
            <w:vMerge/>
            <w:tcBorders>
              <w:top w:val="nil"/>
            </w:tcBorders>
          </w:tcPr>
          <w:p>
            <w:pPr>
              <w:rPr>
                <w:sz w:val="2"/>
                <w:szCs w:val="2"/>
              </w:rPr>
            </w:pPr>
          </w:p>
        </w:tc>
        <w:tc>
          <w:tcPr>
            <w:tcW w:w="2486" w:type="dxa"/>
            <w:gridSpan w:val="2"/>
          </w:tcPr>
          <w:p>
            <w:pPr>
              <w:pStyle w:val="TableParagraph"/>
              <w:rPr>
                <w:rFonts w:ascii="Times New Roman"/>
                <w:sz w:val="16"/>
              </w:rPr>
            </w:pPr>
          </w:p>
        </w:tc>
        <w:tc>
          <w:tcPr>
            <w:tcW w:w="2028" w:type="dxa"/>
            <w:vMerge/>
            <w:tcBorders>
              <w:top w:val="nil"/>
            </w:tcBorders>
          </w:tcPr>
          <w:p>
            <w:pPr>
              <w:rPr>
                <w:sz w:val="2"/>
                <w:szCs w:val="2"/>
              </w:rPr>
            </w:pPr>
          </w:p>
        </w:tc>
        <w:tc>
          <w:tcPr>
            <w:tcW w:w="4882" w:type="dxa"/>
            <w:vMerge/>
            <w:tcBorders>
              <w:top w:val="nil"/>
            </w:tcBorders>
          </w:tcPr>
          <w:p>
            <w:pPr>
              <w:rPr>
                <w:sz w:val="2"/>
                <w:szCs w:val="2"/>
              </w:rPr>
            </w:pPr>
          </w:p>
        </w:tc>
      </w:tr>
    </w:tbl>
    <w:p>
      <w:pPr>
        <w:spacing w:after="0"/>
        <w:rPr>
          <w:sz w:val="2"/>
          <w:szCs w:val="2"/>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32"/>
        <w:gridCol w:w="1010"/>
        <w:gridCol w:w="2506"/>
        <w:gridCol w:w="1214"/>
        <w:gridCol w:w="1272"/>
        <w:gridCol w:w="2028"/>
        <w:gridCol w:w="4882"/>
      </w:tblGrid>
      <w:tr>
        <w:trPr>
          <w:trHeight w:val="1756" w:hRule="atLeast"/>
        </w:trPr>
        <w:tc>
          <w:tcPr>
            <w:tcW w:w="1032" w:type="dxa"/>
          </w:tcPr>
          <w:p>
            <w:pPr>
              <w:pStyle w:val="TableParagraph"/>
              <w:rPr>
                <w:rFonts w:ascii="Times New Roman"/>
                <w:sz w:val="16"/>
              </w:rPr>
            </w:pPr>
          </w:p>
        </w:tc>
        <w:tc>
          <w:tcPr>
            <w:tcW w:w="1010" w:type="dxa"/>
          </w:tcPr>
          <w:p>
            <w:pPr>
              <w:pStyle w:val="TableParagraph"/>
              <w:rPr>
                <w:rFonts w:ascii="Times New Roman"/>
                <w:sz w:val="16"/>
              </w:rPr>
            </w:pPr>
          </w:p>
        </w:tc>
        <w:tc>
          <w:tcPr>
            <w:tcW w:w="2506" w:type="dxa"/>
          </w:tcPr>
          <w:p>
            <w:pPr>
              <w:pStyle w:val="TableParagraph"/>
              <w:spacing w:line="280" w:lineRule="auto"/>
              <w:ind w:left="7" w:right="734"/>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77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before="156"/>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2486" w:type="dxa"/>
            <w:gridSpan w:val="2"/>
          </w:tcPr>
          <w:p>
            <w:pPr>
              <w:pStyle w:val="TableParagraph"/>
              <w:spacing w:line="218" w:lineRule="exact"/>
              <w:ind w:left="5"/>
              <w:rPr>
                <w:b/>
                <w:sz w:val="18"/>
              </w:rPr>
            </w:pPr>
            <w:r>
              <w:rPr>
                <w:sz w:val="18"/>
              </w:rPr>
              <w:t>Difference:</w:t>
            </w:r>
            <w:r>
              <w:rPr>
                <w:spacing w:val="-3"/>
                <w:sz w:val="18"/>
              </w:rPr>
              <w:t> </w:t>
            </w:r>
            <w:r>
              <w:rPr>
                <w:b/>
                <w:sz w:val="18"/>
              </w:rPr>
              <w:t>5</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95"/>
              <w:ind w:left="5"/>
              <w:rPr>
                <w:sz w:val="18"/>
              </w:rPr>
            </w:pPr>
            <w:r>
              <w:rPr>
                <w:sz w:val="18"/>
              </w:rPr>
              <w:t>(95%</w:t>
            </w:r>
            <w:r>
              <w:rPr>
                <w:spacing w:val="-3"/>
                <w:sz w:val="18"/>
              </w:rPr>
              <w:t> </w:t>
            </w:r>
            <w:r>
              <w:rPr>
                <w:sz w:val="18"/>
              </w:rPr>
              <w:t>CI 14</w:t>
            </w:r>
            <w:r>
              <w:rPr>
                <w:spacing w:val="-1"/>
                <w:sz w:val="18"/>
              </w:rPr>
              <w:t> </w:t>
            </w:r>
            <w:r>
              <w:rPr>
                <w:sz w:val="18"/>
              </w:rPr>
              <w:t>fewer to</w:t>
            </w:r>
            <w:r>
              <w:rPr>
                <w:spacing w:val="-1"/>
                <w:sz w:val="18"/>
              </w:rPr>
              <w:t> </w:t>
            </w:r>
            <w:r>
              <w:rPr>
                <w:sz w:val="18"/>
              </w:rPr>
              <w:t>5 </w:t>
            </w:r>
            <w:r>
              <w:rPr>
                <w:spacing w:val="-4"/>
                <w:sz w:val="18"/>
              </w:rPr>
              <w:t>more)</w:t>
            </w:r>
          </w:p>
        </w:tc>
        <w:tc>
          <w:tcPr>
            <w:tcW w:w="2028" w:type="dxa"/>
          </w:tcPr>
          <w:p>
            <w:pPr>
              <w:pStyle w:val="TableParagraph"/>
              <w:spacing w:line="280" w:lineRule="auto"/>
              <w:ind w:left="8"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line="217" w:lineRule="exact"/>
              <w:ind w:left="8"/>
              <w:rPr>
                <w:position w:val="5"/>
                <w:sz w:val="12"/>
              </w:rPr>
            </w:pPr>
            <w:r>
              <w:rPr>
                <w:sz w:val="18"/>
              </w:rPr>
              <w:t>serious</w:t>
            </w:r>
            <w:r>
              <w:rPr>
                <w:spacing w:val="-5"/>
                <w:sz w:val="18"/>
              </w:rPr>
              <w:t> </w:t>
            </w:r>
            <w:r>
              <w:rPr>
                <w:spacing w:val="-2"/>
                <w:sz w:val="18"/>
              </w:rPr>
              <w:t>imprecision</w:t>
            </w:r>
            <w:r>
              <w:rPr>
                <w:spacing w:val="-2"/>
                <w:position w:val="5"/>
                <w:sz w:val="12"/>
              </w:rPr>
              <w:t>11</w:t>
            </w:r>
          </w:p>
        </w:tc>
        <w:tc>
          <w:tcPr>
            <w:tcW w:w="4882" w:type="dxa"/>
          </w:tcPr>
          <w:p>
            <w:pPr>
              <w:pStyle w:val="TableParagraph"/>
              <w:spacing w:line="278" w:lineRule="auto"/>
              <w:ind w:left="8" w:right="47"/>
              <w:rPr>
                <w:sz w:val="18"/>
              </w:rPr>
            </w:pPr>
            <w:r>
              <w:rPr>
                <w:sz w:val="18"/>
              </w:rPr>
              <w:t>The evidence is very uncertain about the effect of DOACs on major</w:t>
            </w:r>
            <w:r>
              <w:rPr>
                <w:spacing w:val="-4"/>
                <w:sz w:val="18"/>
              </w:rPr>
              <w:t> </w:t>
            </w:r>
            <w:r>
              <w:rPr>
                <w:sz w:val="18"/>
              </w:rPr>
              <w:t>bleeding,</w:t>
            </w:r>
            <w:r>
              <w:rPr>
                <w:spacing w:val="-4"/>
                <w:sz w:val="18"/>
              </w:rPr>
              <w:t> </w:t>
            </w:r>
            <w:r>
              <w:rPr>
                <w:sz w:val="18"/>
              </w:rPr>
              <w:t>when</w:t>
            </w:r>
            <w:r>
              <w:rPr>
                <w:spacing w:val="-5"/>
                <w:sz w:val="18"/>
              </w:rPr>
              <w:t> </w:t>
            </w:r>
            <w:r>
              <w:rPr>
                <w:sz w:val="18"/>
              </w:rPr>
              <w:t>compared</w:t>
            </w:r>
            <w:r>
              <w:rPr>
                <w:spacing w:val="-3"/>
                <w:sz w:val="18"/>
              </w:rPr>
              <w:t> </w:t>
            </w:r>
            <w:r>
              <w:rPr>
                <w:sz w:val="18"/>
              </w:rPr>
              <w:t>with</w:t>
            </w:r>
            <w:r>
              <w:rPr>
                <w:spacing w:val="-6"/>
                <w:sz w:val="18"/>
              </w:rPr>
              <w:t> </w:t>
            </w:r>
            <w:r>
              <w:rPr>
                <w:sz w:val="18"/>
              </w:rPr>
              <w:t>VKAs</w:t>
            </w:r>
            <w:r>
              <w:rPr>
                <w:spacing w:val="-5"/>
                <w:sz w:val="18"/>
              </w:rPr>
              <w:t> </w:t>
            </w:r>
            <w:r>
              <w:rPr>
                <w:sz w:val="18"/>
              </w:rPr>
              <w:t>in</w:t>
            </w:r>
            <w:r>
              <w:rPr>
                <w:spacing w:val="-6"/>
                <w:sz w:val="18"/>
              </w:rPr>
              <w:t> </w:t>
            </w:r>
            <w:r>
              <w:rPr>
                <w:sz w:val="18"/>
              </w:rPr>
              <w:t>children</w:t>
            </w:r>
            <w:r>
              <w:rPr>
                <w:spacing w:val="-5"/>
                <w:sz w:val="18"/>
              </w:rPr>
              <w:t> </w:t>
            </w:r>
            <w:r>
              <w:rPr>
                <w:sz w:val="18"/>
              </w:rPr>
              <w:t>with</w:t>
            </w:r>
            <w:r>
              <w:rPr>
                <w:spacing w:val="-2"/>
                <w:sz w:val="18"/>
              </w:rPr>
              <w:t> </w:t>
            </w:r>
            <w:r>
              <w:rPr>
                <w:sz w:val="18"/>
              </w:rPr>
              <w:t>an indication for the Fontan procedure</w:t>
            </w:r>
          </w:p>
          <w:p>
            <w:pPr>
              <w:pStyle w:val="TableParagraph"/>
              <w:rPr>
                <w:sz w:val="18"/>
              </w:rPr>
            </w:pPr>
          </w:p>
          <w:p>
            <w:pPr>
              <w:pStyle w:val="TableParagraph"/>
              <w:spacing w:before="136"/>
              <w:rPr>
                <w:sz w:val="18"/>
              </w:rPr>
            </w:pPr>
          </w:p>
          <w:p>
            <w:pPr>
              <w:pStyle w:val="TableParagraph"/>
              <w:ind w:left="8"/>
              <w:rPr>
                <w:sz w:val="18"/>
              </w:rPr>
            </w:pPr>
            <w:r>
              <w:rPr>
                <w:sz w:val="18"/>
              </w:rPr>
              <w:t>(Kawamatsu,</w:t>
            </w:r>
            <w:r>
              <w:rPr>
                <w:spacing w:val="-4"/>
                <w:sz w:val="18"/>
              </w:rPr>
              <w:t> </w:t>
            </w:r>
            <w:r>
              <w:rPr>
                <w:spacing w:val="-2"/>
                <w:sz w:val="18"/>
              </w:rPr>
              <w:t>2021)</w:t>
            </w:r>
          </w:p>
        </w:tc>
      </w:tr>
      <w:tr>
        <w:trPr>
          <w:trHeight w:val="3060" w:hRule="atLeast"/>
        </w:trPr>
        <w:tc>
          <w:tcPr>
            <w:tcW w:w="2042" w:type="dxa"/>
            <w:gridSpan w:val="2"/>
          </w:tcPr>
          <w:p>
            <w:pPr>
              <w:pStyle w:val="TableParagraph"/>
              <w:numPr>
                <w:ilvl w:val="0"/>
                <w:numId w:val="60"/>
              </w:numPr>
              <w:tabs>
                <w:tab w:pos="727" w:val="left" w:leader="none"/>
              </w:tabs>
              <w:spacing w:line="271" w:lineRule="auto" w:before="2" w:after="0"/>
              <w:ind w:left="727" w:right="451" w:hanging="360"/>
              <w:jc w:val="left"/>
              <w:rPr>
                <w:sz w:val="18"/>
              </w:rPr>
            </w:pPr>
            <w:r>
              <w:rPr>
                <w:spacing w:val="-2"/>
                <w:sz w:val="18"/>
              </w:rPr>
              <w:t>Mortality</w:t>
            </w:r>
            <w:r>
              <w:rPr>
                <w:sz w:val="18"/>
              </w:rPr>
              <w:t> </w:t>
            </w:r>
            <w:r>
              <w:rPr>
                <w:spacing w:val="-2"/>
                <w:sz w:val="18"/>
              </w:rPr>
              <w:t>(important)</w:t>
            </w:r>
          </w:p>
          <w:p>
            <w:pPr>
              <w:pStyle w:val="TableParagraph"/>
              <w:numPr>
                <w:ilvl w:val="0"/>
                <w:numId w:val="60"/>
              </w:numPr>
              <w:tabs>
                <w:tab w:pos="727" w:val="left" w:leader="none"/>
              </w:tabs>
              <w:spacing w:line="271" w:lineRule="auto" w:before="172" w:after="0"/>
              <w:ind w:left="727" w:right="161" w:hanging="360"/>
              <w:jc w:val="left"/>
              <w:rPr>
                <w:sz w:val="18"/>
              </w:rPr>
            </w:pPr>
            <w:r>
              <w:rPr>
                <w:sz w:val="18"/>
              </w:rPr>
              <w:t>Ischemic</w:t>
            </w:r>
            <w:r>
              <w:rPr>
                <w:spacing w:val="-11"/>
                <w:sz w:val="18"/>
              </w:rPr>
              <w:t> </w:t>
            </w:r>
            <w:r>
              <w:rPr>
                <w:sz w:val="18"/>
              </w:rPr>
              <w:t>stroke </w:t>
            </w:r>
            <w:r>
              <w:rPr>
                <w:spacing w:val="-2"/>
                <w:sz w:val="18"/>
              </w:rPr>
              <w:t>(important)</w:t>
            </w:r>
          </w:p>
          <w:p>
            <w:pPr>
              <w:pStyle w:val="TableParagraph"/>
              <w:numPr>
                <w:ilvl w:val="0"/>
                <w:numId w:val="60"/>
              </w:numPr>
              <w:tabs>
                <w:tab w:pos="727" w:val="left" w:leader="none"/>
              </w:tabs>
              <w:spacing w:line="273" w:lineRule="auto" w:before="169" w:after="0"/>
              <w:ind w:left="727" w:right="313" w:hanging="360"/>
              <w:jc w:val="left"/>
              <w:rPr>
                <w:sz w:val="18"/>
              </w:rPr>
            </w:pPr>
            <w:r>
              <w:rPr>
                <w:sz w:val="18"/>
              </w:rPr>
              <w:t>Quality</w:t>
            </w:r>
            <w:r>
              <w:rPr>
                <w:spacing w:val="-11"/>
                <w:sz w:val="18"/>
              </w:rPr>
              <w:t> </w:t>
            </w:r>
            <w:r>
              <w:rPr>
                <w:sz w:val="18"/>
              </w:rPr>
              <w:t>of</w:t>
            </w:r>
            <w:r>
              <w:rPr>
                <w:spacing w:val="-10"/>
                <w:sz w:val="18"/>
              </w:rPr>
              <w:t> </w:t>
            </w:r>
            <w:r>
              <w:rPr>
                <w:sz w:val="18"/>
              </w:rPr>
              <w:t>life </w:t>
            </w:r>
            <w:r>
              <w:rPr>
                <w:spacing w:val="-2"/>
                <w:sz w:val="18"/>
              </w:rPr>
              <w:t>(QOL)</w:t>
            </w:r>
          </w:p>
          <w:p>
            <w:pPr>
              <w:pStyle w:val="TableParagraph"/>
              <w:spacing w:before="7"/>
              <w:ind w:left="727"/>
              <w:rPr>
                <w:sz w:val="18"/>
              </w:rPr>
            </w:pPr>
            <w:r>
              <w:rPr>
                <w:spacing w:val="-2"/>
                <w:sz w:val="18"/>
              </w:rPr>
              <w:t>(important)</w:t>
            </w:r>
          </w:p>
          <w:p>
            <w:pPr>
              <w:pStyle w:val="TableParagraph"/>
              <w:numPr>
                <w:ilvl w:val="0"/>
                <w:numId w:val="60"/>
              </w:numPr>
              <w:tabs>
                <w:tab w:pos="727" w:val="left" w:leader="none"/>
              </w:tabs>
              <w:spacing w:line="273" w:lineRule="auto" w:before="197" w:after="0"/>
              <w:ind w:left="727" w:right="181" w:hanging="360"/>
              <w:jc w:val="left"/>
              <w:rPr>
                <w:sz w:val="18"/>
              </w:rPr>
            </w:pPr>
            <w:r>
              <w:rPr>
                <w:sz w:val="18"/>
              </w:rPr>
              <w:t>Adverse</w:t>
            </w:r>
            <w:r>
              <w:rPr>
                <w:spacing w:val="-11"/>
                <w:sz w:val="18"/>
              </w:rPr>
              <w:t> </w:t>
            </w:r>
            <w:r>
              <w:rPr>
                <w:sz w:val="18"/>
              </w:rPr>
              <w:t>events </w:t>
            </w:r>
            <w:r>
              <w:rPr>
                <w:spacing w:val="-2"/>
                <w:sz w:val="18"/>
              </w:rPr>
              <w:t>(important)</w:t>
            </w:r>
          </w:p>
        </w:tc>
        <w:tc>
          <w:tcPr>
            <w:tcW w:w="2506"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4"/>
              <w:rPr>
                <w:sz w:val="18"/>
              </w:rPr>
            </w:pPr>
          </w:p>
          <w:p>
            <w:pPr>
              <w:pStyle w:val="TableParagraph"/>
              <w:ind w:left="7"/>
              <w:rPr>
                <w:sz w:val="18"/>
              </w:rPr>
            </w:pPr>
            <w:r>
              <w:rPr>
                <w:spacing w:val="-10"/>
                <w:sz w:val="18"/>
              </w:rPr>
              <w:t>-</w:t>
            </w:r>
          </w:p>
        </w:tc>
        <w:tc>
          <w:tcPr>
            <w:tcW w:w="2486" w:type="dxa"/>
            <w:gridSpan w:val="2"/>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4"/>
              <w:rPr>
                <w:sz w:val="18"/>
              </w:rPr>
            </w:pPr>
          </w:p>
          <w:p>
            <w:pPr>
              <w:pStyle w:val="TableParagraph"/>
              <w:ind w:left="5"/>
              <w:rPr>
                <w:sz w:val="18"/>
              </w:rPr>
            </w:pPr>
            <w:r>
              <w:rPr>
                <w:spacing w:val="-10"/>
                <w:sz w:val="18"/>
              </w:rPr>
              <w:t>-</w:t>
            </w:r>
          </w:p>
        </w:tc>
        <w:tc>
          <w:tcPr>
            <w:tcW w:w="2028"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4"/>
              <w:rPr>
                <w:sz w:val="18"/>
              </w:rPr>
            </w:pPr>
          </w:p>
          <w:p>
            <w:pPr>
              <w:pStyle w:val="TableParagraph"/>
              <w:ind w:left="8"/>
              <w:rPr>
                <w:b/>
                <w:sz w:val="18"/>
              </w:rPr>
            </w:pPr>
            <w:r>
              <w:rPr>
                <w:b/>
                <w:sz w:val="18"/>
              </w:rPr>
              <w:t>No</w:t>
            </w:r>
            <w:r>
              <w:rPr>
                <w:b/>
                <w:spacing w:val="-5"/>
                <w:sz w:val="18"/>
              </w:rPr>
              <w:t> </w:t>
            </w:r>
            <w:r>
              <w:rPr>
                <w:b/>
                <w:spacing w:val="-2"/>
                <w:sz w:val="18"/>
              </w:rPr>
              <w:t>GRADE</w:t>
            </w:r>
          </w:p>
          <w:p>
            <w:pPr>
              <w:pStyle w:val="TableParagraph"/>
              <w:spacing w:before="35"/>
              <w:ind w:left="8"/>
              <w:rPr>
                <w:sz w:val="18"/>
              </w:rPr>
            </w:pPr>
            <w:r>
              <w:rPr>
                <w:sz w:val="18"/>
              </w:rPr>
              <w:t>(No</w:t>
            </w:r>
            <w:r>
              <w:rPr>
                <w:spacing w:val="-4"/>
                <w:sz w:val="18"/>
              </w:rPr>
              <w:t> </w:t>
            </w:r>
            <w:r>
              <w:rPr>
                <w:sz w:val="18"/>
              </w:rPr>
              <w:t>evidence</w:t>
            </w:r>
            <w:r>
              <w:rPr>
                <w:spacing w:val="-4"/>
                <w:sz w:val="18"/>
              </w:rPr>
              <w:t> </w:t>
            </w:r>
            <w:r>
              <w:rPr>
                <w:sz w:val="18"/>
              </w:rPr>
              <w:t>was</w:t>
            </w:r>
            <w:r>
              <w:rPr>
                <w:spacing w:val="-3"/>
                <w:sz w:val="18"/>
              </w:rPr>
              <w:t> </w:t>
            </w:r>
            <w:r>
              <w:rPr>
                <w:spacing w:val="-2"/>
                <w:sz w:val="18"/>
              </w:rPr>
              <w:t>found)</w:t>
            </w:r>
          </w:p>
        </w:tc>
        <w:tc>
          <w:tcPr>
            <w:tcW w:w="488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spacing w:line="278" w:lineRule="auto"/>
              <w:ind w:left="8" w:right="216"/>
              <w:rPr>
                <w:sz w:val="18"/>
              </w:rPr>
            </w:pPr>
            <w:r>
              <w:rPr>
                <w:sz w:val="18"/>
              </w:rPr>
              <w:t>No evidence was found regarding the effect of DOACs on mortality,</w:t>
            </w:r>
            <w:r>
              <w:rPr>
                <w:spacing w:val="-5"/>
                <w:sz w:val="18"/>
              </w:rPr>
              <w:t> </w:t>
            </w:r>
            <w:r>
              <w:rPr>
                <w:sz w:val="18"/>
              </w:rPr>
              <w:t>ischemic</w:t>
            </w:r>
            <w:r>
              <w:rPr>
                <w:spacing w:val="-5"/>
                <w:sz w:val="18"/>
              </w:rPr>
              <w:t> </w:t>
            </w:r>
            <w:r>
              <w:rPr>
                <w:sz w:val="18"/>
              </w:rPr>
              <w:t>stroke,</w:t>
            </w:r>
            <w:r>
              <w:rPr>
                <w:spacing w:val="-4"/>
                <w:sz w:val="18"/>
              </w:rPr>
              <w:t> </w:t>
            </w:r>
            <w:r>
              <w:rPr>
                <w:sz w:val="18"/>
              </w:rPr>
              <w:t>quality</w:t>
            </w:r>
            <w:r>
              <w:rPr>
                <w:spacing w:val="-5"/>
                <w:sz w:val="18"/>
              </w:rPr>
              <w:t> </w:t>
            </w:r>
            <w:r>
              <w:rPr>
                <w:sz w:val="18"/>
              </w:rPr>
              <w:t>of</w:t>
            </w:r>
            <w:r>
              <w:rPr>
                <w:spacing w:val="-6"/>
                <w:sz w:val="18"/>
              </w:rPr>
              <w:t> </w:t>
            </w:r>
            <w:r>
              <w:rPr>
                <w:sz w:val="18"/>
              </w:rPr>
              <w:t>life</w:t>
            </w:r>
            <w:r>
              <w:rPr>
                <w:spacing w:val="-5"/>
                <w:sz w:val="18"/>
              </w:rPr>
              <w:t> </w:t>
            </w:r>
            <w:r>
              <w:rPr>
                <w:sz w:val="18"/>
              </w:rPr>
              <w:t>(QOL),</w:t>
            </w:r>
            <w:r>
              <w:rPr>
                <w:spacing w:val="-5"/>
                <w:sz w:val="18"/>
              </w:rPr>
              <w:t> </w:t>
            </w:r>
            <w:r>
              <w:rPr>
                <w:sz w:val="18"/>
              </w:rPr>
              <w:t>and</w:t>
            </w:r>
            <w:r>
              <w:rPr>
                <w:spacing w:val="-6"/>
                <w:sz w:val="18"/>
              </w:rPr>
              <w:t> </w:t>
            </w:r>
            <w:r>
              <w:rPr>
                <w:sz w:val="18"/>
              </w:rPr>
              <w:t>adverse events, when compared with VKAs in children with an indication for the Fontan procedure</w:t>
            </w:r>
          </w:p>
        </w:tc>
      </w:tr>
      <w:tr>
        <w:trPr>
          <w:trHeight w:val="415" w:hRule="atLeast"/>
        </w:trPr>
        <w:tc>
          <w:tcPr>
            <w:tcW w:w="13944" w:type="dxa"/>
            <w:gridSpan w:val="7"/>
            <w:shd w:val="clear" w:color="auto" w:fill="D0CECE"/>
          </w:tcPr>
          <w:p>
            <w:pPr>
              <w:pStyle w:val="TableParagraph"/>
              <w:spacing w:line="218" w:lineRule="exact"/>
              <w:ind w:left="6"/>
              <w:rPr>
                <w:b/>
                <w:i/>
                <w:sz w:val="18"/>
              </w:rPr>
            </w:pPr>
            <w:r>
              <w:rPr>
                <w:b/>
                <w:i/>
                <w:sz w:val="18"/>
              </w:rPr>
              <w:t>DOACs</w:t>
            </w:r>
            <w:r>
              <w:rPr>
                <w:b/>
                <w:i/>
                <w:spacing w:val="-4"/>
                <w:sz w:val="18"/>
              </w:rPr>
              <w:t> </w:t>
            </w:r>
            <w:r>
              <w:rPr>
                <w:b/>
                <w:i/>
                <w:sz w:val="18"/>
              </w:rPr>
              <w:t>versus</w:t>
            </w:r>
            <w:r>
              <w:rPr>
                <w:b/>
                <w:i/>
                <w:spacing w:val="-2"/>
                <w:sz w:val="18"/>
              </w:rPr>
              <w:t> </w:t>
            </w:r>
            <w:r>
              <w:rPr>
                <w:b/>
                <w:i/>
                <w:sz w:val="18"/>
              </w:rPr>
              <w:t>combination</w:t>
            </w:r>
            <w:r>
              <w:rPr>
                <w:b/>
                <w:i/>
                <w:spacing w:val="-4"/>
                <w:sz w:val="18"/>
              </w:rPr>
              <w:t> </w:t>
            </w:r>
            <w:r>
              <w:rPr>
                <w:b/>
                <w:i/>
                <w:sz w:val="18"/>
              </w:rPr>
              <w:t>of</w:t>
            </w:r>
            <w:r>
              <w:rPr>
                <w:b/>
                <w:i/>
                <w:spacing w:val="-2"/>
                <w:sz w:val="18"/>
              </w:rPr>
              <w:t> </w:t>
            </w:r>
            <w:r>
              <w:rPr>
                <w:b/>
                <w:i/>
                <w:sz w:val="18"/>
              </w:rPr>
              <w:t>an</w:t>
            </w:r>
            <w:r>
              <w:rPr>
                <w:b/>
                <w:i/>
                <w:spacing w:val="-4"/>
                <w:sz w:val="18"/>
              </w:rPr>
              <w:t> </w:t>
            </w:r>
            <w:r>
              <w:rPr>
                <w:b/>
                <w:i/>
                <w:sz w:val="18"/>
              </w:rPr>
              <w:t>antiplatelet</w:t>
            </w:r>
            <w:r>
              <w:rPr>
                <w:b/>
                <w:i/>
                <w:spacing w:val="-2"/>
                <w:sz w:val="18"/>
              </w:rPr>
              <w:t> </w:t>
            </w:r>
            <w:r>
              <w:rPr>
                <w:b/>
                <w:i/>
                <w:sz w:val="18"/>
              </w:rPr>
              <w:t>and</w:t>
            </w:r>
            <w:r>
              <w:rPr>
                <w:b/>
                <w:i/>
                <w:spacing w:val="-4"/>
                <w:sz w:val="18"/>
              </w:rPr>
              <w:t> </w:t>
            </w:r>
            <w:r>
              <w:rPr>
                <w:b/>
                <w:i/>
                <w:spacing w:val="-2"/>
                <w:sz w:val="18"/>
              </w:rPr>
              <w:t>anticoagulant</w:t>
            </w:r>
          </w:p>
        </w:tc>
      </w:tr>
      <w:tr>
        <w:trPr>
          <w:trHeight w:val="1182" w:hRule="atLeast"/>
        </w:trPr>
        <w:tc>
          <w:tcPr>
            <w:tcW w:w="2042" w:type="dxa"/>
            <w:gridSpan w:val="2"/>
          </w:tcPr>
          <w:p>
            <w:pPr>
              <w:pStyle w:val="TableParagraph"/>
              <w:rPr>
                <w:rFonts w:ascii="Times New Roman"/>
                <w:sz w:val="16"/>
              </w:rPr>
            </w:pPr>
          </w:p>
        </w:tc>
        <w:tc>
          <w:tcPr>
            <w:tcW w:w="2506" w:type="dxa"/>
          </w:tcPr>
          <w:p>
            <w:pPr>
              <w:pStyle w:val="TableParagraph"/>
              <w:rPr>
                <w:rFonts w:ascii="Times New Roman"/>
                <w:sz w:val="16"/>
              </w:rPr>
            </w:pPr>
          </w:p>
        </w:tc>
        <w:tc>
          <w:tcPr>
            <w:tcW w:w="1214" w:type="dxa"/>
          </w:tcPr>
          <w:p>
            <w:pPr>
              <w:pStyle w:val="TableParagraph"/>
              <w:spacing w:line="218" w:lineRule="exact"/>
              <w:ind w:left="5"/>
              <w:rPr>
                <w:sz w:val="18"/>
              </w:rPr>
            </w:pPr>
            <w:r>
              <w:rPr>
                <w:spacing w:val="-4"/>
                <w:sz w:val="18"/>
              </w:rPr>
              <w:t>DOACs</w:t>
            </w:r>
          </w:p>
        </w:tc>
        <w:tc>
          <w:tcPr>
            <w:tcW w:w="1272" w:type="dxa"/>
          </w:tcPr>
          <w:p>
            <w:pPr>
              <w:pStyle w:val="TableParagraph"/>
              <w:spacing w:line="280" w:lineRule="auto"/>
              <w:ind w:left="8" w:right="107"/>
              <w:rPr>
                <w:sz w:val="18"/>
              </w:rPr>
            </w:pPr>
            <w:r>
              <w:rPr>
                <w:sz w:val="18"/>
              </w:rPr>
              <w:t>Combination</w:t>
            </w:r>
            <w:r>
              <w:rPr>
                <w:spacing w:val="-11"/>
                <w:sz w:val="18"/>
              </w:rPr>
              <w:t> </w:t>
            </w:r>
            <w:r>
              <w:rPr>
                <w:sz w:val="18"/>
              </w:rPr>
              <w:t>of an</w:t>
            </w:r>
            <w:r>
              <w:rPr>
                <w:spacing w:val="-2"/>
                <w:sz w:val="18"/>
              </w:rPr>
              <w:t> </w:t>
            </w:r>
            <w:r>
              <w:rPr>
                <w:sz w:val="18"/>
              </w:rPr>
              <w:t>antiplatelet </w:t>
            </w:r>
            <w:r>
              <w:rPr>
                <w:spacing w:val="-4"/>
                <w:sz w:val="18"/>
              </w:rPr>
              <w:t>and</w:t>
            </w:r>
            <w:r>
              <w:rPr>
                <w:sz w:val="18"/>
              </w:rPr>
              <w:t> </w:t>
            </w:r>
            <w:r>
              <w:rPr>
                <w:spacing w:val="-2"/>
                <w:sz w:val="18"/>
              </w:rPr>
              <w:t>anticoagulant</w:t>
            </w:r>
          </w:p>
        </w:tc>
        <w:tc>
          <w:tcPr>
            <w:tcW w:w="2028" w:type="dxa"/>
          </w:tcPr>
          <w:p>
            <w:pPr>
              <w:pStyle w:val="TableParagraph"/>
              <w:rPr>
                <w:rFonts w:ascii="Times New Roman"/>
                <w:sz w:val="16"/>
              </w:rPr>
            </w:pPr>
          </w:p>
        </w:tc>
        <w:tc>
          <w:tcPr>
            <w:tcW w:w="4882" w:type="dxa"/>
          </w:tcPr>
          <w:p>
            <w:pPr>
              <w:pStyle w:val="TableParagraph"/>
              <w:rPr>
                <w:rFonts w:ascii="Times New Roman"/>
                <w:sz w:val="16"/>
              </w:rPr>
            </w:pPr>
          </w:p>
        </w:tc>
      </w:tr>
      <w:tr>
        <w:trPr>
          <w:trHeight w:val="829" w:hRule="atLeast"/>
        </w:trPr>
        <w:tc>
          <w:tcPr>
            <w:tcW w:w="2042" w:type="dxa"/>
            <w:gridSpan w:val="2"/>
            <w:vMerge w:val="restart"/>
          </w:tcPr>
          <w:p>
            <w:pPr>
              <w:pStyle w:val="TableParagraph"/>
              <w:spacing w:line="278" w:lineRule="auto"/>
              <w:ind w:left="6" w:right="104"/>
              <w:rPr>
                <w:sz w:val="18"/>
              </w:rPr>
            </w:pPr>
            <w:r>
              <w:rPr>
                <w:sz w:val="18"/>
              </w:rPr>
              <w:t>Thrombotic</w:t>
            </w:r>
            <w:r>
              <w:rPr>
                <w:spacing w:val="-11"/>
                <w:sz w:val="18"/>
              </w:rPr>
              <w:t> </w:t>
            </w:r>
            <w:r>
              <w:rPr>
                <w:sz w:val="18"/>
              </w:rPr>
              <w:t>complications </w:t>
            </w:r>
            <w:r>
              <w:rPr>
                <w:spacing w:val="-2"/>
                <w:sz w:val="18"/>
              </w:rPr>
              <w:t>(critical)</w:t>
            </w:r>
          </w:p>
        </w:tc>
        <w:tc>
          <w:tcPr>
            <w:tcW w:w="2506" w:type="dxa"/>
            <w:vMerge w:val="restart"/>
          </w:tcPr>
          <w:p>
            <w:pPr>
              <w:pStyle w:val="TableParagraph"/>
              <w:spacing w:line="218" w:lineRule="exact"/>
              <w:ind w:left="7"/>
              <w:rPr>
                <w:b/>
                <w:sz w:val="18"/>
              </w:rPr>
            </w:pPr>
            <w:r>
              <w:rPr>
                <w:sz w:val="18"/>
              </w:rPr>
              <w:t>Relative</w:t>
            </w:r>
            <w:r>
              <w:rPr>
                <w:spacing w:val="-3"/>
                <w:sz w:val="18"/>
              </w:rPr>
              <w:t> </w:t>
            </w:r>
            <w:r>
              <w:rPr>
                <w:sz w:val="18"/>
              </w:rPr>
              <w:t>risk:</w:t>
            </w:r>
            <w:r>
              <w:rPr>
                <w:spacing w:val="-2"/>
                <w:sz w:val="18"/>
              </w:rPr>
              <w:t> </w:t>
            </w:r>
            <w:r>
              <w:rPr>
                <w:b/>
                <w:spacing w:val="-10"/>
                <w:sz w:val="18"/>
              </w:rPr>
              <w:t>1</w:t>
            </w:r>
          </w:p>
          <w:p>
            <w:pPr>
              <w:pStyle w:val="TableParagraph"/>
              <w:rPr>
                <w:sz w:val="18"/>
              </w:rPr>
            </w:pPr>
          </w:p>
          <w:p>
            <w:pPr>
              <w:pStyle w:val="TableParagraph"/>
              <w:spacing w:before="171"/>
              <w:rPr>
                <w:sz w:val="18"/>
              </w:rPr>
            </w:pPr>
          </w:p>
          <w:p>
            <w:pPr>
              <w:pStyle w:val="TableParagraph"/>
              <w:spacing w:line="280" w:lineRule="auto"/>
              <w:ind w:left="7" w:right="643"/>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50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line="217" w:lineRule="exact"/>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1214" w:type="dxa"/>
          </w:tcPr>
          <w:p>
            <w:pPr>
              <w:pStyle w:val="TableParagraph"/>
              <w:spacing w:line="218" w:lineRule="exact"/>
              <w:ind w:left="5"/>
              <w:rPr>
                <w:b/>
                <w:sz w:val="18"/>
              </w:rPr>
            </w:pPr>
            <w:r>
              <w:rPr>
                <w:b/>
                <w:spacing w:val="-10"/>
                <w:sz w:val="18"/>
              </w:rPr>
              <w:t>0</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line="218" w:lineRule="exact"/>
              <w:ind w:left="8"/>
              <w:rPr>
                <w:b/>
                <w:sz w:val="18"/>
              </w:rPr>
            </w:pPr>
            <w:r>
              <w:rPr>
                <w:b/>
                <w:spacing w:val="-10"/>
                <w:sz w:val="18"/>
              </w:rPr>
              <w:t>0</w:t>
            </w:r>
          </w:p>
          <w:p>
            <w:pPr>
              <w:pStyle w:val="TableParagraph"/>
              <w:spacing w:before="195"/>
              <w:ind w:left="8"/>
              <w:rPr>
                <w:sz w:val="18"/>
              </w:rPr>
            </w:pPr>
            <w:r>
              <w:rPr>
                <w:sz w:val="18"/>
              </w:rPr>
              <w:t>per</w:t>
            </w:r>
            <w:r>
              <w:rPr>
                <w:spacing w:val="-3"/>
                <w:sz w:val="18"/>
              </w:rPr>
              <w:t> </w:t>
            </w:r>
            <w:r>
              <w:rPr>
                <w:spacing w:val="-5"/>
                <w:sz w:val="18"/>
              </w:rPr>
              <w:t>100</w:t>
            </w:r>
          </w:p>
        </w:tc>
        <w:tc>
          <w:tcPr>
            <w:tcW w:w="2028" w:type="dxa"/>
            <w:vMerge w:val="restart"/>
          </w:tcPr>
          <w:p>
            <w:pPr>
              <w:pStyle w:val="TableParagraph"/>
              <w:rPr>
                <w:sz w:val="18"/>
              </w:rPr>
            </w:pPr>
          </w:p>
          <w:p>
            <w:pPr>
              <w:pStyle w:val="TableParagraph"/>
              <w:rPr>
                <w:sz w:val="18"/>
              </w:rPr>
            </w:pPr>
          </w:p>
          <w:p>
            <w:pPr>
              <w:pStyle w:val="TableParagraph"/>
              <w:spacing w:before="169"/>
              <w:rPr>
                <w:sz w:val="18"/>
              </w:rPr>
            </w:pPr>
          </w:p>
          <w:p>
            <w:pPr>
              <w:pStyle w:val="TableParagraph"/>
              <w:spacing w:before="1"/>
              <w:ind w:left="8"/>
              <w:rPr>
                <w:b/>
                <w:sz w:val="18"/>
              </w:rPr>
            </w:pPr>
            <w:r>
              <w:rPr>
                <w:b/>
                <w:sz w:val="18"/>
              </w:rPr>
              <w:t>Very</w:t>
            </w:r>
            <w:r>
              <w:rPr>
                <w:b/>
                <w:spacing w:val="-1"/>
                <w:sz w:val="18"/>
              </w:rPr>
              <w:t> </w:t>
            </w:r>
            <w:r>
              <w:rPr>
                <w:b/>
                <w:spacing w:val="-5"/>
                <w:sz w:val="18"/>
              </w:rPr>
              <w:t>low</w:t>
            </w:r>
          </w:p>
          <w:p>
            <w:pPr>
              <w:pStyle w:val="TableParagraph"/>
              <w:spacing w:before="37"/>
              <w:ind w:left="8"/>
              <w:rPr>
                <w:position w:val="5"/>
                <w:sz w:val="12"/>
              </w:rPr>
            </w:pPr>
            <w:r>
              <w:rPr>
                <w:sz w:val="18"/>
              </w:rPr>
              <w:t>Due</w:t>
            </w:r>
            <w:r>
              <w:rPr>
                <w:spacing w:val="-3"/>
                <w:sz w:val="18"/>
              </w:rPr>
              <w:t> </w:t>
            </w:r>
            <w:r>
              <w:rPr>
                <w:sz w:val="18"/>
              </w:rPr>
              <w:t>to</w:t>
            </w:r>
            <w:r>
              <w:rPr>
                <w:spacing w:val="-1"/>
                <w:sz w:val="18"/>
              </w:rPr>
              <w:t> </w:t>
            </w:r>
            <w:r>
              <w:rPr>
                <w:sz w:val="18"/>
              </w:rPr>
              <w:t>risk</w:t>
            </w:r>
            <w:r>
              <w:rPr>
                <w:spacing w:val="-2"/>
                <w:sz w:val="18"/>
              </w:rPr>
              <w:t> </w:t>
            </w:r>
            <w:r>
              <w:rPr>
                <w:sz w:val="18"/>
              </w:rPr>
              <w:t>of</w:t>
            </w:r>
            <w:r>
              <w:rPr>
                <w:spacing w:val="-2"/>
                <w:sz w:val="18"/>
              </w:rPr>
              <w:t> bias</w:t>
            </w:r>
            <w:r>
              <w:rPr>
                <w:spacing w:val="-2"/>
                <w:position w:val="5"/>
                <w:sz w:val="12"/>
              </w:rPr>
              <w:t>12</w:t>
            </w:r>
          </w:p>
        </w:tc>
        <w:tc>
          <w:tcPr>
            <w:tcW w:w="4882" w:type="dxa"/>
            <w:vMerge w:val="restart"/>
          </w:tcPr>
          <w:p>
            <w:pPr>
              <w:pStyle w:val="TableParagraph"/>
              <w:rPr>
                <w:sz w:val="18"/>
              </w:rPr>
            </w:pPr>
          </w:p>
          <w:p>
            <w:pPr>
              <w:pStyle w:val="TableParagraph"/>
              <w:rPr>
                <w:sz w:val="18"/>
              </w:rPr>
            </w:pPr>
          </w:p>
          <w:p>
            <w:pPr>
              <w:pStyle w:val="TableParagraph"/>
              <w:spacing w:before="169"/>
              <w:rPr>
                <w:sz w:val="18"/>
              </w:rPr>
            </w:pPr>
          </w:p>
          <w:p>
            <w:pPr>
              <w:pStyle w:val="TableParagraph"/>
              <w:spacing w:line="278" w:lineRule="auto" w:before="1"/>
              <w:ind w:left="8"/>
              <w:rPr>
                <w:sz w:val="18"/>
              </w:rPr>
            </w:pPr>
            <w:r>
              <w:rPr>
                <w:sz w:val="18"/>
              </w:rPr>
              <w:t>The evidence is very uncertain about the effect of DOACs on thrombotic complications, when compared with</w:t>
            </w:r>
            <w:r>
              <w:rPr>
                <w:spacing w:val="-1"/>
                <w:sz w:val="18"/>
              </w:rPr>
              <w:t> </w:t>
            </w:r>
            <w:r>
              <w:rPr>
                <w:sz w:val="18"/>
              </w:rPr>
              <w:t>a combination of an</w:t>
            </w:r>
            <w:r>
              <w:rPr>
                <w:spacing w:val="-5"/>
                <w:sz w:val="18"/>
              </w:rPr>
              <w:t> </w:t>
            </w:r>
            <w:r>
              <w:rPr>
                <w:sz w:val="18"/>
              </w:rPr>
              <w:t>antiplatelet</w:t>
            </w:r>
            <w:r>
              <w:rPr>
                <w:spacing w:val="-4"/>
                <w:sz w:val="18"/>
              </w:rPr>
              <w:t> </w:t>
            </w:r>
            <w:r>
              <w:rPr>
                <w:sz w:val="18"/>
              </w:rPr>
              <w:t>and</w:t>
            </w:r>
            <w:r>
              <w:rPr>
                <w:spacing w:val="-5"/>
                <w:sz w:val="18"/>
              </w:rPr>
              <w:t> </w:t>
            </w:r>
            <w:r>
              <w:rPr>
                <w:sz w:val="18"/>
              </w:rPr>
              <w:t>anticoagulant</w:t>
            </w:r>
            <w:r>
              <w:rPr>
                <w:spacing w:val="-3"/>
                <w:sz w:val="18"/>
              </w:rPr>
              <w:t> </w:t>
            </w:r>
            <w:r>
              <w:rPr>
                <w:sz w:val="18"/>
              </w:rPr>
              <w:t>in</w:t>
            </w:r>
            <w:r>
              <w:rPr>
                <w:spacing w:val="-6"/>
                <w:sz w:val="18"/>
              </w:rPr>
              <w:t> </w:t>
            </w:r>
            <w:r>
              <w:rPr>
                <w:sz w:val="18"/>
              </w:rPr>
              <w:t>children</w:t>
            </w:r>
            <w:r>
              <w:rPr>
                <w:spacing w:val="-5"/>
                <w:sz w:val="18"/>
              </w:rPr>
              <w:t> </w:t>
            </w:r>
            <w:r>
              <w:rPr>
                <w:sz w:val="18"/>
              </w:rPr>
              <w:t>with</w:t>
            </w:r>
            <w:r>
              <w:rPr>
                <w:spacing w:val="-3"/>
                <w:sz w:val="18"/>
              </w:rPr>
              <w:t> </w:t>
            </w:r>
            <w:r>
              <w:rPr>
                <w:sz w:val="18"/>
              </w:rPr>
              <w:t>an</w:t>
            </w:r>
            <w:r>
              <w:rPr>
                <w:spacing w:val="-5"/>
                <w:sz w:val="18"/>
              </w:rPr>
              <w:t> </w:t>
            </w:r>
            <w:r>
              <w:rPr>
                <w:sz w:val="18"/>
              </w:rPr>
              <w:t>indication</w:t>
            </w:r>
            <w:r>
              <w:rPr>
                <w:spacing w:val="-5"/>
                <w:sz w:val="18"/>
              </w:rPr>
              <w:t> </w:t>
            </w:r>
            <w:r>
              <w:rPr>
                <w:sz w:val="18"/>
              </w:rPr>
              <w:t>for the Fontan procedure</w:t>
            </w:r>
          </w:p>
        </w:tc>
      </w:tr>
      <w:tr>
        <w:trPr>
          <w:trHeight w:val="1663" w:hRule="atLeast"/>
        </w:trPr>
        <w:tc>
          <w:tcPr>
            <w:tcW w:w="2042" w:type="dxa"/>
            <w:gridSpan w:val="2"/>
            <w:vMerge/>
            <w:tcBorders>
              <w:top w:val="nil"/>
            </w:tcBorders>
          </w:tcPr>
          <w:p>
            <w:pPr>
              <w:rPr>
                <w:sz w:val="2"/>
                <w:szCs w:val="2"/>
              </w:rPr>
            </w:pPr>
          </w:p>
        </w:tc>
        <w:tc>
          <w:tcPr>
            <w:tcW w:w="2506" w:type="dxa"/>
            <w:vMerge/>
            <w:tcBorders>
              <w:top w:val="nil"/>
            </w:tcBorders>
          </w:tcPr>
          <w:p>
            <w:pPr>
              <w:rPr>
                <w:sz w:val="2"/>
                <w:szCs w:val="2"/>
              </w:rPr>
            </w:pPr>
          </w:p>
        </w:tc>
        <w:tc>
          <w:tcPr>
            <w:tcW w:w="2486" w:type="dxa"/>
            <w:gridSpan w:val="2"/>
          </w:tcPr>
          <w:p>
            <w:pPr>
              <w:pStyle w:val="TableParagraph"/>
              <w:rPr>
                <w:sz w:val="18"/>
              </w:rPr>
            </w:pPr>
          </w:p>
          <w:p>
            <w:pPr>
              <w:pStyle w:val="TableParagraph"/>
              <w:rPr>
                <w:sz w:val="18"/>
              </w:rPr>
            </w:pPr>
          </w:p>
          <w:p>
            <w:pPr>
              <w:pStyle w:val="TableParagraph"/>
              <w:spacing w:before="172"/>
              <w:rPr>
                <w:sz w:val="18"/>
              </w:rPr>
            </w:pPr>
          </w:p>
          <w:p>
            <w:pPr>
              <w:pStyle w:val="TableParagraph"/>
              <w:spacing w:before="1"/>
              <w:ind w:left="5"/>
              <w:rPr>
                <w:b/>
                <w:sz w:val="18"/>
              </w:rPr>
            </w:pPr>
            <w:r>
              <w:rPr>
                <w:sz w:val="18"/>
              </w:rPr>
              <w:t>Difference:</w:t>
            </w:r>
            <w:r>
              <w:rPr>
                <w:spacing w:val="-3"/>
                <w:sz w:val="18"/>
              </w:rPr>
              <w:t> </w:t>
            </w:r>
            <w:r>
              <w:rPr>
                <w:b/>
                <w:sz w:val="18"/>
              </w:rPr>
              <w:t>0</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tc>
        <w:tc>
          <w:tcPr>
            <w:tcW w:w="2028" w:type="dxa"/>
            <w:vMerge/>
            <w:tcBorders>
              <w:top w:val="nil"/>
            </w:tcBorders>
          </w:tcPr>
          <w:p>
            <w:pPr>
              <w:rPr>
                <w:sz w:val="2"/>
                <w:szCs w:val="2"/>
              </w:rPr>
            </w:pPr>
          </w:p>
        </w:tc>
        <w:tc>
          <w:tcPr>
            <w:tcW w:w="4882" w:type="dxa"/>
            <w:vMerge/>
            <w:tcBorders>
              <w:top w:val="nil"/>
            </w:tcBorders>
          </w:tcPr>
          <w:p>
            <w:pPr>
              <w:rPr>
                <w:sz w:val="2"/>
                <w:szCs w:val="2"/>
              </w:rPr>
            </w:pPr>
          </w:p>
        </w:tc>
      </w:tr>
    </w:tbl>
    <w:p>
      <w:pPr>
        <w:spacing w:after="0"/>
        <w:rPr>
          <w:sz w:val="2"/>
          <w:szCs w:val="2"/>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32"/>
        <w:gridCol w:w="1010"/>
        <w:gridCol w:w="2506"/>
        <w:gridCol w:w="1214"/>
        <w:gridCol w:w="1272"/>
        <w:gridCol w:w="2028"/>
        <w:gridCol w:w="4882"/>
      </w:tblGrid>
      <w:tr>
        <w:trPr>
          <w:trHeight w:val="414" w:hRule="atLeast"/>
        </w:trPr>
        <w:tc>
          <w:tcPr>
            <w:tcW w:w="2042" w:type="dxa"/>
            <w:gridSpan w:val="2"/>
          </w:tcPr>
          <w:p>
            <w:pPr>
              <w:pStyle w:val="TableParagraph"/>
              <w:rPr>
                <w:rFonts w:ascii="Times New Roman"/>
                <w:sz w:val="16"/>
              </w:rPr>
            </w:pPr>
          </w:p>
        </w:tc>
        <w:tc>
          <w:tcPr>
            <w:tcW w:w="2506" w:type="dxa"/>
          </w:tcPr>
          <w:p>
            <w:pPr>
              <w:pStyle w:val="TableParagraph"/>
              <w:rPr>
                <w:rFonts w:ascii="Times New Roman"/>
                <w:sz w:val="16"/>
              </w:rPr>
            </w:pPr>
          </w:p>
        </w:tc>
        <w:tc>
          <w:tcPr>
            <w:tcW w:w="2486" w:type="dxa"/>
            <w:gridSpan w:val="2"/>
          </w:tcPr>
          <w:p>
            <w:pPr>
              <w:pStyle w:val="TableParagraph"/>
              <w:rPr>
                <w:rFonts w:ascii="Times New Roman"/>
                <w:sz w:val="16"/>
              </w:rPr>
            </w:pPr>
          </w:p>
        </w:tc>
        <w:tc>
          <w:tcPr>
            <w:tcW w:w="2028" w:type="dxa"/>
          </w:tcPr>
          <w:p>
            <w:pPr>
              <w:pStyle w:val="TableParagraph"/>
              <w:rPr>
                <w:rFonts w:ascii="Times New Roman"/>
                <w:sz w:val="16"/>
              </w:rPr>
            </w:pPr>
          </w:p>
        </w:tc>
        <w:tc>
          <w:tcPr>
            <w:tcW w:w="4882" w:type="dxa"/>
          </w:tcPr>
          <w:p>
            <w:pPr>
              <w:pStyle w:val="TableParagraph"/>
              <w:spacing w:line="218" w:lineRule="exact"/>
              <w:ind w:left="8"/>
              <w:rPr>
                <w:sz w:val="18"/>
              </w:rPr>
            </w:pPr>
            <w:r>
              <w:rPr>
                <w:sz w:val="18"/>
              </w:rPr>
              <w:t>(Kawamatsu,</w:t>
            </w:r>
            <w:r>
              <w:rPr>
                <w:spacing w:val="-4"/>
                <w:sz w:val="18"/>
              </w:rPr>
              <w:t> </w:t>
            </w:r>
            <w:r>
              <w:rPr>
                <w:spacing w:val="-2"/>
                <w:sz w:val="18"/>
              </w:rPr>
              <w:t>2021)</w:t>
            </w:r>
          </w:p>
        </w:tc>
      </w:tr>
      <w:tr>
        <w:trPr>
          <w:trHeight w:val="832" w:hRule="atLeast"/>
        </w:trPr>
        <w:tc>
          <w:tcPr>
            <w:tcW w:w="1032" w:type="dxa"/>
            <w:vMerge w:val="restart"/>
          </w:tcPr>
          <w:p>
            <w:pPr>
              <w:pStyle w:val="TableParagraph"/>
              <w:spacing w:line="278" w:lineRule="auto" w:before="1"/>
              <w:ind w:left="6"/>
              <w:rPr>
                <w:sz w:val="18"/>
              </w:rPr>
            </w:pPr>
            <w:r>
              <w:rPr>
                <w:spacing w:val="-2"/>
                <w:sz w:val="18"/>
              </w:rPr>
              <w:t>Hemorrhage</w:t>
            </w:r>
            <w:r>
              <w:rPr>
                <w:sz w:val="18"/>
              </w:rPr>
              <w:t> </w:t>
            </w:r>
            <w:r>
              <w:rPr>
                <w:spacing w:val="-2"/>
                <w:sz w:val="18"/>
              </w:rPr>
              <w:t>(important)</w:t>
            </w:r>
          </w:p>
        </w:tc>
        <w:tc>
          <w:tcPr>
            <w:tcW w:w="1010" w:type="dxa"/>
            <w:vMerge w:val="restart"/>
          </w:tcPr>
          <w:p>
            <w:pPr>
              <w:pStyle w:val="TableParagraph"/>
              <w:spacing w:line="278" w:lineRule="auto" w:before="1"/>
              <w:ind w:left="7" w:right="353"/>
              <w:rPr>
                <w:sz w:val="18"/>
              </w:rPr>
            </w:pPr>
            <w:r>
              <w:rPr>
                <w:spacing w:val="-2"/>
                <w:sz w:val="18"/>
              </w:rPr>
              <w:t>Major</w:t>
            </w:r>
            <w:r>
              <w:rPr>
                <w:sz w:val="18"/>
              </w:rPr>
              <w:t> </w:t>
            </w:r>
            <w:r>
              <w:rPr>
                <w:spacing w:val="-2"/>
                <w:sz w:val="18"/>
              </w:rPr>
              <w:t>bleeding</w:t>
            </w:r>
          </w:p>
        </w:tc>
        <w:tc>
          <w:tcPr>
            <w:tcW w:w="2506" w:type="dxa"/>
            <w:vMerge w:val="restart"/>
          </w:tcPr>
          <w:p>
            <w:pPr>
              <w:pStyle w:val="TableParagraph"/>
              <w:spacing w:before="1"/>
              <w:ind w:left="7"/>
              <w:rPr>
                <w:b/>
                <w:sz w:val="18"/>
              </w:rPr>
            </w:pPr>
            <w:r>
              <w:rPr>
                <w:sz w:val="18"/>
              </w:rPr>
              <w:t>Relative</w:t>
            </w:r>
            <w:r>
              <w:rPr>
                <w:spacing w:val="-3"/>
                <w:sz w:val="18"/>
              </w:rPr>
              <w:t> </w:t>
            </w:r>
            <w:r>
              <w:rPr>
                <w:sz w:val="18"/>
              </w:rPr>
              <w:t>risk:</w:t>
            </w:r>
            <w:r>
              <w:rPr>
                <w:spacing w:val="-2"/>
                <w:sz w:val="18"/>
              </w:rPr>
              <w:t> </w:t>
            </w:r>
            <w:r>
              <w:rPr>
                <w:b/>
                <w:spacing w:val="-4"/>
                <w:sz w:val="18"/>
              </w:rPr>
              <w:t>0.05</w:t>
            </w:r>
          </w:p>
          <w:p>
            <w:pPr>
              <w:pStyle w:val="TableParagraph"/>
              <w:spacing w:before="195"/>
              <w:ind w:left="7"/>
              <w:rPr>
                <w:sz w:val="18"/>
              </w:rPr>
            </w:pPr>
            <w:r>
              <w:rPr>
                <w:sz w:val="18"/>
              </w:rPr>
              <w:t>(95%</w:t>
            </w:r>
            <w:r>
              <w:rPr>
                <w:spacing w:val="-1"/>
                <w:sz w:val="18"/>
              </w:rPr>
              <w:t> </w:t>
            </w:r>
            <w:r>
              <w:rPr>
                <w:sz w:val="18"/>
              </w:rPr>
              <w:t>CI 0.01 to </w:t>
            </w:r>
            <w:r>
              <w:rPr>
                <w:spacing w:val="-4"/>
                <w:sz w:val="18"/>
              </w:rPr>
              <w:t>0.35)</w:t>
            </w:r>
          </w:p>
          <w:p>
            <w:pPr>
              <w:pStyle w:val="TableParagraph"/>
              <w:rPr>
                <w:sz w:val="18"/>
              </w:rPr>
            </w:pPr>
          </w:p>
          <w:p>
            <w:pPr>
              <w:pStyle w:val="TableParagraph"/>
              <w:spacing w:before="171"/>
              <w:rPr>
                <w:sz w:val="18"/>
              </w:rPr>
            </w:pPr>
          </w:p>
          <w:p>
            <w:pPr>
              <w:pStyle w:val="TableParagraph"/>
              <w:spacing w:line="278" w:lineRule="auto" w:before="1"/>
              <w:ind w:left="7" w:right="643"/>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50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before="160"/>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1214" w:type="dxa"/>
          </w:tcPr>
          <w:p>
            <w:pPr>
              <w:pStyle w:val="TableParagraph"/>
              <w:spacing w:before="1"/>
              <w:ind w:left="5"/>
              <w:rPr>
                <w:b/>
                <w:sz w:val="18"/>
              </w:rPr>
            </w:pPr>
            <w:r>
              <w:rPr>
                <w:b/>
                <w:spacing w:val="-10"/>
                <w:sz w:val="18"/>
              </w:rPr>
              <w:t>3</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before="1"/>
              <w:ind w:left="8"/>
              <w:rPr>
                <w:b/>
                <w:sz w:val="18"/>
              </w:rPr>
            </w:pPr>
            <w:r>
              <w:rPr>
                <w:b/>
                <w:spacing w:val="-5"/>
                <w:sz w:val="18"/>
              </w:rPr>
              <w:t>57</w:t>
            </w:r>
          </w:p>
          <w:p>
            <w:pPr>
              <w:pStyle w:val="TableParagraph"/>
              <w:spacing w:before="195"/>
              <w:ind w:left="8"/>
              <w:rPr>
                <w:sz w:val="18"/>
              </w:rPr>
            </w:pPr>
            <w:r>
              <w:rPr>
                <w:sz w:val="18"/>
              </w:rPr>
              <w:t>per</w:t>
            </w:r>
            <w:r>
              <w:rPr>
                <w:spacing w:val="-3"/>
                <w:sz w:val="18"/>
              </w:rPr>
              <w:t> </w:t>
            </w:r>
            <w:r>
              <w:rPr>
                <w:spacing w:val="-5"/>
                <w:sz w:val="18"/>
              </w:rPr>
              <w:t>100</w:t>
            </w:r>
          </w:p>
        </w:tc>
        <w:tc>
          <w:tcPr>
            <w:tcW w:w="2028"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before="34"/>
              <w:ind w:left="8"/>
              <w:rPr>
                <w:position w:val="5"/>
                <w:sz w:val="12"/>
              </w:rPr>
            </w:pPr>
            <w:r>
              <w:rPr>
                <w:sz w:val="18"/>
              </w:rPr>
              <w:t>Due</w:t>
            </w:r>
            <w:r>
              <w:rPr>
                <w:spacing w:val="-3"/>
                <w:sz w:val="18"/>
              </w:rPr>
              <w:t> </w:t>
            </w:r>
            <w:r>
              <w:rPr>
                <w:sz w:val="18"/>
              </w:rPr>
              <w:t>to</w:t>
            </w:r>
            <w:r>
              <w:rPr>
                <w:spacing w:val="-1"/>
                <w:sz w:val="18"/>
              </w:rPr>
              <w:t> </w:t>
            </w:r>
            <w:r>
              <w:rPr>
                <w:sz w:val="18"/>
              </w:rPr>
              <w:t>risk</w:t>
            </w:r>
            <w:r>
              <w:rPr>
                <w:spacing w:val="-2"/>
                <w:sz w:val="18"/>
              </w:rPr>
              <w:t> </w:t>
            </w:r>
            <w:r>
              <w:rPr>
                <w:sz w:val="18"/>
              </w:rPr>
              <w:t>of</w:t>
            </w:r>
            <w:r>
              <w:rPr>
                <w:spacing w:val="-2"/>
                <w:sz w:val="18"/>
              </w:rPr>
              <w:t> bias</w:t>
            </w:r>
            <w:r>
              <w:rPr>
                <w:spacing w:val="-2"/>
                <w:position w:val="5"/>
                <w:sz w:val="12"/>
              </w:rPr>
              <w:t>13</w:t>
            </w:r>
          </w:p>
        </w:tc>
        <w:tc>
          <w:tcPr>
            <w:tcW w:w="488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spacing w:line="278" w:lineRule="auto"/>
              <w:ind w:left="8" w:right="16"/>
              <w:rPr>
                <w:sz w:val="18"/>
              </w:rPr>
            </w:pPr>
            <w:r>
              <w:rPr>
                <w:sz w:val="18"/>
              </w:rPr>
              <w:t>The evidence is very uncertain about the effect of DOACs on</w:t>
            </w:r>
            <w:r>
              <w:rPr>
                <w:spacing w:val="40"/>
                <w:sz w:val="18"/>
              </w:rPr>
              <w:t> </w:t>
            </w:r>
            <w:r>
              <w:rPr>
                <w:sz w:val="18"/>
              </w:rPr>
              <w:t>major bleeding, when compared with a combination of an antiplatelet</w:t>
            </w:r>
            <w:r>
              <w:rPr>
                <w:spacing w:val="-4"/>
                <w:sz w:val="18"/>
              </w:rPr>
              <w:t> </w:t>
            </w:r>
            <w:r>
              <w:rPr>
                <w:sz w:val="18"/>
              </w:rPr>
              <w:t>and</w:t>
            </w:r>
            <w:r>
              <w:rPr>
                <w:spacing w:val="-5"/>
                <w:sz w:val="18"/>
              </w:rPr>
              <w:t> </w:t>
            </w:r>
            <w:r>
              <w:rPr>
                <w:sz w:val="18"/>
              </w:rPr>
              <w:t>an</w:t>
            </w:r>
            <w:r>
              <w:rPr>
                <w:spacing w:val="-5"/>
                <w:sz w:val="18"/>
              </w:rPr>
              <w:t> </w:t>
            </w:r>
            <w:r>
              <w:rPr>
                <w:sz w:val="18"/>
              </w:rPr>
              <w:t>anticoagulant</w:t>
            </w:r>
            <w:r>
              <w:rPr>
                <w:spacing w:val="-3"/>
                <w:sz w:val="18"/>
              </w:rPr>
              <w:t> </w:t>
            </w:r>
            <w:r>
              <w:rPr>
                <w:sz w:val="18"/>
              </w:rPr>
              <w:t>in</w:t>
            </w:r>
            <w:r>
              <w:rPr>
                <w:spacing w:val="-6"/>
                <w:sz w:val="18"/>
              </w:rPr>
              <w:t> </w:t>
            </w:r>
            <w:r>
              <w:rPr>
                <w:sz w:val="18"/>
              </w:rPr>
              <w:t>children</w:t>
            </w:r>
            <w:r>
              <w:rPr>
                <w:spacing w:val="-5"/>
                <w:sz w:val="18"/>
              </w:rPr>
              <w:t> </w:t>
            </w:r>
            <w:r>
              <w:rPr>
                <w:sz w:val="18"/>
              </w:rPr>
              <w:t>with</w:t>
            </w:r>
            <w:r>
              <w:rPr>
                <w:spacing w:val="-3"/>
                <w:sz w:val="18"/>
              </w:rPr>
              <w:t> </w:t>
            </w:r>
            <w:r>
              <w:rPr>
                <w:sz w:val="18"/>
              </w:rPr>
              <w:t>an</w:t>
            </w:r>
            <w:r>
              <w:rPr>
                <w:spacing w:val="-5"/>
                <w:sz w:val="18"/>
              </w:rPr>
              <w:t> </w:t>
            </w:r>
            <w:r>
              <w:rPr>
                <w:sz w:val="18"/>
              </w:rPr>
              <w:t>indication</w:t>
            </w:r>
            <w:r>
              <w:rPr>
                <w:spacing w:val="-5"/>
                <w:sz w:val="18"/>
              </w:rPr>
              <w:t> </w:t>
            </w:r>
            <w:r>
              <w:rPr>
                <w:sz w:val="18"/>
              </w:rPr>
              <w:t>for the Fontan procedure</w:t>
            </w:r>
          </w:p>
          <w:p>
            <w:pPr>
              <w:pStyle w:val="TableParagraph"/>
              <w:rPr>
                <w:sz w:val="18"/>
              </w:rPr>
            </w:pPr>
          </w:p>
          <w:p>
            <w:pPr>
              <w:pStyle w:val="TableParagraph"/>
              <w:spacing w:before="137"/>
              <w:rPr>
                <w:sz w:val="18"/>
              </w:rPr>
            </w:pPr>
          </w:p>
          <w:p>
            <w:pPr>
              <w:pStyle w:val="TableParagraph"/>
              <w:ind w:left="8"/>
              <w:rPr>
                <w:sz w:val="18"/>
              </w:rPr>
            </w:pPr>
            <w:r>
              <w:rPr>
                <w:sz w:val="18"/>
              </w:rPr>
              <w:t>(Kawamatsu,</w:t>
            </w:r>
            <w:r>
              <w:rPr>
                <w:spacing w:val="-4"/>
                <w:sz w:val="18"/>
              </w:rPr>
              <w:t> </w:t>
            </w:r>
            <w:r>
              <w:rPr>
                <w:spacing w:val="-2"/>
                <w:sz w:val="18"/>
              </w:rPr>
              <w:t>2021)</w:t>
            </w:r>
          </w:p>
        </w:tc>
      </w:tr>
      <w:tr>
        <w:trPr>
          <w:trHeight w:val="2412" w:hRule="atLeast"/>
        </w:trPr>
        <w:tc>
          <w:tcPr>
            <w:tcW w:w="1032" w:type="dxa"/>
            <w:vMerge/>
            <w:tcBorders>
              <w:top w:val="nil"/>
            </w:tcBorders>
          </w:tcPr>
          <w:p>
            <w:pPr>
              <w:rPr>
                <w:sz w:val="2"/>
                <w:szCs w:val="2"/>
              </w:rPr>
            </w:pPr>
          </w:p>
        </w:tc>
        <w:tc>
          <w:tcPr>
            <w:tcW w:w="1010" w:type="dxa"/>
            <w:vMerge/>
            <w:tcBorders>
              <w:top w:val="nil"/>
            </w:tcBorders>
          </w:tcPr>
          <w:p>
            <w:pPr>
              <w:rPr>
                <w:sz w:val="2"/>
                <w:szCs w:val="2"/>
              </w:rPr>
            </w:pPr>
          </w:p>
        </w:tc>
        <w:tc>
          <w:tcPr>
            <w:tcW w:w="2506" w:type="dxa"/>
            <w:vMerge/>
            <w:tcBorders>
              <w:top w:val="nil"/>
            </w:tcBorders>
          </w:tcPr>
          <w:p>
            <w:pPr>
              <w:rPr>
                <w:sz w:val="2"/>
                <w:szCs w:val="2"/>
              </w:rPr>
            </w:pPr>
          </w:p>
        </w:tc>
        <w:tc>
          <w:tcPr>
            <w:tcW w:w="2486" w:type="dxa"/>
            <w:gridSpan w:val="2"/>
          </w:tcPr>
          <w:p>
            <w:pPr>
              <w:pStyle w:val="TableParagraph"/>
              <w:rPr>
                <w:sz w:val="18"/>
              </w:rPr>
            </w:pPr>
          </w:p>
          <w:p>
            <w:pPr>
              <w:pStyle w:val="TableParagraph"/>
              <w:rPr>
                <w:sz w:val="18"/>
              </w:rPr>
            </w:pPr>
          </w:p>
          <w:p>
            <w:pPr>
              <w:pStyle w:val="TableParagraph"/>
              <w:spacing w:before="169"/>
              <w:rPr>
                <w:sz w:val="18"/>
              </w:rPr>
            </w:pPr>
          </w:p>
          <w:p>
            <w:pPr>
              <w:pStyle w:val="TableParagraph"/>
              <w:spacing w:before="1"/>
              <w:ind w:left="5"/>
              <w:rPr>
                <w:b/>
                <w:sz w:val="18"/>
              </w:rPr>
            </w:pPr>
            <w:r>
              <w:rPr>
                <w:sz w:val="18"/>
              </w:rPr>
              <w:t>Difference:</w:t>
            </w:r>
            <w:r>
              <w:rPr>
                <w:spacing w:val="-3"/>
                <w:sz w:val="18"/>
              </w:rPr>
              <w:t> </w:t>
            </w:r>
            <w:r>
              <w:rPr>
                <w:b/>
                <w:sz w:val="18"/>
              </w:rPr>
              <w:t>54</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96"/>
              <w:ind w:left="5"/>
              <w:rPr>
                <w:sz w:val="18"/>
              </w:rPr>
            </w:pPr>
            <w:r>
              <w:rPr>
                <w:sz w:val="18"/>
              </w:rPr>
              <w:t>(95%</w:t>
            </w:r>
            <w:r>
              <w:rPr>
                <w:spacing w:val="-1"/>
                <w:sz w:val="18"/>
              </w:rPr>
              <w:t> </w:t>
            </w:r>
            <w:r>
              <w:rPr>
                <w:sz w:val="18"/>
              </w:rPr>
              <w:t>CI 81 fewer</w:t>
            </w:r>
            <w:r>
              <w:rPr>
                <w:spacing w:val="-1"/>
                <w:sz w:val="18"/>
              </w:rPr>
              <w:t> </w:t>
            </w:r>
            <w:r>
              <w:rPr>
                <w:sz w:val="18"/>
              </w:rPr>
              <w:t>to 28 </w:t>
            </w:r>
            <w:r>
              <w:rPr>
                <w:spacing w:val="-2"/>
                <w:sz w:val="18"/>
              </w:rPr>
              <w:t>fewer)</w:t>
            </w:r>
          </w:p>
        </w:tc>
        <w:tc>
          <w:tcPr>
            <w:tcW w:w="2028" w:type="dxa"/>
            <w:vMerge/>
            <w:tcBorders>
              <w:top w:val="nil"/>
            </w:tcBorders>
          </w:tcPr>
          <w:p>
            <w:pPr>
              <w:rPr>
                <w:sz w:val="2"/>
                <w:szCs w:val="2"/>
              </w:rPr>
            </w:pPr>
          </w:p>
        </w:tc>
        <w:tc>
          <w:tcPr>
            <w:tcW w:w="4882" w:type="dxa"/>
            <w:vMerge/>
            <w:tcBorders>
              <w:top w:val="nil"/>
            </w:tcBorders>
          </w:tcPr>
          <w:p>
            <w:pPr>
              <w:rPr>
                <w:sz w:val="2"/>
                <w:szCs w:val="2"/>
              </w:rPr>
            </w:pPr>
          </w:p>
        </w:tc>
      </w:tr>
      <w:tr>
        <w:trPr>
          <w:trHeight w:val="832" w:hRule="atLeast"/>
        </w:trPr>
        <w:tc>
          <w:tcPr>
            <w:tcW w:w="1032" w:type="dxa"/>
            <w:vMerge/>
            <w:tcBorders>
              <w:top w:val="nil"/>
            </w:tcBorders>
          </w:tcPr>
          <w:p>
            <w:pPr>
              <w:rPr>
                <w:sz w:val="2"/>
                <w:szCs w:val="2"/>
              </w:rPr>
            </w:pPr>
          </w:p>
        </w:tc>
        <w:tc>
          <w:tcPr>
            <w:tcW w:w="1010" w:type="dxa"/>
            <w:vMerge w:val="restart"/>
          </w:tcPr>
          <w:p>
            <w:pPr>
              <w:pStyle w:val="TableParagraph"/>
              <w:spacing w:line="278" w:lineRule="auto" w:before="1"/>
              <w:ind w:left="7" w:right="353"/>
              <w:rPr>
                <w:sz w:val="18"/>
              </w:rPr>
            </w:pPr>
            <w:r>
              <w:rPr>
                <w:spacing w:val="-2"/>
                <w:sz w:val="18"/>
              </w:rPr>
              <w:t>Minor</w:t>
            </w:r>
            <w:r>
              <w:rPr>
                <w:sz w:val="18"/>
              </w:rPr>
              <w:t> </w:t>
            </w:r>
            <w:r>
              <w:rPr>
                <w:spacing w:val="-2"/>
                <w:sz w:val="18"/>
              </w:rPr>
              <w:t>bleeding</w:t>
            </w:r>
          </w:p>
        </w:tc>
        <w:tc>
          <w:tcPr>
            <w:tcW w:w="2506" w:type="dxa"/>
            <w:vMerge w:val="restart"/>
          </w:tcPr>
          <w:p>
            <w:pPr>
              <w:pStyle w:val="TableParagraph"/>
              <w:spacing w:before="1"/>
              <w:ind w:left="7"/>
              <w:rPr>
                <w:b/>
                <w:sz w:val="18"/>
              </w:rPr>
            </w:pPr>
            <w:r>
              <w:rPr>
                <w:sz w:val="18"/>
              </w:rPr>
              <w:t>Relative</w:t>
            </w:r>
            <w:r>
              <w:rPr>
                <w:spacing w:val="-3"/>
                <w:sz w:val="18"/>
              </w:rPr>
              <w:t> </w:t>
            </w:r>
            <w:r>
              <w:rPr>
                <w:sz w:val="18"/>
              </w:rPr>
              <w:t>risk:</w:t>
            </w:r>
            <w:r>
              <w:rPr>
                <w:spacing w:val="-2"/>
                <w:sz w:val="18"/>
              </w:rPr>
              <w:t> </w:t>
            </w:r>
            <w:r>
              <w:rPr>
                <w:b/>
                <w:spacing w:val="-4"/>
                <w:sz w:val="18"/>
              </w:rPr>
              <w:t>1.22</w:t>
            </w:r>
          </w:p>
          <w:p>
            <w:pPr>
              <w:pStyle w:val="TableParagraph"/>
              <w:spacing w:before="195"/>
              <w:ind w:left="7"/>
              <w:rPr>
                <w:sz w:val="18"/>
              </w:rPr>
            </w:pPr>
            <w:r>
              <w:rPr>
                <w:sz w:val="18"/>
              </w:rPr>
              <w:t>(95%</w:t>
            </w:r>
            <w:r>
              <w:rPr>
                <w:spacing w:val="-1"/>
                <w:sz w:val="18"/>
              </w:rPr>
              <w:t> </w:t>
            </w:r>
            <w:r>
              <w:rPr>
                <w:sz w:val="18"/>
              </w:rPr>
              <w:t>CI 0.05 to </w:t>
            </w:r>
            <w:r>
              <w:rPr>
                <w:spacing w:val="-2"/>
                <w:sz w:val="18"/>
              </w:rPr>
              <w:t>28.21)</w:t>
            </w:r>
          </w:p>
          <w:p>
            <w:pPr>
              <w:pStyle w:val="TableParagraph"/>
              <w:rPr>
                <w:sz w:val="18"/>
              </w:rPr>
            </w:pPr>
          </w:p>
          <w:p>
            <w:pPr>
              <w:pStyle w:val="TableParagraph"/>
              <w:spacing w:before="171"/>
              <w:rPr>
                <w:sz w:val="18"/>
              </w:rPr>
            </w:pPr>
          </w:p>
          <w:p>
            <w:pPr>
              <w:pStyle w:val="TableParagraph"/>
              <w:spacing w:line="278" w:lineRule="auto" w:before="1"/>
              <w:ind w:left="7" w:right="643"/>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50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before="162"/>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1214" w:type="dxa"/>
          </w:tcPr>
          <w:p>
            <w:pPr>
              <w:pStyle w:val="TableParagraph"/>
              <w:spacing w:before="1"/>
              <w:ind w:left="5"/>
              <w:rPr>
                <w:b/>
                <w:sz w:val="18"/>
              </w:rPr>
            </w:pPr>
            <w:r>
              <w:rPr>
                <w:b/>
                <w:spacing w:val="-10"/>
                <w:sz w:val="18"/>
              </w:rPr>
              <w:t>3</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before="1"/>
              <w:ind w:left="8"/>
              <w:rPr>
                <w:b/>
                <w:sz w:val="18"/>
              </w:rPr>
            </w:pPr>
            <w:r>
              <w:rPr>
                <w:b/>
                <w:spacing w:val="-10"/>
                <w:sz w:val="18"/>
              </w:rPr>
              <w:t>0</w:t>
            </w:r>
          </w:p>
          <w:p>
            <w:pPr>
              <w:pStyle w:val="TableParagraph"/>
              <w:spacing w:before="195"/>
              <w:ind w:left="8"/>
              <w:rPr>
                <w:sz w:val="18"/>
              </w:rPr>
            </w:pPr>
            <w:r>
              <w:rPr>
                <w:sz w:val="18"/>
              </w:rPr>
              <w:t>per</w:t>
            </w:r>
            <w:r>
              <w:rPr>
                <w:spacing w:val="-3"/>
                <w:sz w:val="18"/>
              </w:rPr>
              <w:t> </w:t>
            </w:r>
            <w:r>
              <w:rPr>
                <w:spacing w:val="-5"/>
                <w:sz w:val="18"/>
              </w:rPr>
              <w:t>100</w:t>
            </w:r>
          </w:p>
        </w:tc>
        <w:tc>
          <w:tcPr>
            <w:tcW w:w="2028"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line="280" w:lineRule="auto" w:before="35"/>
              <w:ind w:left="8"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line="217" w:lineRule="exact"/>
              <w:ind w:left="8"/>
              <w:rPr>
                <w:position w:val="5"/>
                <w:sz w:val="12"/>
              </w:rPr>
            </w:pPr>
            <w:r>
              <w:rPr>
                <w:sz w:val="18"/>
              </w:rPr>
              <w:t>serious</w:t>
            </w:r>
            <w:r>
              <w:rPr>
                <w:spacing w:val="-5"/>
                <w:sz w:val="18"/>
              </w:rPr>
              <w:t> </w:t>
            </w:r>
            <w:r>
              <w:rPr>
                <w:spacing w:val="-2"/>
                <w:sz w:val="18"/>
              </w:rPr>
              <w:t>imprecision</w:t>
            </w:r>
            <w:r>
              <w:rPr>
                <w:spacing w:val="-2"/>
                <w:position w:val="5"/>
                <w:sz w:val="12"/>
              </w:rPr>
              <w:t>14</w:t>
            </w:r>
          </w:p>
        </w:tc>
        <w:tc>
          <w:tcPr>
            <w:tcW w:w="488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99"/>
              <w:rPr>
                <w:sz w:val="18"/>
              </w:rPr>
            </w:pPr>
          </w:p>
          <w:p>
            <w:pPr>
              <w:pStyle w:val="TableParagraph"/>
              <w:spacing w:line="280" w:lineRule="auto" w:before="1"/>
              <w:ind w:left="8" w:right="16"/>
              <w:rPr>
                <w:sz w:val="18"/>
              </w:rPr>
            </w:pPr>
            <w:r>
              <w:rPr>
                <w:sz w:val="18"/>
              </w:rPr>
              <w:t>The evidence is very uncertain about the effect of DOACs on</w:t>
            </w:r>
            <w:r>
              <w:rPr>
                <w:spacing w:val="40"/>
                <w:sz w:val="18"/>
              </w:rPr>
              <w:t> </w:t>
            </w:r>
            <w:r>
              <w:rPr>
                <w:sz w:val="18"/>
              </w:rPr>
              <w:t>major bleeding, when compared with a combination of an antiplatelet</w:t>
            </w:r>
            <w:r>
              <w:rPr>
                <w:spacing w:val="-4"/>
                <w:sz w:val="18"/>
              </w:rPr>
              <w:t> </w:t>
            </w:r>
            <w:r>
              <w:rPr>
                <w:sz w:val="18"/>
              </w:rPr>
              <w:t>and</w:t>
            </w:r>
            <w:r>
              <w:rPr>
                <w:spacing w:val="-5"/>
                <w:sz w:val="18"/>
              </w:rPr>
              <w:t> </w:t>
            </w:r>
            <w:r>
              <w:rPr>
                <w:sz w:val="18"/>
              </w:rPr>
              <w:t>an</w:t>
            </w:r>
            <w:r>
              <w:rPr>
                <w:spacing w:val="-5"/>
                <w:sz w:val="18"/>
              </w:rPr>
              <w:t> </w:t>
            </w:r>
            <w:r>
              <w:rPr>
                <w:sz w:val="18"/>
              </w:rPr>
              <w:t>anticoagulant</w:t>
            </w:r>
            <w:r>
              <w:rPr>
                <w:spacing w:val="-3"/>
                <w:sz w:val="18"/>
              </w:rPr>
              <w:t> </w:t>
            </w:r>
            <w:r>
              <w:rPr>
                <w:sz w:val="18"/>
              </w:rPr>
              <w:t>in</w:t>
            </w:r>
            <w:r>
              <w:rPr>
                <w:spacing w:val="-6"/>
                <w:sz w:val="18"/>
              </w:rPr>
              <w:t> </w:t>
            </w:r>
            <w:r>
              <w:rPr>
                <w:sz w:val="18"/>
              </w:rPr>
              <w:t>children</w:t>
            </w:r>
            <w:r>
              <w:rPr>
                <w:spacing w:val="-5"/>
                <w:sz w:val="18"/>
              </w:rPr>
              <w:t> </w:t>
            </w:r>
            <w:r>
              <w:rPr>
                <w:sz w:val="18"/>
              </w:rPr>
              <w:t>with</w:t>
            </w:r>
            <w:r>
              <w:rPr>
                <w:spacing w:val="-3"/>
                <w:sz w:val="18"/>
              </w:rPr>
              <w:t> </w:t>
            </w:r>
            <w:r>
              <w:rPr>
                <w:sz w:val="18"/>
              </w:rPr>
              <w:t>an</w:t>
            </w:r>
            <w:r>
              <w:rPr>
                <w:spacing w:val="-5"/>
                <w:sz w:val="18"/>
              </w:rPr>
              <w:t> </w:t>
            </w:r>
            <w:r>
              <w:rPr>
                <w:sz w:val="18"/>
              </w:rPr>
              <w:t>indication</w:t>
            </w:r>
            <w:r>
              <w:rPr>
                <w:spacing w:val="-5"/>
                <w:sz w:val="18"/>
              </w:rPr>
              <w:t> </w:t>
            </w:r>
            <w:r>
              <w:rPr>
                <w:sz w:val="18"/>
              </w:rPr>
              <w:t>for the Fontan procedure</w:t>
            </w:r>
          </w:p>
          <w:p>
            <w:pPr>
              <w:pStyle w:val="TableParagraph"/>
              <w:rPr>
                <w:sz w:val="18"/>
              </w:rPr>
            </w:pPr>
          </w:p>
          <w:p>
            <w:pPr>
              <w:pStyle w:val="TableParagraph"/>
              <w:spacing w:before="130"/>
              <w:rPr>
                <w:sz w:val="18"/>
              </w:rPr>
            </w:pPr>
          </w:p>
          <w:p>
            <w:pPr>
              <w:pStyle w:val="TableParagraph"/>
              <w:ind w:left="8"/>
              <w:rPr>
                <w:sz w:val="18"/>
              </w:rPr>
            </w:pPr>
            <w:r>
              <w:rPr>
                <w:sz w:val="18"/>
              </w:rPr>
              <w:t>(Kawamatsu,</w:t>
            </w:r>
            <w:r>
              <w:rPr>
                <w:spacing w:val="-4"/>
                <w:sz w:val="18"/>
              </w:rPr>
              <w:t> </w:t>
            </w:r>
            <w:r>
              <w:rPr>
                <w:spacing w:val="-2"/>
                <w:sz w:val="18"/>
              </w:rPr>
              <w:t>2021)</w:t>
            </w:r>
          </w:p>
        </w:tc>
      </w:tr>
      <w:tr>
        <w:trPr>
          <w:trHeight w:val="3244" w:hRule="atLeast"/>
        </w:trPr>
        <w:tc>
          <w:tcPr>
            <w:tcW w:w="1032" w:type="dxa"/>
            <w:vMerge/>
            <w:tcBorders>
              <w:top w:val="nil"/>
            </w:tcBorders>
          </w:tcPr>
          <w:p>
            <w:pPr>
              <w:rPr>
                <w:sz w:val="2"/>
                <w:szCs w:val="2"/>
              </w:rPr>
            </w:pPr>
          </w:p>
        </w:tc>
        <w:tc>
          <w:tcPr>
            <w:tcW w:w="1010" w:type="dxa"/>
            <w:vMerge/>
            <w:tcBorders>
              <w:top w:val="nil"/>
            </w:tcBorders>
          </w:tcPr>
          <w:p>
            <w:pPr>
              <w:rPr>
                <w:sz w:val="2"/>
                <w:szCs w:val="2"/>
              </w:rPr>
            </w:pPr>
          </w:p>
        </w:tc>
        <w:tc>
          <w:tcPr>
            <w:tcW w:w="2506" w:type="dxa"/>
            <w:vMerge/>
            <w:tcBorders>
              <w:top w:val="nil"/>
            </w:tcBorders>
          </w:tcPr>
          <w:p>
            <w:pPr>
              <w:rPr>
                <w:sz w:val="2"/>
                <w:szCs w:val="2"/>
              </w:rPr>
            </w:pPr>
          </w:p>
        </w:tc>
        <w:tc>
          <w:tcPr>
            <w:tcW w:w="2486" w:type="dxa"/>
            <w:gridSpan w:val="2"/>
          </w:tcPr>
          <w:p>
            <w:pPr>
              <w:pStyle w:val="TableParagraph"/>
              <w:rPr>
                <w:sz w:val="18"/>
              </w:rPr>
            </w:pPr>
          </w:p>
          <w:p>
            <w:pPr>
              <w:pStyle w:val="TableParagraph"/>
              <w:rPr>
                <w:sz w:val="18"/>
              </w:rPr>
            </w:pPr>
          </w:p>
          <w:p>
            <w:pPr>
              <w:pStyle w:val="TableParagraph"/>
              <w:spacing w:before="170"/>
              <w:rPr>
                <w:sz w:val="18"/>
              </w:rPr>
            </w:pPr>
          </w:p>
          <w:p>
            <w:pPr>
              <w:pStyle w:val="TableParagraph"/>
              <w:ind w:left="5"/>
              <w:rPr>
                <w:b/>
                <w:sz w:val="18"/>
              </w:rPr>
            </w:pPr>
            <w:r>
              <w:rPr>
                <w:sz w:val="18"/>
              </w:rPr>
              <w:t>Difference:</w:t>
            </w:r>
            <w:r>
              <w:rPr>
                <w:spacing w:val="-2"/>
                <w:sz w:val="18"/>
              </w:rPr>
              <w:t> </w:t>
            </w:r>
            <w:r>
              <w:rPr>
                <w:b/>
                <w:sz w:val="18"/>
              </w:rPr>
              <w:t>3</w:t>
            </w:r>
            <w:r>
              <w:rPr>
                <w:b/>
                <w:spacing w:val="-2"/>
                <w:sz w:val="18"/>
              </w:rPr>
              <w:t> </w:t>
            </w:r>
            <w:r>
              <w:rPr>
                <w:b/>
                <w:sz w:val="18"/>
              </w:rPr>
              <w:t>more</w:t>
            </w:r>
            <w:r>
              <w:rPr>
                <w:b/>
                <w:spacing w:val="-2"/>
                <w:sz w:val="18"/>
              </w:rPr>
              <w:t> </w:t>
            </w:r>
            <w:r>
              <w:rPr>
                <w:b/>
                <w:sz w:val="18"/>
              </w:rPr>
              <w:t>per</w:t>
            </w:r>
            <w:r>
              <w:rPr>
                <w:b/>
                <w:spacing w:val="-1"/>
                <w:sz w:val="18"/>
              </w:rPr>
              <w:t> </w:t>
            </w:r>
            <w:r>
              <w:rPr>
                <w:b/>
                <w:spacing w:val="-5"/>
                <w:sz w:val="18"/>
              </w:rPr>
              <w:t>100</w:t>
            </w:r>
          </w:p>
          <w:p>
            <w:pPr>
              <w:pStyle w:val="TableParagraph"/>
              <w:spacing w:before="196"/>
              <w:ind w:left="5"/>
              <w:rPr>
                <w:sz w:val="18"/>
              </w:rPr>
            </w:pPr>
            <w:r>
              <w:rPr>
                <w:sz w:val="18"/>
              </w:rPr>
              <w:t>(95%</w:t>
            </w:r>
            <w:r>
              <w:rPr>
                <w:spacing w:val="-3"/>
                <w:sz w:val="18"/>
              </w:rPr>
              <w:t> </w:t>
            </w:r>
            <w:r>
              <w:rPr>
                <w:sz w:val="18"/>
              </w:rPr>
              <w:t>CI 8 fewer</w:t>
            </w:r>
            <w:r>
              <w:rPr>
                <w:spacing w:val="-1"/>
                <w:sz w:val="18"/>
              </w:rPr>
              <w:t> </w:t>
            </w:r>
            <w:r>
              <w:rPr>
                <w:sz w:val="18"/>
              </w:rPr>
              <w:t>to 14 </w:t>
            </w:r>
            <w:r>
              <w:rPr>
                <w:spacing w:val="-4"/>
                <w:sz w:val="18"/>
              </w:rPr>
              <w:t>more)</w:t>
            </w:r>
          </w:p>
        </w:tc>
        <w:tc>
          <w:tcPr>
            <w:tcW w:w="2028" w:type="dxa"/>
            <w:vMerge/>
            <w:tcBorders>
              <w:top w:val="nil"/>
            </w:tcBorders>
          </w:tcPr>
          <w:p>
            <w:pPr>
              <w:rPr>
                <w:sz w:val="2"/>
                <w:szCs w:val="2"/>
              </w:rPr>
            </w:pPr>
          </w:p>
        </w:tc>
        <w:tc>
          <w:tcPr>
            <w:tcW w:w="4882" w:type="dxa"/>
            <w:vMerge/>
            <w:tcBorders>
              <w:top w:val="nil"/>
            </w:tcBorders>
          </w:tcPr>
          <w:p>
            <w:pPr>
              <w:rPr>
                <w:sz w:val="2"/>
                <w:szCs w:val="2"/>
              </w:rPr>
            </w:pPr>
          </w:p>
        </w:tc>
      </w:tr>
      <w:tr>
        <w:trPr>
          <w:trHeight w:val="830" w:hRule="atLeast"/>
        </w:trPr>
        <w:tc>
          <w:tcPr>
            <w:tcW w:w="2042" w:type="dxa"/>
            <w:gridSpan w:val="2"/>
          </w:tcPr>
          <w:p>
            <w:pPr>
              <w:pStyle w:val="TableParagraph"/>
              <w:numPr>
                <w:ilvl w:val="0"/>
                <w:numId w:val="61"/>
              </w:numPr>
              <w:tabs>
                <w:tab w:pos="727" w:val="left" w:leader="none"/>
              </w:tabs>
              <w:spacing w:line="273" w:lineRule="auto" w:before="1" w:after="0"/>
              <w:ind w:left="727" w:right="451" w:hanging="360"/>
              <w:jc w:val="left"/>
              <w:rPr>
                <w:sz w:val="18"/>
              </w:rPr>
            </w:pPr>
            <w:r>
              <w:rPr>
                <w:spacing w:val="-2"/>
                <w:sz w:val="18"/>
              </w:rPr>
              <w:t>Mortality</w:t>
            </w:r>
            <w:r>
              <w:rPr>
                <w:sz w:val="18"/>
              </w:rPr>
              <w:t> </w:t>
            </w:r>
            <w:r>
              <w:rPr>
                <w:spacing w:val="-2"/>
                <w:sz w:val="18"/>
              </w:rPr>
              <w:t>(important)</w:t>
            </w:r>
          </w:p>
        </w:tc>
        <w:tc>
          <w:tcPr>
            <w:tcW w:w="2506" w:type="dxa"/>
          </w:tcPr>
          <w:p>
            <w:pPr>
              <w:pStyle w:val="TableParagraph"/>
              <w:rPr>
                <w:rFonts w:ascii="Times New Roman"/>
                <w:sz w:val="16"/>
              </w:rPr>
            </w:pPr>
          </w:p>
        </w:tc>
        <w:tc>
          <w:tcPr>
            <w:tcW w:w="2486" w:type="dxa"/>
            <w:gridSpan w:val="2"/>
          </w:tcPr>
          <w:p>
            <w:pPr>
              <w:pStyle w:val="TableParagraph"/>
              <w:rPr>
                <w:rFonts w:ascii="Times New Roman"/>
                <w:sz w:val="16"/>
              </w:rPr>
            </w:pPr>
          </w:p>
        </w:tc>
        <w:tc>
          <w:tcPr>
            <w:tcW w:w="2028" w:type="dxa"/>
          </w:tcPr>
          <w:p>
            <w:pPr>
              <w:pStyle w:val="TableParagraph"/>
              <w:rPr>
                <w:rFonts w:ascii="Times New Roman"/>
                <w:sz w:val="16"/>
              </w:rPr>
            </w:pPr>
          </w:p>
        </w:tc>
        <w:tc>
          <w:tcPr>
            <w:tcW w:w="4882" w:type="dxa"/>
          </w:tcPr>
          <w:p>
            <w:pPr>
              <w:pStyle w:val="TableParagraph"/>
              <w:rPr>
                <w:rFonts w:ascii="Times New Roman"/>
                <w:sz w:val="16"/>
              </w:rPr>
            </w:pPr>
          </w:p>
        </w:tc>
      </w:tr>
    </w:tbl>
    <w:p>
      <w:pPr>
        <w:pStyle w:val="TableParagraph"/>
        <w:spacing w:after="0"/>
        <w:rPr>
          <w:rFonts w:ascii="Times New Roman"/>
          <w:sz w:val="16"/>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32"/>
        <w:gridCol w:w="1010"/>
        <w:gridCol w:w="2506"/>
        <w:gridCol w:w="1214"/>
        <w:gridCol w:w="1272"/>
        <w:gridCol w:w="2028"/>
        <w:gridCol w:w="4882"/>
      </w:tblGrid>
      <w:tr>
        <w:trPr>
          <w:trHeight w:val="2356" w:hRule="atLeast"/>
        </w:trPr>
        <w:tc>
          <w:tcPr>
            <w:tcW w:w="2042" w:type="dxa"/>
            <w:gridSpan w:val="2"/>
          </w:tcPr>
          <w:p>
            <w:pPr>
              <w:pStyle w:val="TableParagraph"/>
              <w:numPr>
                <w:ilvl w:val="0"/>
                <w:numId w:val="62"/>
              </w:numPr>
              <w:tabs>
                <w:tab w:pos="727" w:val="left" w:leader="none"/>
              </w:tabs>
              <w:spacing w:line="273" w:lineRule="auto" w:before="0" w:after="0"/>
              <w:ind w:left="727" w:right="161" w:hanging="360"/>
              <w:jc w:val="left"/>
              <w:rPr>
                <w:sz w:val="18"/>
              </w:rPr>
            </w:pPr>
            <w:r>
              <w:rPr>
                <w:sz w:val="18"/>
              </w:rPr>
              <w:t>Ischemic</w:t>
            </w:r>
            <w:r>
              <w:rPr>
                <w:spacing w:val="-11"/>
                <w:sz w:val="18"/>
              </w:rPr>
              <w:t> </w:t>
            </w:r>
            <w:r>
              <w:rPr>
                <w:sz w:val="18"/>
              </w:rPr>
              <w:t>stroke </w:t>
            </w:r>
            <w:r>
              <w:rPr>
                <w:spacing w:val="-2"/>
                <w:sz w:val="18"/>
              </w:rPr>
              <w:t>(important)</w:t>
            </w:r>
          </w:p>
          <w:p>
            <w:pPr>
              <w:pStyle w:val="TableParagraph"/>
              <w:numPr>
                <w:ilvl w:val="0"/>
                <w:numId w:val="62"/>
              </w:numPr>
              <w:tabs>
                <w:tab w:pos="727" w:val="left" w:leader="none"/>
              </w:tabs>
              <w:spacing w:line="273" w:lineRule="auto" w:before="167" w:after="0"/>
              <w:ind w:left="727" w:right="313" w:hanging="360"/>
              <w:jc w:val="left"/>
              <w:rPr>
                <w:sz w:val="18"/>
              </w:rPr>
            </w:pPr>
            <w:r>
              <w:rPr>
                <w:sz w:val="18"/>
              </w:rPr>
              <w:t>Quality</w:t>
            </w:r>
            <w:r>
              <w:rPr>
                <w:spacing w:val="-11"/>
                <w:sz w:val="18"/>
              </w:rPr>
              <w:t> </w:t>
            </w:r>
            <w:r>
              <w:rPr>
                <w:sz w:val="18"/>
              </w:rPr>
              <w:t>of</w:t>
            </w:r>
            <w:r>
              <w:rPr>
                <w:spacing w:val="-10"/>
                <w:sz w:val="18"/>
              </w:rPr>
              <w:t> </w:t>
            </w:r>
            <w:r>
              <w:rPr>
                <w:sz w:val="18"/>
              </w:rPr>
              <w:t>life </w:t>
            </w:r>
            <w:r>
              <w:rPr>
                <w:spacing w:val="-2"/>
                <w:sz w:val="18"/>
              </w:rPr>
              <w:t>(QOL)</w:t>
            </w:r>
          </w:p>
          <w:p>
            <w:pPr>
              <w:pStyle w:val="TableParagraph"/>
              <w:spacing w:before="4"/>
              <w:ind w:left="727"/>
              <w:rPr>
                <w:sz w:val="18"/>
              </w:rPr>
            </w:pPr>
            <w:r>
              <w:rPr>
                <w:spacing w:val="-2"/>
                <w:sz w:val="18"/>
              </w:rPr>
              <w:t>(important)</w:t>
            </w:r>
          </w:p>
          <w:p>
            <w:pPr>
              <w:pStyle w:val="TableParagraph"/>
              <w:numPr>
                <w:ilvl w:val="0"/>
                <w:numId w:val="62"/>
              </w:numPr>
              <w:tabs>
                <w:tab w:pos="727" w:val="left" w:leader="none"/>
              </w:tabs>
              <w:spacing w:line="273" w:lineRule="auto" w:before="197" w:after="0"/>
              <w:ind w:left="727" w:right="181" w:hanging="360"/>
              <w:jc w:val="left"/>
              <w:rPr>
                <w:sz w:val="18"/>
              </w:rPr>
            </w:pPr>
            <w:r>
              <w:rPr>
                <w:sz w:val="18"/>
              </w:rPr>
              <w:t>Adverse</w:t>
            </w:r>
            <w:r>
              <w:rPr>
                <w:spacing w:val="-11"/>
                <w:sz w:val="18"/>
              </w:rPr>
              <w:t> </w:t>
            </w:r>
            <w:r>
              <w:rPr>
                <w:sz w:val="18"/>
              </w:rPr>
              <w:t>events </w:t>
            </w:r>
            <w:r>
              <w:rPr>
                <w:spacing w:val="-2"/>
                <w:sz w:val="18"/>
              </w:rPr>
              <w:t>(important)</w:t>
            </w:r>
          </w:p>
        </w:tc>
        <w:tc>
          <w:tcPr>
            <w:tcW w:w="2506" w:type="dxa"/>
          </w:tcPr>
          <w:p>
            <w:pPr>
              <w:pStyle w:val="TableParagraph"/>
              <w:rPr>
                <w:sz w:val="18"/>
              </w:rPr>
            </w:pPr>
          </w:p>
          <w:p>
            <w:pPr>
              <w:pStyle w:val="TableParagraph"/>
              <w:rPr>
                <w:sz w:val="18"/>
              </w:rPr>
            </w:pPr>
          </w:p>
          <w:p>
            <w:pPr>
              <w:pStyle w:val="TableParagraph"/>
              <w:spacing w:before="169"/>
              <w:rPr>
                <w:sz w:val="18"/>
              </w:rPr>
            </w:pPr>
          </w:p>
          <w:p>
            <w:pPr>
              <w:pStyle w:val="TableParagraph"/>
              <w:spacing w:before="1"/>
              <w:ind w:left="7"/>
              <w:rPr>
                <w:sz w:val="18"/>
              </w:rPr>
            </w:pPr>
            <w:r>
              <w:rPr>
                <w:spacing w:val="-10"/>
                <w:sz w:val="18"/>
              </w:rPr>
              <w:t>-</w:t>
            </w:r>
          </w:p>
        </w:tc>
        <w:tc>
          <w:tcPr>
            <w:tcW w:w="2486" w:type="dxa"/>
            <w:gridSpan w:val="2"/>
          </w:tcPr>
          <w:p>
            <w:pPr>
              <w:pStyle w:val="TableParagraph"/>
              <w:rPr>
                <w:sz w:val="18"/>
              </w:rPr>
            </w:pPr>
          </w:p>
          <w:p>
            <w:pPr>
              <w:pStyle w:val="TableParagraph"/>
              <w:rPr>
                <w:sz w:val="18"/>
              </w:rPr>
            </w:pPr>
          </w:p>
          <w:p>
            <w:pPr>
              <w:pStyle w:val="TableParagraph"/>
              <w:spacing w:before="169"/>
              <w:rPr>
                <w:sz w:val="18"/>
              </w:rPr>
            </w:pPr>
          </w:p>
          <w:p>
            <w:pPr>
              <w:pStyle w:val="TableParagraph"/>
              <w:spacing w:before="1"/>
              <w:ind w:left="5"/>
              <w:rPr>
                <w:sz w:val="18"/>
              </w:rPr>
            </w:pPr>
            <w:r>
              <w:rPr>
                <w:spacing w:val="-10"/>
                <w:sz w:val="18"/>
              </w:rPr>
              <w:t>-</w:t>
            </w:r>
          </w:p>
        </w:tc>
        <w:tc>
          <w:tcPr>
            <w:tcW w:w="2028" w:type="dxa"/>
          </w:tcPr>
          <w:p>
            <w:pPr>
              <w:pStyle w:val="TableParagraph"/>
              <w:rPr>
                <w:sz w:val="18"/>
              </w:rPr>
            </w:pPr>
          </w:p>
          <w:p>
            <w:pPr>
              <w:pStyle w:val="TableParagraph"/>
              <w:rPr>
                <w:sz w:val="18"/>
              </w:rPr>
            </w:pPr>
          </w:p>
          <w:p>
            <w:pPr>
              <w:pStyle w:val="TableParagraph"/>
              <w:spacing w:before="11"/>
              <w:rPr>
                <w:sz w:val="18"/>
              </w:rPr>
            </w:pPr>
          </w:p>
          <w:p>
            <w:pPr>
              <w:pStyle w:val="TableParagraph"/>
              <w:ind w:left="8"/>
              <w:rPr>
                <w:b/>
                <w:sz w:val="18"/>
              </w:rPr>
            </w:pPr>
            <w:r>
              <w:rPr>
                <w:b/>
                <w:sz w:val="18"/>
              </w:rPr>
              <w:t>No</w:t>
            </w:r>
            <w:r>
              <w:rPr>
                <w:b/>
                <w:spacing w:val="-5"/>
                <w:sz w:val="18"/>
              </w:rPr>
              <w:t> </w:t>
            </w:r>
            <w:r>
              <w:rPr>
                <w:b/>
                <w:spacing w:val="-2"/>
                <w:sz w:val="18"/>
              </w:rPr>
              <w:t>GRADE</w:t>
            </w:r>
          </w:p>
          <w:p>
            <w:pPr>
              <w:pStyle w:val="TableParagraph"/>
              <w:spacing w:before="35"/>
              <w:ind w:left="8"/>
              <w:rPr>
                <w:sz w:val="18"/>
              </w:rPr>
            </w:pPr>
            <w:r>
              <w:rPr>
                <w:sz w:val="18"/>
              </w:rPr>
              <w:t>(No</w:t>
            </w:r>
            <w:r>
              <w:rPr>
                <w:spacing w:val="-3"/>
                <w:sz w:val="18"/>
              </w:rPr>
              <w:t> </w:t>
            </w:r>
            <w:r>
              <w:rPr>
                <w:sz w:val="18"/>
              </w:rPr>
              <w:t>evidence</w:t>
            </w:r>
            <w:r>
              <w:rPr>
                <w:spacing w:val="-4"/>
                <w:sz w:val="18"/>
              </w:rPr>
              <w:t> </w:t>
            </w:r>
            <w:r>
              <w:rPr>
                <w:sz w:val="18"/>
              </w:rPr>
              <w:t>was</w:t>
            </w:r>
            <w:r>
              <w:rPr>
                <w:spacing w:val="-3"/>
                <w:sz w:val="18"/>
              </w:rPr>
              <w:t> </w:t>
            </w:r>
            <w:r>
              <w:rPr>
                <w:spacing w:val="-2"/>
                <w:sz w:val="18"/>
              </w:rPr>
              <w:t>found)</w:t>
            </w:r>
          </w:p>
        </w:tc>
        <w:tc>
          <w:tcPr>
            <w:tcW w:w="4882" w:type="dxa"/>
          </w:tcPr>
          <w:p>
            <w:pPr>
              <w:pStyle w:val="TableParagraph"/>
              <w:spacing w:before="194"/>
              <w:rPr>
                <w:sz w:val="18"/>
              </w:rPr>
            </w:pPr>
          </w:p>
          <w:p>
            <w:pPr>
              <w:pStyle w:val="TableParagraph"/>
              <w:spacing w:line="278" w:lineRule="auto"/>
              <w:ind w:left="8"/>
              <w:rPr>
                <w:sz w:val="18"/>
              </w:rPr>
            </w:pPr>
            <w:r>
              <w:rPr>
                <w:sz w:val="18"/>
              </w:rPr>
              <w:t>No evidence was found regarding the effect of DOACs on mortality, ischemic stroke, quality of life (QOL), and adverse events,</w:t>
            </w:r>
            <w:r>
              <w:rPr>
                <w:spacing w:val="-4"/>
                <w:sz w:val="18"/>
              </w:rPr>
              <w:t> </w:t>
            </w:r>
            <w:r>
              <w:rPr>
                <w:sz w:val="18"/>
              </w:rPr>
              <w:t>when</w:t>
            </w:r>
            <w:r>
              <w:rPr>
                <w:spacing w:val="-5"/>
                <w:sz w:val="18"/>
              </w:rPr>
              <w:t> </w:t>
            </w:r>
            <w:r>
              <w:rPr>
                <w:sz w:val="18"/>
              </w:rPr>
              <w:t>compared</w:t>
            </w:r>
            <w:r>
              <w:rPr>
                <w:spacing w:val="-5"/>
                <w:sz w:val="18"/>
              </w:rPr>
              <w:t> </w:t>
            </w:r>
            <w:r>
              <w:rPr>
                <w:sz w:val="18"/>
              </w:rPr>
              <w:t>with</w:t>
            </w:r>
            <w:r>
              <w:rPr>
                <w:spacing w:val="-6"/>
                <w:sz w:val="18"/>
              </w:rPr>
              <w:t> </w:t>
            </w:r>
            <w:r>
              <w:rPr>
                <w:sz w:val="18"/>
              </w:rPr>
              <w:t>a</w:t>
            </w:r>
            <w:r>
              <w:rPr>
                <w:spacing w:val="-5"/>
                <w:sz w:val="18"/>
              </w:rPr>
              <w:t> </w:t>
            </w:r>
            <w:r>
              <w:rPr>
                <w:sz w:val="18"/>
              </w:rPr>
              <w:t>combination</w:t>
            </w:r>
            <w:r>
              <w:rPr>
                <w:spacing w:val="-5"/>
                <w:sz w:val="18"/>
              </w:rPr>
              <w:t> </w:t>
            </w:r>
            <w:r>
              <w:rPr>
                <w:sz w:val="18"/>
              </w:rPr>
              <w:t>of</w:t>
            </w:r>
            <w:r>
              <w:rPr>
                <w:spacing w:val="-5"/>
                <w:sz w:val="18"/>
              </w:rPr>
              <w:t> </w:t>
            </w:r>
            <w:r>
              <w:rPr>
                <w:sz w:val="18"/>
              </w:rPr>
              <w:t>an</w:t>
            </w:r>
            <w:r>
              <w:rPr>
                <w:spacing w:val="-5"/>
                <w:sz w:val="18"/>
              </w:rPr>
              <w:t> </w:t>
            </w:r>
            <w:r>
              <w:rPr>
                <w:sz w:val="18"/>
              </w:rPr>
              <w:t>antiplatelet</w:t>
            </w:r>
            <w:r>
              <w:rPr>
                <w:spacing w:val="-4"/>
                <w:sz w:val="18"/>
              </w:rPr>
              <w:t> </w:t>
            </w:r>
            <w:r>
              <w:rPr>
                <w:sz w:val="18"/>
              </w:rPr>
              <w:t>and anticoagulant in children with an indication for the Fontan </w:t>
            </w:r>
            <w:r>
              <w:rPr>
                <w:spacing w:val="-2"/>
                <w:sz w:val="18"/>
              </w:rPr>
              <w:t>procedure</w:t>
            </w:r>
          </w:p>
        </w:tc>
      </w:tr>
      <w:tr>
        <w:trPr>
          <w:trHeight w:val="417" w:hRule="atLeast"/>
        </w:trPr>
        <w:tc>
          <w:tcPr>
            <w:tcW w:w="13944" w:type="dxa"/>
            <w:gridSpan w:val="7"/>
            <w:shd w:val="clear" w:color="auto" w:fill="D0CECE"/>
          </w:tcPr>
          <w:p>
            <w:pPr>
              <w:pStyle w:val="TableParagraph"/>
              <w:spacing w:before="1"/>
              <w:ind w:left="6"/>
              <w:rPr>
                <w:b/>
                <w:i/>
                <w:sz w:val="18"/>
              </w:rPr>
            </w:pPr>
            <w:r>
              <w:rPr>
                <w:b/>
                <w:i/>
                <w:sz w:val="18"/>
              </w:rPr>
              <w:t>Antiplatelets</w:t>
            </w:r>
            <w:r>
              <w:rPr>
                <w:b/>
                <w:i/>
                <w:spacing w:val="-5"/>
                <w:sz w:val="18"/>
              </w:rPr>
              <w:t> </w:t>
            </w:r>
            <w:r>
              <w:rPr>
                <w:b/>
                <w:i/>
                <w:sz w:val="18"/>
              </w:rPr>
              <w:t>versus</w:t>
            </w:r>
            <w:r>
              <w:rPr>
                <w:b/>
                <w:i/>
                <w:spacing w:val="-2"/>
                <w:sz w:val="18"/>
              </w:rPr>
              <w:t> </w:t>
            </w:r>
            <w:r>
              <w:rPr>
                <w:b/>
                <w:i/>
                <w:spacing w:val="-4"/>
                <w:sz w:val="18"/>
              </w:rPr>
              <w:t>VKAs</w:t>
            </w:r>
          </w:p>
        </w:tc>
      </w:tr>
      <w:tr>
        <w:trPr>
          <w:trHeight w:val="414" w:hRule="atLeast"/>
        </w:trPr>
        <w:tc>
          <w:tcPr>
            <w:tcW w:w="2042" w:type="dxa"/>
            <w:gridSpan w:val="2"/>
          </w:tcPr>
          <w:p>
            <w:pPr>
              <w:pStyle w:val="TableParagraph"/>
              <w:rPr>
                <w:rFonts w:ascii="Times New Roman"/>
                <w:sz w:val="16"/>
              </w:rPr>
            </w:pPr>
          </w:p>
        </w:tc>
        <w:tc>
          <w:tcPr>
            <w:tcW w:w="2506" w:type="dxa"/>
          </w:tcPr>
          <w:p>
            <w:pPr>
              <w:pStyle w:val="TableParagraph"/>
              <w:rPr>
                <w:rFonts w:ascii="Times New Roman"/>
                <w:sz w:val="16"/>
              </w:rPr>
            </w:pPr>
          </w:p>
        </w:tc>
        <w:tc>
          <w:tcPr>
            <w:tcW w:w="1214" w:type="dxa"/>
          </w:tcPr>
          <w:p>
            <w:pPr>
              <w:pStyle w:val="TableParagraph"/>
              <w:spacing w:line="218" w:lineRule="exact"/>
              <w:ind w:left="5"/>
              <w:rPr>
                <w:sz w:val="18"/>
              </w:rPr>
            </w:pPr>
            <w:r>
              <w:rPr>
                <w:spacing w:val="-2"/>
                <w:sz w:val="18"/>
              </w:rPr>
              <w:t>Antiplatelets</w:t>
            </w:r>
          </w:p>
        </w:tc>
        <w:tc>
          <w:tcPr>
            <w:tcW w:w="1272" w:type="dxa"/>
          </w:tcPr>
          <w:p>
            <w:pPr>
              <w:pStyle w:val="TableParagraph"/>
              <w:spacing w:line="218" w:lineRule="exact"/>
              <w:ind w:left="8"/>
              <w:rPr>
                <w:sz w:val="18"/>
              </w:rPr>
            </w:pPr>
            <w:r>
              <w:rPr>
                <w:spacing w:val="-4"/>
                <w:sz w:val="18"/>
              </w:rPr>
              <w:t>VKAs</w:t>
            </w:r>
          </w:p>
        </w:tc>
        <w:tc>
          <w:tcPr>
            <w:tcW w:w="2028" w:type="dxa"/>
          </w:tcPr>
          <w:p>
            <w:pPr>
              <w:pStyle w:val="TableParagraph"/>
              <w:rPr>
                <w:rFonts w:ascii="Times New Roman"/>
                <w:sz w:val="16"/>
              </w:rPr>
            </w:pPr>
          </w:p>
        </w:tc>
        <w:tc>
          <w:tcPr>
            <w:tcW w:w="4882" w:type="dxa"/>
          </w:tcPr>
          <w:p>
            <w:pPr>
              <w:pStyle w:val="TableParagraph"/>
              <w:rPr>
                <w:rFonts w:ascii="Times New Roman"/>
                <w:sz w:val="16"/>
              </w:rPr>
            </w:pPr>
          </w:p>
        </w:tc>
      </w:tr>
      <w:tr>
        <w:trPr>
          <w:trHeight w:val="832" w:hRule="atLeast"/>
        </w:trPr>
        <w:tc>
          <w:tcPr>
            <w:tcW w:w="2042" w:type="dxa"/>
            <w:gridSpan w:val="2"/>
            <w:vMerge w:val="restart"/>
          </w:tcPr>
          <w:p>
            <w:pPr>
              <w:pStyle w:val="TableParagraph"/>
              <w:spacing w:line="280" w:lineRule="auto"/>
              <w:ind w:left="6" w:right="104"/>
              <w:rPr>
                <w:sz w:val="18"/>
              </w:rPr>
            </w:pPr>
            <w:r>
              <w:rPr>
                <w:sz w:val="18"/>
              </w:rPr>
              <w:t>Thrombotic</w:t>
            </w:r>
            <w:r>
              <w:rPr>
                <w:spacing w:val="-11"/>
                <w:sz w:val="18"/>
              </w:rPr>
              <w:t> </w:t>
            </w:r>
            <w:r>
              <w:rPr>
                <w:sz w:val="18"/>
              </w:rPr>
              <w:t>complications </w:t>
            </w:r>
            <w:r>
              <w:rPr>
                <w:spacing w:val="-2"/>
                <w:sz w:val="18"/>
              </w:rPr>
              <w:t>(critical)</w:t>
            </w:r>
          </w:p>
        </w:tc>
        <w:tc>
          <w:tcPr>
            <w:tcW w:w="2506" w:type="dxa"/>
            <w:vMerge w:val="restart"/>
          </w:tcPr>
          <w:p>
            <w:pPr>
              <w:pStyle w:val="TableParagraph"/>
              <w:spacing w:line="218" w:lineRule="exact"/>
              <w:ind w:left="7"/>
              <w:rPr>
                <w:b/>
                <w:sz w:val="18"/>
              </w:rPr>
            </w:pPr>
            <w:r>
              <w:rPr>
                <w:sz w:val="18"/>
              </w:rPr>
              <w:t>Relative</w:t>
            </w:r>
            <w:r>
              <w:rPr>
                <w:spacing w:val="-3"/>
                <w:sz w:val="18"/>
              </w:rPr>
              <w:t> </w:t>
            </w:r>
            <w:r>
              <w:rPr>
                <w:sz w:val="18"/>
              </w:rPr>
              <w:t>risk:</w:t>
            </w:r>
            <w:r>
              <w:rPr>
                <w:spacing w:val="-2"/>
                <w:sz w:val="18"/>
              </w:rPr>
              <w:t> </w:t>
            </w:r>
            <w:r>
              <w:rPr>
                <w:b/>
                <w:spacing w:val="-4"/>
                <w:sz w:val="18"/>
              </w:rPr>
              <w:t>0.57</w:t>
            </w:r>
          </w:p>
          <w:p>
            <w:pPr>
              <w:pStyle w:val="TableParagraph"/>
              <w:spacing w:before="195"/>
              <w:ind w:left="7"/>
              <w:rPr>
                <w:sz w:val="18"/>
              </w:rPr>
            </w:pPr>
            <w:r>
              <w:rPr>
                <w:sz w:val="18"/>
              </w:rPr>
              <w:t>(95%</w:t>
            </w:r>
            <w:r>
              <w:rPr>
                <w:spacing w:val="-1"/>
                <w:sz w:val="18"/>
              </w:rPr>
              <w:t> </w:t>
            </w:r>
            <w:r>
              <w:rPr>
                <w:sz w:val="18"/>
              </w:rPr>
              <w:t>CI 0.15 to </w:t>
            </w:r>
            <w:r>
              <w:rPr>
                <w:spacing w:val="-4"/>
                <w:sz w:val="18"/>
              </w:rPr>
              <w:t>2.24)</w:t>
            </w:r>
          </w:p>
          <w:p>
            <w:pPr>
              <w:pStyle w:val="TableParagraph"/>
              <w:rPr>
                <w:sz w:val="18"/>
              </w:rPr>
            </w:pPr>
          </w:p>
          <w:p>
            <w:pPr>
              <w:pStyle w:val="TableParagraph"/>
              <w:spacing w:before="174"/>
              <w:rPr>
                <w:sz w:val="18"/>
              </w:rPr>
            </w:pPr>
          </w:p>
          <w:p>
            <w:pPr>
              <w:pStyle w:val="TableParagraph"/>
              <w:spacing w:line="278" w:lineRule="auto"/>
              <w:ind w:left="7" w:right="643"/>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84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before="160"/>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1214" w:type="dxa"/>
          </w:tcPr>
          <w:p>
            <w:pPr>
              <w:pStyle w:val="TableParagraph"/>
              <w:spacing w:line="218" w:lineRule="exact"/>
              <w:ind w:left="5"/>
              <w:rPr>
                <w:b/>
                <w:sz w:val="18"/>
              </w:rPr>
            </w:pPr>
            <w:r>
              <w:rPr>
                <w:b/>
                <w:spacing w:val="-10"/>
                <w:sz w:val="18"/>
              </w:rPr>
              <w:t>7</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line="218" w:lineRule="exact"/>
              <w:ind w:left="8"/>
              <w:rPr>
                <w:b/>
                <w:sz w:val="18"/>
              </w:rPr>
            </w:pPr>
            <w:r>
              <w:rPr>
                <w:b/>
                <w:spacing w:val="-5"/>
                <w:sz w:val="18"/>
              </w:rPr>
              <w:t>12</w:t>
            </w:r>
          </w:p>
          <w:p>
            <w:pPr>
              <w:pStyle w:val="TableParagraph"/>
              <w:spacing w:before="195"/>
              <w:ind w:left="8"/>
              <w:rPr>
                <w:sz w:val="18"/>
              </w:rPr>
            </w:pPr>
            <w:r>
              <w:rPr>
                <w:sz w:val="18"/>
              </w:rPr>
              <w:t>per</w:t>
            </w:r>
            <w:r>
              <w:rPr>
                <w:spacing w:val="-3"/>
                <w:sz w:val="18"/>
              </w:rPr>
              <w:t> </w:t>
            </w:r>
            <w:r>
              <w:rPr>
                <w:spacing w:val="-5"/>
                <w:sz w:val="18"/>
              </w:rPr>
              <w:t>100</w:t>
            </w:r>
          </w:p>
        </w:tc>
        <w:tc>
          <w:tcPr>
            <w:tcW w:w="2028"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line="278" w:lineRule="auto" w:before="34"/>
              <w:ind w:left="8"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before="2"/>
              <w:ind w:left="8"/>
              <w:rPr>
                <w:position w:val="5"/>
                <w:sz w:val="12"/>
              </w:rPr>
            </w:pPr>
            <w:r>
              <w:rPr>
                <w:sz w:val="18"/>
              </w:rPr>
              <w:t>serious</w:t>
            </w:r>
            <w:r>
              <w:rPr>
                <w:spacing w:val="-5"/>
                <w:sz w:val="18"/>
              </w:rPr>
              <w:t> </w:t>
            </w:r>
            <w:r>
              <w:rPr>
                <w:spacing w:val="-2"/>
                <w:sz w:val="18"/>
              </w:rPr>
              <w:t>imprecision</w:t>
            </w:r>
            <w:r>
              <w:rPr>
                <w:spacing w:val="-2"/>
                <w:position w:val="5"/>
                <w:sz w:val="12"/>
              </w:rPr>
              <w:t>15</w:t>
            </w:r>
          </w:p>
        </w:tc>
        <w:tc>
          <w:tcPr>
            <w:tcW w:w="488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spacing w:line="278" w:lineRule="auto"/>
              <w:ind w:left="8"/>
              <w:rPr>
                <w:sz w:val="18"/>
              </w:rPr>
            </w:pPr>
            <w:r>
              <w:rPr>
                <w:sz w:val="18"/>
              </w:rPr>
              <w:t>The</w:t>
            </w:r>
            <w:r>
              <w:rPr>
                <w:spacing w:val="-5"/>
                <w:sz w:val="18"/>
              </w:rPr>
              <w:t> </w:t>
            </w:r>
            <w:r>
              <w:rPr>
                <w:sz w:val="18"/>
              </w:rPr>
              <w:t>evidence</w:t>
            </w:r>
            <w:r>
              <w:rPr>
                <w:spacing w:val="-5"/>
                <w:sz w:val="18"/>
              </w:rPr>
              <w:t> </w:t>
            </w:r>
            <w:r>
              <w:rPr>
                <w:sz w:val="18"/>
              </w:rPr>
              <w:t>is</w:t>
            </w:r>
            <w:r>
              <w:rPr>
                <w:spacing w:val="-6"/>
                <w:sz w:val="18"/>
              </w:rPr>
              <w:t> </w:t>
            </w:r>
            <w:r>
              <w:rPr>
                <w:sz w:val="18"/>
              </w:rPr>
              <w:t>very</w:t>
            </w:r>
            <w:r>
              <w:rPr>
                <w:spacing w:val="-4"/>
                <w:sz w:val="18"/>
              </w:rPr>
              <w:t> </w:t>
            </w:r>
            <w:r>
              <w:rPr>
                <w:sz w:val="18"/>
              </w:rPr>
              <w:t>uncertain</w:t>
            </w:r>
            <w:r>
              <w:rPr>
                <w:spacing w:val="-6"/>
                <w:sz w:val="18"/>
              </w:rPr>
              <w:t> </w:t>
            </w:r>
            <w:r>
              <w:rPr>
                <w:sz w:val="18"/>
              </w:rPr>
              <w:t>about</w:t>
            </w:r>
            <w:r>
              <w:rPr>
                <w:spacing w:val="-4"/>
                <w:sz w:val="18"/>
              </w:rPr>
              <w:t> </w:t>
            </w:r>
            <w:r>
              <w:rPr>
                <w:sz w:val="18"/>
              </w:rPr>
              <w:t>the</w:t>
            </w:r>
            <w:r>
              <w:rPr>
                <w:spacing w:val="-5"/>
                <w:sz w:val="18"/>
              </w:rPr>
              <w:t> </w:t>
            </w:r>
            <w:r>
              <w:rPr>
                <w:sz w:val="18"/>
              </w:rPr>
              <w:t>effect</w:t>
            </w:r>
            <w:r>
              <w:rPr>
                <w:spacing w:val="-4"/>
                <w:sz w:val="18"/>
              </w:rPr>
              <w:t> </w:t>
            </w:r>
            <w:r>
              <w:rPr>
                <w:sz w:val="18"/>
              </w:rPr>
              <w:t>of</w:t>
            </w:r>
            <w:r>
              <w:rPr>
                <w:spacing w:val="-5"/>
                <w:sz w:val="18"/>
              </w:rPr>
              <w:t> </w:t>
            </w:r>
            <w:r>
              <w:rPr>
                <w:sz w:val="18"/>
              </w:rPr>
              <w:t>antiplatelets</w:t>
            </w:r>
            <w:r>
              <w:rPr>
                <w:spacing w:val="-6"/>
                <w:sz w:val="18"/>
              </w:rPr>
              <w:t> </w:t>
            </w:r>
            <w:r>
              <w:rPr>
                <w:sz w:val="18"/>
              </w:rPr>
              <w:t>on thrombotic complications, when compared with VKAs in children with an indication for the Fontan procedure</w:t>
            </w:r>
          </w:p>
          <w:p>
            <w:pPr>
              <w:pStyle w:val="TableParagraph"/>
              <w:rPr>
                <w:sz w:val="18"/>
              </w:rPr>
            </w:pPr>
          </w:p>
          <w:p>
            <w:pPr>
              <w:pStyle w:val="TableParagraph"/>
              <w:spacing w:before="137"/>
              <w:rPr>
                <w:sz w:val="18"/>
              </w:rPr>
            </w:pPr>
          </w:p>
          <w:p>
            <w:pPr>
              <w:pStyle w:val="TableParagraph"/>
              <w:spacing w:before="1"/>
              <w:ind w:left="8"/>
              <w:rPr>
                <w:sz w:val="18"/>
              </w:rPr>
            </w:pPr>
            <w:r>
              <w:rPr>
                <w:sz w:val="18"/>
              </w:rPr>
              <w:t>(Kawamatsu,</w:t>
            </w:r>
            <w:r>
              <w:rPr>
                <w:spacing w:val="-4"/>
                <w:sz w:val="18"/>
              </w:rPr>
              <w:t> </w:t>
            </w:r>
            <w:r>
              <w:rPr>
                <w:spacing w:val="-2"/>
                <w:sz w:val="18"/>
              </w:rPr>
              <w:t>2021)</w:t>
            </w:r>
          </w:p>
        </w:tc>
      </w:tr>
      <w:tr>
        <w:trPr>
          <w:trHeight w:val="2157" w:hRule="atLeast"/>
        </w:trPr>
        <w:tc>
          <w:tcPr>
            <w:tcW w:w="2042" w:type="dxa"/>
            <w:gridSpan w:val="2"/>
            <w:vMerge/>
            <w:tcBorders>
              <w:top w:val="nil"/>
            </w:tcBorders>
          </w:tcPr>
          <w:p>
            <w:pPr>
              <w:rPr>
                <w:sz w:val="2"/>
                <w:szCs w:val="2"/>
              </w:rPr>
            </w:pPr>
          </w:p>
        </w:tc>
        <w:tc>
          <w:tcPr>
            <w:tcW w:w="2506" w:type="dxa"/>
            <w:vMerge/>
            <w:tcBorders>
              <w:top w:val="nil"/>
            </w:tcBorders>
          </w:tcPr>
          <w:p>
            <w:pPr>
              <w:rPr>
                <w:sz w:val="2"/>
                <w:szCs w:val="2"/>
              </w:rPr>
            </w:pPr>
          </w:p>
        </w:tc>
        <w:tc>
          <w:tcPr>
            <w:tcW w:w="2486" w:type="dxa"/>
            <w:gridSpan w:val="2"/>
          </w:tcPr>
          <w:p>
            <w:pPr>
              <w:pStyle w:val="TableParagraph"/>
              <w:rPr>
                <w:sz w:val="18"/>
              </w:rPr>
            </w:pPr>
          </w:p>
          <w:p>
            <w:pPr>
              <w:pStyle w:val="TableParagraph"/>
              <w:rPr>
                <w:sz w:val="18"/>
              </w:rPr>
            </w:pPr>
          </w:p>
          <w:p>
            <w:pPr>
              <w:pStyle w:val="TableParagraph"/>
              <w:spacing w:before="169"/>
              <w:rPr>
                <w:sz w:val="18"/>
              </w:rPr>
            </w:pPr>
          </w:p>
          <w:p>
            <w:pPr>
              <w:pStyle w:val="TableParagraph"/>
              <w:spacing w:before="1"/>
              <w:ind w:left="5"/>
              <w:rPr>
                <w:b/>
                <w:sz w:val="18"/>
              </w:rPr>
            </w:pPr>
            <w:r>
              <w:rPr>
                <w:sz w:val="18"/>
              </w:rPr>
              <w:t>Difference:</w:t>
            </w:r>
            <w:r>
              <w:rPr>
                <w:spacing w:val="-3"/>
                <w:sz w:val="18"/>
              </w:rPr>
              <w:t> </w:t>
            </w:r>
            <w:r>
              <w:rPr>
                <w:b/>
                <w:sz w:val="18"/>
              </w:rPr>
              <w:t>5</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96"/>
              <w:ind w:left="5"/>
              <w:rPr>
                <w:sz w:val="18"/>
              </w:rPr>
            </w:pPr>
            <w:r>
              <w:rPr>
                <w:sz w:val="18"/>
              </w:rPr>
              <w:t>(95%</w:t>
            </w:r>
            <w:r>
              <w:rPr>
                <w:spacing w:val="-3"/>
                <w:sz w:val="18"/>
              </w:rPr>
              <w:t> </w:t>
            </w:r>
            <w:r>
              <w:rPr>
                <w:sz w:val="18"/>
              </w:rPr>
              <w:t>CI 18</w:t>
            </w:r>
            <w:r>
              <w:rPr>
                <w:spacing w:val="-1"/>
                <w:sz w:val="18"/>
              </w:rPr>
              <w:t> </w:t>
            </w:r>
            <w:r>
              <w:rPr>
                <w:sz w:val="18"/>
              </w:rPr>
              <w:t>fewer to</w:t>
            </w:r>
            <w:r>
              <w:rPr>
                <w:spacing w:val="-1"/>
                <w:sz w:val="18"/>
              </w:rPr>
              <w:t> </w:t>
            </w:r>
            <w:r>
              <w:rPr>
                <w:sz w:val="18"/>
              </w:rPr>
              <w:t>7 </w:t>
            </w:r>
            <w:r>
              <w:rPr>
                <w:spacing w:val="-4"/>
                <w:sz w:val="18"/>
              </w:rPr>
              <w:t>more)</w:t>
            </w:r>
          </w:p>
        </w:tc>
        <w:tc>
          <w:tcPr>
            <w:tcW w:w="2028" w:type="dxa"/>
            <w:vMerge/>
            <w:tcBorders>
              <w:top w:val="nil"/>
            </w:tcBorders>
          </w:tcPr>
          <w:p>
            <w:pPr>
              <w:rPr>
                <w:sz w:val="2"/>
                <w:szCs w:val="2"/>
              </w:rPr>
            </w:pPr>
          </w:p>
        </w:tc>
        <w:tc>
          <w:tcPr>
            <w:tcW w:w="4882" w:type="dxa"/>
            <w:vMerge/>
            <w:tcBorders>
              <w:top w:val="nil"/>
            </w:tcBorders>
          </w:tcPr>
          <w:p>
            <w:pPr>
              <w:rPr>
                <w:sz w:val="2"/>
                <w:szCs w:val="2"/>
              </w:rPr>
            </w:pPr>
          </w:p>
        </w:tc>
      </w:tr>
      <w:tr>
        <w:trPr>
          <w:trHeight w:val="829" w:hRule="atLeast"/>
        </w:trPr>
        <w:tc>
          <w:tcPr>
            <w:tcW w:w="1032" w:type="dxa"/>
            <w:vMerge w:val="restart"/>
          </w:tcPr>
          <w:p>
            <w:pPr>
              <w:pStyle w:val="TableParagraph"/>
              <w:spacing w:line="278" w:lineRule="auto"/>
              <w:ind w:left="6"/>
              <w:rPr>
                <w:sz w:val="18"/>
              </w:rPr>
            </w:pPr>
            <w:r>
              <w:rPr>
                <w:spacing w:val="-2"/>
                <w:sz w:val="18"/>
              </w:rPr>
              <w:t>Hemorrhage</w:t>
            </w:r>
            <w:r>
              <w:rPr>
                <w:sz w:val="18"/>
              </w:rPr>
              <w:t> </w:t>
            </w:r>
            <w:r>
              <w:rPr>
                <w:spacing w:val="-2"/>
                <w:sz w:val="18"/>
              </w:rPr>
              <w:t>(important)</w:t>
            </w:r>
          </w:p>
        </w:tc>
        <w:tc>
          <w:tcPr>
            <w:tcW w:w="1010" w:type="dxa"/>
            <w:vMerge w:val="restart"/>
          </w:tcPr>
          <w:p>
            <w:pPr>
              <w:pStyle w:val="TableParagraph"/>
              <w:spacing w:line="278" w:lineRule="auto"/>
              <w:ind w:left="7" w:right="353"/>
              <w:rPr>
                <w:sz w:val="18"/>
              </w:rPr>
            </w:pPr>
            <w:r>
              <w:rPr>
                <w:spacing w:val="-2"/>
                <w:sz w:val="18"/>
              </w:rPr>
              <w:t>Major</w:t>
            </w:r>
            <w:r>
              <w:rPr>
                <w:sz w:val="18"/>
              </w:rPr>
              <w:t> </w:t>
            </w:r>
            <w:r>
              <w:rPr>
                <w:spacing w:val="-2"/>
                <w:sz w:val="18"/>
              </w:rPr>
              <w:t>bleeding</w:t>
            </w:r>
          </w:p>
        </w:tc>
        <w:tc>
          <w:tcPr>
            <w:tcW w:w="2506" w:type="dxa"/>
            <w:vMerge w:val="restart"/>
          </w:tcPr>
          <w:p>
            <w:pPr>
              <w:pStyle w:val="TableParagraph"/>
              <w:spacing w:line="218" w:lineRule="exact"/>
              <w:ind w:left="7"/>
              <w:rPr>
                <w:b/>
                <w:sz w:val="18"/>
              </w:rPr>
            </w:pPr>
            <w:r>
              <w:rPr>
                <w:sz w:val="18"/>
              </w:rPr>
              <w:t>Relative</w:t>
            </w:r>
            <w:r>
              <w:rPr>
                <w:spacing w:val="-3"/>
                <w:sz w:val="18"/>
              </w:rPr>
              <w:t> </w:t>
            </w:r>
            <w:r>
              <w:rPr>
                <w:sz w:val="18"/>
              </w:rPr>
              <w:t>risk:</w:t>
            </w:r>
            <w:r>
              <w:rPr>
                <w:spacing w:val="-2"/>
                <w:sz w:val="18"/>
              </w:rPr>
              <w:t> </w:t>
            </w:r>
            <w:r>
              <w:rPr>
                <w:b/>
                <w:spacing w:val="-4"/>
                <w:sz w:val="18"/>
              </w:rPr>
              <w:t>0.48</w:t>
            </w:r>
          </w:p>
          <w:p>
            <w:pPr>
              <w:pStyle w:val="TableParagraph"/>
              <w:spacing w:before="195"/>
              <w:ind w:left="7"/>
              <w:rPr>
                <w:sz w:val="18"/>
              </w:rPr>
            </w:pPr>
            <w:r>
              <w:rPr>
                <w:sz w:val="18"/>
              </w:rPr>
              <w:t>(95%</w:t>
            </w:r>
            <w:r>
              <w:rPr>
                <w:spacing w:val="-1"/>
                <w:sz w:val="18"/>
              </w:rPr>
              <w:t> </w:t>
            </w:r>
            <w:r>
              <w:rPr>
                <w:sz w:val="18"/>
              </w:rPr>
              <w:t>CI 0.13 to </w:t>
            </w:r>
            <w:r>
              <w:rPr>
                <w:spacing w:val="-4"/>
                <w:sz w:val="18"/>
              </w:rPr>
              <w:t>1.78)</w:t>
            </w:r>
          </w:p>
          <w:p>
            <w:pPr>
              <w:pStyle w:val="TableParagraph"/>
              <w:rPr>
                <w:sz w:val="18"/>
              </w:rPr>
            </w:pPr>
          </w:p>
          <w:p>
            <w:pPr>
              <w:pStyle w:val="TableParagraph"/>
              <w:spacing w:before="171"/>
              <w:rPr>
                <w:sz w:val="18"/>
              </w:rPr>
            </w:pPr>
          </w:p>
          <w:p>
            <w:pPr>
              <w:pStyle w:val="TableParagraph"/>
              <w:spacing w:line="280" w:lineRule="auto"/>
              <w:ind w:left="7" w:right="643"/>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84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before="159"/>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1214" w:type="dxa"/>
          </w:tcPr>
          <w:p>
            <w:pPr>
              <w:pStyle w:val="TableParagraph"/>
              <w:spacing w:line="218" w:lineRule="exact"/>
              <w:ind w:left="5"/>
              <w:rPr>
                <w:b/>
                <w:sz w:val="18"/>
              </w:rPr>
            </w:pPr>
            <w:r>
              <w:rPr>
                <w:b/>
                <w:spacing w:val="-10"/>
                <w:sz w:val="18"/>
              </w:rPr>
              <w:t>7</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line="218" w:lineRule="exact"/>
              <w:ind w:left="8"/>
              <w:rPr>
                <w:b/>
                <w:sz w:val="18"/>
              </w:rPr>
            </w:pPr>
            <w:r>
              <w:rPr>
                <w:b/>
                <w:spacing w:val="-5"/>
                <w:sz w:val="18"/>
              </w:rPr>
              <w:t>15</w:t>
            </w:r>
          </w:p>
          <w:p>
            <w:pPr>
              <w:pStyle w:val="TableParagraph"/>
              <w:spacing w:before="195"/>
              <w:ind w:left="8"/>
              <w:rPr>
                <w:sz w:val="18"/>
              </w:rPr>
            </w:pPr>
            <w:r>
              <w:rPr>
                <w:sz w:val="18"/>
              </w:rPr>
              <w:t>per</w:t>
            </w:r>
            <w:r>
              <w:rPr>
                <w:spacing w:val="-3"/>
                <w:sz w:val="18"/>
              </w:rPr>
              <w:t> </w:t>
            </w:r>
            <w:r>
              <w:rPr>
                <w:spacing w:val="-5"/>
                <w:sz w:val="18"/>
              </w:rPr>
              <w:t>100</w:t>
            </w:r>
          </w:p>
        </w:tc>
        <w:tc>
          <w:tcPr>
            <w:tcW w:w="2028"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5"/>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line="278" w:lineRule="auto" w:before="38"/>
              <w:ind w:left="8"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before="1"/>
              <w:ind w:left="8"/>
              <w:rPr>
                <w:position w:val="5"/>
                <w:sz w:val="12"/>
              </w:rPr>
            </w:pPr>
            <w:r>
              <w:rPr>
                <w:sz w:val="18"/>
              </w:rPr>
              <w:t>serious</w:t>
            </w:r>
            <w:r>
              <w:rPr>
                <w:spacing w:val="-5"/>
                <w:sz w:val="18"/>
              </w:rPr>
              <w:t> </w:t>
            </w:r>
            <w:r>
              <w:rPr>
                <w:spacing w:val="-2"/>
                <w:sz w:val="18"/>
              </w:rPr>
              <w:t>imprecision</w:t>
            </w:r>
            <w:r>
              <w:rPr>
                <w:spacing w:val="-2"/>
                <w:position w:val="5"/>
                <w:sz w:val="12"/>
              </w:rPr>
              <w:t>16</w:t>
            </w:r>
          </w:p>
        </w:tc>
        <w:tc>
          <w:tcPr>
            <w:tcW w:w="488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5"/>
              <w:rPr>
                <w:sz w:val="18"/>
              </w:rPr>
            </w:pPr>
          </w:p>
          <w:p>
            <w:pPr>
              <w:pStyle w:val="TableParagraph"/>
              <w:spacing w:line="278" w:lineRule="auto"/>
              <w:ind w:left="8"/>
              <w:rPr>
                <w:sz w:val="18"/>
              </w:rPr>
            </w:pPr>
            <w:r>
              <w:rPr>
                <w:sz w:val="18"/>
              </w:rPr>
              <w:t>The</w:t>
            </w:r>
            <w:r>
              <w:rPr>
                <w:spacing w:val="-5"/>
                <w:sz w:val="18"/>
              </w:rPr>
              <w:t> </w:t>
            </w:r>
            <w:r>
              <w:rPr>
                <w:sz w:val="18"/>
              </w:rPr>
              <w:t>evidence</w:t>
            </w:r>
            <w:r>
              <w:rPr>
                <w:spacing w:val="-5"/>
                <w:sz w:val="18"/>
              </w:rPr>
              <w:t> </w:t>
            </w:r>
            <w:r>
              <w:rPr>
                <w:sz w:val="18"/>
              </w:rPr>
              <w:t>is</w:t>
            </w:r>
            <w:r>
              <w:rPr>
                <w:spacing w:val="-6"/>
                <w:sz w:val="18"/>
              </w:rPr>
              <w:t> </w:t>
            </w:r>
            <w:r>
              <w:rPr>
                <w:sz w:val="18"/>
              </w:rPr>
              <w:t>very</w:t>
            </w:r>
            <w:r>
              <w:rPr>
                <w:spacing w:val="-4"/>
                <w:sz w:val="18"/>
              </w:rPr>
              <w:t> </w:t>
            </w:r>
            <w:r>
              <w:rPr>
                <w:sz w:val="18"/>
              </w:rPr>
              <w:t>uncertain</w:t>
            </w:r>
            <w:r>
              <w:rPr>
                <w:spacing w:val="-6"/>
                <w:sz w:val="18"/>
              </w:rPr>
              <w:t> </w:t>
            </w:r>
            <w:r>
              <w:rPr>
                <w:sz w:val="18"/>
              </w:rPr>
              <w:t>about</w:t>
            </w:r>
            <w:r>
              <w:rPr>
                <w:spacing w:val="-4"/>
                <w:sz w:val="18"/>
              </w:rPr>
              <w:t> </w:t>
            </w:r>
            <w:r>
              <w:rPr>
                <w:sz w:val="18"/>
              </w:rPr>
              <w:t>the</w:t>
            </w:r>
            <w:r>
              <w:rPr>
                <w:spacing w:val="-5"/>
                <w:sz w:val="18"/>
              </w:rPr>
              <w:t> </w:t>
            </w:r>
            <w:r>
              <w:rPr>
                <w:sz w:val="18"/>
              </w:rPr>
              <w:t>effect</w:t>
            </w:r>
            <w:r>
              <w:rPr>
                <w:spacing w:val="-4"/>
                <w:sz w:val="18"/>
              </w:rPr>
              <w:t> </w:t>
            </w:r>
            <w:r>
              <w:rPr>
                <w:sz w:val="18"/>
              </w:rPr>
              <w:t>of</w:t>
            </w:r>
            <w:r>
              <w:rPr>
                <w:spacing w:val="-5"/>
                <w:sz w:val="18"/>
              </w:rPr>
              <w:t> </w:t>
            </w:r>
            <w:r>
              <w:rPr>
                <w:sz w:val="18"/>
              </w:rPr>
              <w:t>antiplatelets</w:t>
            </w:r>
            <w:r>
              <w:rPr>
                <w:spacing w:val="-6"/>
                <w:sz w:val="18"/>
              </w:rPr>
              <w:t> </w:t>
            </w:r>
            <w:r>
              <w:rPr>
                <w:sz w:val="18"/>
              </w:rPr>
              <w:t>on major bleeding, when compared with VKAs in children with an indication for the Fontan procedure</w:t>
            </w:r>
          </w:p>
        </w:tc>
      </w:tr>
      <w:tr>
        <w:trPr>
          <w:trHeight w:val="1744" w:hRule="atLeast"/>
        </w:trPr>
        <w:tc>
          <w:tcPr>
            <w:tcW w:w="1032" w:type="dxa"/>
            <w:vMerge/>
            <w:tcBorders>
              <w:top w:val="nil"/>
            </w:tcBorders>
          </w:tcPr>
          <w:p>
            <w:pPr>
              <w:rPr>
                <w:sz w:val="2"/>
                <w:szCs w:val="2"/>
              </w:rPr>
            </w:pPr>
          </w:p>
        </w:tc>
        <w:tc>
          <w:tcPr>
            <w:tcW w:w="1010" w:type="dxa"/>
            <w:vMerge/>
            <w:tcBorders>
              <w:top w:val="nil"/>
            </w:tcBorders>
          </w:tcPr>
          <w:p>
            <w:pPr>
              <w:rPr>
                <w:sz w:val="2"/>
                <w:szCs w:val="2"/>
              </w:rPr>
            </w:pPr>
          </w:p>
        </w:tc>
        <w:tc>
          <w:tcPr>
            <w:tcW w:w="2506" w:type="dxa"/>
            <w:vMerge/>
            <w:tcBorders>
              <w:top w:val="nil"/>
            </w:tcBorders>
          </w:tcPr>
          <w:p>
            <w:pPr>
              <w:rPr>
                <w:sz w:val="2"/>
                <w:szCs w:val="2"/>
              </w:rPr>
            </w:pPr>
          </w:p>
        </w:tc>
        <w:tc>
          <w:tcPr>
            <w:tcW w:w="2486" w:type="dxa"/>
            <w:gridSpan w:val="2"/>
          </w:tcPr>
          <w:p>
            <w:pPr>
              <w:pStyle w:val="TableParagraph"/>
              <w:rPr>
                <w:sz w:val="18"/>
              </w:rPr>
            </w:pPr>
          </w:p>
          <w:p>
            <w:pPr>
              <w:pStyle w:val="TableParagraph"/>
              <w:rPr>
                <w:sz w:val="18"/>
              </w:rPr>
            </w:pPr>
          </w:p>
          <w:p>
            <w:pPr>
              <w:pStyle w:val="TableParagraph"/>
              <w:spacing w:before="172"/>
              <w:rPr>
                <w:sz w:val="18"/>
              </w:rPr>
            </w:pPr>
          </w:p>
          <w:p>
            <w:pPr>
              <w:pStyle w:val="TableParagraph"/>
              <w:spacing w:before="1"/>
              <w:ind w:left="5"/>
              <w:rPr>
                <w:b/>
                <w:sz w:val="18"/>
              </w:rPr>
            </w:pPr>
            <w:r>
              <w:rPr>
                <w:sz w:val="18"/>
              </w:rPr>
              <w:t>Difference:</w:t>
            </w:r>
            <w:r>
              <w:rPr>
                <w:spacing w:val="-3"/>
                <w:sz w:val="18"/>
              </w:rPr>
              <w:t> </w:t>
            </w:r>
            <w:r>
              <w:rPr>
                <w:b/>
                <w:sz w:val="18"/>
              </w:rPr>
              <w:t>8</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95"/>
              <w:ind w:left="5"/>
              <w:rPr>
                <w:sz w:val="18"/>
              </w:rPr>
            </w:pPr>
            <w:r>
              <w:rPr>
                <w:sz w:val="18"/>
              </w:rPr>
              <w:t>(95%</w:t>
            </w:r>
            <w:r>
              <w:rPr>
                <w:spacing w:val="-3"/>
                <w:sz w:val="18"/>
              </w:rPr>
              <w:t> </w:t>
            </w:r>
            <w:r>
              <w:rPr>
                <w:sz w:val="18"/>
              </w:rPr>
              <w:t>CI 21</w:t>
            </w:r>
            <w:r>
              <w:rPr>
                <w:spacing w:val="-1"/>
                <w:sz w:val="18"/>
              </w:rPr>
              <w:t> </w:t>
            </w:r>
            <w:r>
              <w:rPr>
                <w:sz w:val="18"/>
              </w:rPr>
              <w:t>fewer to</w:t>
            </w:r>
            <w:r>
              <w:rPr>
                <w:spacing w:val="-1"/>
                <w:sz w:val="18"/>
              </w:rPr>
              <w:t> </w:t>
            </w:r>
            <w:r>
              <w:rPr>
                <w:sz w:val="18"/>
              </w:rPr>
              <w:t>7 </w:t>
            </w:r>
            <w:r>
              <w:rPr>
                <w:spacing w:val="-4"/>
                <w:sz w:val="18"/>
              </w:rPr>
              <w:t>more)</w:t>
            </w:r>
          </w:p>
        </w:tc>
        <w:tc>
          <w:tcPr>
            <w:tcW w:w="2028" w:type="dxa"/>
            <w:vMerge/>
            <w:tcBorders>
              <w:top w:val="nil"/>
            </w:tcBorders>
          </w:tcPr>
          <w:p>
            <w:pPr>
              <w:rPr>
                <w:sz w:val="2"/>
                <w:szCs w:val="2"/>
              </w:rPr>
            </w:pPr>
          </w:p>
        </w:tc>
        <w:tc>
          <w:tcPr>
            <w:tcW w:w="4882" w:type="dxa"/>
            <w:vMerge/>
            <w:tcBorders>
              <w:top w:val="nil"/>
            </w:tcBorders>
          </w:tcPr>
          <w:p>
            <w:pPr>
              <w:rPr>
                <w:sz w:val="2"/>
                <w:szCs w:val="2"/>
              </w:rPr>
            </w:pPr>
          </w:p>
        </w:tc>
      </w:tr>
    </w:tbl>
    <w:p>
      <w:pPr>
        <w:spacing w:after="0"/>
        <w:rPr>
          <w:sz w:val="2"/>
          <w:szCs w:val="2"/>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32"/>
        <w:gridCol w:w="1010"/>
        <w:gridCol w:w="2506"/>
        <w:gridCol w:w="1214"/>
        <w:gridCol w:w="1272"/>
        <w:gridCol w:w="2028"/>
        <w:gridCol w:w="4882"/>
      </w:tblGrid>
      <w:tr>
        <w:trPr>
          <w:trHeight w:val="414" w:hRule="atLeast"/>
        </w:trPr>
        <w:tc>
          <w:tcPr>
            <w:tcW w:w="1032" w:type="dxa"/>
            <w:vMerge w:val="restart"/>
          </w:tcPr>
          <w:p>
            <w:pPr>
              <w:pStyle w:val="TableParagraph"/>
              <w:rPr>
                <w:rFonts w:ascii="Times New Roman"/>
                <w:sz w:val="18"/>
              </w:rPr>
            </w:pPr>
          </w:p>
        </w:tc>
        <w:tc>
          <w:tcPr>
            <w:tcW w:w="1010" w:type="dxa"/>
          </w:tcPr>
          <w:p>
            <w:pPr>
              <w:pStyle w:val="TableParagraph"/>
              <w:rPr>
                <w:rFonts w:ascii="Times New Roman"/>
                <w:sz w:val="18"/>
              </w:rPr>
            </w:pPr>
          </w:p>
        </w:tc>
        <w:tc>
          <w:tcPr>
            <w:tcW w:w="2506" w:type="dxa"/>
          </w:tcPr>
          <w:p>
            <w:pPr>
              <w:pStyle w:val="TableParagraph"/>
              <w:rPr>
                <w:rFonts w:ascii="Times New Roman"/>
                <w:sz w:val="18"/>
              </w:rPr>
            </w:pPr>
          </w:p>
        </w:tc>
        <w:tc>
          <w:tcPr>
            <w:tcW w:w="2486" w:type="dxa"/>
            <w:gridSpan w:val="2"/>
          </w:tcPr>
          <w:p>
            <w:pPr>
              <w:pStyle w:val="TableParagraph"/>
              <w:rPr>
                <w:rFonts w:ascii="Times New Roman"/>
                <w:sz w:val="18"/>
              </w:rPr>
            </w:pPr>
          </w:p>
        </w:tc>
        <w:tc>
          <w:tcPr>
            <w:tcW w:w="2028" w:type="dxa"/>
          </w:tcPr>
          <w:p>
            <w:pPr>
              <w:pStyle w:val="TableParagraph"/>
              <w:rPr>
                <w:rFonts w:ascii="Times New Roman"/>
                <w:sz w:val="18"/>
              </w:rPr>
            </w:pPr>
          </w:p>
        </w:tc>
        <w:tc>
          <w:tcPr>
            <w:tcW w:w="4882" w:type="dxa"/>
          </w:tcPr>
          <w:p>
            <w:pPr>
              <w:pStyle w:val="TableParagraph"/>
              <w:spacing w:line="218" w:lineRule="exact"/>
              <w:ind w:left="8"/>
              <w:rPr>
                <w:sz w:val="18"/>
              </w:rPr>
            </w:pPr>
            <w:r>
              <w:rPr>
                <w:sz w:val="18"/>
              </w:rPr>
              <w:t>(Kawamatsu,</w:t>
            </w:r>
            <w:r>
              <w:rPr>
                <w:spacing w:val="-4"/>
                <w:sz w:val="18"/>
              </w:rPr>
              <w:t> </w:t>
            </w:r>
            <w:r>
              <w:rPr>
                <w:spacing w:val="-2"/>
                <w:sz w:val="18"/>
              </w:rPr>
              <w:t>2021)</w:t>
            </w:r>
          </w:p>
        </w:tc>
      </w:tr>
      <w:tr>
        <w:trPr>
          <w:trHeight w:val="832" w:hRule="atLeast"/>
        </w:trPr>
        <w:tc>
          <w:tcPr>
            <w:tcW w:w="1032" w:type="dxa"/>
            <w:vMerge/>
            <w:tcBorders>
              <w:top w:val="nil"/>
            </w:tcBorders>
          </w:tcPr>
          <w:p>
            <w:pPr>
              <w:rPr>
                <w:sz w:val="2"/>
                <w:szCs w:val="2"/>
              </w:rPr>
            </w:pPr>
          </w:p>
        </w:tc>
        <w:tc>
          <w:tcPr>
            <w:tcW w:w="1010" w:type="dxa"/>
            <w:vMerge w:val="restart"/>
          </w:tcPr>
          <w:p>
            <w:pPr>
              <w:pStyle w:val="TableParagraph"/>
              <w:spacing w:line="278" w:lineRule="auto" w:before="1"/>
              <w:ind w:left="7" w:right="353"/>
              <w:rPr>
                <w:sz w:val="18"/>
              </w:rPr>
            </w:pPr>
            <w:r>
              <w:rPr>
                <w:spacing w:val="-2"/>
                <w:sz w:val="18"/>
              </w:rPr>
              <w:t>Minor</w:t>
            </w:r>
            <w:r>
              <w:rPr>
                <w:sz w:val="18"/>
              </w:rPr>
              <w:t> </w:t>
            </w:r>
            <w:r>
              <w:rPr>
                <w:spacing w:val="-2"/>
                <w:sz w:val="18"/>
              </w:rPr>
              <w:t>bleeding</w:t>
            </w:r>
          </w:p>
        </w:tc>
        <w:tc>
          <w:tcPr>
            <w:tcW w:w="2506" w:type="dxa"/>
            <w:vMerge w:val="restart"/>
          </w:tcPr>
          <w:p>
            <w:pPr>
              <w:pStyle w:val="TableParagraph"/>
              <w:spacing w:before="1"/>
              <w:ind w:left="7"/>
              <w:rPr>
                <w:b/>
                <w:sz w:val="18"/>
              </w:rPr>
            </w:pPr>
            <w:r>
              <w:rPr>
                <w:sz w:val="18"/>
              </w:rPr>
              <w:t>Relative</w:t>
            </w:r>
            <w:r>
              <w:rPr>
                <w:spacing w:val="-3"/>
                <w:sz w:val="18"/>
              </w:rPr>
              <w:t> </w:t>
            </w:r>
            <w:r>
              <w:rPr>
                <w:sz w:val="18"/>
              </w:rPr>
              <w:t>risk:</w:t>
            </w:r>
            <w:r>
              <w:rPr>
                <w:spacing w:val="-2"/>
                <w:sz w:val="18"/>
              </w:rPr>
              <w:t> </w:t>
            </w:r>
            <w:r>
              <w:rPr>
                <w:b/>
                <w:spacing w:val="-4"/>
                <w:sz w:val="18"/>
              </w:rPr>
              <w:t>0.32</w:t>
            </w:r>
          </w:p>
          <w:p>
            <w:pPr>
              <w:pStyle w:val="TableParagraph"/>
              <w:spacing w:before="195"/>
              <w:ind w:left="7"/>
              <w:rPr>
                <w:sz w:val="18"/>
              </w:rPr>
            </w:pPr>
            <w:r>
              <w:rPr>
                <w:sz w:val="18"/>
              </w:rPr>
              <w:t>(95%</w:t>
            </w:r>
            <w:r>
              <w:rPr>
                <w:spacing w:val="-1"/>
                <w:sz w:val="18"/>
              </w:rPr>
              <w:t> </w:t>
            </w:r>
            <w:r>
              <w:rPr>
                <w:sz w:val="18"/>
              </w:rPr>
              <w:t>CI 0.03 to </w:t>
            </w:r>
            <w:r>
              <w:rPr>
                <w:spacing w:val="-4"/>
                <w:sz w:val="18"/>
              </w:rPr>
              <w:t>2.93)</w:t>
            </w:r>
          </w:p>
          <w:p>
            <w:pPr>
              <w:pStyle w:val="TableParagraph"/>
              <w:rPr>
                <w:sz w:val="18"/>
              </w:rPr>
            </w:pPr>
          </w:p>
          <w:p>
            <w:pPr>
              <w:pStyle w:val="TableParagraph"/>
              <w:spacing w:before="171"/>
              <w:rPr>
                <w:sz w:val="18"/>
              </w:rPr>
            </w:pPr>
          </w:p>
          <w:p>
            <w:pPr>
              <w:pStyle w:val="TableParagraph"/>
              <w:spacing w:line="278" w:lineRule="auto" w:before="1"/>
              <w:ind w:left="7" w:right="643"/>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84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before="160"/>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1214" w:type="dxa"/>
          </w:tcPr>
          <w:p>
            <w:pPr>
              <w:pStyle w:val="TableParagraph"/>
              <w:spacing w:before="1"/>
              <w:ind w:left="5"/>
              <w:rPr>
                <w:b/>
                <w:sz w:val="18"/>
              </w:rPr>
            </w:pPr>
            <w:r>
              <w:rPr>
                <w:b/>
                <w:spacing w:val="-10"/>
                <w:sz w:val="18"/>
              </w:rPr>
              <w:t>2</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before="1"/>
              <w:ind w:left="8"/>
              <w:rPr>
                <w:b/>
                <w:sz w:val="18"/>
              </w:rPr>
            </w:pPr>
            <w:r>
              <w:rPr>
                <w:b/>
                <w:spacing w:val="-10"/>
                <w:sz w:val="18"/>
              </w:rPr>
              <w:t>7</w:t>
            </w:r>
          </w:p>
          <w:p>
            <w:pPr>
              <w:pStyle w:val="TableParagraph"/>
              <w:spacing w:before="195"/>
              <w:ind w:left="8"/>
              <w:rPr>
                <w:sz w:val="18"/>
              </w:rPr>
            </w:pPr>
            <w:r>
              <w:rPr>
                <w:sz w:val="18"/>
              </w:rPr>
              <w:t>per</w:t>
            </w:r>
            <w:r>
              <w:rPr>
                <w:spacing w:val="-3"/>
                <w:sz w:val="18"/>
              </w:rPr>
              <w:t> </w:t>
            </w:r>
            <w:r>
              <w:rPr>
                <w:spacing w:val="-5"/>
                <w:sz w:val="18"/>
              </w:rPr>
              <w:t>100</w:t>
            </w:r>
          </w:p>
        </w:tc>
        <w:tc>
          <w:tcPr>
            <w:tcW w:w="2028"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line="280" w:lineRule="auto" w:before="34"/>
              <w:ind w:left="8"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line="217" w:lineRule="exact"/>
              <w:ind w:left="8"/>
              <w:rPr>
                <w:position w:val="5"/>
                <w:sz w:val="12"/>
              </w:rPr>
            </w:pPr>
            <w:r>
              <w:rPr>
                <w:sz w:val="18"/>
              </w:rPr>
              <w:t>serious</w:t>
            </w:r>
            <w:r>
              <w:rPr>
                <w:spacing w:val="-5"/>
                <w:sz w:val="18"/>
              </w:rPr>
              <w:t> </w:t>
            </w:r>
            <w:r>
              <w:rPr>
                <w:spacing w:val="-2"/>
                <w:sz w:val="18"/>
              </w:rPr>
              <w:t>imprecision</w:t>
            </w:r>
            <w:r>
              <w:rPr>
                <w:spacing w:val="-2"/>
                <w:position w:val="5"/>
                <w:sz w:val="12"/>
              </w:rPr>
              <w:t>17</w:t>
            </w:r>
          </w:p>
        </w:tc>
        <w:tc>
          <w:tcPr>
            <w:tcW w:w="488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spacing w:line="278" w:lineRule="auto"/>
              <w:ind w:left="8"/>
              <w:rPr>
                <w:sz w:val="18"/>
              </w:rPr>
            </w:pPr>
            <w:r>
              <w:rPr>
                <w:sz w:val="18"/>
              </w:rPr>
              <w:t>The</w:t>
            </w:r>
            <w:r>
              <w:rPr>
                <w:spacing w:val="-5"/>
                <w:sz w:val="18"/>
              </w:rPr>
              <w:t> </w:t>
            </w:r>
            <w:r>
              <w:rPr>
                <w:sz w:val="18"/>
              </w:rPr>
              <w:t>evidence</w:t>
            </w:r>
            <w:r>
              <w:rPr>
                <w:spacing w:val="-5"/>
                <w:sz w:val="18"/>
              </w:rPr>
              <w:t> </w:t>
            </w:r>
            <w:r>
              <w:rPr>
                <w:sz w:val="18"/>
              </w:rPr>
              <w:t>is</w:t>
            </w:r>
            <w:r>
              <w:rPr>
                <w:spacing w:val="-6"/>
                <w:sz w:val="18"/>
              </w:rPr>
              <w:t> </w:t>
            </w:r>
            <w:r>
              <w:rPr>
                <w:sz w:val="18"/>
              </w:rPr>
              <w:t>very</w:t>
            </w:r>
            <w:r>
              <w:rPr>
                <w:spacing w:val="-4"/>
                <w:sz w:val="18"/>
              </w:rPr>
              <w:t> </w:t>
            </w:r>
            <w:r>
              <w:rPr>
                <w:sz w:val="18"/>
              </w:rPr>
              <w:t>uncertain</w:t>
            </w:r>
            <w:r>
              <w:rPr>
                <w:spacing w:val="-6"/>
                <w:sz w:val="18"/>
              </w:rPr>
              <w:t> </w:t>
            </w:r>
            <w:r>
              <w:rPr>
                <w:sz w:val="18"/>
              </w:rPr>
              <w:t>about</w:t>
            </w:r>
            <w:r>
              <w:rPr>
                <w:spacing w:val="-4"/>
                <w:sz w:val="18"/>
              </w:rPr>
              <w:t> </w:t>
            </w:r>
            <w:r>
              <w:rPr>
                <w:sz w:val="18"/>
              </w:rPr>
              <w:t>the</w:t>
            </w:r>
            <w:r>
              <w:rPr>
                <w:spacing w:val="-5"/>
                <w:sz w:val="18"/>
              </w:rPr>
              <w:t> </w:t>
            </w:r>
            <w:r>
              <w:rPr>
                <w:sz w:val="18"/>
              </w:rPr>
              <w:t>effect</w:t>
            </w:r>
            <w:r>
              <w:rPr>
                <w:spacing w:val="-4"/>
                <w:sz w:val="18"/>
              </w:rPr>
              <w:t> </w:t>
            </w:r>
            <w:r>
              <w:rPr>
                <w:sz w:val="18"/>
              </w:rPr>
              <w:t>of</w:t>
            </w:r>
            <w:r>
              <w:rPr>
                <w:spacing w:val="-5"/>
                <w:sz w:val="18"/>
              </w:rPr>
              <w:t> </w:t>
            </w:r>
            <w:r>
              <w:rPr>
                <w:sz w:val="18"/>
              </w:rPr>
              <w:t>antiplatelets</w:t>
            </w:r>
            <w:r>
              <w:rPr>
                <w:spacing w:val="-6"/>
                <w:sz w:val="18"/>
              </w:rPr>
              <w:t> </w:t>
            </w:r>
            <w:r>
              <w:rPr>
                <w:sz w:val="18"/>
              </w:rPr>
              <w:t>on minor bleeding, when compared with VKAs in children with an indication for the Fontan procedure</w:t>
            </w:r>
          </w:p>
          <w:p>
            <w:pPr>
              <w:pStyle w:val="TableParagraph"/>
              <w:rPr>
                <w:sz w:val="18"/>
              </w:rPr>
            </w:pPr>
          </w:p>
          <w:p>
            <w:pPr>
              <w:pStyle w:val="TableParagraph"/>
              <w:spacing w:before="138"/>
              <w:rPr>
                <w:sz w:val="18"/>
              </w:rPr>
            </w:pPr>
          </w:p>
          <w:p>
            <w:pPr>
              <w:pStyle w:val="TableParagraph"/>
              <w:ind w:left="8"/>
              <w:rPr>
                <w:sz w:val="18"/>
              </w:rPr>
            </w:pPr>
            <w:r>
              <w:rPr>
                <w:sz w:val="18"/>
              </w:rPr>
              <w:t>(Kawamatsu,</w:t>
            </w:r>
            <w:r>
              <w:rPr>
                <w:spacing w:val="-4"/>
                <w:sz w:val="18"/>
              </w:rPr>
              <w:t> </w:t>
            </w:r>
            <w:r>
              <w:rPr>
                <w:spacing w:val="-2"/>
                <w:sz w:val="18"/>
              </w:rPr>
              <w:t>2021)</w:t>
            </w:r>
          </w:p>
        </w:tc>
      </w:tr>
      <w:tr>
        <w:trPr>
          <w:trHeight w:val="2157" w:hRule="atLeast"/>
        </w:trPr>
        <w:tc>
          <w:tcPr>
            <w:tcW w:w="1032" w:type="dxa"/>
            <w:vMerge/>
            <w:tcBorders>
              <w:top w:val="nil"/>
            </w:tcBorders>
          </w:tcPr>
          <w:p>
            <w:pPr>
              <w:rPr>
                <w:sz w:val="2"/>
                <w:szCs w:val="2"/>
              </w:rPr>
            </w:pPr>
          </w:p>
        </w:tc>
        <w:tc>
          <w:tcPr>
            <w:tcW w:w="1010" w:type="dxa"/>
            <w:vMerge/>
            <w:tcBorders>
              <w:top w:val="nil"/>
            </w:tcBorders>
          </w:tcPr>
          <w:p>
            <w:pPr>
              <w:rPr>
                <w:sz w:val="2"/>
                <w:szCs w:val="2"/>
              </w:rPr>
            </w:pPr>
          </w:p>
        </w:tc>
        <w:tc>
          <w:tcPr>
            <w:tcW w:w="2506" w:type="dxa"/>
            <w:vMerge/>
            <w:tcBorders>
              <w:top w:val="nil"/>
            </w:tcBorders>
          </w:tcPr>
          <w:p>
            <w:pPr>
              <w:rPr>
                <w:sz w:val="2"/>
                <w:szCs w:val="2"/>
              </w:rPr>
            </w:pPr>
          </w:p>
        </w:tc>
        <w:tc>
          <w:tcPr>
            <w:tcW w:w="2486" w:type="dxa"/>
            <w:gridSpan w:val="2"/>
          </w:tcPr>
          <w:p>
            <w:pPr>
              <w:pStyle w:val="TableParagraph"/>
              <w:rPr>
                <w:sz w:val="18"/>
              </w:rPr>
            </w:pPr>
          </w:p>
          <w:p>
            <w:pPr>
              <w:pStyle w:val="TableParagraph"/>
              <w:rPr>
                <w:sz w:val="18"/>
              </w:rPr>
            </w:pPr>
          </w:p>
          <w:p>
            <w:pPr>
              <w:pStyle w:val="TableParagraph"/>
              <w:spacing w:before="169"/>
              <w:rPr>
                <w:sz w:val="18"/>
              </w:rPr>
            </w:pPr>
          </w:p>
          <w:p>
            <w:pPr>
              <w:pStyle w:val="TableParagraph"/>
              <w:spacing w:before="1"/>
              <w:ind w:left="5"/>
              <w:rPr>
                <w:b/>
                <w:sz w:val="18"/>
              </w:rPr>
            </w:pPr>
            <w:r>
              <w:rPr>
                <w:sz w:val="18"/>
              </w:rPr>
              <w:t>Difference:</w:t>
            </w:r>
            <w:r>
              <w:rPr>
                <w:spacing w:val="-3"/>
                <w:sz w:val="18"/>
              </w:rPr>
              <w:t> </w:t>
            </w:r>
            <w:r>
              <w:rPr>
                <w:b/>
                <w:sz w:val="18"/>
              </w:rPr>
              <w:t>5</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96"/>
              <w:ind w:left="5"/>
              <w:rPr>
                <w:sz w:val="18"/>
              </w:rPr>
            </w:pPr>
            <w:r>
              <w:rPr>
                <w:sz w:val="18"/>
              </w:rPr>
              <w:t>(95%</w:t>
            </w:r>
            <w:r>
              <w:rPr>
                <w:spacing w:val="-3"/>
                <w:sz w:val="18"/>
              </w:rPr>
              <w:t> </w:t>
            </w:r>
            <w:r>
              <w:rPr>
                <w:sz w:val="18"/>
              </w:rPr>
              <w:t>CI 14</w:t>
            </w:r>
            <w:r>
              <w:rPr>
                <w:spacing w:val="-1"/>
                <w:sz w:val="18"/>
              </w:rPr>
              <w:t> </w:t>
            </w:r>
            <w:r>
              <w:rPr>
                <w:sz w:val="18"/>
              </w:rPr>
              <w:t>fewer to</w:t>
            </w:r>
            <w:r>
              <w:rPr>
                <w:spacing w:val="-1"/>
                <w:sz w:val="18"/>
              </w:rPr>
              <w:t> </w:t>
            </w:r>
            <w:r>
              <w:rPr>
                <w:sz w:val="18"/>
              </w:rPr>
              <w:t>4 </w:t>
            </w:r>
            <w:r>
              <w:rPr>
                <w:spacing w:val="-4"/>
                <w:sz w:val="18"/>
              </w:rPr>
              <w:t>more)</w:t>
            </w:r>
          </w:p>
        </w:tc>
        <w:tc>
          <w:tcPr>
            <w:tcW w:w="2028" w:type="dxa"/>
            <w:vMerge/>
            <w:tcBorders>
              <w:top w:val="nil"/>
            </w:tcBorders>
          </w:tcPr>
          <w:p>
            <w:pPr>
              <w:rPr>
                <w:sz w:val="2"/>
                <w:szCs w:val="2"/>
              </w:rPr>
            </w:pPr>
          </w:p>
        </w:tc>
        <w:tc>
          <w:tcPr>
            <w:tcW w:w="4882" w:type="dxa"/>
            <w:vMerge/>
            <w:tcBorders>
              <w:top w:val="nil"/>
            </w:tcBorders>
          </w:tcPr>
          <w:p>
            <w:pPr>
              <w:rPr>
                <w:sz w:val="2"/>
                <w:szCs w:val="2"/>
              </w:rPr>
            </w:pPr>
          </w:p>
        </w:tc>
      </w:tr>
      <w:tr>
        <w:trPr>
          <w:trHeight w:val="3057" w:hRule="atLeast"/>
        </w:trPr>
        <w:tc>
          <w:tcPr>
            <w:tcW w:w="2042" w:type="dxa"/>
            <w:gridSpan w:val="2"/>
          </w:tcPr>
          <w:p>
            <w:pPr>
              <w:pStyle w:val="TableParagraph"/>
              <w:numPr>
                <w:ilvl w:val="0"/>
                <w:numId w:val="63"/>
              </w:numPr>
              <w:tabs>
                <w:tab w:pos="727" w:val="left" w:leader="none"/>
              </w:tabs>
              <w:spacing w:line="273" w:lineRule="auto" w:before="0" w:after="0"/>
              <w:ind w:left="727" w:right="451" w:hanging="360"/>
              <w:jc w:val="left"/>
              <w:rPr>
                <w:sz w:val="18"/>
              </w:rPr>
            </w:pPr>
            <w:r>
              <w:rPr>
                <w:spacing w:val="-2"/>
                <w:sz w:val="18"/>
              </w:rPr>
              <w:t>Mortality</w:t>
            </w:r>
            <w:r>
              <w:rPr>
                <w:sz w:val="18"/>
              </w:rPr>
              <w:t> </w:t>
            </w:r>
            <w:r>
              <w:rPr>
                <w:spacing w:val="-2"/>
                <w:sz w:val="18"/>
              </w:rPr>
              <w:t>(important)</w:t>
            </w:r>
          </w:p>
          <w:p>
            <w:pPr>
              <w:pStyle w:val="TableParagraph"/>
              <w:numPr>
                <w:ilvl w:val="0"/>
                <w:numId w:val="63"/>
              </w:numPr>
              <w:tabs>
                <w:tab w:pos="727" w:val="left" w:leader="none"/>
              </w:tabs>
              <w:spacing w:line="273" w:lineRule="auto" w:before="167" w:after="0"/>
              <w:ind w:left="727" w:right="161" w:hanging="360"/>
              <w:jc w:val="left"/>
              <w:rPr>
                <w:sz w:val="18"/>
              </w:rPr>
            </w:pPr>
            <w:r>
              <w:rPr>
                <w:sz w:val="18"/>
              </w:rPr>
              <w:t>Ischemic</w:t>
            </w:r>
            <w:r>
              <w:rPr>
                <w:spacing w:val="-11"/>
                <w:sz w:val="18"/>
              </w:rPr>
              <w:t> </w:t>
            </w:r>
            <w:r>
              <w:rPr>
                <w:sz w:val="18"/>
              </w:rPr>
              <w:t>stroke </w:t>
            </w:r>
            <w:r>
              <w:rPr>
                <w:spacing w:val="-2"/>
                <w:sz w:val="18"/>
              </w:rPr>
              <w:t>(important)</w:t>
            </w:r>
          </w:p>
          <w:p>
            <w:pPr>
              <w:pStyle w:val="TableParagraph"/>
              <w:numPr>
                <w:ilvl w:val="0"/>
                <w:numId w:val="63"/>
              </w:numPr>
              <w:tabs>
                <w:tab w:pos="727" w:val="left" w:leader="none"/>
              </w:tabs>
              <w:spacing w:line="273" w:lineRule="auto" w:before="166" w:after="0"/>
              <w:ind w:left="727" w:right="313" w:hanging="360"/>
              <w:jc w:val="left"/>
              <w:rPr>
                <w:sz w:val="18"/>
              </w:rPr>
            </w:pPr>
            <w:r>
              <w:rPr>
                <w:sz w:val="18"/>
              </w:rPr>
              <w:t>Quality</w:t>
            </w:r>
            <w:r>
              <w:rPr>
                <w:spacing w:val="-11"/>
                <w:sz w:val="18"/>
              </w:rPr>
              <w:t> </w:t>
            </w:r>
            <w:r>
              <w:rPr>
                <w:sz w:val="18"/>
              </w:rPr>
              <w:t>of</w:t>
            </w:r>
            <w:r>
              <w:rPr>
                <w:spacing w:val="-10"/>
                <w:sz w:val="18"/>
              </w:rPr>
              <w:t> </w:t>
            </w:r>
            <w:r>
              <w:rPr>
                <w:sz w:val="18"/>
              </w:rPr>
              <w:t>life </w:t>
            </w:r>
            <w:r>
              <w:rPr>
                <w:spacing w:val="-2"/>
                <w:sz w:val="18"/>
              </w:rPr>
              <w:t>(QOL)</w:t>
            </w:r>
          </w:p>
          <w:p>
            <w:pPr>
              <w:pStyle w:val="TableParagraph"/>
              <w:spacing w:before="5"/>
              <w:ind w:left="727"/>
              <w:rPr>
                <w:sz w:val="18"/>
              </w:rPr>
            </w:pPr>
            <w:r>
              <w:rPr>
                <w:spacing w:val="-2"/>
                <w:sz w:val="18"/>
              </w:rPr>
              <w:t>(important)</w:t>
            </w:r>
          </w:p>
          <w:p>
            <w:pPr>
              <w:pStyle w:val="TableParagraph"/>
              <w:numPr>
                <w:ilvl w:val="0"/>
                <w:numId w:val="63"/>
              </w:numPr>
              <w:tabs>
                <w:tab w:pos="727" w:val="left" w:leader="none"/>
              </w:tabs>
              <w:spacing w:line="273" w:lineRule="auto" w:before="197" w:after="0"/>
              <w:ind w:left="727" w:right="181" w:hanging="360"/>
              <w:jc w:val="left"/>
              <w:rPr>
                <w:sz w:val="18"/>
              </w:rPr>
            </w:pPr>
            <w:r>
              <w:rPr>
                <w:sz w:val="18"/>
              </w:rPr>
              <w:t>Adverse</w:t>
            </w:r>
            <w:r>
              <w:rPr>
                <w:spacing w:val="-11"/>
                <w:sz w:val="18"/>
              </w:rPr>
              <w:t> </w:t>
            </w:r>
            <w:r>
              <w:rPr>
                <w:sz w:val="18"/>
              </w:rPr>
              <w:t>events </w:t>
            </w:r>
            <w:r>
              <w:rPr>
                <w:spacing w:val="-2"/>
                <w:sz w:val="18"/>
              </w:rPr>
              <w:t>(important)</w:t>
            </w:r>
          </w:p>
        </w:tc>
        <w:tc>
          <w:tcPr>
            <w:tcW w:w="2506"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4"/>
              <w:rPr>
                <w:sz w:val="18"/>
              </w:rPr>
            </w:pPr>
          </w:p>
          <w:p>
            <w:pPr>
              <w:pStyle w:val="TableParagraph"/>
              <w:ind w:left="7"/>
              <w:rPr>
                <w:sz w:val="18"/>
              </w:rPr>
            </w:pPr>
            <w:r>
              <w:rPr>
                <w:spacing w:val="-10"/>
                <w:sz w:val="18"/>
              </w:rPr>
              <w:t>-</w:t>
            </w:r>
          </w:p>
        </w:tc>
        <w:tc>
          <w:tcPr>
            <w:tcW w:w="2486" w:type="dxa"/>
            <w:gridSpan w:val="2"/>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4"/>
              <w:rPr>
                <w:sz w:val="18"/>
              </w:rPr>
            </w:pPr>
          </w:p>
          <w:p>
            <w:pPr>
              <w:pStyle w:val="TableParagraph"/>
              <w:ind w:left="5"/>
              <w:rPr>
                <w:sz w:val="18"/>
              </w:rPr>
            </w:pPr>
            <w:r>
              <w:rPr>
                <w:spacing w:val="-10"/>
                <w:sz w:val="18"/>
              </w:rPr>
              <w:t>-</w:t>
            </w:r>
          </w:p>
        </w:tc>
        <w:tc>
          <w:tcPr>
            <w:tcW w:w="2028"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82"/>
              <w:rPr>
                <w:sz w:val="18"/>
              </w:rPr>
            </w:pPr>
          </w:p>
          <w:p>
            <w:pPr>
              <w:pStyle w:val="TableParagraph"/>
              <w:ind w:left="8"/>
              <w:rPr>
                <w:b/>
                <w:sz w:val="18"/>
              </w:rPr>
            </w:pPr>
            <w:r>
              <w:rPr>
                <w:b/>
                <w:sz w:val="18"/>
              </w:rPr>
              <w:t>No</w:t>
            </w:r>
            <w:r>
              <w:rPr>
                <w:b/>
                <w:spacing w:val="-5"/>
                <w:sz w:val="18"/>
              </w:rPr>
              <w:t> </w:t>
            </w:r>
            <w:r>
              <w:rPr>
                <w:b/>
                <w:spacing w:val="-2"/>
                <w:sz w:val="18"/>
              </w:rPr>
              <w:t>GRADE</w:t>
            </w:r>
          </w:p>
          <w:p>
            <w:pPr>
              <w:pStyle w:val="TableParagraph"/>
              <w:spacing w:before="36"/>
              <w:ind w:left="8"/>
              <w:rPr>
                <w:sz w:val="18"/>
              </w:rPr>
            </w:pPr>
            <w:r>
              <w:rPr>
                <w:sz w:val="18"/>
              </w:rPr>
              <w:t>(No</w:t>
            </w:r>
            <w:r>
              <w:rPr>
                <w:spacing w:val="-4"/>
                <w:sz w:val="18"/>
              </w:rPr>
              <w:t> </w:t>
            </w:r>
            <w:r>
              <w:rPr>
                <w:sz w:val="18"/>
              </w:rPr>
              <w:t>evidence</w:t>
            </w:r>
            <w:r>
              <w:rPr>
                <w:spacing w:val="-4"/>
                <w:sz w:val="18"/>
              </w:rPr>
              <w:t> </w:t>
            </w:r>
            <w:r>
              <w:rPr>
                <w:sz w:val="18"/>
              </w:rPr>
              <w:t>was</w:t>
            </w:r>
            <w:r>
              <w:rPr>
                <w:spacing w:val="-3"/>
                <w:sz w:val="18"/>
              </w:rPr>
              <w:t> </w:t>
            </w:r>
            <w:r>
              <w:rPr>
                <w:spacing w:val="-2"/>
                <w:sz w:val="18"/>
              </w:rPr>
              <w:t>found)</w:t>
            </w:r>
          </w:p>
        </w:tc>
        <w:tc>
          <w:tcPr>
            <w:tcW w:w="488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spacing w:line="278" w:lineRule="auto"/>
              <w:ind w:left="8" w:right="216"/>
              <w:rPr>
                <w:sz w:val="18"/>
              </w:rPr>
            </w:pPr>
            <w:r>
              <w:rPr>
                <w:sz w:val="18"/>
              </w:rPr>
              <w:t>No</w:t>
            </w:r>
            <w:r>
              <w:rPr>
                <w:spacing w:val="-4"/>
                <w:sz w:val="18"/>
              </w:rPr>
              <w:t> </w:t>
            </w:r>
            <w:r>
              <w:rPr>
                <w:sz w:val="18"/>
              </w:rPr>
              <w:t>evidence</w:t>
            </w:r>
            <w:r>
              <w:rPr>
                <w:spacing w:val="-5"/>
                <w:sz w:val="18"/>
              </w:rPr>
              <w:t> </w:t>
            </w:r>
            <w:r>
              <w:rPr>
                <w:sz w:val="18"/>
              </w:rPr>
              <w:t>was</w:t>
            </w:r>
            <w:r>
              <w:rPr>
                <w:spacing w:val="-5"/>
                <w:sz w:val="18"/>
              </w:rPr>
              <w:t> </w:t>
            </w:r>
            <w:r>
              <w:rPr>
                <w:sz w:val="18"/>
              </w:rPr>
              <w:t>found</w:t>
            </w:r>
            <w:r>
              <w:rPr>
                <w:spacing w:val="-4"/>
                <w:sz w:val="18"/>
              </w:rPr>
              <w:t> </w:t>
            </w:r>
            <w:r>
              <w:rPr>
                <w:sz w:val="18"/>
              </w:rPr>
              <w:t>regarding</w:t>
            </w:r>
            <w:r>
              <w:rPr>
                <w:spacing w:val="-3"/>
                <w:sz w:val="18"/>
              </w:rPr>
              <w:t> </w:t>
            </w:r>
            <w:r>
              <w:rPr>
                <w:sz w:val="18"/>
              </w:rPr>
              <w:t>the</w:t>
            </w:r>
            <w:r>
              <w:rPr>
                <w:spacing w:val="-5"/>
                <w:sz w:val="18"/>
              </w:rPr>
              <w:t> </w:t>
            </w:r>
            <w:r>
              <w:rPr>
                <w:sz w:val="18"/>
              </w:rPr>
              <w:t>effect</w:t>
            </w:r>
            <w:r>
              <w:rPr>
                <w:spacing w:val="-4"/>
                <w:sz w:val="18"/>
              </w:rPr>
              <w:t> </w:t>
            </w:r>
            <w:r>
              <w:rPr>
                <w:sz w:val="18"/>
              </w:rPr>
              <w:t>of</w:t>
            </w:r>
            <w:r>
              <w:rPr>
                <w:spacing w:val="-5"/>
                <w:sz w:val="18"/>
              </w:rPr>
              <w:t> </w:t>
            </w:r>
            <w:r>
              <w:rPr>
                <w:sz w:val="18"/>
              </w:rPr>
              <w:t>antiplatelets</w:t>
            </w:r>
            <w:r>
              <w:rPr>
                <w:spacing w:val="-6"/>
                <w:sz w:val="18"/>
              </w:rPr>
              <w:t> </w:t>
            </w:r>
            <w:r>
              <w:rPr>
                <w:sz w:val="18"/>
              </w:rPr>
              <w:t>on mortality, ischemic stroke, quality of life (QOL), and adverse events, when compared with VKAs in children with an indication for the Fontan procedure</w:t>
            </w:r>
          </w:p>
        </w:tc>
      </w:tr>
      <w:tr>
        <w:trPr>
          <w:trHeight w:val="417" w:hRule="atLeast"/>
        </w:trPr>
        <w:tc>
          <w:tcPr>
            <w:tcW w:w="13944" w:type="dxa"/>
            <w:gridSpan w:val="7"/>
            <w:shd w:val="clear" w:color="auto" w:fill="D0CECE"/>
          </w:tcPr>
          <w:p>
            <w:pPr>
              <w:pStyle w:val="TableParagraph"/>
              <w:spacing w:before="1"/>
              <w:ind w:left="6"/>
              <w:rPr>
                <w:b/>
                <w:i/>
                <w:sz w:val="18"/>
              </w:rPr>
            </w:pPr>
            <w:r>
              <w:rPr>
                <w:b/>
                <w:i/>
                <w:sz w:val="18"/>
              </w:rPr>
              <w:t>Antiplatelets</w:t>
            </w:r>
            <w:r>
              <w:rPr>
                <w:b/>
                <w:i/>
                <w:spacing w:val="-2"/>
                <w:sz w:val="18"/>
              </w:rPr>
              <w:t> </w:t>
            </w:r>
            <w:r>
              <w:rPr>
                <w:b/>
                <w:i/>
                <w:sz w:val="18"/>
              </w:rPr>
              <w:t>versus</w:t>
            </w:r>
            <w:r>
              <w:rPr>
                <w:b/>
                <w:i/>
                <w:spacing w:val="-3"/>
                <w:sz w:val="18"/>
              </w:rPr>
              <w:t> </w:t>
            </w:r>
            <w:r>
              <w:rPr>
                <w:b/>
                <w:i/>
                <w:sz w:val="18"/>
              </w:rPr>
              <w:t>combination</w:t>
            </w:r>
            <w:r>
              <w:rPr>
                <w:b/>
                <w:i/>
                <w:spacing w:val="-5"/>
                <w:sz w:val="18"/>
              </w:rPr>
              <w:t> </w:t>
            </w:r>
            <w:r>
              <w:rPr>
                <w:b/>
                <w:i/>
                <w:sz w:val="18"/>
              </w:rPr>
              <w:t>of</w:t>
            </w:r>
            <w:r>
              <w:rPr>
                <w:b/>
                <w:i/>
                <w:spacing w:val="-3"/>
                <w:sz w:val="18"/>
              </w:rPr>
              <w:t> </w:t>
            </w:r>
            <w:r>
              <w:rPr>
                <w:b/>
                <w:i/>
                <w:sz w:val="18"/>
              </w:rPr>
              <w:t>an</w:t>
            </w:r>
            <w:r>
              <w:rPr>
                <w:b/>
                <w:i/>
                <w:spacing w:val="-3"/>
                <w:sz w:val="18"/>
              </w:rPr>
              <w:t> </w:t>
            </w:r>
            <w:r>
              <w:rPr>
                <w:b/>
                <w:i/>
                <w:sz w:val="18"/>
              </w:rPr>
              <w:t>antiplatelet</w:t>
            </w:r>
            <w:r>
              <w:rPr>
                <w:b/>
                <w:i/>
                <w:spacing w:val="-3"/>
                <w:sz w:val="18"/>
              </w:rPr>
              <w:t> </w:t>
            </w:r>
            <w:r>
              <w:rPr>
                <w:b/>
                <w:i/>
                <w:sz w:val="18"/>
              </w:rPr>
              <w:t>and</w:t>
            </w:r>
            <w:r>
              <w:rPr>
                <w:b/>
                <w:i/>
                <w:spacing w:val="-2"/>
                <w:sz w:val="18"/>
              </w:rPr>
              <w:t> anticoagulant</w:t>
            </w:r>
          </w:p>
        </w:tc>
      </w:tr>
      <w:tr>
        <w:trPr>
          <w:trHeight w:val="1180" w:hRule="atLeast"/>
        </w:trPr>
        <w:tc>
          <w:tcPr>
            <w:tcW w:w="2042" w:type="dxa"/>
            <w:gridSpan w:val="2"/>
          </w:tcPr>
          <w:p>
            <w:pPr>
              <w:pStyle w:val="TableParagraph"/>
              <w:rPr>
                <w:rFonts w:ascii="Times New Roman"/>
                <w:sz w:val="18"/>
              </w:rPr>
            </w:pPr>
          </w:p>
        </w:tc>
        <w:tc>
          <w:tcPr>
            <w:tcW w:w="2506" w:type="dxa"/>
          </w:tcPr>
          <w:p>
            <w:pPr>
              <w:pStyle w:val="TableParagraph"/>
              <w:rPr>
                <w:rFonts w:ascii="Times New Roman"/>
                <w:sz w:val="18"/>
              </w:rPr>
            </w:pPr>
          </w:p>
        </w:tc>
        <w:tc>
          <w:tcPr>
            <w:tcW w:w="1214" w:type="dxa"/>
          </w:tcPr>
          <w:p>
            <w:pPr>
              <w:pStyle w:val="TableParagraph"/>
              <w:spacing w:line="218" w:lineRule="exact"/>
              <w:ind w:left="5"/>
              <w:rPr>
                <w:sz w:val="18"/>
              </w:rPr>
            </w:pPr>
            <w:r>
              <w:rPr>
                <w:spacing w:val="-2"/>
                <w:sz w:val="18"/>
              </w:rPr>
              <w:t>Antiplatelets</w:t>
            </w:r>
          </w:p>
        </w:tc>
        <w:tc>
          <w:tcPr>
            <w:tcW w:w="1272" w:type="dxa"/>
          </w:tcPr>
          <w:p>
            <w:pPr>
              <w:pStyle w:val="TableParagraph"/>
              <w:spacing w:line="278" w:lineRule="auto"/>
              <w:ind w:left="8" w:right="107"/>
              <w:rPr>
                <w:sz w:val="18"/>
              </w:rPr>
            </w:pPr>
            <w:r>
              <w:rPr>
                <w:sz w:val="18"/>
              </w:rPr>
              <w:t>Combination</w:t>
            </w:r>
            <w:r>
              <w:rPr>
                <w:spacing w:val="-11"/>
                <w:sz w:val="18"/>
              </w:rPr>
              <w:t> </w:t>
            </w:r>
            <w:r>
              <w:rPr>
                <w:sz w:val="18"/>
              </w:rPr>
              <w:t>of </w:t>
            </w:r>
            <w:r>
              <w:rPr>
                <w:spacing w:val="-6"/>
                <w:sz w:val="18"/>
              </w:rPr>
              <w:t>an</w:t>
            </w:r>
          </w:p>
          <w:p>
            <w:pPr>
              <w:pStyle w:val="TableParagraph"/>
              <w:spacing w:line="278" w:lineRule="auto"/>
              <w:ind w:left="8" w:right="78"/>
              <w:rPr>
                <w:sz w:val="18"/>
              </w:rPr>
            </w:pPr>
            <w:r>
              <w:rPr>
                <w:sz w:val="18"/>
              </w:rPr>
              <w:t>antiplatelet</w:t>
            </w:r>
            <w:r>
              <w:rPr>
                <w:spacing w:val="-11"/>
                <w:sz w:val="18"/>
              </w:rPr>
              <w:t> </w:t>
            </w:r>
            <w:r>
              <w:rPr>
                <w:sz w:val="18"/>
              </w:rPr>
              <w:t>and </w:t>
            </w:r>
            <w:r>
              <w:rPr>
                <w:spacing w:val="-2"/>
                <w:sz w:val="18"/>
              </w:rPr>
              <w:t>anticoagulant</w:t>
            </w:r>
          </w:p>
        </w:tc>
        <w:tc>
          <w:tcPr>
            <w:tcW w:w="2028" w:type="dxa"/>
          </w:tcPr>
          <w:p>
            <w:pPr>
              <w:pStyle w:val="TableParagraph"/>
              <w:rPr>
                <w:rFonts w:ascii="Times New Roman"/>
                <w:sz w:val="18"/>
              </w:rPr>
            </w:pPr>
          </w:p>
        </w:tc>
        <w:tc>
          <w:tcPr>
            <w:tcW w:w="4882" w:type="dxa"/>
          </w:tcPr>
          <w:p>
            <w:pPr>
              <w:pStyle w:val="TableParagraph"/>
              <w:rPr>
                <w:rFonts w:ascii="Times New Roman"/>
                <w:sz w:val="18"/>
              </w:rPr>
            </w:pPr>
          </w:p>
        </w:tc>
      </w:tr>
      <w:tr>
        <w:trPr>
          <w:trHeight w:val="832" w:hRule="atLeast"/>
        </w:trPr>
        <w:tc>
          <w:tcPr>
            <w:tcW w:w="2042" w:type="dxa"/>
            <w:gridSpan w:val="2"/>
          </w:tcPr>
          <w:p>
            <w:pPr>
              <w:pStyle w:val="TableParagraph"/>
              <w:spacing w:line="278" w:lineRule="auto" w:before="1"/>
              <w:ind w:left="6" w:right="104"/>
              <w:rPr>
                <w:sz w:val="18"/>
              </w:rPr>
            </w:pPr>
            <w:r>
              <w:rPr>
                <w:sz w:val="18"/>
              </w:rPr>
              <w:t>Thrombotic</w:t>
            </w:r>
            <w:r>
              <w:rPr>
                <w:spacing w:val="-11"/>
                <w:sz w:val="18"/>
              </w:rPr>
              <w:t> </w:t>
            </w:r>
            <w:r>
              <w:rPr>
                <w:sz w:val="18"/>
              </w:rPr>
              <w:t>complications </w:t>
            </w:r>
            <w:r>
              <w:rPr>
                <w:spacing w:val="-2"/>
                <w:sz w:val="18"/>
              </w:rPr>
              <w:t>(critical)</w:t>
            </w:r>
          </w:p>
        </w:tc>
        <w:tc>
          <w:tcPr>
            <w:tcW w:w="2506" w:type="dxa"/>
          </w:tcPr>
          <w:p>
            <w:pPr>
              <w:pStyle w:val="TableParagraph"/>
              <w:spacing w:before="1"/>
              <w:ind w:left="7"/>
              <w:rPr>
                <w:b/>
                <w:sz w:val="18"/>
              </w:rPr>
            </w:pPr>
            <w:r>
              <w:rPr>
                <w:sz w:val="18"/>
              </w:rPr>
              <w:t>Relative</w:t>
            </w:r>
            <w:r>
              <w:rPr>
                <w:spacing w:val="-3"/>
                <w:sz w:val="18"/>
              </w:rPr>
              <w:t> </w:t>
            </w:r>
            <w:r>
              <w:rPr>
                <w:sz w:val="18"/>
              </w:rPr>
              <w:t>risk:</w:t>
            </w:r>
            <w:r>
              <w:rPr>
                <w:spacing w:val="-2"/>
                <w:sz w:val="18"/>
              </w:rPr>
              <w:t> </w:t>
            </w:r>
            <w:r>
              <w:rPr>
                <w:b/>
                <w:spacing w:val="-4"/>
                <w:sz w:val="18"/>
              </w:rPr>
              <w:t>2.39</w:t>
            </w:r>
          </w:p>
          <w:p>
            <w:pPr>
              <w:pStyle w:val="TableParagraph"/>
              <w:spacing w:before="195"/>
              <w:ind w:left="7"/>
              <w:rPr>
                <w:sz w:val="18"/>
              </w:rPr>
            </w:pPr>
            <w:r>
              <w:rPr>
                <w:sz w:val="18"/>
              </w:rPr>
              <w:t>(95%</w:t>
            </w:r>
            <w:r>
              <w:rPr>
                <w:spacing w:val="-1"/>
                <w:sz w:val="18"/>
              </w:rPr>
              <w:t> </w:t>
            </w:r>
            <w:r>
              <w:rPr>
                <w:sz w:val="18"/>
              </w:rPr>
              <w:t>CI 0.03 to </w:t>
            </w:r>
            <w:r>
              <w:rPr>
                <w:spacing w:val="-4"/>
                <w:sz w:val="18"/>
              </w:rPr>
              <w:t>2.93)</w:t>
            </w:r>
          </w:p>
        </w:tc>
        <w:tc>
          <w:tcPr>
            <w:tcW w:w="1214" w:type="dxa"/>
          </w:tcPr>
          <w:p>
            <w:pPr>
              <w:pStyle w:val="TableParagraph"/>
              <w:spacing w:before="1"/>
              <w:ind w:left="5"/>
              <w:rPr>
                <w:b/>
                <w:sz w:val="18"/>
              </w:rPr>
            </w:pPr>
            <w:r>
              <w:rPr>
                <w:b/>
                <w:spacing w:val="-10"/>
                <w:sz w:val="18"/>
              </w:rPr>
              <w:t>7</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before="1"/>
              <w:ind w:left="8"/>
              <w:rPr>
                <w:b/>
                <w:sz w:val="18"/>
              </w:rPr>
            </w:pPr>
            <w:r>
              <w:rPr>
                <w:b/>
                <w:spacing w:val="-10"/>
                <w:sz w:val="18"/>
              </w:rPr>
              <w:t>0</w:t>
            </w:r>
          </w:p>
          <w:p>
            <w:pPr>
              <w:pStyle w:val="TableParagraph"/>
              <w:spacing w:before="195"/>
              <w:ind w:left="8"/>
              <w:rPr>
                <w:sz w:val="18"/>
              </w:rPr>
            </w:pPr>
            <w:r>
              <w:rPr>
                <w:sz w:val="18"/>
              </w:rPr>
              <w:t>per</w:t>
            </w:r>
            <w:r>
              <w:rPr>
                <w:spacing w:val="-3"/>
                <w:sz w:val="18"/>
              </w:rPr>
              <w:t> </w:t>
            </w:r>
            <w:r>
              <w:rPr>
                <w:spacing w:val="-5"/>
                <w:sz w:val="18"/>
              </w:rPr>
              <w:t>100</w:t>
            </w:r>
          </w:p>
        </w:tc>
        <w:tc>
          <w:tcPr>
            <w:tcW w:w="2028" w:type="dxa"/>
          </w:tcPr>
          <w:p>
            <w:pPr>
              <w:pStyle w:val="TableParagraph"/>
              <w:rPr>
                <w:rFonts w:ascii="Times New Roman"/>
                <w:sz w:val="18"/>
              </w:rPr>
            </w:pPr>
          </w:p>
        </w:tc>
        <w:tc>
          <w:tcPr>
            <w:tcW w:w="4882" w:type="dxa"/>
          </w:tcPr>
          <w:p>
            <w:pPr>
              <w:pStyle w:val="TableParagraph"/>
              <w:rPr>
                <w:rFonts w:ascii="Times New Roman"/>
                <w:sz w:val="18"/>
              </w:rPr>
            </w:pPr>
          </w:p>
        </w:tc>
      </w:tr>
    </w:tbl>
    <w:p>
      <w:pPr>
        <w:pStyle w:val="TableParagraph"/>
        <w:spacing w:after="0"/>
        <w:rPr>
          <w:rFonts w:ascii="Times New Roman"/>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32"/>
        <w:gridCol w:w="1010"/>
        <w:gridCol w:w="2506"/>
        <w:gridCol w:w="1214"/>
        <w:gridCol w:w="1272"/>
        <w:gridCol w:w="2028"/>
        <w:gridCol w:w="4882"/>
      </w:tblGrid>
      <w:tr>
        <w:trPr>
          <w:trHeight w:val="2428" w:hRule="atLeast"/>
        </w:trPr>
        <w:tc>
          <w:tcPr>
            <w:tcW w:w="2042" w:type="dxa"/>
            <w:gridSpan w:val="2"/>
          </w:tcPr>
          <w:p>
            <w:pPr>
              <w:pStyle w:val="TableParagraph"/>
              <w:rPr>
                <w:rFonts w:ascii="Times New Roman"/>
                <w:sz w:val="16"/>
              </w:rPr>
            </w:pPr>
          </w:p>
        </w:tc>
        <w:tc>
          <w:tcPr>
            <w:tcW w:w="2506" w:type="dxa"/>
          </w:tcPr>
          <w:p>
            <w:pPr>
              <w:pStyle w:val="TableParagraph"/>
              <w:spacing w:before="194"/>
              <w:rPr>
                <w:sz w:val="18"/>
              </w:rPr>
            </w:pPr>
          </w:p>
          <w:p>
            <w:pPr>
              <w:pStyle w:val="TableParagraph"/>
              <w:spacing w:line="280" w:lineRule="auto"/>
              <w:ind w:left="7" w:right="734"/>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57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before="158"/>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2486" w:type="dxa"/>
            <w:gridSpan w:val="2"/>
          </w:tcPr>
          <w:p>
            <w:pPr>
              <w:pStyle w:val="TableParagraph"/>
              <w:spacing w:before="194"/>
              <w:rPr>
                <w:sz w:val="18"/>
              </w:rPr>
            </w:pPr>
          </w:p>
          <w:p>
            <w:pPr>
              <w:pStyle w:val="TableParagraph"/>
              <w:ind w:left="5"/>
              <w:rPr>
                <w:b/>
                <w:sz w:val="18"/>
              </w:rPr>
            </w:pPr>
            <w:r>
              <w:rPr>
                <w:sz w:val="18"/>
              </w:rPr>
              <w:t>Difference:</w:t>
            </w:r>
            <w:r>
              <w:rPr>
                <w:spacing w:val="-2"/>
                <w:sz w:val="18"/>
              </w:rPr>
              <w:t> </w:t>
            </w:r>
            <w:r>
              <w:rPr>
                <w:b/>
                <w:sz w:val="18"/>
              </w:rPr>
              <w:t>7</w:t>
            </w:r>
            <w:r>
              <w:rPr>
                <w:b/>
                <w:spacing w:val="-2"/>
                <w:sz w:val="18"/>
              </w:rPr>
              <w:t> </w:t>
            </w:r>
            <w:r>
              <w:rPr>
                <w:b/>
                <w:sz w:val="18"/>
              </w:rPr>
              <w:t>more</w:t>
            </w:r>
            <w:r>
              <w:rPr>
                <w:b/>
                <w:spacing w:val="-2"/>
                <w:sz w:val="18"/>
              </w:rPr>
              <w:t> </w:t>
            </w:r>
            <w:r>
              <w:rPr>
                <w:b/>
                <w:sz w:val="18"/>
              </w:rPr>
              <w:t>per</w:t>
            </w:r>
            <w:r>
              <w:rPr>
                <w:b/>
                <w:spacing w:val="-1"/>
                <w:sz w:val="18"/>
              </w:rPr>
              <w:t> </w:t>
            </w:r>
            <w:r>
              <w:rPr>
                <w:b/>
                <w:spacing w:val="-5"/>
                <w:sz w:val="18"/>
              </w:rPr>
              <w:t>100</w:t>
            </w:r>
          </w:p>
          <w:p>
            <w:pPr>
              <w:pStyle w:val="TableParagraph"/>
              <w:spacing w:before="195"/>
              <w:ind w:left="5"/>
              <w:rPr>
                <w:sz w:val="18"/>
              </w:rPr>
            </w:pPr>
            <w:r>
              <w:rPr>
                <w:sz w:val="18"/>
              </w:rPr>
              <w:t>(95%</w:t>
            </w:r>
            <w:r>
              <w:rPr>
                <w:spacing w:val="-3"/>
                <w:sz w:val="18"/>
              </w:rPr>
              <w:t> </w:t>
            </w:r>
            <w:r>
              <w:rPr>
                <w:sz w:val="18"/>
              </w:rPr>
              <w:t>CI 5 fewer</w:t>
            </w:r>
            <w:r>
              <w:rPr>
                <w:spacing w:val="-1"/>
                <w:sz w:val="18"/>
              </w:rPr>
              <w:t> </w:t>
            </w:r>
            <w:r>
              <w:rPr>
                <w:sz w:val="18"/>
              </w:rPr>
              <w:t>to 19 </w:t>
            </w:r>
            <w:r>
              <w:rPr>
                <w:spacing w:val="-4"/>
                <w:sz w:val="18"/>
              </w:rPr>
              <w:t>more)</w:t>
            </w:r>
          </w:p>
        </w:tc>
        <w:tc>
          <w:tcPr>
            <w:tcW w:w="2028" w:type="dxa"/>
          </w:tcPr>
          <w:p>
            <w:pPr>
              <w:pStyle w:val="TableParagraph"/>
              <w:spacing w:before="194"/>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line="278" w:lineRule="auto" w:before="37"/>
              <w:ind w:left="8"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before="1"/>
              <w:ind w:left="8"/>
              <w:rPr>
                <w:position w:val="5"/>
                <w:sz w:val="12"/>
              </w:rPr>
            </w:pPr>
            <w:r>
              <w:rPr>
                <w:sz w:val="18"/>
              </w:rPr>
              <w:t>serious</w:t>
            </w:r>
            <w:r>
              <w:rPr>
                <w:spacing w:val="-5"/>
                <w:sz w:val="18"/>
              </w:rPr>
              <w:t> </w:t>
            </w:r>
            <w:r>
              <w:rPr>
                <w:spacing w:val="-2"/>
                <w:sz w:val="18"/>
              </w:rPr>
              <w:t>imprecision</w:t>
            </w:r>
            <w:r>
              <w:rPr>
                <w:spacing w:val="-2"/>
                <w:position w:val="5"/>
                <w:sz w:val="12"/>
              </w:rPr>
              <w:t>18</w:t>
            </w:r>
          </w:p>
        </w:tc>
        <w:tc>
          <w:tcPr>
            <w:tcW w:w="4882" w:type="dxa"/>
          </w:tcPr>
          <w:p>
            <w:pPr>
              <w:pStyle w:val="TableParagraph"/>
              <w:spacing w:before="194"/>
              <w:rPr>
                <w:sz w:val="18"/>
              </w:rPr>
            </w:pPr>
          </w:p>
          <w:p>
            <w:pPr>
              <w:pStyle w:val="TableParagraph"/>
              <w:spacing w:line="278" w:lineRule="auto"/>
              <w:ind w:left="8" w:right="43"/>
              <w:jc w:val="both"/>
              <w:rPr>
                <w:sz w:val="18"/>
              </w:rPr>
            </w:pPr>
            <w:r>
              <w:rPr>
                <w:sz w:val="18"/>
              </w:rPr>
              <w:t>The</w:t>
            </w:r>
            <w:r>
              <w:rPr>
                <w:spacing w:val="-5"/>
                <w:sz w:val="18"/>
              </w:rPr>
              <w:t> </w:t>
            </w:r>
            <w:r>
              <w:rPr>
                <w:sz w:val="18"/>
              </w:rPr>
              <w:t>evidence</w:t>
            </w:r>
            <w:r>
              <w:rPr>
                <w:spacing w:val="-5"/>
                <w:sz w:val="18"/>
              </w:rPr>
              <w:t> </w:t>
            </w:r>
            <w:r>
              <w:rPr>
                <w:sz w:val="18"/>
              </w:rPr>
              <w:t>is</w:t>
            </w:r>
            <w:r>
              <w:rPr>
                <w:spacing w:val="-5"/>
                <w:sz w:val="18"/>
              </w:rPr>
              <w:t> </w:t>
            </w:r>
            <w:r>
              <w:rPr>
                <w:sz w:val="18"/>
              </w:rPr>
              <w:t>very</w:t>
            </w:r>
            <w:r>
              <w:rPr>
                <w:spacing w:val="-4"/>
                <w:sz w:val="18"/>
              </w:rPr>
              <w:t> </w:t>
            </w:r>
            <w:r>
              <w:rPr>
                <w:sz w:val="18"/>
              </w:rPr>
              <w:t>uncertain</w:t>
            </w:r>
            <w:r>
              <w:rPr>
                <w:spacing w:val="-6"/>
                <w:sz w:val="18"/>
              </w:rPr>
              <w:t> </w:t>
            </w:r>
            <w:r>
              <w:rPr>
                <w:sz w:val="18"/>
              </w:rPr>
              <w:t>about</w:t>
            </w:r>
            <w:r>
              <w:rPr>
                <w:spacing w:val="-4"/>
                <w:sz w:val="18"/>
              </w:rPr>
              <w:t> </w:t>
            </w:r>
            <w:r>
              <w:rPr>
                <w:sz w:val="18"/>
              </w:rPr>
              <w:t>the</w:t>
            </w:r>
            <w:r>
              <w:rPr>
                <w:spacing w:val="-5"/>
                <w:sz w:val="18"/>
              </w:rPr>
              <w:t> </w:t>
            </w:r>
            <w:r>
              <w:rPr>
                <w:sz w:val="18"/>
              </w:rPr>
              <w:t>effect</w:t>
            </w:r>
            <w:r>
              <w:rPr>
                <w:spacing w:val="-4"/>
                <w:sz w:val="18"/>
              </w:rPr>
              <w:t> </w:t>
            </w:r>
            <w:r>
              <w:rPr>
                <w:sz w:val="18"/>
              </w:rPr>
              <w:t>of</w:t>
            </w:r>
            <w:r>
              <w:rPr>
                <w:spacing w:val="-5"/>
                <w:sz w:val="18"/>
              </w:rPr>
              <w:t> </w:t>
            </w:r>
            <w:r>
              <w:rPr>
                <w:sz w:val="18"/>
              </w:rPr>
              <w:t>antiplatelets</w:t>
            </w:r>
            <w:r>
              <w:rPr>
                <w:spacing w:val="-6"/>
                <w:sz w:val="18"/>
              </w:rPr>
              <w:t> </w:t>
            </w:r>
            <w:r>
              <w:rPr>
                <w:sz w:val="18"/>
              </w:rPr>
              <w:t>on thrombotic</w:t>
            </w:r>
            <w:r>
              <w:rPr>
                <w:spacing w:val="-4"/>
                <w:sz w:val="18"/>
              </w:rPr>
              <w:t> </w:t>
            </w:r>
            <w:r>
              <w:rPr>
                <w:sz w:val="18"/>
              </w:rPr>
              <w:t>complications,</w:t>
            </w:r>
            <w:r>
              <w:rPr>
                <w:spacing w:val="-4"/>
                <w:sz w:val="18"/>
              </w:rPr>
              <w:t> </w:t>
            </w:r>
            <w:r>
              <w:rPr>
                <w:sz w:val="18"/>
              </w:rPr>
              <w:t>when</w:t>
            </w:r>
            <w:r>
              <w:rPr>
                <w:spacing w:val="-3"/>
                <w:sz w:val="18"/>
              </w:rPr>
              <w:t> </w:t>
            </w:r>
            <w:r>
              <w:rPr>
                <w:sz w:val="18"/>
              </w:rPr>
              <w:t>compared</w:t>
            </w:r>
            <w:r>
              <w:rPr>
                <w:spacing w:val="-5"/>
                <w:sz w:val="18"/>
              </w:rPr>
              <w:t> </w:t>
            </w:r>
            <w:r>
              <w:rPr>
                <w:sz w:val="18"/>
              </w:rPr>
              <w:t>with</w:t>
            </w:r>
            <w:r>
              <w:rPr>
                <w:spacing w:val="-6"/>
                <w:sz w:val="18"/>
              </w:rPr>
              <w:t> </w:t>
            </w:r>
            <w:r>
              <w:rPr>
                <w:sz w:val="18"/>
              </w:rPr>
              <w:t>a</w:t>
            </w:r>
            <w:r>
              <w:rPr>
                <w:spacing w:val="-5"/>
                <w:sz w:val="18"/>
              </w:rPr>
              <w:t> </w:t>
            </w:r>
            <w:r>
              <w:rPr>
                <w:sz w:val="18"/>
              </w:rPr>
              <w:t>combination</w:t>
            </w:r>
            <w:r>
              <w:rPr>
                <w:spacing w:val="-5"/>
                <w:sz w:val="18"/>
              </w:rPr>
              <w:t> </w:t>
            </w:r>
            <w:r>
              <w:rPr>
                <w:sz w:val="18"/>
              </w:rPr>
              <w:t>of an antiplatelet and an anticoagulant in children with an</w:t>
            </w:r>
          </w:p>
          <w:p>
            <w:pPr>
              <w:pStyle w:val="TableParagraph"/>
              <w:spacing w:before="3"/>
              <w:ind w:left="8"/>
              <w:jc w:val="both"/>
              <w:rPr>
                <w:sz w:val="18"/>
              </w:rPr>
            </w:pPr>
            <w:r>
              <w:rPr>
                <w:sz w:val="18"/>
              </w:rPr>
              <w:t>indication</w:t>
            </w:r>
            <w:r>
              <w:rPr>
                <w:spacing w:val="-4"/>
                <w:sz w:val="18"/>
              </w:rPr>
              <w:t> </w:t>
            </w:r>
            <w:r>
              <w:rPr>
                <w:sz w:val="18"/>
              </w:rPr>
              <w:t>for</w:t>
            </w:r>
            <w:r>
              <w:rPr>
                <w:spacing w:val="-2"/>
                <w:sz w:val="18"/>
              </w:rPr>
              <w:t> </w:t>
            </w:r>
            <w:r>
              <w:rPr>
                <w:sz w:val="18"/>
              </w:rPr>
              <w:t>the</w:t>
            </w:r>
            <w:r>
              <w:rPr>
                <w:spacing w:val="-3"/>
                <w:sz w:val="18"/>
              </w:rPr>
              <w:t> </w:t>
            </w:r>
            <w:r>
              <w:rPr>
                <w:sz w:val="18"/>
              </w:rPr>
              <w:t>Fontan</w:t>
            </w:r>
            <w:r>
              <w:rPr>
                <w:spacing w:val="-1"/>
                <w:sz w:val="18"/>
              </w:rPr>
              <w:t> </w:t>
            </w:r>
            <w:r>
              <w:rPr>
                <w:spacing w:val="-2"/>
                <w:sz w:val="18"/>
              </w:rPr>
              <w:t>procedure</w:t>
            </w:r>
          </w:p>
          <w:p>
            <w:pPr>
              <w:pStyle w:val="TableParagraph"/>
              <w:rPr>
                <w:sz w:val="18"/>
              </w:rPr>
            </w:pPr>
          </w:p>
          <w:p>
            <w:pPr>
              <w:pStyle w:val="TableParagraph"/>
              <w:spacing w:before="171"/>
              <w:rPr>
                <w:sz w:val="18"/>
              </w:rPr>
            </w:pPr>
          </w:p>
          <w:p>
            <w:pPr>
              <w:pStyle w:val="TableParagraph"/>
              <w:ind w:left="8"/>
              <w:jc w:val="both"/>
              <w:rPr>
                <w:sz w:val="18"/>
              </w:rPr>
            </w:pPr>
            <w:r>
              <w:rPr>
                <w:sz w:val="18"/>
              </w:rPr>
              <w:t>(Kawamatsu,</w:t>
            </w:r>
            <w:r>
              <w:rPr>
                <w:spacing w:val="-4"/>
                <w:sz w:val="18"/>
              </w:rPr>
              <w:t> </w:t>
            </w:r>
            <w:r>
              <w:rPr>
                <w:spacing w:val="-2"/>
                <w:sz w:val="18"/>
              </w:rPr>
              <w:t>2021)</w:t>
            </w:r>
          </w:p>
        </w:tc>
      </w:tr>
      <w:tr>
        <w:trPr>
          <w:trHeight w:val="830" w:hRule="atLeast"/>
        </w:trPr>
        <w:tc>
          <w:tcPr>
            <w:tcW w:w="1032" w:type="dxa"/>
            <w:vMerge w:val="restart"/>
          </w:tcPr>
          <w:p>
            <w:pPr>
              <w:pStyle w:val="TableParagraph"/>
              <w:spacing w:line="280" w:lineRule="auto"/>
              <w:ind w:left="6"/>
              <w:rPr>
                <w:sz w:val="18"/>
              </w:rPr>
            </w:pPr>
            <w:r>
              <w:rPr>
                <w:spacing w:val="-2"/>
                <w:sz w:val="18"/>
              </w:rPr>
              <w:t>Hemorrhage</w:t>
            </w:r>
            <w:r>
              <w:rPr>
                <w:sz w:val="18"/>
              </w:rPr>
              <w:t> </w:t>
            </w:r>
            <w:r>
              <w:rPr>
                <w:spacing w:val="-2"/>
                <w:sz w:val="18"/>
              </w:rPr>
              <w:t>(important)</w:t>
            </w:r>
          </w:p>
        </w:tc>
        <w:tc>
          <w:tcPr>
            <w:tcW w:w="1010" w:type="dxa"/>
            <w:vMerge w:val="restart"/>
          </w:tcPr>
          <w:p>
            <w:pPr>
              <w:pStyle w:val="TableParagraph"/>
              <w:spacing w:line="280" w:lineRule="auto"/>
              <w:ind w:left="7" w:right="353"/>
              <w:rPr>
                <w:sz w:val="18"/>
              </w:rPr>
            </w:pPr>
            <w:r>
              <w:rPr>
                <w:spacing w:val="-2"/>
                <w:sz w:val="18"/>
              </w:rPr>
              <w:t>Major</w:t>
            </w:r>
            <w:r>
              <w:rPr>
                <w:sz w:val="18"/>
              </w:rPr>
              <w:t> </w:t>
            </w:r>
            <w:r>
              <w:rPr>
                <w:spacing w:val="-2"/>
                <w:sz w:val="18"/>
              </w:rPr>
              <w:t>bleeding</w:t>
            </w:r>
          </w:p>
        </w:tc>
        <w:tc>
          <w:tcPr>
            <w:tcW w:w="2506" w:type="dxa"/>
            <w:vMerge w:val="restart"/>
          </w:tcPr>
          <w:p>
            <w:pPr>
              <w:pStyle w:val="TableParagraph"/>
              <w:spacing w:line="219" w:lineRule="exact"/>
              <w:ind w:left="7"/>
              <w:rPr>
                <w:b/>
                <w:sz w:val="18"/>
              </w:rPr>
            </w:pPr>
            <w:r>
              <w:rPr>
                <w:sz w:val="18"/>
              </w:rPr>
              <w:t>Relative</w:t>
            </w:r>
            <w:r>
              <w:rPr>
                <w:spacing w:val="-3"/>
                <w:sz w:val="18"/>
              </w:rPr>
              <w:t> </w:t>
            </w:r>
            <w:r>
              <w:rPr>
                <w:sz w:val="18"/>
              </w:rPr>
              <w:t>risk:</w:t>
            </w:r>
            <w:r>
              <w:rPr>
                <w:spacing w:val="-2"/>
                <w:sz w:val="18"/>
              </w:rPr>
              <w:t> </w:t>
            </w:r>
            <w:r>
              <w:rPr>
                <w:b/>
                <w:spacing w:val="-4"/>
                <w:sz w:val="18"/>
              </w:rPr>
              <w:t>0.12</w:t>
            </w:r>
          </w:p>
          <w:p>
            <w:pPr>
              <w:pStyle w:val="TableParagraph"/>
              <w:spacing w:before="195"/>
              <w:ind w:left="7"/>
              <w:rPr>
                <w:sz w:val="18"/>
              </w:rPr>
            </w:pPr>
            <w:r>
              <w:rPr>
                <w:sz w:val="18"/>
              </w:rPr>
              <w:t>(95%</w:t>
            </w:r>
            <w:r>
              <w:rPr>
                <w:spacing w:val="-1"/>
                <w:sz w:val="18"/>
              </w:rPr>
              <w:t> </w:t>
            </w:r>
            <w:r>
              <w:rPr>
                <w:sz w:val="18"/>
              </w:rPr>
              <w:t>CI 0.04 to </w:t>
            </w:r>
            <w:r>
              <w:rPr>
                <w:spacing w:val="-4"/>
                <w:sz w:val="18"/>
              </w:rPr>
              <w:t>0.40)</w:t>
            </w:r>
          </w:p>
          <w:p>
            <w:pPr>
              <w:pStyle w:val="TableParagraph"/>
              <w:rPr>
                <w:sz w:val="18"/>
              </w:rPr>
            </w:pPr>
          </w:p>
          <w:p>
            <w:pPr>
              <w:pStyle w:val="TableParagraph"/>
              <w:spacing w:before="171"/>
              <w:rPr>
                <w:sz w:val="18"/>
              </w:rPr>
            </w:pPr>
          </w:p>
          <w:p>
            <w:pPr>
              <w:pStyle w:val="TableParagraph"/>
              <w:spacing w:line="280" w:lineRule="auto"/>
              <w:ind w:left="7" w:right="643"/>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57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before="158"/>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1214" w:type="dxa"/>
          </w:tcPr>
          <w:p>
            <w:pPr>
              <w:pStyle w:val="TableParagraph"/>
              <w:spacing w:line="219" w:lineRule="exact"/>
              <w:ind w:left="5"/>
              <w:rPr>
                <w:b/>
                <w:sz w:val="18"/>
              </w:rPr>
            </w:pPr>
            <w:r>
              <w:rPr>
                <w:b/>
                <w:spacing w:val="-10"/>
                <w:sz w:val="18"/>
              </w:rPr>
              <w:t>7</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line="219" w:lineRule="exact"/>
              <w:ind w:left="8"/>
              <w:rPr>
                <w:b/>
                <w:sz w:val="18"/>
              </w:rPr>
            </w:pPr>
            <w:r>
              <w:rPr>
                <w:b/>
                <w:spacing w:val="-5"/>
                <w:sz w:val="18"/>
              </w:rPr>
              <w:t>57</w:t>
            </w:r>
          </w:p>
          <w:p>
            <w:pPr>
              <w:pStyle w:val="TableParagraph"/>
              <w:spacing w:before="195"/>
              <w:ind w:left="8"/>
              <w:rPr>
                <w:sz w:val="18"/>
              </w:rPr>
            </w:pPr>
            <w:r>
              <w:rPr>
                <w:sz w:val="18"/>
              </w:rPr>
              <w:t>per</w:t>
            </w:r>
            <w:r>
              <w:rPr>
                <w:spacing w:val="-3"/>
                <w:sz w:val="18"/>
              </w:rPr>
              <w:t> </w:t>
            </w:r>
            <w:r>
              <w:rPr>
                <w:spacing w:val="-5"/>
                <w:sz w:val="18"/>
              </w:rPr>
              <w:t>100</w:t>
            </w:r>
          </w:p>
        </w:tc>
        <w:tc>
          <w:tcPr>
            <w:tcW w:w="2028"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6"/>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before="37"/>
              <w:ind w:left="8"/>
              <w:rPr>
                <w:position w:val="5"/>
                <w:sz w:val="12"/>
              </w:rPr>
            </w:pPr>
            <w:r>
              <w:rPr>
                <w:sz w:val="18"/>
              </w:rPr>
              <w:t>Due</w:t>
            </w:r>
            <w:r>
              <w:rPr>
                <w:spacing w:val="-3"/>
                <w:sz w:val="18"/>
              </w:rPr>
              <w:t> </w:t>
            </w:r>
            <w:r>
              <w:rPr>
                <w:sz w:val="18"/>
              </w:rPr>
              <w:t>to</w:t>
            </w:r>
            <w:r>
              <w:rPr>
                <w:spacing w:val="-1"/>
                <w:sz w:val="18"/>
              </w:rPr>
              <w:t> </w:t>
            </w:r>
            <w:r>
              <w:rPr>
                <w:sz w:val="18"/>
              </w:rPr>
              <w:t>risk</w:t>
            </w:r>
            <w:r>
              <w:rPr>
                <w:spacing w:val="-2"/>
                <w:sz w:val="18"/>
              </w:rPr>
              <w:t> </w:t>
            </w:r>
            <w:r>
              <w:rPr>
                <w:sz w:val="18"/>
              </w:rPr>
              <w:t>of</w:t>
            </w:r>
            <w:r>
              <w:rPr>
                <w:spacing w:val="-2"/>
                <w:sz w:val="18"/>
              </w:rPr>
              <w:t> bias</w:t>
            </w:r>
            <w:r>
              <w:rPr>
                <w:spacing w:val="-2"/>
                <w:position w:val="5"/>
                <w:sz w:val="12"/>
              </w:rPr>
              <w:t>19</w:t>
            </w:r>
          </w:p>
        </w:tc>
        <w:tc>
          <w:tcPr>
            <w:tcW w:w="488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6"/>
              <w:rPr>
                <w:sz w:val="18"/>
              </w:rPr>
            </w:pPr>
          </w:p>
          <w:p>
            <w:pPr>
              <w:pStyle w:val="TableParagraph"/>
              <w:spacing w:line="280" w:lineRule="auto"/>
              <w:ind w:left="8"/>
              <w:rPr>
                <w:sz w:val="18"/>
              </w:rPr>
            </w:pPr>
            <w:r>
              <w:rPr>
                <w:sz w:val="18"/>
              </w:rPr>
              <w:t>The</w:t>
            </w:r>
            <w:r>
              <w:rPr>
                <w:spacing w:val="-2"/>
                <w:sz w:val="18"/>
              </w:rPr>
              <w:t> </w:t>
            </w:r>
            <w:r>
              <w:rPr>
                <w:sz w:val="18"/>
              </w:rPr>
              <w:t>evidence</w:t>
            </w:r>
            <w:r>
              <w:rPr>
                <w:spacing w:val="-2"/>
                <w:sz w:val="18"/>
              </w:rPr>
              <w:t> </w:t>
            </w:r>
            <w:r>
              <w:rPr>
                <w:sz w:val="18"/>
              </w:rPr>
              <w:t>is</w:t>
            </w:r>
            <w:r>
              <w:rPr>
                <w:spacing w:val="-3"/>
                <w:sz w:val="18"/>
              </w:rPr>
              <w:t> </w:t>
            </w:r>
            <w:r>
              <w:rPr>
                <w:sz w:val="18"/>
              </w:rPr>
              <w:t>very</w:t>
            </w:r>
            <w:r>
              <w:rPr>
                <w:spacing w:val="-1"/>
                <w:sz w:val="18"/>
              </w:rPr>
              <w:t> </w:t>
            </w:r>
            <w:r>
              <w:rPr>
                <w:sz w:val="18"/>
              </w:rPr>
              <w:t>uncertain</w:t>
            </w:r>
            <w:r>
              <w:rPr>
                <w:spacing w:val="-3"/>
                <w:sz w:val="18"/>
              </w:rPr>
              <w:t> </w:t>
            </w:r>
            <w:r>
              <w:rPr>
                <w:sz w:val="18"/>
              </w:rPr>
              <w:t>about</w:t>
            </w:r>
            <w:r>
              <w:rPr>
                <w:spacing w:val="-1"/>
                <w:sz w:val="18"/>
              </w:rPr>
              <w:t> </w:t>
            </w:r>
            <w:r>
              <w:rPr>
                <w:sz w:val="18"/>
              </w:rPr>
              <w:t>the</w:t>
            </w:r>
            <w:r>
              <w:rPr>
                <w:spacing w:val="-2"/>
                <w:sz w:val="18"/>
              </w:rPr>
              <w:t> </w:t>
            </w:r>
            <w:r>
              <w:rPr>
                <w:sz w:val="18"/>
              </w:rPr>
              <w:t>effect</w:t>
            </w:r>
            <w:r>
              <w:rPr>
                <w:spacing w:val="-1"/>
                <w:sz w:val="18"/>
              </w:rPr>
              <w:t> </w:t>
            </w:r>
            <w:r>
              <w:rPr>
                <w:sz w:val="18"/>
              </w:rPr>
              <w:t>of</w:t>
            </w:r>
            <w:r>
              <w:rPr>
                <w:spacing w:val="-2"/>
                <w:sz w:val="18"/>
              </w:rPr>
              <w:t> </w:t>
            </w:r>
            <w:r>
              <w:rPr>
                <w:sz w:val="18"/>
              </w:rPr>
              <w:t>antiplatelets</w:t>
            </w:r>
            <w:r>
              <w:rPr>
                <w:spacing w:val="-3"/>
                <w:sz w:val="18"/>
              </w:rPr>
              <w:t> </w:t>
            </w:r>
            <w:r>
              <w:rPr>
                <w:sz w:val="18"/>
              </w:rPr>
              <w:t>on major bleeding, when compared with a combination of an antiplatelet</w:t>
            </w:r>
            <w:r>
              <w:rPr>
                <w:spacing w:val="-4"/>
                <w:sz w:val="18"/>
              </w:rPr>
              <w:t> </w:t>
            </w:r>
            <w:r>
              <w:rPr>
                <w:sz w:val="18"/>
              </w:rPr>
              <w:t>and</w:t>
            </w:r>
            <w:r>
              <w:rPr>
                <w:spacing w:val="-5"/>
                <w:sz w:val="18"/>
              </w:rPr>
              <w:t> </w:t>
            </w:r>
            <w:r>
              <w:rPr>
                <w:sz w:val="18"/>
              </w:rPr>
              <w:t>an</w:t>
            </w:r>
            <w:r>
              <w:rPr>
                <w:spacing w:val="-5"/>
                <w:sz w:val="18"/>
              </w:rPr>
              <w:t> </w:t>
            </w:r>
            <w:r>
              <w:rPr>
                <w:sz w:val="18"/>
              </w:rPr>
              <w:t>anticoagulant</w:t>
            </w:r>
            <w:r>
              <w:rPr>
                <w:spacing w:val="-3"/>
                <w:sz w:val="18"/>
              </w:rPr>
              <w:t> </w:t>
            </w:r>
            <w:r>
              <w:rPr>
                <w:sz w:val="18"/>
              </w:rPr>
              <w:t>in</w:t>
            </w:r>
            <w:r>
              <w:rPr>
                <w:spacing w:val="-6"/>
                <w:sz w:val="18"/>
              </w:rPr>
              <w:t> </w:t>
            </w:r>
            <w:r>
              <w:rPr>
                <w:sz w:val="18"/>
              </w:rPr>
              <w:t>children</w:t>
            </w:r>
            <w:r>
              <w:rPr>
                <w:spacing w:val="-5"/>
                <w:sz w:val="18"/>
              </w:rPr>
              <w:t> </w:t>
            </w:r>
            <w:r>
              <w:rPr>
                <w:sz w:val="18"/>
              </w:rPr>
              <w:t>with</w:t>
            </w:r>
            <w:r>
              <w:rPr>
                <w:spacing w:val="-3"/>
                <w:sz w:val="18"/>
              </w:rPr>
              <w:t> </w:t>
            </w:r>
            <w:r>
              <w:rPr>
                <w:sz w:val="18"/>
              </w:rPr>
              <w:t>an</w:t>
            </w:r>
            <w:r>
              <w:rPr>
                <w:spacing w:val="-5"/>
                <w:sz w:val="18"/>
              </w:rPr>
              <w:t> </w:t>
            </w:r>
            <w:r>
              <w:rPr>
                <w:sz w:val="18"/>
              </w:rPr>
              <w:t>indication</w:t>
            </w:r>
            <w:r>
              <w:rPr>
                <w:spacing w:val="-5"/>
                <w:sz w:val="18"/>
              </w:rPr>
              <w:t> </w:t>
            </w:r>
            <w:r>
              <w:rPr>
                <w:sz w:val="18"/>
              </w:rPr>
              <w:t>for the Fontan procedure</w:t>
            </w:r>
          </w:p>
          <w:p>
            <w:pPr>
              <w:pStyle w:val="TableParagraph"/>
              <w:rPr>
                <w:sz w:val="18"/>
              </w:rPr>
            </w:pPr>
          </w:p>
          <w:p>
            <w:pPr>
              <w:pStyle w:val="TableParagraph"/>
              <w:spacing w:before="131"/>
              <w:rPr>
                <w:sz w:val="18"/>
              </w:rPr>
            </w:pPr>
          </w:p>
          <w:p>
            <w:pPr>
              <w:pStyle w:val="TableParagraph"/>
              <w:ind w:left="8"/>
              <w:rPr>
                <w:sz w:val="18"/>
              </w:rPr>
            </w:pPr>
            <w:r>
              <w:rPr>
                <w:sz w:val="18"/>
              </w:rPr>
              <w:t>(Kawamatsu,</w:t>
            </w:r>
            <w:r>
              <w:rPr>
                <w:spacing w:val="-4"/>
                <w:sz w:val="18"/>
              </w:rPr>
              <w:t> </w:t>
            </w:r>
            <w:r>
              <w:rPr>
                <w:spacing w:val="-2"/>
                <w:sz w:val="18"/>
              </w:rPr>
              <w:t>2021)</w:t>
            </w:r>
          </w:p>
        </w:tc>
      </w:tr>
      <w:tr>
        <w:trPr>
          <w:trHeight w:val="2414" w:hRule="atLeast"/>
        </w:trPr>
        <w:tc>
          <w:tcPr>
            <w:tcW w:w="1032" w:type="dxa"/>
            <w:vMerge/>
            <w:tcBorders>
              <w:top w:val="nil"/>
            </w:tcBorders>
          </w:tcPr>
          <w:p>
            <w:pPr>
              <w:rPr>
                <w:sz w:val="2"/>
                <w:szCs w:val="2"/>
              </w:rPr>
            </w:pPr>
          </w:p>
        </w:tc>
        <w:tc>
          <w:tcPr>
            <w:tcW w:w="1010" w:type="dxa"/>
            <w:vMerge/>
            <w:tcBorders>
              <w:top w:val="nil"/>
            </w:tcBorders>
          </w:tcPr>
          <w:p>
            <w:pPr>
              <w:rPr>
                <w:sz w:val="2"/>
                <w:szCs w:val="2"/>
              </w:rPr>
            </w:pPr>
          </w:p>
        </w:tc>
        <w:tc>
          <w:tcPr>
            <w:tcW w:w="2506" w:type="dxa"/>
            <w:vMerge/>
            <w:tcBorders>
              <w:top w:val="nil"/>
            </w:tcBorders>
          </w:tcPr>
          <w:p>
            <w:pPr>
              <w:rPr>
                <w:sz w:val="2"/>
                <w:szCs w:val="2"/>
              </w:rPr>
            </w:pPr>
          </w:p>
        </w:tc>
        <w:tc>
          <w:tcPr>
            <w:tcW w:w="2486" w:type="dxa"/>
            <w:gridSpan w:val="2"/>
          </w:tcPr>
          <w:p>
            <w:pPr>
              <w:pStyle w:val="TableParagraph"/>
              <w:rPr>
                <w:sz w:val="18"/>
              </w:rPr>
            </w:pPr>
          </w:p>
          <w:p>
            <w:pPr>
              <w:pStyle w:val="TableParagraph"/>
              <w:rPr>
                <w:sz w:val="18"/>
              </w:rPr>
            </w:pPr>
          </w:p>
          <w:p>
            <w:pPr>
              <w:pStyle w:val="TableParagraph"/>
              <w:spacing w:before="172"/>
              <w:rPr>
                <w:sz w:val="18"/>
              </w:rPr>
            </w:pPr>
          </w:p>
          <w:p>
            <w:pPr>
              <w:pStyle w:val="TableParagraph"/>
              <w:ind w:left="5"/>
              <w:rPr>
                <w:b/>
                <w:sz w:val="18"/>
              </w:rPr>
            </w:pPr>
            <w:r>
              <w:rPr>
                <w:sz w:val="18"/>
              </w:rPr>
              <w:t>Difference:</w:t>
            </w:r>
            <w:r>
              <w:rPr>
                <w:spacing w:val="-3"/>
                <w:sz w:val="18"/>
              </w:rPr>
              <w:t> </w:t>
            </w:r>
            <w:r>
              <w:rPr>
                <w:b/>
                <w:sz w:val="18"/>
              </w:rPr>
              <w:t>50</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96"/>
              <w:ind w:left="5"/>
              <w:rPr>
                <w:sz w:val="18"/>
              </w:rPr>
            </w:pPr>
            <w:r>
              <w:rPr>
                <w:sz w:val="18"/>
              </w:rPr>
              <w:t>(95%</w:t>
            </w:r>
            <w:r>
              <w:rPr>
                <w:spacing w:val="-1"/>
                <w:sz w:val="18"/>
              </w:rPr>
              <w:t> </w:t>
            </w:r>
            <w:r>
              <w:rPr>
                <w:sz w:val="18"/>
              </w:rPr>
              <w:t>CI 77</w:t>
            </w:r>
            <w:r>
              <w:rPr>
                <w:spacing w:val="-1"/>
                <w:sz w:val="18"/>
              </w:rPr>
              <w:t> </w:t>
            </w:r>
            <w:r>
              <w:rPr>
                <w:sz w:val="18"/>
              </w:rPr>
              <w:t>fewer to</w:t>
            </w:r>
            <w:r>
              <w:rPr>
                <w:spacing w:val="-1"/>
                <w:sz w:val="18"/>
              </w:rPr>
              <w:t> </w:t>
            </w:r>
            <w:r>
              <w:rPr>
                <w:sz w:val="18"/>
              </w:rPr>
              <w:t>23 </w:t>
            </w:r>
            <w:r>
              <w:rPr>
                <w:spacing w:val="-2"/>
                <w:sz w:val="18"/>
              </w:rPr>
              <w:t>fewer)</w:t>
            </w:r>
          </w:p>
        </w:tc>
        <w:tc>
          <w:tcPr>
            <w:tcW w:w="2028" w:type="dxa"/>
            <w:vMerge/>
            <w:tcBorders>
              <w:top w:val="nil"/>
            </w:tcBorders>
          </w:tcPr>
          <w:p>
            <w:pPr>
              <w:rPr>
                <w:sz w:val="2"/>
                <w:szCs w:val="2"/>
              </w:rPr>
            </w:pPr>
          </w:p>
        </w:tc>
        <w:tc>
          <w:tcPr>
            <w:tcW w:w="4882" w:type="dxa"/>
            <w:vMerge/>
            <w:tcBorders>
              <w:top w:val="nil"/>
            </w:tcBorders>
          </w:tcPr>
          <w:p>
            <w:pPr>
              <w:rPr>
                <w:sz w:val="2"/>
                <w:szCs w:val="2"/>
              </w:rPr>
            </w:pPr>
          </w:p>
        </w:tc>
      </w:tr>
      <w:tr>
        <w:trPr>
          <w:trHeight w:val="832" w:hRule="atLeast"/>
        </w:trPr>
        <w:tc>
          <w:tcPr>
            <w:tcW w:w="1032" w:type="dxa"/>
            <w:vMerge/>
            <w:tcBorders>
              <w:top w:val="nil"/>
            </w:tcBorders>
          </w:tcPr>
          <w:p>
            <w:pPr>
              <w:rPr>
                <w:sz w:val="2"/>
                <w:szCs w:val="2"/>
              </w:rPr>
            </w:pPr>
          </w:p>
        </w:tc>
        <w:tc>
          <w:tcPr>
            <w:tcW w:w="1010" w:type="dxa"/>
            <w:vMerge w:val="restart"/>
          </w:tcPr>
          <w:p>
            <w:pPr>
              <w:pStyle w:val="TableParagraph"/>
              <w:spacing w:line="280" w:lineRule="auto"/>
              <w:ind w:left="7" w:right="353"/>
              <w:rPr>
                <w:sz w:val="18"/>
              </w:rPr>
            </w:pPr>
            <w:r>
              <w:rPr>
                <w:spacing w:val="-2"/>
                <w:sz w:val="18"/>
              </w:rPr>
              <w:t>Minor</w:t>
            </w:r>
            <w:r>
              <w:rPr>
                <w:sz w:val="18"/>
              </w:rPr>
              <w:t> </w:t>
            </w:r>
            <w:r>
              <w:rPr>
                <w:spacing w:val="-2"/>
                <w:sz w:val="18"/>
              </w:rPr>
              <w:t>bleeding</w:t>
            </w:r>
          </w:p>
        </w:tc>
        <w:tc>
          <w:tcPr>
            <w:tcW w:w="2506" w:type="dxa"/>
            <w:vMerge w:val="restart"/>
          </w:tcPr>
          <w:p>
            <w:pPr>
              <w:pStyle w:val="TableParagraph"/>
              <w:spacing w:line="218" w:lineRule="exact"/>
              <w:ind w:left="7"/>
              <w:rPr>
                <w:b/>
                <w:sz w:val="18"/>
              </w:rPr>
            </w:pPr>
            <w:r>
              <w:rPr>
                <w:sz w:val="18"/>
              </w:rPr>
              <w:t>Relative</w:t>
            </w:r>
            <w:r>
              <w:rPr>
                <w:spacing w:val="-3"/>
                <w:sz w:val="18"/>
              </w:rPr>
              <w:t> </w:t>
            </w:r>
            <w:r>
              <w:rPr>
                <w:sz w:val="18"/>
              </w:rPr>
              <w:t>risk:</w:t>
            </w:r>
            <w:r>
              <w:rPr>
                <w:spacing w:val="-2"/>
                <w:sz w:val="18"/>
              </w:rPr>
              <w:t> </w:t>
            </w:r>
            <w:r>
              <w:rPr>
                <w:b/>
                <w:spacing w:val="-4"/>
                <w:sz w:val="18"/>
              </w:rPr>
              <w:t>1.02</w:t>
            </w:r>
          </w:p>
          <w:p>
            <w:pPr>
              <w:pStyle w:val="TableParagraph"/>
              <w:spacing w:before="195"/>
              <w:ind w:left="7"/>
              <w:rPr>
                <w:sz w:val="18"/>
              </w:rPr>
            </w:pPr>
            <w:r>
              <w:rPr>
                <w:sz w:val="18"/>
              </w:rPr>
              <w:t>(95%</w:t>
            </w:r>
            <w:r>
              <w:rPr>
                <w:spacing w:val="-1"/>
                <w:sz w:val="18"/>
              </w:rPr>
              <w:t> </w:t>
            </w:r>
            <w:r>
              <w:rPr>
                <w:sz w:val="18"/>
              </w:rPr>
              <w:t>CI 0.04 to </w:t>
            </w:r>
            <w:r>
              <w:rPr>
                <w:spacing w:val="-2"/>
                <w:sz w:val="18"/>
              </w:rPr>
              <w:t>23.78)</w:t>
            </w:r>
          </w:p>
          <w:p>
            <w:pPr>
              <w:pStyle w:val="TableParagraph"/>
              <w:rPr>
                <w:sz w:val="18"/>
              </w:rPr>
            </w:pPr>
          </w:p>
          <w:p>
            <w:pPr>
              <w:pStyle w:val="TableParagraph"/>
              <w:spacing w:before="174"/>
              <w:rPr>
                <w:sz w:val="18"/>
              </w:rPr>
            </w:pPr>
          </w:p>
          <w:p>
            <w:pPr>
              <w:pStyle w:val="TableParagraph"/>
              <w:spacing w:line="278" w:lineRule="auto"/>
              <w:ind w:left="7" w:right="643"/>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57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before="160"/>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1214" w:type="dxa"/>
          </w:tcPr>
          <w:p>
            <w:pPr>
              <w:pStyle w:val="TableParagraph"/>
              <w:spacing w:line="218" w:lineRule="exact"/>
              <w:ind w:left="5"/>
              <w:rPr>
                <w:b/>
                <w:sz w:val="18"/>
              </w:rPr>
            </w:pPr>
            <w:r>
              <w:rPr>
                <w:b/>
                <w:spacing w:val="-10"/>
                <w:sz w:val="18"/>
              </w:rPr>
              <w:t>2</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line="218" w:lineRule="exact"/>
              <w:ind w:left="8"/>
              <w:rPr>
                <w:b/>
                <w:sz w:val="18"/>
              </w:rPr>
            </w:pPr>
            <w:r>
              <w:rPr>
                <w:b/>
                <w:spacing w:val="-10"/>
                <w:sz w:val="18"/>
              </w:rPr>
              <w:t>0</w:t>
            </w:r>
          </w:p>
          <w:p>
            <w:pPr>
              <w:pStyle w:val="TableParagraph"/>
              <w:spacing w:before="195"/>
              <w:ind w:left="8"/>
              <w:rPr>
                <w:sz w:val="18"/>
              </w:rPr>
            </w:pPr>
            <w:r>
              <w:rPr>
                <w:sz w:val="18"/>
              </w:rPr>
              <w:t>per</w:t>
            </w:r>
            <w:r>
              <w:rPr>
                <w:spacing w:val="-3"/>
                <w:sz w:val="18"/>
              </w:rPr>
              <w:t> </w:t>
            </w:r>
            <w:r>
              <w:rPr>
                <w:spacing w:val="-5"/>
                <w:sz w:val="18"/>
              </w:rPr>
              <w:t>100</w:t>
            </w:r>
          </w:p>
        </w:tc>
        <w:tc>
          <w:tcPr>
            <w:tcW w:w="2028"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line="278" w:lineRule="auto" w:before="34"/>
              <w:ind w:left="8"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before="2"/>
              <w:ind w:left="8"/>
              <w:rPr>
                <w:position w:val="5"/>
                <w:sz w:val="12"/>
              </w:rPr>
            </w:pPr>
            <w:r>
              <w:rPr>
                <w:sz w:val="18"/>
              </w:rPr>
              <w:t>serious</w:t>
            </w:r>
            <w:r>
              <w:rPr>
                <w:spacing w:val="-5"/>
                <w:sz w:val="18"/>
              </w:rPr>
              <w:t> </w:t>
            </w:r>
            <w:r>
              <w:rPr>
                <w:spacing w:val="-2"/>
                <w:sz w:val="18"/>
              </w:rPr>
              <w:t>imprecision</w:t>
            </w:r>
            <w:r>
              <w:rPr>
                <w:spacing w:val="-2"/>
                <w:position w:val="5"/>
                <w:sz w:val="12"/>
              </w:rPr>
              <w:t>20</w:t>
            </w:r>
          </w:p>
        </w:tc>
        <w:tc>
          <w:tcPr>
            <w:tcW w:w="488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spacing w:line="278" w:lineRule="auto"/>
              <w:ind w:left="8"/>
              <w:rPr>
                <w:sz w:val="18"/>
              </w:rPr>
            </w:pPr>
            <w:r>
              <w:rPr>
                <w:sz w:val="18"/>
              </w:rPr>
              <w:t>The</w:t>
            </w:r>
            <w:r>
              <w:rPr>
                <w:spacing w:val="-2"/>
                <w:sz w:val="18"/>
              </w:rPr>
              <w:t> </w:t>
            </w:r>
            <w:r>
              <w:rPr>
                <w:sz w:val="18"/>
              </w:rPr>
              <w:t>evidence</w:t>
            </w:r>
            <w:r>
              <w:rPr>
                <w:spacing w:val="-2"/>
                <w:sz w:val="18"/>
              </w:rPr>
              <w:t> </w:t>
            </w:r>
            <w:r>
              <w:rPr>
                <w:sz w:val="18"/>
              </w:rPr>
              <w:t>is</w:t>
            </w:r>
            <w:r>
              <w:rPr>
                <w:spacing w:val="-3"/>
                <w:sz w:val="18"/>
              </w:rPr>
              <w:t> </w:t>
            </w:r>
            <w:r>
              <w:rPr>
                <w:sz w:val="18"/>
              </w:rPr>
              <w:t>very</w:t>
            </w:r>
            <w:r>
              <w:rPr>
                <w:spacing w:val="-1"/>
                <w:sz w:val="18"/>
              </w:rPr>
              <w:t> </w:t>
            </w:r>
            <w:r>
              <w:rPr>
                <w:sz w:val="18"/>
              </w:rPr>
              <w:t>uncertain</w:t>
            </w:r>
            <w:r>
              <w:rPr>
                <w:spacing w:val="-3"/>
                <w:sz w:val="18"/>
              </w:rPr>
              <w:t> </w:t>
            </w:r>
            <w:r>
              <w:rPr>
                <w:sz w:val="18"/>
              </w:rPr>
              <w:t>about</w:t>
            </w:r>
            <w:r>
              <w:rPr>
                <w:spacing w:val="-1"/>
                <w:sz w:val="18"/>
              </w:rPr>
              <w:t> </w:t>
            </w:r>
            <w:r>
              <w:rPr>
                <w:sz w:val="18"/>
              </w:rPr>
              <w:t>the</w:t>
            </w:r>
            <w:r>
              <w:rPr>
                <w:spacing w:val="-2"/>
                <w:sz w:val="18"/>
              </w:rPr>
              <w:t> </w:t>
            </w:r>
            <w:r>
              <w:rPr>
                <w:sz w:val="18"/>
              </w:rPr>
              <w:t>effect</w:t>
            </w:r>
            <w:r>
              <w:rPr>
                <w:spacing w:val="-1"/>
                <w:sz w:val="18"/>
              </w:rPr>
              <w:t> </w:t>
            </w:r>
            <w:r>
              <w:rPr>
                <w:sz w:val="18"/>
              </w:rPr>
              <w:t>of</w:t>
            </w:r>
            <w:r>
              <w:rPr>
                <w:spacing w:val="-2"/>
                <w:sz w:val="18"/>
              </w:rPr>
              <w:t> </w:t>
            </w:r>
            <w:r>
              <w:rPr>
                <w:sz w:val="18"/>
              </w:rPr>
              <w:t>antiplatelets</w:t>
            </w:r>
            <w:r>
              <w:rPr>
                <w:spacing w:val="-3"/>
                <w:sz w:val="18"/>
              </w:rPr>
              <w:t> </w:t>
            </w:r>
            <w:r>
              <w:rPr>
                <w:sz w:val="18"/>
              </w:rPr>
              <w:t>on major bleeding, when compared with a combination of an antiplatelet</w:t>
            </w:r>
            <w:r>
              <w:rPr>
                <w:spacing w:val="-4"/>
                <w:sz w:val="18"/>
              </w:rPr>
              <w:t> </w:t>
            </w:r>
            <w:r>
              <w:rPr>
                <w:sz w:val="18"/>
              </w:rPr>
              <w:t>and</w:t>
            </w:r>
            <w:r>
              <w:rPr>
                <w:spacing w:val="-5"/>
                <w:sz w:val="18"/>
              </w:rPr>
              <w:t> </w:t>
            </w:r>
            <w:r>
              <w:rPr>
                <w:sz w:val="18"/>
              </w:rPr>
              <w:t>an</w:t>
            </w:r>
            <w:r>
              <w:rPr>
                <w:spacing w:val="-5"/>
                <w:sz w:val="18"/>
              </w:rPr>
              <w:t> </w:t>
            </w:r>
            <w:r>
              <w:rPr>
                <w:sz w:val="18"/>
              </w:rPr>
              <w:t>anticoagulant</w:t>
            </w:r>
            <w:r>
              <w:rPr>
                <w:spacing w:val="-3"/>
                <w:sz w:val="18"/>
              </w:rPr>
              <w:t> </w:t>
            </w:r>
            <w:r>
              <w:rPr>
                <w:sz w:val="18"/>
              </w:rPr>
              <w:t>in</w:t>
            </w:r>
            <w:r>
              <w:rPr>
                <w:spacing w:val="-6"/>
                <w:sz w:val="18"/>
              </w:rPr>
              <w:t> </w:t>
            </w:r>
            <w:r>
              <w:rPr>
                <w:sz w:val="18"/>
              </w:rPr>
              <w:t>children</w:t>
            </w:r>
            <w:r>
              <w:rPr>
                <w:spacing w:val="-5"/>
                <w:sz w:val="18"/>
              </w:rPr>
              <w:t> </w:t>
            </w:r>
            <w:r>
              <w:rPr>
                <w:sz w:val="18"/>
              </w:rPr>
              <w:t>with</w:t>
            </w:r>
            <w:r>
              <w:rPr>
                <w:spacing w:val="-3"/>
                <w:sz w:val="18"/>
              </w:rPr>
              <w:t> </w:t>
            </w:r>
            <w:r>
              <w:rPr>
                <w:sz w:val="18"/>
              </w:rPr>
              <w:t>an</w:t>
            </w:r>
            <w:r>
              <w:rPr>
                <w:spacing w:val="-5"/>
                <w:sz w:val="18"/>
              </w:rPr>
              <w:t> </w:t>
            </w:r>
            <w:r>
              <w:rPr>
                <w:sz w:val="18"/>
              </w:rPr>
              <w:t>indication</w:t>
            </w:r>
            <w:r>
              <w:rPr>
                <w:spacing w:val="-5"/>
                <w:sz w:val="18"/>
              </w:rPr>
              <w:t> </w:t>
            </w:r>
            <w:r>
              <w:rPr>
                <w:sz w:val="18"/>
              </w:rPr>
              <w:t>for the Fontan procedure</w:t>
            </w:r>
          </w:p>
          <w:p>
            <w:pPr>
              <w:pStyle w:val="TableParagraph"/>
              <w:rPr>
                <w:sz w:val="18"/>
              </w:rPr>
            </w:pPr>
          </w:p>
          <w:p>
            <w:pPr>
              <w:pStyle w:val="TableParagraph"/>
              <w:spacing w:before="137"/>
              <w:rPr>
                <w:sz w:val="18"/>
              </w:rPr>
            </w:pPr>
          </w:p>
          <w:p>
            <w:pPr>
              <w:pStyle w:val="TableParagraph"/>
              <w:ind w:left="8"/>
              <w:rPr>
                <w:sz w:val="18"/>
              </w:rPr>
            </w:pPr>
            <w:r>
              <w:rPr>
                <w:sz w:val="18"/>
              </w:rPr>
              <w:t>(Kawamatsu,</w:t>
            </w:r>
            <w:r>
              <w:rPr>
                <w:spacing w:val="-4"/>
                <w:sz w:val="18"/>
              </w:rPr>
              <w:t> </w:t>
            </w:r>
            <w:r>
              <w:rPr>
                <w:spacing w:val="-2"/>
                <w:sz w:val="18"/>
              </w:rPr>
              <w:t>2021)</w:t>
            </w:r>
          </w:p>
        </w:tc>
      </w:tr>
      <w:tr>
        <w:trPr>
          <w:trHeight w:val="2411" w:hRule="atLeast"/>
        </w:trPr>
        <w:tc>
          <w:tcPr>
            <w:tcW w:w="1032" w:type="dxa"/>
            <w:vMerge/>
            <w:tcBorders>
              <w:top w:val="nil"/>
            </w:tcBorders>
          </w:tcPr>
          <w:p>
            <w:pPr>
              <w:rPr>
                <w:sz w:val="2"/>
                <w:szCs w:val="2"/>
              </w:rPr>
            </w:pPr>
          </w:p>
        </w:tc>
        <w:tc>
          <w:tcPr>
            <w:tcW w:w="1010" w:type="dxa"/>
            <w:vMerge/>
            <w:tcBorders>
              <w:top w:val="nil"/>
            </w:tcBorders>
          </w:tcPr>
          <w:p>
            <w:pPr>
              <w:rPr>
                <w:sz w:val="2"/>
                <w:szCs w:val="2"/>
              </w:rPr>
            </w:pPr>
          </w:p>
        </w:tc>
        <w:tc>
          <w:tcPr>
            <w:tcW w:w="2506" w:type="dxa"/>
            <w:vMerge/>
            <w:tcBorders>
              <w:top w:val="nil"/>
            </w:tcBorders>
          </w:tcPr>
          <w:p>
            <w:pPr>
              <w:rPr>
                <w:sz w:val="2"/>
                <w:szCs w:val="2"/>
              </w:rPr>
            </w:pPr>
          </w:p>
        </w:tc>
        <w:tc>
          <w:tcPr>
            <w:tcW w:w="2486" w:type="dxa"/>
            <w:gridSpan w:val="2"/>
          </w:tcPr>
          <w:p>
            <w:pPr>
              <w:pStyle w:val="TableParagraph"/>
              <w:rPr>
                <w:sz w:val="18"/>
              </w:rPr>
            </w:pPr>
          </w:p>
          <w:p>
            <w:pPr>
              <w:pStyle w:val="TableParagraph"/>
              <w:rPr>
                <w:sz w:val="18"/>
              </w:rPr>
            </w:pPr>
          </w:p>
          <w:p>
            <w:pPr>
              <w:pStyle w:val="TableParagraph"/>
              <w:spacing w:before="169"/>
              <w:rPr>
                <w:sz w:val="18"/>
              </w:rPr>
            </w:pPr>
          </w:p>
          <w:p>
            <w:pPr>
              <w:pStyle w:val="TableParagraph"/>
              <w:spacing w:before="1"/>
              <w:ind w:left="5"/>
              <w:rPr>
                <w:b/>
                <w:sz w:val="18"/>
              </w:rPr>
            </w:pPr>
            <w:r>
              <w:rPr>
                <w:sz w:val="18"/>
              </w:rPr>
              <w:t>Difference:</w:t>
            </w:r>
            <w:r>
              <w:rPr>
                <w:spacing w:val="-3"/>
                <w:sz w:val="18"/>
              </w:rPr>
              <w:t> </w:t>
            </w:r>
            <w:r>
              <w:rPr>
                <w:b/>
                <w:sz w:val="18"/>
              </w:rPr>
              <w:t>2</w:t>
            </w:r>
            <w:r>
              <w:rPr>
                <w:b/>
                <w:spacing w:val="-2"/>
                <w:sz w:val="18"/>
              </w:rPr>
              <w:t> </w:t>
            </w:r>
            <w:r>
              <w:rPr>
                <w:b/>
                <w:sz w:val="18"/>
              </w:rPr>
              <w:t>fewer</w:t>
            </w:r>
            <w:r>
              <w:rPr>
                <w:b/>
                <w:spacing w:val="-2"/>
                <w:sz w:val="18"/>
              </w:rPr>
              <w:t> </w:t>
            </w:r>
            <w:r>
              <w:rPr>
                <w:b/>
                <w:sz w:val="18"/>
              </w:rPr>
              <w:t>per</w:t>
            </w:r>
            <w:r>
              <w:rPr>
                <w:b/>
                <w:spacing w:val="-2"/>
                <w:sz w:val="18"/>
              </w:rPr>
              <w:t> </w:t>
            </w:r>
            <w:r>
              <w:rPr>
                <w:b/>
                <w:spacing w:val="-5"/>
                <w:sz w:val="18"/>
              </w:rPr>
              <w:t>100</w:t>
            </w:r>
          </w:p>
          <w:p>
            <w:pPr>
              <w:pStyle w:val="TableParagraph"/>
              <w:spacing w:before="196"/>
              <w:ind w:left="5"/>
              <w:rPr>
                <w:sz w:val="18"/>
              </w:rPr>
            </w:pPr>
            <w:r>
              <w:rPr>
                <w:sz w:val="18"/>
              </w:rPr>
              <w:t>(95%</w:t>
            </w:r>
            <w:r>
              <w:rPr>
                <w:spacing w:val="-3"/>
                <w:sz w:val="18"/>
              </w:rPr>
              <w:t> </w:t>
            </w:r>
            <w:r>
              <w:rPr>
                <w:sz w:val="18"/>
              </w:rPr>
              <w:t>CI 8 fewer</w:t>
            </w:r>
            <w:r>
              <w:rPr>
                <w:spacing w:val="-1"/>
                <w:sz w:val="18"/>
              </w:rPr>
              <w:t> </w:t>
            </w:r>
            <w:r>
              <w:rPr>
                <w:sz w:val="18"/>
              </w:rPr>
              <w:t>to 13 </w:t>
            </w:r>
            <w:r>
              <w:rPr>
                <w:spacing w:val="-4"/>
                <w:sz w:val="18"/>
              </w:rPr>
              <w:t>more)</w:t>
            </w:r>
          </w:p>
        </w:tc>
        <w:tc>
          <w:tcPr>
            <w:tcW w:w="2028" w:type="dxa"/>
            <w:vMerge/>
            <w:tcBorders>
              <w:top w:val="nil"/>
            </w:tcBorders>
          </w:tcPr>
          <w:p>
            <w:pPr>
              <w:rPr>
                <w:sz w:val="2"/>
                <w:szCs w:val="2"/>
              </w:rPr>
            </w:pPr>
          </w:p>
        </w:tc>
        <w:tc>
          <w:tcPr>
            <w:tcW w:w="4882" w:type="dxa"/>
            <w:vMerge/>
            <w:tcBorders>
              <w:top w:val="nil"/>
            </w:tcBorders>
          </w:tcPr>
          <w:p>
            <w:pPr>
              <w:rPr>
                <w:sz w:val="2"/>
                <w:szCs w:val="2"/>
              </w:rPr>
            </w:pPr>
          </w:p>
        </w:tc>
      </w:tr>
    </w:tbl>
    <w:p>
      <w:pPr>
        <w:spacing w:after="0"/>
        <w:rPr>
          <w:sz w:val="2"/>
          <w:szCs w:val="2"/>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32"/>
        <w:gridCol w:w="1010"/>
        <w:gridCol w:w="2506"/>
        <w:gridCol w:w="1214"/>
        <w:gridCol w:w="1272"/>
        <w:gridCol w:w="2028"/>
        <w:gridCol w:w="4882"/>
      </w:tblGrid>
      <w:tr>
        <w:trPr>
          <w:trHeight w:val="3057" w:hRule="atLeast"/>
        </w:trPr>
        <w:tc>
          <w:tcPr>
            <w:tcW w:w="2042" w:type="dxa"/>
            <w:gridSpan w:val="2"/>
          </w:tcPr>
          <w:p>
            <w:pPr>
              <w:pStyle w:val="TableParagraph"/>
              <w:numPr>
                <w:ilvl w:val="0"/>
                <w:numId w:val="64"/>
              </w:numPr>
              <w:tabs>
                <w:tab w:pos="727" w:val="left" w:leader="none"/>
              </w:tabs>
              <w:spacing w:line="273" w:lineRule="auto" w:before="0" w:after="0"/>
              <w:ind w:left="727" w:right="451" w:hanging="360"/>
              <w:jc w:val="left"/>
              <w:rPr>
                <w:sz w:val="18"/>
              </w:rPr>
            </w:pPr>
            <w:r>
              <w:rPr>
                <w:spacing w:val="-2"/>
                <w:sz w:val="18"/>
              </w:rPr>
              <w:t>Mortality</w:t>
            </w:r>
            <w:r>
              <w:rPr>
                <w:sz w:val="18"/>
              </w:rPr>
              <w:t> </w:t>
            </w:r>
            <w:r>
              <w:rPr>
                <w:spacing w:val="-2"/>
                <w:sz w:val="18"/>
              </w:rPr>
              <w:t>(important)</w:t>
            </w:r>
          </w:p>
          <w:p>
            <w:pPr>
              <w:pStyle w:val="TableParagraph"/>
              <w:numPr>
                <w:ilvl w:val="0"/>
                <w:numId w:val="64"/>
              </w:numPr>
              <w:tabs>
                <w:tab w:pos="727" w:val="left" w:leader="none"/>
              </w:tabs>
              <w:spacing w:line="273" w:lineRule="auto" w:before="167" w:after="0"/>
              <w:ind w:left="727" w:right="161" w:hanging="360"/>
              <w:jc w:val="left"/>
              <w:rPr>
                <w:sz w:val="18"/>
              </w:rPr>
            </w:pPr>
            <w:r>
              <w:rPr>
                <w:sz w:val="18"/>
              </w:rPr>
              <w:t>Ischemic</w:t>
            </w:r>
            <w:r>
              <w:rPr>
                <w:spacing w:val="-11"/>
                <w:sz w:val="18"/>
              </w:rPr>
              <w:t> </w:t>
            </w:r>
            <w:r>
              <w:rPr>
                <w:sz w:val="18"/>
              </w:rPr>
              <w:t>stroke </w:t>
            </w:r>
            <w:r>
              <w:rPr>
                <w:spacing w:val="-2"/>
                <w:sz w:val="18"/>
              </w:rPr>
              <w:t>(important)</w:t>
            </w:r>
          </w:p>
          <w:p>
            <w:pPr>
              <w:pStyle w:val="TableParagraph"/>
              <w:numPr>
                <w:ilvl w:val="0"/>
                <w:numId w:val="64"/>
              </w:numPr>
              <w:tabs>
                <w:tab w:pos="727" w:val="left" w:leader="none"/>
              </w:tabs>
              <w:spacing w:line="273" w:lineRule="auto" w:before="166" w:after="0"/>
              <w:ind w:left="727" w:right="313" w:hanging="360"/>
              <w:jc w:val="left"/>
              <w:rPr>
                <w:sz w:val="18"/>
              </w:rPr>
            </w:pPr>
            <w:r>
              <w:rPr>
                <w:sz w:val="18"/>
              </w:rPr>
              <w:t>Quality</w:t>
            </w:r>
            <w:r>
              <w:rPr>
                <w:spacing w:val="-11"/>
                <w:sz w:val="18"/>
              </w:rPr>
              <w:t> </w:t>
            </w:r>
            <w:r>
              <w:rPr>
                <w:sz w:val="18"/>
              </w:rPr>
              <w:t>of</w:t>
            </w:r>
            <w:r>
              <w:rPr>
                <w:spacing w:val="-10"/>
                <w:sz w:val="18"/>
              </w:rPr>
              <w:t> </w:t>
            </w:r>
            <w:r>
              <w:rPr>
                <w:sz w:val="18"/>
              </w:rPr>
              <w:t>life </w:t>
            </w:r>
            <w:r>
              <w:rPr>
                <w:spacing w:val="-2"/>
                <w:sz w:val="18"/>
              </w:rPr>
              <w:t>(QOL)</w:t>
            </w:r>
          </w:p>
          <w:p>
            <w:pPr>
              <w:pStyle w:val="TableParagraph"/>
              <w:spacing w:before="4"/>
              <w:ind w:left="727"/>
              <w:rPr>
                <w:sz w:val="18"/>
              </w:rPr>
            </w:pPr>
            <w:r>
              <w:rPr>
                <w:spacing w:val="-2"/>
                <w:sz w:val="18"/>
              </w:rPr>
              <w:t>(important)</w:t>
            </w:r>
          </w:p>
          <w:p>
            <w:pPr>
              <w:pStyle w:val="TableParagraph"/>
              <w:numPr>
                <w:ilvl w:val="0"/>
                <w:numId w:val="64"/>
              </w:numPr>
              <w:tabs>
                <w:tab w:pos="727" w:val="left" w:leader="none"/>
              </w:tabs>
              <w:spacing w:line="273" w:lineRule="auto" w:before="198" w:after="0"/>
              <w:ind w:left="727" w:right="181" w:hanging="360"/>
              <w:jc w:val="left"/>
              <w:rPr>
                <w:sz w:val="18"/>
              </w:rPr>
            </w:pPr>
            <w:r>
              <w:rPr>
                <w:sz w:val="18"/>
              </w:rPr>
              <w:t>Adverse</w:t>
            </w:r>
            <w:r>
              <w:rPr>
                <w:spacing w:val="-11"/>
                <w:sz w:val="18"/>
              </w:rPr>
              <w:t> </w:t>
            </w:r>
            <w:r>
              <w:rPr>
                <w:sz w:val="18"/>
              </w:rPr>
              <w:t>events </w:t>
            </w:r>
            <w:r>
              <w:rPr>
                <w:spacing w:val="-2"/>
                <w:sz w:val="18"/>
              </w:rPr>
              <w:t>(important)</w:t>
            </w:r>
          </w:p>
        </w:tc>
        <w:tc>
          <w:tcPr>
            <w:tcW w:w="2506"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3"/>
              <w:rPr>
                <w:sz w:val="18"/>
              </w:rPr>
            </w:pPr>
          </w:p>
          <w:p>
            <w:pPr>
              <w:pStyle w:val="TableParagraph"/>
              <w:spacing w:before="1"/>
              <w:ind w:left="7"/>
              <w:rPr>
                <w:sz w:val="18"/>
              </w:rPr>
            </w:pPr>
            <w:r>
              <w:rPr>
                <w:spacing w:val="-10"/>
                <w:sz w:val="18"/>
              </w:rPr>
              <w:t>-</w:t>
            </w:r>
          </w:p>
        </w:tc>
        <w:tc>
          <w:tcPr>
            <w:tcW w:w="2486" w:type="dxa"/>
            <w:gridSpan w:val="2"/>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3"/>
              <w:rPr>
                <w:sz w:val="18"/>
              </w:rPr>
            </w:pPr>
          </w:p>
          <w:p>
            <w:pPr>
              <w:pStyle w:val="TableParagraph"/>
              <w:spacing w:before="1"/>
              <w:ind w:left="5"/>
              <w:rPr>
                <w:sz w:val="18"/>
              </w:rPr>
            </w:pPr>
            <w:r>
              <w:rPr>
                <w:spacing w:val="-10"/>
                <w:sz w:val="18"/>
              </w:rPr>
              <w:t>-</w:t>
            </w:r>
          </w:p>
        </w:tc>
        <w:tc>
          <w:tcPr>
            <w:tcW w:w="2028"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ind w:left="8"/>
              <w:rPr>
                <w:b/>
                <w:sz w:val="18"/>
              </w:rPr>
            </w:pPr>
            <w:r>
              <w:rPr>
                <w:b/>
                <w:sz w:val="18"/>
              </w:rPr>
              <w:t>No</w:t>
            </w:r>
            <w:r>
              <w:rPr>
                <w:b/>
                <w:spacing w:val="-5"/>
                <w:sz w:val="18"/>
              </w:rPr>
              <w:t> </w:t>
            </w:r>
            <w:r>
              <w:rPr>
                <w:b/>
                <w:spacing w:val="-2"/>
                <w:sz w:val="18"/>
              </w:rPr>
              <w:t>GRADE</w:t>
            </w:r>
          </w:p>
          <w:p>
            <w:pPr>
              <w:pStyle w:val="TableParagraph"/>
              <w:spacing w:before="34"/>
              <w:ind w:left="8"/>
              <w:rPr>
                <w:sz w:val="18"/>
              </w:rPr>
            </w:pPr>
            <w:r>
              <w:rPr>
                <w:sz w:val="18"/>
              </w:rPr>
              <w:t>(No</w:t>
            </w:r>
            <w:r>
              <w:rPr>
                <w:spacing w:val="-4"/>
                <w:sz w:val="18"/>
              </w:rPr>
              <w:t> </w:t>
            </w:r>
            <w:r>
              <w:rPr>
                <w:sz w:val="18"/>
              </w:rPr>
              <w:t>evidence</w:t>
            </w:r>
            <w:r>
              <w:rPr>
                <w:spacing w:val="-4"/>
                <w:sz w:val="18"/>
              </w:rPr>
              <w:t> </w:t>
            </w:r>
            <w:r>
              <w:rPr>
                <w:sz w:val="18"/>
              </w:rPr>
              <w:t>was</w:t>
            </w:r>
            <w:r>
              <w:rPr>
                <w:spacing w:val="-3"/>
                <w:sz w:val="18"/>
              </w:rPr>
              <w:t> </w:t>
            </w:r>
            <w:r>
              <w:rPr>
                <w:spacing w:val="-2"/>
                <w:sz w:val="18"/>
              </w:rPr>
              <w:t>found)</w:t>
            </w:r>
          </w:p>
        </w:tc>
        <w:tc>
          <w:tcPr>
            <w:tcW w:w="4882" w:type="dxa"/>
          </w:tcPr>
          <w:p>
            <w:pPr>
              <w:pStyle w:val="TableParagraph"/>
              <w:rPr>
                <w:sz w:val="18"/>
              </w:rPr>
            </w:pPr>
          </w:p>
          <w:p>
            <w:pPr>
              <w:pStyle w:val="TableParagraph"/>
              <w:rPr>
                <w:sz w:val="18"/>
              </w:rPr>
            </w:pPr>
          </w:p>
          <w:p>
            <w:pPr>
              <w:pStyle w:val="TableParagraph"/>
              <w:rPr>
                <w:sz w:val="18"/>
              </w:rPr>
            </w:pPr>
          </w:p>
          <w:p>
            <w:pPr>
              <w:pStyle w:val="TableParagraph"/>
              <w:spacing w:before="207"/>
              <w:rPr>
                <w:sz w:val="18"/>
              </w:rPr>
            </w:pPr>
          </w:p>
          <w:p>
            <w:pPr>
              <w:pStyle w:val="TableParagraph"/>
              <w:spacing w:line="278" w:lineRule="auto"/>
              <w:ind w:left="8"/>
              <w:rPr>
                <w:sz w:val="18"/>
              </w:rPr>
            </w:pPr>
            <w:r>
              <w:rPr>
                <w:sz w:val="18"/>
              </w:rPr>
              <w:t>No evidence was found regarding the effect of antiplatelets on mortality, ischemic stroke, quality of life (QOL), and adverse events,</w:t>
            </w:r>
            <w:r>
              <w:rPr>
                <w:spacing w:val="-4"/>
                <w:sz w:val="18"/>
              </w:rPr>
              <w:t> </w:t>
            </w:r>
            <w:r>
              <w:rPr>
                <w:sz w:val="18"/>
              </w:rPr>
              <w:t>when</w:t>
            </w:r>
            <w:r>
              <w:rPr>
                <w:spacing w:val="-5"/>
                <w:sz w:val="18"/>
              </w:rPr>
              <w:t> </w:t>
            </w:r>
            <w:r>
              <w:rPr>
                <w:sz w:val="18"/>
              </w:rPr>
              <w:t>compared</w:t>
            </w:r>
            <w:r>
              <w:rPr>
                <w:spacing w:val="-5"/>
                <w:sz w:val="18"/>
              </w:rPr>
              <w:t> </w:t>
            </w:r>
            <w:r>
              <w:rPr>
                <w:sz w:val="18"/>
              </w:rPr>
              <w:t>with</w:t>
            </w:r>
            <w:r>
              <w:rPr>
                <w:spacing w:val="-6"/>
                <w:sz w:val="18"/>
              </w:rPr>
              <w:t> </w:t>
            </w:r>
            <w:r>
              <w:rPr>
                <w:sz w:val="18"/>
              </w:rPr>
              <w:t>a</w:t>
            </w:r>
            <w:r>
              <w:rPr>
                <w:spacing w:val="-5"/>
                <w:sz w:val="18"/>
              </w:rPr>
              <w:t> </w:t>
            </w:r>
            <w:r>
              <w:rPr>
                <w:sz w:val="18"/>
              </w:rPr>
              <w:t>combination</w:t>
            </w:r>
            <w:r>
              <w:rPr>
                <w:spacing w:val="-5"/>
                <w:sz w:val="18"/>
              </w:rPr>
              <w:t> </w:t>
            </w:r>
            <w:r>
              <w:rPr>
                <w:sz w:val="18"/>
              </w:rPr>
              <w:t>of</w:t>
            </w:r>
            <w:r>
              <w:rPr>
                <w:spacing w:val="-5"/>
                <w:sz w:val="18"/>
              </w:rPr>
              <w:t> </w:t>
            </w:r>
            <w:r>
              <w:rPr>
                <w:sz w:val="18"/>
              </w:rPr>
              <w:t>an</w:t>
            </w:r>
            <w:r>
              <w:rPr>
                <w:spacing w:val="-5"/>
                <w:sz w:val="18"/>
              </w:rPr>
              <w:t> </w:t>
            </w:r>
            <w:r>
              <w:rPr>
                <w:sz w:val="18"/>
              </w:rPr>
              <w:t>antiplatelet</w:t>
            </w:r>
            <w:r>
              <w:rPr>
                <w:spacing w:val="-4"/>
                <w:sz w:val="18"/>
              </w:rPr>
              <w:t> </w:t>
            </w:r>
            <w:r>
              <w:rPr>
                <w:sz w:val="18"/>
              </w:rPr>
              <w:t>and anticoagulant in children with an indication for the Fontan </w:t>
            </w:r>
            <w:r>
              <w:rPr>
                <w:spacing w:val="-2"/>
                <w:sz w:val="18"/>
              </w:rPr>
              <w:t>procedure</w:t>
            </w:r>
          </w:p>
        </w:tc>
      </w:tr>
      <w:tr>
        <w:trPr>
          <w:trHeight w:val="416" w:hRule="atLeast"/>
        </w:trPr>
        <w:tc>
          <w:tcPr>
            <w:tcW w:w="13944" w:type="dxa"/>
            <w:gridSpan w:val="7"/>
            <w:shd w:val="clear" w:color="auto" w:fill="D0CECE"/>
          </w:tcPr>
          <w:p>
            <w:pPr>
              <w:pStyle w:val="TableParagraph"/>
              <w:spacing w:before="1"/>
              <w:ind w:left="6"/>
              <w:rPr>
                <w:b/>
                <w:i/>
                <w:sz w:val="18"/>
              </w:rPr>
            </w:pPr>
            <w:r>
              <w:rPr>
                <w:b/>
                <w:i/>
                <w:sz w:val="18"/>
              </w:rPr>
              <w:t>VKAs</w:t>
            </w:r>
            <w:r>
              <w:rPr>
                <w:b/>
                <w:i/>
                <w:spacing w:val="-3"/>
                <w:sz w:val="18"/>
              </w:rPr>
              <w:t> </w:t>
            </w:r>
            <w:r>
              <w:rPr>
                <w:b/>
                <w:i/>
                <w:sz w:val="18"/>
              </w:rPr>
              <w:t>versus</w:t>
            </w:r>
            <w:r>
              <w:rPr>
                <w:b/>
                <w:i/>
                <w:spacing w:val="-2"/>
                <w:sz w:val="18"/>
              </w:rPr>
              <w:t> </w:t>
            </w:r>
            <w:r>
              <w:rPr>
                <w:b/>
                <w:i/>
                <w:sz w:val="18"/>
              </w:rPr>
              <w:t>combination</w:t>
            </w:r>
            <w:r>
              <w:rPr>
                <w:b/>
                <w:i/>
                <w:spacing w:val="-5"/>
                <w:sz w:val="18"/>
              </w:rPr>
              <w:t> </w:t>
            </w:r>
            <w:r>
              <w:rPr>
                <w:b/>
                <w:i/>
                <w:sz w:val="18"/>
              </w:rPr>
              <w:t>of</w:t>
            </w:r>
            <w:r>
              <w:rPr>
                <w:b/>
                <w:i/>
                <w:spacing w:val="-2"/>
                <w:sz w:val="18"/>
              </w:rPr>
              <w:t> </w:t>
            </w:r>
            <w:r>
              <w:rPr>
                <w:b/>
                <w:i/>
                <w:sz w:val="18"/>
              </w:rPr>
              <w:t>an</w:t>
            </w:r>
            <w:r>
              <w:rPr>
                <w:b/>
                <w:i/>
                <w:spacing w:val="-3"/>
                <w:sz w:val="18"/>
              </w:rPr>
              <w:t> </w:t>
            </w:r>
            <w:r>
              <w:rPr>
                <w:b/>
                <w:i/>
                <w:sz w:val="18"/>
              </w:rPr>
              <w:t>antiplatelet</w:t>
            </w:r>
            <w:r>
              <w:rPr>
                <w:b/>
                <w:i/>
                <w:spacing w:val="-2"/>
                <w:sz w:val="18"/>
              </w:rPr>
              <w:t> </w:t>
            </w:r>
            <w:r>
              <w:rPr>
                <w:b/>
                <w:i/>
                <w:sz w:val="18"/>
              </w:rPr>
              <w:t>and</w:t>
            </w:r>
            <w:r>
              <w:rPr>
                <w:b/>
                <w:i/>
                <w:spacing w:val="-2"/>
                <w:sz w:val="18"/>
              </w:rPr>
              <w:t> anticoagulant</w:t>
            </w:r>
          </w:p>
        </w:tc>
      </w:tr>
      <w:tr>
        <w:trPr>
          <w:trHeight w:val="1180" w:hRule="atLeast"/>
        </w:trPr>
        <w:tc>
          <w:tcPr>
            <w:tcW w:w="2042" w:type="dxa"/>
            <w:gridSpan w:val="2"/>
          </w:tcPr>
          <w:p>
            <w:pPr>
              <w:pStyle w:val="TableParagraph"/>
              <w:rPr>
                <w:rFonts w:ascii="Times New Roman"/>
                <w:sz w:val="18"/>
              </w:rPr>
            </w:pPr>
          </w:p>
        </w:tc>
        <w:tc>
          <w:tcPr>
            <w:tcW w:w="2506" w:type="dxa"/>
          </w:tcPr>
          <w:p>
            <w:pPr>
              <w:pStyle w:val="TableParagraph"/>
              <w:rPr>
                <w:rFonts w:ascii="Times New Roman"/>
                <w:sz w:val="18"/>
              </w:rPr>
            </w:pPr>
          </w:p>
        </w:tc>
        <w:tc>
          <w:tcPr>
            <w:tcW w:w="1214" w:type="dxa"/>
          </w:tcPr>
          <w:p>
            <w:pPr>
              <w:pStyle w:val="TableParagraph"/>
              <w:spacing w:line="218" w:lineRule="exact"/>
              <w:ind w:left="5"/>
              <w:rPr>
                <w:sz w:val="18"/>
              </w:rPr>
            </w:pPr>
            <w:r>
              <w:rPr>
                <w:spacing w:val="-4"/>
                <w:sz w:val="18"/>
              </w:rPr>
              <w:t>VKAs</w:t>
            </w:r>
          </w:p>
        </w:tc>
        <w:tc>
          <w:tcPr>
            <w:tcW w:w="1272" w:type="dxa"/>
          </w:tcPr>
          <w:p>
            <w:pPr>
              <w:pStyle w:val="TableParagraph"/>
              <w:spacing w:line="278" w:lineRule="auto"/>
              <w:ind w:left="8" w:right="107"/>
              <w:rPr>
                <w:sz w:val="18"/>
              </w:rPr>
            </w:pPr>
            <w:r>
              <w:rPr>
                <w:sz w:val="18"/>
              </w:rPr>
              <w:t>Combination</w:t>
            </w:r>
            <w:r>
              <w:rPr>
                <w:spacing w:val="-11"/>
                <w:sz w:val="18"/>
              </w:rPr>
              <w:t> </w:t>
            </w:r>
            <w:r>
              <w:rPr>
                <w:sz w:val="18"/>
              </w:rPr>
              <w:t>of an</w:t>
            </w:r>
            <w:r>
              <w:rPr>
                <w:spacing w:val="-2"/>
                <w:sz w:val="18"/>
              </w:rPr>
              <w:t> </w:t>
            </w:r>
            <w:r>
              <w:rPr>
                <w:sz w:val="18"/>
              </w:rPr>
              <w:t>antiplatelet </w:t>
            </w:r>
            <w:r>
              <w:rPr>
                <w:spacing w:val="-4"/>
                <w:sz w:val="18"/>
              </w:rPr>
              <w:t>and</w:t>
            </w:r>
            <w:r>
              <w:rPr>
                <w:sz w:val="18"/>
              </w:rPr>
              <w:t> </w:t>
            </w:r>
            <w:r>
              <w:rPr>
                <w:spacing w:val="-2"/>
                <w:sz w:val="18"/>
              </w:rPr>
              <w:t>anticoagulant</w:t>
            </w:r>
          </w:p>
        </w:tc>
        <w:tc>
          <w:tcPr>
            <w:tcW w:w="2028" w:type="dxa"/>
          </w:tcPr>
          <w:p>
            <w:pPr>
              <w:pStyle w:val="TableParagraph"/>
              <w:rPr>
                <w:rFonts w:ascii="Times New Roman"/>
                <w:sz w:val="18"/>
              </w:rPr>
            </w:pPr>
          </w:p>
        </w:tc>
        <w:tc>
          <w:tcPr>
            <w:tcW w:w="4882" w:type="dxa"/>
          </w:tcPr>
          <w:p>
            <w:pPr>
              <w:pStyle w:val="TableParagraph"/>
              <w:rPr>
                <w:rFonts w:ascii="Times New Roman"/>
                <w:sz w:val="18"/>
              </w:rPr>
            </w:pPr>
          </w:p>
        </w:tc>
      </w:tr>
      <w:tr>
        <w:trPr>
          <w:trHeight w:val="832" w:hRule="atLeast"/>
        </w:trPr>
        <w:tc>
          <w:tcPr>
            <w:tcW w:w="2042" w:type="dxa"/>
            <w:gridSpan w:val="2"/>
            <w:vMerge w:val="restart"/>
          </w:tcPr>
          <w:p>
            <w:pPr>
              <w:pStyle w:val="TableParagraph"/>
              <w:spacing w:line="278" w:lineRule="auto" w:before="1"/>
              <w:ind w:left="6" w:right="104"/>
              <w:rPr>
                <w:sz w:val="18"/>
              </w:rPr>
            </w:pPr>
            <w:r>
              <w:rPr>
                <w:sz w:val="18"/>
              </w:rPr>
              <w:t>Thrombotic</w:t>
            </w:r>
            <w:r>
              <w:rPr>
                <w:spacing w:val="-11"/>
                <w:sz w:val="18"/>
              </w:rPr>
              <w:t> </w:t>
            </w:r>
            <w:r>
              <w:rPr>
                <w:sz w:val="18"/>
              </w:rPr>
              <w:t>complications </w:t>
            </w:r>
            <w:r>
              <w:rPr>
                <w:spacing w:val="-2"/>
                <w:sz w:val="18"/>
              </w:rPr>
              <w:t>(critical)</w:t>
            </w:r>
          </w:p>
        </w:tc>
        <w:tc>
          <w:tcPr>
            <w:tcW w:w="2506" w:type="dxa"/>
            <w:vMerge w:val="restart"/>
          </w:tcPr>
          <w:p>
            <w:pPr>
              <w:pStyle w:val="TableParagraph"/>
              <w:spacing w:before="1"/>
              <w:ind w:left="7"/>
              <w:rPr>
                <w:b/>
                <w:sz w:val="18"/>
              </w:rPr>
            </w:pPr>
            <w:r>
              <w:rPr>
                <w:sz w:val="18"/>
              </w:rPr>
              <w:t>Relative</w:t>
            </w:r>
            <w:r>
              <w:rPr>
                <w:spacing w:val="-3"/>
                <w:sz w:val="18"/>
              </w:rPr>
              <w:t> </w:t>
            </w:r>
            <w:r>
              <w:rPr>
                <w:sz w:val="18"/>
              </w:rPr>
              <w:t>risk:</w:t>
            </w:r>
            <w:r>
              <w:rPr>
                <w:spacing w:val="-2"/>
                <w:sz w:val="18"/>
              </w:rPr>
              <w:t> </w:t>
            </w:r>
            <w:r>
              <w:rPr>
                <w:b/>
                <w:spacing w:val="-4"/>
                <w:sz w:val="18"/>
              </w:rPr>
              <w:t>3.93</w:t>
            </w:r>
          </w:p>
          <w:p>
            <w:pPr>
              <w:pStyle w:val="TableParagraph"/>
              <w:spacing w:before="196"/>
              <w:ind w:left="7"/>
              <w:rPr>
                <w:sz w:val="18"/>
              </w:rPr>
            </w:pPr>
            <w:r>
              <w:rPr>
                <w:sz w:val="18"/>
              </w:rPr>
              <w:t>(95%</w:t>
            </w:r>
            <w:r>
              <w:rPr>
                <w:spacing w:val="-1"/>
                <w:sz w:val="18"/>
              </w:rPr>
              <w:t> </w:t>
            </w:r>
            <w:r>
              <w:rPr>
                <w:sz w:val="18"/>
              </w:rPr>
              <w:t>CI 0.23 to </w:t>
            </w:r>
            <w:r>
              <w:rPr>
                <w:spacing w:val="-2"/>
                <w:sz w:val="18"/>
              </w:rPr>
              <w:t>66.86)</w:t>
            </w:r>
          </w:p>
          <w:p>
            <w:pPr>
              <w:pStyle w:val="TableParagraph"/>
              <w:rPr>
                <w:sz w:val="18"/>
              </w:rPr>
            </w:pPr>
          </w:p>
          <w:p>
            <w:pPr>
              <w:pStyle w:val="TableParagraph"/>
              <w:spacing w:before="171"/>
              <w:rPr>
                <w:sz w:val="18"/>
              </w:rPr>
            </w:pPr>
          </w:p>
          <w:p>
            <w:pPr>
              <w:pStyle w:val="TableParagraph"/>
              <w:spacing w:line="278" w:lineRule="auto"/>
              <w:ind w:left="7" w:right="643"/>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55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before="160"/>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1214" w:type="dxa"/>
          </w:tcPr>
          <w:p>
            <w:pPr>
              <w:pStyle w:val="TableParagraph"/>
              <w:spacing w:before="1"/>
              <w:ind w:left="5"/>
              <w:rPr>
                <w:b/>
                <w:sz w:val="18"/>
              </w:rPr>
            </w:pPr>
            <w:r>
              <w:rPr>
                <w:b/>
                <w:spacing w:val="-5"/>
                <w:sz w:val="18"/>
              </w:rPr>
              <w:t>12</w:t>
            </w:r>
          </w:p>
          <w:p>
            <w:pPr>
              <w:pStyle w:val="TableParagraph"/>
              <w:spacing w:before="196"/>
              <w:ind w:left="5"/>
              <w:rPr>
                <w:sz w:val="18"/>
              </w:rPr>
            </w:pPr>
            <w:r>
              <w:rPr>
                <w:sz w:val="18"/>
              </w:rPr>
              <w:t>per</w:t>
            </w:r>
            <w:r>
              <w:rPr>
                <w:spacing w:val="-3"/>
                <w:sz w:val="18"/>
              </w:rPr>
              <w:t> </w:t>
            </w:r>
            <w:r>
              <w:rPr>
                <w:spacing w:val="-5"/>
                <w:sz w:val="18"/>
              </w:rPr>
              <w:t>100</w:t>
            </w:r>
          </w:p>
        </w:tc>
        <w:tc>
          <w:tcPr>
            <w:tcW w:w="1272" w:type="dxa"/>
          </w:tcPr>
          <w:p>
            <w:pPr>
              <w:pStyle w:val="TableParagraph"/>
              <w:spacing w:before="1"/>
              <w:ind w:left="8"/>
              <w:rPr>
                <w:b/>
                <w:sz w:val="18"/>
              </w:rPr>
            </w:pPr>
            <w:r>
              <w:rPr>
                <w:b/>
                <w:spacing w:val="-10"/>
                <w:sz w:val="18"/>
              </w:rPr>
              <w:t>0</w:t>
            </w:r>
          </w:p>
          <w:p>
            <w:pPr>
              <w:pStyle w:val="TableParagraph"/>
              <w:spacing w:before="196"/>
              <w:ind w:left="8"/>
              <w:rPr>
                <w:sz w:val="18"/>
              </w:rPr>
            </w:pPr>
            <w:r>
              <w:rPr>
                <w:sz w:val="18"/>
              </w:rPr>
              <w:t>per</w:t>
            </w:r>
            <w:r>
              <w:rPr>
                <w:spacing w:val="-3"/>
                <w:sz w:val="18"/>
              </w:rPr>
              <w:t> </w:t>
            </w:r>
            <w:r>
              <w:rPr>
                <w:spacing w:val="-5"/>
                <w:sz w:val="18"/>
              </w:rPr>
              <w:t>100</w:t>
            </w:r>
          </w:p>
        </w:tc>
        <w:tc>
          <w:tcPr>
            <w:tcW w:w="2028"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line="280" w:lineRule="auto" w:before="35"/>
              <w:ind w:left="8"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line="217" w:lineRule="exact"/>
              <w:ind w:left="8"/>
              <w:rPr>
                <w:position w:val="5"/>
                <w:sz w:val="12"/>
              </w:rPr>
            </w:pPr>
            <w:r>
              <w:rPr>
                <w:sz w:val="18"/>
              </w:rPr>
              <w:t>serious</w:t>
            </w:r>
            <w:r>
              <w:rPr>
                <w:spacing w:val="-5"/>
                <w:sz w:val="18"/>
              </w:rPr>
              <w:t> </w:t>
            </w:r>
            <w:r>
              <w:rPr>
                <w:spacing w:val="-2"/>
                <w:sz w:val="18"/>
              </w:rPr>
              <w:t>imprecision</w:t>
            </w:r>
            <w:r>
              <w:rPr>
                <w:spacing w:val="-2"/>
                <w:position w:val="5"/>
                <w:sz w:val="12"/>
              </w:rPr>
              <w:t>21</w:t>
            </w:r>
          </w:p>
        </w:tc>
        <w:tc>
          <w:tcPr>
            <w:tcW w:w="488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spacing w:line="278" w:lineRule="auto"/>
              <w:ind w:left="8" w:right="68"/>
              <w:rPr>
                <w:sz w:val="18"/>
              </w:rPr>
            </w:pPr>
            <w:r>
              <w:rPr>
                <w:sz w:val="18"/>
              </w:rPr>
              <w:t>The evidence is very uncertain about the effect of VKAs on thrombotic</w:t>
            </w:r>
            <w:r>
              <w:rPr>
                <w:spacing w:val="-6"/>
                <w:sz w:val="18"/>
              </w:rPr>
              <w:t> </w:t>
            </w:r>
            <w:r>
              <w:rPr>
                <w:sz w:val="18"/>
              </w:rPr>
              <w:t>complications,</w:t>
            </w:r>
            <w:r>
              <w:rPr>
                <w:spacing w:val="-6"/>
                <w:sz w:val="18"/>
              </w:rPr>
              <w:t> </w:t>
            </w:r>
            <w:r>
              <w:rPr>
                <w:sz w:val="18"/>
              </w:rPr>
              <w:t>when</w:t>
            </w:r>
            <w:r>
              <w:rPr>
                <w:spacing w:val="-5"/>
                <w:sz w:val="18"/>
              </w:rPr>
              <w:t> </w:t>
            </w:r>
            <w:r>
              <w:rPr>
                <w:sz w:val="18"/>
              </w:rPr>
              <w:t>compared</w:t>
            </w:r>
            <w:r>
              <w:rPr>
                <w:spacing w:val="-7"/>
                <w:sz w:val="18"/>
              </w:rPr>
              <w:t> </w:t>
            </w:r>
            <w:r>
              <w:rPr>
                <w:sz w:val="18"/>
              </w:rPr>
              <w:t>with</w:t>
            </w:r>
            <w:r>
              <w:rPr>
                <w:spacing w:val="-8"/>
                <w:sz w:val="18"/>
              </w:rPr>
              <w:t> </w:t>
            </w:r>
            <w:r>
              <w:rPr>
                <w:sz w:val="18"/>
              </w:rPr>
              <w:t>a</w:t>
            </w:r>
            <w:r>
              <w:rPr>
                <w:spacing w:val="-7"/>
                <w:sz w:val="18"/>
              </w:rPr>
              <w:t> </w:t>
            </w:r>
            <w:r>
              <w:rPr>
                <w:sz w:val="18"/>
              </w:rPr>
              <w:t>combination</w:t>
            </w:r>
            <w:r>
              <w:rPr>
                <w:spacing w:val="-7"/>
                <w:sz w:val="18"/>
              </w:rPr>
              <w:t> </w:t>
            </w:r>
            <w:r>
              <w:rPr>
                <w:sz w:val="18"/>
              </w:rPr>
              <w:t>of an antiplatelet and an anticoagulant in children with an</w:t>
            </w:r>
            <w:r>
              <w:rPr>
                <w:spacing w:val="40"/>
                <w:sz w:val="18"/>
              </w:rPr>
              <w:t> </w:t>
            </w:r>
            <w:r>
              <w:rPr>
                <w:sz w:val="18"/>
              </w:rPr>
              <w:t>indication for the Fontan procedure</w:t>
            </w:r>
          </w:p>
          <w:p>
            <w:pPr>
              <w:pStyle w:val="TableParagraph"/>
              <w:rPr>
                <w:sz w:val="18"/>
              </w:rPr>
            </w:pPr>
          </w:p>
          <w:p>
            <w:pPr>
              <w:pStyle w:val="TableParagraph"/>
              <w:spacing w:before="137"/>
              <w:rPr>
                <w:sz w:val="18"/>
              </w:rPr>
            </w:pPr>
          </w:p>
          <w:p>
            <w:pPr>
              <w:pStyle w:val="TableParagraph"/>
              <w:ind w:left="8"/>
              <w:rPr>
                <w:sz w:val="18"/>
              </w:rPr>
            </w:pPr>
            <w:r>
              <w:rPr>
                <w:sz w:val="18"/>
              </w:rPr>
              <w:t>(Kawamatsu,</w:t>
            </w:r>
            <w:r>
              <w:rPr>
                <w:spacing w:val="-4"/>
                <w:sz w:val="18"/>
              </w:rPr>
              <w:t> </w:t>
            </w:r>
            <w:r>
              <w:rPr>
                <w:spacing w:val="-2"/>
                <w:sz w:val="18"/>
              </w:rPr>
              <w:t>2021)</w:t>
            </w:r>
          </w:p>
        </w:tc>
      </w:tr>
      <w:tr>
        <w:trPr>
          <w:trHeight w:val="2412" w:hRule="atLeast"/>
        </w:trPr>
        <w:tc>
          <w:tcPr>
            <w:tcW w:w="2042" w:type="dxa"/>
            <w:gridSpan w:val="2"/>
            <w:vMerge/>
            <w:tcBorders>
              <w:top w:val="nil"/>
            </w:tcBorders>
          </w:tcPr>
          <w:p>
            <w:pPr>
              <w:rPr>
                <w:sz w:val="2"/>
                <w:szCs w:val="2"/>
              </w:rPr>
            </w:pPr>
          </w:p>
        </w:tc>
        <w:tc>
          <w:tcPr>
            <w:tcW w:w="2506" w:type="dxa"/>
            <w:vMerge/>
            <w:tcBorders>
              <w:top w:val="nil"/>
            </w:tcBorders>
          </w:tcPr>
          <w:p>
            <w:pPr>
              <w:rPr>
                <w:sz w:val="2"/>
                <w:szCs w:val="2"/>
              </w:rPr>
            </w:pPr>
          </w:p>
        </w:tc>
        <w:tc>
          <w:tcPr>
            <w:tcW w:w="2486" w:type="dxa"/>
            <w:gridSpan w:val="2"/>
          </w:tcPr>
          <w:p>
            <w:pPr>
              <w:pStyle w:val="TableParagraph"/>
              <w:rPr>
                <w:sz w:val="18"/>
              </w:rPr>
            </w:pPr>
          </w:p>
          <w:p>
            <w:pPr>
              <w:pStyle w:val="TableParagraph"/>
              <w:rPr>
                <w:sz w:val="18"/>
              </w:rPr>
            </w:pPr>
          </w:p>
          <w:p>
            <w:pPr>
              <w:pStyle w:val="TableParagraph"/>
              <w:spacing w:before="169"/>
              <w:rPr>
                <w:sz w:val="18"/>
              </w:rPr>
            </w:pPr>
          </w:p>
          <w:p>
            <w:pPr>
              <w:pStyle w:val="TableParagraph"/>
              <w:spacing w:before="1"/>
              <w:ind w:left="5"/>
              <w:rPr>
                <w:b/>
                <w:sz w:val="18"/>
              </w:rPr>
            </w:pPr>
            <w:r>
              <w:rPr>
                <w:sz w:val="18"/>
              </w:rPr>
              <w:t>Difference:</w:t>
            </w:r>
            <w:r>
              <w:rPr>
                <w:spacing w:val="-2"/>
                <w:sz w:val="18"/>
              </w:rPr>
              <w:t> </w:t>
            </w:r>
            <w:r>
              <w:rPr>
                <w:b/>
                <w:sz w:val="18"/>
              </w:rPr>
              <w:t>12</w:t>
            </w:r>
            <w:r>
              <w:rPr>
                <w:b/>
                <w:spacing w:val="-2"/>
                <w:sz w:val="18"/>
              </w:rPr>
              <w:t> </w:t>
            </w:r>
            <w:r>
              <w:rPr>
                <w:b/>
                <w:sz w:val="18"/>
              </w:rPr>
              <w:t>more</w:t>
            </w:r>
            <w:r>
              <w:rPr>
                <w:b/>
                <w:spacing w:val="-2"/>
                <w:sz w:val="18"/>
              </w:rPr>
              <w:t> </w:t>
            </w:r>
            <w:r>
              <w:rPr>
                <w:b/>
                <w:sz w:val="18"/>
              </w:rPr>
              <w:t>per</w:t>
            </w:r>
            <w:r>
              <w:rPr>
                <w:b/>
                <w:spacing w:val="-2"/>
                <w:sz w:val="18"/>
              </w:rPr>
              <w:t> </w:t>
            </w:r>
            <w:r>
              <w:rPr>
                <w:b/>
                <w:spacing w:val="-5"/>
                <w:sz w:val="18"/>
              </w:rPr>
              <w:t>100</w:t>
            </w:r>
          </w:p>
          <w:p>
            <w:pPr>
              <w:pStyle w:val="TableParagraph"/>
              <w:spacing w:before="195"/>
              <w:ind w:left="5"/>
              <w:rPr>
                <w:sz w:val="18"/>
              </w:rPr>
            </w:pPr>
            <w:r>
              <w:rPr>
                <w:sz w:val="18"/>
              </w:rPr>
              <w:t>(95%</w:t>
            </w:r>
            <w:r>
              <w:rPr>
                <w:spacing w:val="-3"/>
                <w:sz w:val="18"/>
              </w:rPr>
              <w:t> </w:t>
            </w:r>
            <w:r>
              <w:rPr>
                <w:sz w:val="18"/>
              </w:rPr>
              <w:t>CI 1 fewer</w:t>
            </w:r>
            <w:r>
              <w:rPr>
                <w:spacing w:val="-1"/>
                <w:sz w:val="18"/>
              </w:rPr>
              <w:t> </w:t>
            </w:r>
            <w:r>
              <w:rPr>
                <w:sz w:val="18"/>
              </w:rPr>
              <w:t>to 26 </w:t>
            </w:r>
            <w:r>
              <w:rPr>
                <w:spacing w:val="-4"/>
                <w:sz w:val="18"/>
              </w:rPr>
              <w:t>more)</w:t>
            </w:r>
          </w:p>
        </w:tc>
        <w:tc>
          <w:tcPr>
            <w:tcW w:w="2028" w:type="dxa"/>
            <w:vMerge/>
            <w:tcBorders>
              <w:top w:val="nil"/>
            </w:tcBorders>
          </w:tcPr>
          <w:p>
            <w:pPr>
              <w:rPr>
                <w:sz w:val="2"/>
                <w:szCs w:val="2"/>
              </w:rPr>
            </w:pPr>
          </w:p>
        </w:tc>
        <w:tc>
          <w:tcPr>
            <w:tcW w:w="4882" w:type="dxa"/>
            <w:vMerge/>
            <w:tcBorders>
              <w:top w:val="nil"/>
            </w:tcBorders>
          </w:tcPr>
          <w:p>
            <w:pPr>
              <w:rPr>
                <w:sz w:val="2"/>
                <w:szCs w:val="2"/>
              </w:rPr>
            </w:pPr>
          </w:p>
        </w:tc>
      </w:tr>
      <w:tr>
        <w:trPr>
          <w:trHeight w:val="832" w:hRule="atLeast"/>
        </w:trPr>
        <w:tc>
          <w:tcPr>
            <w:tcW w:w="1032" w:type="dxa"/>
          </w:tcPr>
          <w:p>
            <w:pPr>
              <w:pStyle w:val="TableParagraph"/>
              <w:spacing w:line="278" w:lineRule="auto" w:before="1"/>
              <w:ind w:left="6"/>
              <w:rPr>
                <w:sz w:val="18"/>
              </w:rPr>
            </w:pPr>
            <w:r>
              <w:rPr>
                <w:spacing w:val="-2"/>
                <w:sz w:val="18"/>
              </w:rPr>
              <w:t>Hemorrhage</w:t>
            </w:r>
            <w:r>
              <w:rPr>
                <w:sz w:val="18"/>
              </w:rPr>
              <w:t> </w:t>
            </w:r>
            <w:r>
              <w:rPr>
                <w:spacing w:val="-2"/>
                <w:sz w:val="18"/>
              </w:rPr>
              <w:t>(important)</w:t>
            </w:r>
          </w:p>
        </w:tc>
        <w:tc>
          <w:tcPr>
            <w:tcW w:w="1010" w:type="dxa"/>
          </w:tcPr>
          <w:p>
            <w:pPr>
              <w:pStyle w:val="TableParagraph"/>
              <w:spacing w:line="278" w:lineRule="auto" w:before="1"/>
              <w:ind w:left="7" w:right="353"/>
              <w:rPr>
                <w:sz w:val="18"/>
              </w:rPr>
            </w:pPr>
            <w:r>
              <w:rPr>
                <w:spacing w:val="-2"/>
                <w:sz w:val="18"/>
              </w:rPr>
              <w:t>Major</w:t>
            </w:r>
            <w:r>
              <w:rPr>
                <w:sz w:val="18"/>
              </w:rPr>
              <w:t> </w:t>
            </w:r>
            <w:r>
              <w:rPr>
                <w:spacing w:val="-2"/>
                <w:sz w:val="18"/>
              </w:rPr>
              <w:t>bleeding</w:t>
            </w:r>
          </w:p>
        </w:tc>
        <w:tc>
          <w:tcPr>
            <w:tcW w:w="2506" w:type="dxa"/>
          </w:tcPr>
          <w:p>
            <w:pPr>
              <w:pStyle w:val="TableParagraph"/>
              <w:spacing w:before="1"/>
              <w:ind w:left="7"/>
              <w:rPr>
                <w:b/>
                <w:sz w:val="18"/>
              </w:rPr>
            </w:pPr>
            <w:r>
              <w:rPr>
                <w:sz w:val="18"/>
              </w:rPr>
              <w:t>Relative</w:t>
            </w:r>
            <w:r>
              <w:rPr>
                <w:spacing w:val="-3"/>
                <w:sz w:val="18"/>
              </w:rPr>
              <w:t> </w:t>
            </w:r>
            <w:r>
              <w:rPr>
                <w:sz w:val="18"/>
              </w:rPr>
              <w:t>risk:</w:t>
            </w:r>
            <w:r>
              <w:rPr>
                <w:spacing w:val="-2"/>
                <w:sz w:val="18"/>
              </w:rPr>
              <w:t> </w:t>
            </w:r>
            <w:r>
              <w:rPr>
                <w:b/>
                <w:spacing w:val="-4"/>
                <w:sz w:val="18"/>
              </w:rPr>
              <w:t>0.26</w:t>
            </w:r>
          </w:p>
          <w:p>
            <w:pPr>
              <w:pStyle w:val="TableParagraph"/>
              <w:spacing w:before="195"/>
              <w:ind w:left="7"/>
              <w:rPr>
                <w:sz w:val="18"/>
              </w:rPr>
            </w:pPr>
            <w:r>
              <w:rPr>
                <w:sz w:val="18"/>
              </w:rPr>
              <w:t>(95%</w:t>
            </w:r>
            <w:r>
              <w:rPr>
                <w:spacing w:val="-1"/>
                <w:sz w:val="18"/>
              </w:rPr>
              <w:t> </w:t>
            </w:r>
            <w:r>
              <w:rPr>
                <w:sz w:val="18"/>
              </w:rPr>
              <w:t>CI 0.11 to </w:t>
            </w:r>
            <w:r>
              <w:rPr>
                <w:spacing w:val="-4"/>
                <w:sz w:val="18"/>
              </w:rPr>
              <w:t>0.61)</w:t>
            </w:r>
          </w:p>
        </w:tc>
        <w:tc>
          <w:tcPr>
            <w:tcW w:w="1214" w:type="dxa"/>
          </w:tcPr>
          <w:p>
            <w:pPr>
              <w:pStyle w:val="TableParagraph"/>
              <w:spacing w:before="1"/>
              <w:ind w:left="5"/>
              <w:rPr>
                <w:b/>
                <w:sz w:val="18"/>
              </w:rPr>
            </w:pPr>
            <w:r>
              <w:rPr>
                <w:b/>
                <w:spacing w:val="-5"/>
                <w:sz w:val="18"/>
              </w:rPr>
              <w:t>15</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before="1"/>
              <w:ind w:left="8"/>
              <w:rPr>
                <w:b/>
                <w:sz w:val="18"/>
              </w:rPr>
            </w:pPr>
            <w:r>
              <w:rPr>
                <w:b/>
                <w:spacing w:val="-5"/>
                <w:sz w:val="18"/>
              </w:rPr>
              <w:t>57</w:t>
            </w:r>
          </w:p>
          <w:p>
            <w:pPr>
              <w:pStyle w:val="TableParagraph"/>
              <w:spacing w:before="195"/>
              <w:ind w:left="8"/>
              <w:rPr>
                <w:sz w:val="18"/>
              </w:rPr>
            </w:pPr>
            <w:r>
              <w:rPr>
                <w:sz w:val="18"/>
              </w:rPr>
              <w:t>per</w:t>
            </w:r>
            <w:r>
              <w:rPr>
                <w:spacing w:val="-3"/>
                <w:sz w:val="18"/>
              </w:rPr>
              <w:t> </w:t>
            </w:r>
            <w:r>
              <w:rPr>
                <w:spacing w:val="-5"/>
                <w:sz w:val="18"/>
              </w:rPr>
              <w:t>100</w:t>
            </w:r>
          </w:p>
        </w:tc>
        <w:tc>
          <w:tcPr>
            <w:tcW w:w="2028" w:type="dxa"/>
          </w:tcPr>
          <w:p>
            <w:pPr>
              <w:pStyle w:val="TableParagraph"/>
              <w:rPr>
                <w:rFonts w:ascii="Times New Roman"/>
                <w:sz w:val="18"/>
              </w:rPr>
            </w:pPr>
          </w:p>
        </w:tc>
        <w:tc>
          <w:tcPr>
            <w:tcW w:w="4882" w:type="dxa"/>
          </w:tcPr>
          <w:p>
            <w:pPr>
              <w:pStyle w:val="TableParagraph"/>
              <w:rPr>
                <w:rFonts w:ascii="Times New Roman"/>
                <w:sz w:val="18"/>
              </w:rPr>
            </w:pPr>
          </w:p>
        </w:tc>
      </w:tr>
    </w:tbl>
    <w:p>
      <w:pPr>
        <w:pStyle w:val="TableParagraph"/>
        <w:spacing w:after="0"/>
        <w:rPr>
          <w:rFonts w:ascii="Times New Roman"/>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032"/>
        <w:gridCol w:w="1010"/>
        <w:gridCol w:w="2506"/>
        <w:gridCol w:w="1214"/>
        <w:gridCol w:w="1272"/>
        <w:gridCol w:w="2028"/>
        <w:gridCol w:w="4882"/>
      </w:tblGrid>
      <w:tr>
        <w:trPr>
          <w:trHeight w:val="2428" w:hRule="atLeast"/>
        </w:trPr>
        <w:tc>
          <w:tcPr>
            <w:tcW w:w="1032" w:type="dxa"/>
            <w:vMerge w:val="restart"/>
          </w:tcPr>
          <w:p>
            <w:pPr>
              <w:pStyle w:val="TableParagraph"/>
              <w:rPr>
                <w:rFonts w:ascii="Times New Roman"/>
                <w:sz w:val="16"/>
              </w:rPr>
            </w:pPr>
          </w:p>
        </w:tc>
        <w:tc>
          <w:tcPr>
            <w:tcW w:w="1010" w:type="dxa"/>
          </w:tcPr>
          <w:p>
            <w:pPr>
              <w:pStyle w:val="TableParagraph"/>
              <w:rPr>
                <w:rFonts w:ascii="Times New Roman"/>
                <w:sz w:val="16"/>
              </w:rPr>
            </w:pPr>
          </w:p>
        </w:tc>
        <w:tc>
          <w:tcPr>
            <w:tcW w:w="2506" w:type="dxa"/>
          </w:tcPr>
          <w:p>
            <w:pPr>
              <w:pStyle w:val="TableParagraph"/>
              <w:spacing w:before="194"/>
              <w:rPr>
                <w:sz w:val="18"/>
              </w:rPr>
            </w:pPr>
          </w:p>
          <w:p>
            <w:pPr>
              <w:pStyle w:val="TableParagraph"/>
              <w:spacing w:line="280" w:lineRule="auto"/>
              <w:ind w:left="7" w:right="734"/>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55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before="158"/>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2486" w:type="dxa"/>
            <w:gridSpan w:val="2"/>
          </w:tcPr>
          <w:p>
            <w:pPr>
              <w:pStyle w:val="TableParagraph"/>
              <w:rPr>
                <w:sz w:val="18"/>
              </w:rPr>
            </w:pPr>
          </w:p>
          <w:p>
            <w:pPr>
              <w:pStyle w:val="TableParagraph"/>
              <w:rPr>
                <w:sz w:val="18"/>
              </w:rPr>
            </w:pPr>
          </w:p>
          <w:p>
            <w:pPr>
              <w:pStyle w:val="TableParagraph"/>
              <w:spacing w:before="169"/>
              <w:rPr>
                <w:sz w:val="18"/>
              </w:rPr>
            </w:pPr>
          </w:p>
          <w:p>
            <w:pPr>
              <w:pStyle w:val="TableParagraph"/>
              <w:spacing w:before="1"/>
              <w:ind w:left="5"/>
              <w:rPr>
                <w:b/>
                <w:sz w:val="18"/>
              </w:rPr>
            </w:pPr>
            <w:r>
              <w:rPr>
                <w:sz w:val="18"/>
              </w:rPr>
              <w:t>Difference:</w:t>
            </w:r>
            <w:r>
              <w:rPr>
                <w:spacing w:val="-3"/>
                <w:sz w:val="18"/>
              </w:rPr>
              <w:t> </w:t>
            </w:r>
            <w:r>
              <w:rPr>
                <w:b/>
                <w:sz w:val="18"/>
              </w:rPr>
              <w:t>43</w:t>
            </w:r>
            <w:r>
              <w:rPr>
                <w:b/>
                <w:spacing w:val="-2"/>
                <w:sz w:val="18"/>
              </w:rPr>
              <w:t> </w:t>
            </w:r>
            <w:r>
              <w:rPr>
                <w:b/>
                <w:sz w:val="18"/>
              </w:rPr>
              <w:t>fewer</w:t>
            </w:r>
            <w:r>
              <w:rPr>
                <w:b/>
                <w:spacing w:val="-1"/>
                <w:sz w:val="18"/>
              </w:rPr>
              <w:t> </w:t>
            </w:r>
            <w:r>
              <w:rPr>
                <w:b/>
                <w:sz w:val="18"/>
              </w:rPr>
              <w:t>per</w:t>
            </w:r>
            <w:r>
              <w:rPr>
                <w:b/>
                <w:spacing w:val="-2"/>
                <w:sz w:val="18"/>
              </w:rPr>
              <w:t> </w:t>
            </w:r>
            <w:r>
              <w:rPr>
                <w:b/>
                <w:spacing w:val="-5"/>
                <w:sz w:val="18"/>
              </w:rPr>
              <w:t>100</w:t>
            </w:r>
          </w:p>
          <w:p>
            <w:pPr>
              <w:pStyle w:val="TableParagraph"/>
              <w:spacing w:before="198"/>
              <w:ind w:left="5"/>
              <w:rPr>
                <w:sz w:val="18"/>
              </w:rPr>
            </w:pPr>
            <w:r>
              <w:rPr>
                <w:sz w:val="18"/>
              </w:rPr>
              <w:t>(95%</w:t>
            </w:r>
            <w:r>
              <w:rPr>
                <w:spacing w:val="-1"/>
                <w:sz w:val="18"/>
              </w:rPr>
              <w:t> </w:t>
            </w:r>
            <w:r>
              <w:rPr>
                <w:sz w:val="18"/>
              </w:rPr>
              <w:t>CI 71</w:t>
            </w:r>
            <w:r>
              <w:rPr>
                <w:spacing w:val="-1"/>
                <w:sz w:val="18"/>
              </w:rPr>
              <w:t> </w:t>
            </w:r>
            <w:r>
              <w:rPr>
                <w:sz w:val="18"/>
              </w:rPr>
              <w:t>fewer to</w:t>
            </w:r>
            <w:r>
              <w:rPr>
                <w:spacing w:val="-1"/>
                <w:sz w:val="18"/>
              </w:rPr>
              <w:t> </w:t>
            </w:r>
            <w:r>
              <w:rPr>
                <w:sz w:val="18"/>
              </w:rPr>
              <w:t>14 </w:t>
            </w:r>
            <w:r>
              <w:rPr>
                <w:spacing w:val="-2"/>
                <w:sz w:val="18"/>
              </w:rPr>
              <w:t>fewer)</w:t>
            </w:r>
          </w:p>
        </w:tc>
        <w:tc>
          <w:tcPr>
            <w:tcW w:w="2028" w:type="dxa"/>
          </w:tcPr>
          <w:p>
            <w:pPr>
              <w:pStyle w:val="TableParagraph"/>
              <w:spacing w:before="194"/>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before="37"/>
              <w:ind w:left="8"/>
              <w:rPr>
                <w:position w:val="5"/>
                <w:sz w:val="12"/>
              </w:rPr>
            </w:pPr>
            <w:r>
              <w:rPr>
                <w:sz w:val="18"/>
              </w:rPr>
              <w:t>Due</w:t>
            </w:r>
            <w:r>
              <w:rPr>
                <w:spacing w:val="-3"/>
                <w:sz w:val="18"/>
              </w:rPr>
              <w:t> </w:t>
            </w:r>
            <w:r>
              <w:rPr>
                <w:sz w:val="18"/>
              </w:rPr>
              <w:t>to</w:t>
            </w:r>
            <w:r>
              <w:rPr>
                <w:spacing w:val="-1"/>
                <w:sz w:val="18"/>
              </w:rPr>
              <w:t> </w:t>
            </w:r>
            <w:r>
              <w:rPr>
                <w:sz w:val="18"/>
              </w:rPr>
              <w:t>risk</w:t>
            </w:r>
            <w:r>
              <w:rPr>
                <w:spacing w:val="-2"/>
                <w:sz w:val="18"/>
              </w:rPr>
              <w:t> </w:t>
            </w:r>
            <w:r>
              <w:rPr>
                <w:sz w:val="18"/>
              </w:rPr>
              <w:t>of</w:t>
            </w:r>
            <w:r>
              <w:rPr>
                <w:spacing w:val="-2"/>
                <w:sz w:val="18"/>
              </w:rPr>
              <w:t> bias</w:t>
            </w:r>
            <w:r>
              <w:rPr>
                <w:spacing w:val="-2"/>
                <w:position w:val="5"/>
                <w:sz w:val="12"/>
              </w:rPr>
              <w:t>22</w:t>
            </w:r>
          </w:p>
        </w:tc>
        <w:tc>
          <w:tcPr>
            <w:tcW w:w="4882" w:type="dxa"/>
          </w:tcPr>
          <w:p>
            <w:pPr>
              <w:pStyle w:val="TableParagraph"/>
              <w:spacing w:before="194"/>
              <w:rPr>
                <w:sz w:val="18"/>
              </w:rPr>
            </w:pPr>
          </w:p>
          <w:p>
            <w:pPr>
              <w:pStyle w:val="TableParagraph"/>
              <w:spacing w:line="280" w:lineRule="auto"/>
              <w:ind w:left="8"/>
              <w:rPr>
                <w:sz w:val="18"/>
              </w:rPr>
            </w:pPr>
            <w:r>
              <w:rPr>
                <w:sz w:val="18"/>
              </w:rPr>
              <w:t>The evidence is very uncertain about the effect of VKAs on major bleeding, when compared with a combination of an antiplatelet and</w:t>
            </w:r>
            <w:r>
              <w:rPr>
                <w:spacing w:val="-5"/>
                <w:sz w:val="18"/>
              </w:rPr>
              <w:t> </w:t>
            </w:r>
            <w:r>
              <w:rPr>
                <w:sz w:val="18"/>
              </w:rPr>
              <w:t>an</w:t>
            </w:r>
            <w:r>
              <w:rPr>
                <w:spacing w:val="-5"/>
                <w:sz w:val="18"/>
              </w:rPr>
              <w:t> </w:t>
            </w:r>
            <w:r>
              <w:rPr>
                <w:sz w:val="18"/>
              </w:rPr>
              <w:t>anticoagulant</w:t>
            </w:r>
            <w:r>
              <w:rPr>
                <w:spacing w:val="-4"/>
                <w:sz w:val="18"/>
              </w:rPr>
              <w:t> </w:t>
            </w:r>
            <w:r>
              <w:rPr>
                <w:sz w:val="18"/>
              </w:rPr>
              <w:t>in</w:t>
            </w:r>
            <w:r>
              <w:rPr>
                <w:spacing w:val="-5"/>
                <w:sz w:val="18"/>
              </w:rPr>
              <w:t> </w:t>
            </w:r>
            <w:r>
              <w:rPr>
                <w:sz w:val="18"/>
              </w:rPr>
              <w:t>children</w:t>
            </w:r>
            <w:r>
              <w:rPr>
                <w:spacing w:val="-3"/>
                <w:sz w:val="18"/>
              </w:rPr>
              <w:t> </w:t>
            </w:r>
            <w:r>
              <w:rPr>
                <w:sz w:val="18"/>
              </w:rPr>
              <w:t>with</w:t>
            </w:r>
            <w:r>
              <w:rPr>
                <w:spacing w:val="-4"/>
                <w:sz w:val="18"/>
              </w:rPr>
              <w:t> </w:t>
            </w:r>
            <w:r>
              <w:rPr>
                <w:sz w:val="18"/>
              </w:rPr>
              <w:t>an</w:t>
            </w:r>
            <w:r>
              <w:rPr>
                <w:spacing w:val="-5"/>
                <w:sz w:val="18"/>
              </w:rPr>
              <w:t> </w:t>
            </w:r>
            <w:r>
              <w:rPr>
                <w:sz w:val="18"/>
              </w:rPr>
              <w:t>indication</w:t>
            </w:r>
            <w:r>
              <w:rPr>
                <w:spacing w:val="-5"/>
                <w:sz w:val="18"/>
              </w:rPr>
              <w:t> </w:t>
            </w:r>
            <w:r>
              <w:rPr>
                <w:sz w:val="18"/>
              </w:rPr>
              <w:t>for</w:t>
            </w:r>
            <w:r>
              <w:rPr>
                <w:spacing w:val="-4"/>
                <w:sz w:val="18"/>
              </w:rPr>
              <w:t> </w:t>
            </w:r>
            <w:r>
              <w:rPr>
                <w:sz w:val="18"/>
              </w:rPr>
              <w:t>the</w:t>
            </w:r>
            <w:r>
              <w:rPr>
                <w:spacing w:val="-3"/>
                <w:sz w:val="18"/>
              </w:rPr>
              <w:t> </w:t>
            </w:r>
            <w:r>
              <w:rPr>
                <w:sz w:val="18"/>
              </w:rPr>
              <w:t>Fontan </w:t>
            </w:r>
            <w:r>
              <w:rPr>
                <w:spacing w:val="-2"/>
                <w:sz w:val="18"/>
              </w:rPr>
              <w:t>procedure</w:t>
            </w:r>
          </w:p>
          <w:p>
            <w:pPr>
              <w:pStyle w:val="TableParagraph"/>
              <w:rPr>
                <w:sz w:val="18"/>
              </w:rPr>
            </w:pPr>
          </w:p>
          <w:p>
            <w:pPr>
              <w:pStyle w:val="TableParagraph"/>
              <w:spacing w:before="130"/>
              <w:rPr>
                <w:sz w:val="18"/>
              </w:rPr>
            </w:pPr>
          </w:p>
          <w:p>
            <w:pPr>
              <w:pStyle w:val="TableParagraph"/>
              <w:spacing w:before="1"/>
              <w:ind w:left="8"/>
              <w:rPr>
                <w:sz w:val="18"/>
              </w:rPr>
            </w:pPr>
            <w:r>
              <w:rPr>
                <w:sz w:val="18"/>
              </w:rPr>
              <w:t>(Kawamatsu,</w:t>
            </w:r>
            <w:r>
              <w:rPr>
                <w:spacing w:val="-4"/>
                <w:sz w:val="18"/>
              </w:rPr>
              <w:t> </w:t>
            </w:r>
            <w:r>
              <w:rPr>
                <w:spacing w:val="-2"/>
                <w:sz w:val="18"/>
              </w:rPr>
              <w:t>2021)</w:t>
            </w:r>
          </w:p>
        </w:tc>
      </w:tr>
      <w:tr>
        <w:trPr>
          <w:trHeight w:val="830" w:hRule="atLeast"/>
        </w:trPr>
        <w:tc>
          <w:tcPr>
            <w:tcW w:w="1032" w:type="dxa"/>
            <w:vMerge/>
            <w:tcBorders>
              <w:top w:val="nil"/>
            </w:tcBorders>
          </w:tcPr>
          <w:p>
            <w:pPr>
              <w:rPr>
                <w:sz w:val="2"/>
                <w:szCs w:val="2"/>
              </w:rPr>
            </w:pPr>
          </w:p>
        </w:tc>
        <w:tc>
          <w:tcPr>
            <w:tcW w:w="1010" w:type="dxa"/>
            <w:vMerge w:val="restart"/>
          </w:tcPr>
          <w:p>
            <w:pPr>
              <w:pStyle w:val="TableParagraph"/>
              <w:spacing w:line="280" w:lineRule="auto"/>
              <w:ind w:left="7" w:right="353"/>
              <w:rPr>
                <w:sz w:val="18"/>
              </w:rPr>
            </w:pPr>
            <w:r>
              <w:rPr>
                <w:spacing w:val="-2"/>
                <w:sz w:val="18"/>
              </w:rPr>
              <w:t>Minor</w:t>
            </w:r>
            <w:r>
              <w:rPr>
                <w:sz w:val="18"/>
              </w:rPr>
              <w:t> </w:t>
            </w:r>
            <w:r>
              <w:rPr>
                <w:spacing w:val="-2"/>
                <w:sz w:val="18"/>
              </w:rPr>
              <w:t>bleeding</w:t>
            </w:r>
          </w:p>
        </w:tc>
        <w:tc>
          <w:tcPr>
            <w:tcW w:w="2506" w:type="dxa"/>
            <w:vMerge w:val="restart"/>
          </w:tcPr>
          <w:p>
            <w:pPr>
              <w:pStyle w:val="TableParagraph"/>
              <w:spacing w:line="219" w:lineRule="exact"/>
              <w:ind w:left="7"/>
              <w:rPr>
                <w:b/>
                <w:sz w:val="18"/>
              </w:rPr>
            </w:pPr>
            <w:r>
              <w:rPr>
                <w:sz w:val="18"/>
              </w:rPr>
              <w:t>Relative</w:t>
            </w:r>
            <w:r>
              <w:rPr>
                <w:spacing w:val="-3"/>
                <w:sz w:val="18"/>
              </w:rPr>
              <w:t> </w:t>
            </w:r>
            <w:r>
              <w:rPr>
                <w:sz w:val="18"/>
              </w:rPr>
              <w:t>risk:</w:t>
            </w:r>
            <w:r>
              <w:rPr>
                <w:spacing w:val="-2"/>
                <w:sz w:val="18"/>
              </w:rPr>
              <w:t> </w:t>
            </w:r>
            <w:r>
              <w:rPr>
                <w:b/>
                <w:spacing w:val="-4"/>
                <w:sz w:val="18"/>
              </w:rPr>
              <w:t>2.50</w:t>
            </w:r>
          </w:p>
          <w:p>
            <w:pPr>
              <w:pStyle w:val="TableParagraph"/>
              <w:spacing w:before="195"/>
              <w:ind w:left="7"/>
              <w:rPr>
                <w:sz w:val="18"/>
              </w:rPr>
            </w:pPr>
            <w:r>
              <w:rPr>
                <w:sz w:val="18"/>
              </w:rPr>
              <w:t>(95%</w:t>
            </w:r>
            <w:r>
              <w:rPr>
                <w:spacing w:val="-1"/>
                <w:sz w:val="18"/>
              </w:rPr>
              <w:t> </w:t>
            </w:r>
            <w:r>
              <w:rPr>
                <w:sz w:val="18"/>
              </w:rPr>
              <w:t>CI 0.14 to </w:t>
            </w:r>
            <w:r>
              <w:rPr>
                <w:spacing w:val="-2"/>
                <w:sz w:val="18"/>
              </w:rPr>
              <w:t>45.62)</w:t>
            </w:r>
          </w:p>
          <w:p>
            <w:pPr>
              <w:pStyle w:val="TableParagraph"/>
              <w:rPr>
                <w:sz w:val="18"/>
              </w:rPr>
            </w:pPr>
          </w:p>
          <w:p>
            <w:pPr>
              <w:pStyle w:val="TableParagraph"/>
              <w:spacing w:before="171"/>
              <w:rPr>
                <w:sz w:val="18"/>
              </w:rPr>
            </w:pPr>
          </w:p>
          <w:p>
            <w:pPr>
              <w:pStyle w:val="TableParagraph"/>
              <w:spacing w:line="280" w:lineRule="auto"/>
              <w:ind w:left="7" w:right="643"/>
              <w:rPr>
                <w:sz w:val="18"/>
              </w:rPr>
            </w:pPr>
            <w:r>
              <w:rPr>
                <w:sz w:val="18"/>
              </w:rPr>
              <w:t>Based</w:t>
            </w:r>
            <w:r>
              <w:rPr>
                <w:spacing w:val="-11"/>
                <w:sz w:val="18"/>
              </w:rPr>
              <w:t> </w:t>
            </w:r>
            <w:r>
              <w:rPr>
                <w:sz w:val="18"/>
              </w:rPr>
              <w:t>on</w:t>
            </w:r>
            <w:r>
              <w:rPr>
                <w:spacing w:val="-10"/>
                <w:sz w:val="18"/>
              </w:rPr>
              <w:t> </w:t>
            </w:r>
            <w:r>
              <w:rPr>
                <w:sz w:val="18"/>
              </w:rPr>
              <w:t>data</w:t>
            </w:r>
            <w:r>
              <w:rPr>
                <w:spacing w:val="-10"/>
                <w:sz w:val="18"/>
              </w:rPr>
              <w:t> </w:t>
            </w:r>
            <w:r>
              <w:rPr>
                <w:sz w:val="18"/>
              </w:rPr>
              <w:t>from</w:t>
            </w:r>
            <w:r>
              <w:rPr>
                <w:spacing w:val="-9"/>
                <w:sz w:val="18"/>
              </w:rPr>
              <w:t> </w:t>
            </w:r>
            <w:r>
              <w:rPr>
                <w:sz w:val="18"/>
              </w:rPr>
              <w:t>55 participants</w:t>
            </w:r>
            <w:r>
              <w:rPr>
                <w:spacing w:val="-4"/>
                <w:sz w:val="18"/>
              </w:rPr>
              <w:t> </w:t>
            </w:r>
            <w:r>
              <w:rPr>
                <w:sz w:val="18"/>
              </w:rPr>
              <w:t>in</w:t>
            </w:r>
            <w:r>
              <w:rPr>
                <w:spacing w:val="-3"/>
                <w:sz w:val="18"/>
              </w:rPr>
              <w:t> </w:t>
            </w:r>
            <w:r>
              <w:rPr>
                <w:sz w:val="18"/>
              </w:rPr>
              <w:t>1</w:t>
            </w:r>
            <w:r>
              <w:rPr>
                <w:spacing w:val="-1"/>
                <w:sz w:val="18"/>
              </w:rPr>
              <w:t> </w:t>
            </w:r>
            <w:r>
              <w:rPr>
                <w:spacing w:val="-4"/>
                <w:sz w:val="18"/>
              </w:rPr>
              <w:t>study</w:t>
            </w:r>
          </w:p>
          <w:p>
            <w:pPr>
              <w:pStyle w:val="TableParagraph"/>
              <w:spacing w:before="158"/>
              <w:ind w:left="7"/>
              <w:rPr>
                <w:sz w:val="18"/>
              </w:rPr>
            </w:pPr>
            <w:r>
              <w:rPr>
                <w:sz w:val="18"/>
              </w:rPr>
              <w:t>Follow-up:</w:t>
            </w:r>
            <w:r>
              <w:rPr>
                <w:spacing w:val="-4"/>
                <w:sz w:val="18"/>
              </w:rPr>
              <w:t> </w:t>
            </w:r>
            <w:r>
              <w:rPr>
                <w:sz w:val="18"/>
              </w:rPr>
              <w:t>95</w:t>
            </w:r>
            <w:r>
              <w:rPr>
                <w:spacing w:val="-3"/>
                <w:sz w:val="18"/>
              </w:rPr>
              <w:t> </w:t>
            </w:r>
            <w:r>
              <w:rPr>
                <w:sz w:val="18"/>
              </w:rPr>
              <w:t>months</w:t>
            </w:r>
            <w:r>
              <w:rPr>
                <w:spacing w:val="-3"/>
                <w:sz w:val="18"/>
              </w:rPr>
              <w:t> </w:t>
            </w:r>
            <w:r>
              <w:rPr>
                <w:spacing w:val="-2"/>
                <w:sz w:val="18"/>
              </w:rPr>
              <w:t>(mean)</w:t>
            </w:r>
          </w:p>
        </w:tc>
        <w:tc>
          <w:tcPr>
            <w:tcW w:w="1214" w:type="dxa"/>
          </w:tcPr>
          <w:p>
            <w:pPr>
              <w:pStyle w:val="TableParagraph"/>
              <w:spacing w:line="219" w:lineRule="exact"/>
              <w:ind w:left="5"/>
              <w:rPr>
                <w:b/>
                <w:sz w:val="18"/>
              </w:rPr>
            </w:pPr>
            <w:r>
              <w:rPr>
                <w:b/>
                <w:spacing w:val="-10"/>
                <w:sz w:val="18"/>
              </w:rPr>
              <w:t>7</w:t>
            </w:r>
          </w:p>
          <w:p>
            <w:pPr>
              <w:pStyle w:val="TableParagraph"/>
              <w:spacing w:before="195"/>
              <w:ind w:left="5"/>
              <w:rPr>
                <w:sz w:val="18"/>
              </w:rPr>
            </w:pPr>
            <w:r>
              <w:rPr>
                <w:sz w:val="18"/>
              </w:rPr>
              <w:t>per</w:t>
            </w:r>
            <w:r>
              <w:rPr>
                <w:spacing w:val="-3"/>
                <w:sz w:val="18"/>
              </w:rPr>
              <w:t> </w:t>
            </w:r>
            <w:r>
              <w:rPr>
                <w:spacing w:val="-5"/>
                <w:sz w:val="18"/>
              </w:rPr>
              <w:t>100</w:t>
            </w:r>
          </w:p>
        </w:tc>
        <w:tc>
          <w:tcPr>
            <w:tcW w:w="1272" w:type="dxa"/>
          </w:tcPr>
          <w:p>
            <w:pPr>
              <w:pStyle w:val="TableParagraph"/>
              <w:spacing w:line="219" w:lineRule="exact"/>
              <w:ind w:left="8"/>
              <w:rPr>
                <w:b/>
                <w:sz w:val="18"/>
              </w:rPr>
            </w:pPr>
            <w:r>
              <w:rPr>
                <w:b/>
                <w:spacing w:val="-10"/>
                <w:sz w:val="18"/>
              </w:rPr>
              <w:t>0</w:t>
            </w:r>
          </w:p>
          <w:p>
            <w:pPr>
              <w:pStyle w:val="TableParagraph"/>
              <w:spacing w:before="195"/>
              <w:ind w:left="8"/>
              <w:rPr>
                <w:sz w:val="18"/>
              </w:rPr>
            </w:pPr>
            <w:r>
              <w:rPr>
                <w:sz w:val="18"/>
              </w:rPr>
              <w:t>per</w:t>
            </w:r>
            <w:r>
              <w:rPr>
                <w:spacing w:val="-3"/>
                <w:sz w:val="18"/>
              </w:rPr>
              <w:t> </w:t>
            </w:r>
            <w:r>
              <w:rPr>
                <w:spacing w:val="-5"/>
                <w:sz w:val="18"/>
              </w:rPr>
              <w:t>100</w:t>
            </w:r>
          </w:p>
        </w:tc>
        <w:tc>
          <w:tcPr>
            <w:tcW w:w="2028"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6"/>
              <w:rPr>
                <w:sz w:val="18"/>
              </w:rPr>
            </w:pPr>
          </w:p>
          <w:p>
            <w:pPr>
              <w:pStyle w:val="TableParagraph"/>
              <w:ind w:left="8"/>
              <w:rPr>
                <w:b/>
                <w:sz w:val="18"/>
              </w:rPr>
            </w:pPr>
            <w:r>
              <w:rPr>
                <w:b/>
                <w:sz w:val="18"/>
              </w:rPr>
              <w:t>Very</w:t>
            </w:r>
            <w:r>
              <w:rPr>
                <w:b/>
                <w:spacing w:val="-1"/>
                <w:sz w:val="18"/>
              </w:rPr>
              <w:t> </w:t>
            </w:r>
            <w:r>
              <w:rPr>
                <w:b/>
                <w:spacing w:val="-5"/>
                <w:sz w:val="18"/>
              </w:rPr>
              <w:t>low</w:t>
            </w:r>
          </w:p>
          <w:p>
            <w:pPr>
              <w:pStyle w:val="TableParagraph"/>
              <w:spacing w:line="278" w:lineRule="auto" w:before="37"/>
              <w:ind w:left="8" w:right="236"/>
              <w:rPr>
                <w:sz w:val="18"/>
              </w:rPr>
            </w:pPr>
            <w:r>
              <w:rPr>
                <w:sz w:val="18"/>
              </w:rPr>
              <w:t>Due</w:t>
            </w:r>
            <w:r>
              <w:rPr>
                <w:spacing w:val="-9"/>
                <w:sz w:val="18"/>
              </w:rPr>
              <w:t> </w:t>
            </w:r>
            <w:r>
              <w:rPr>
                <w:sz w:val="18"/>
              </w:rPr>
              <w:t>to</w:t>
            </w:r>
            <w:r>
              <w:rPr>
                <w:spacing w:val="-8"/>
                <w:sz w:val="18"/>
              </w:rPr>
              <w:t> </w:t>
            </w:r>
            <w:r>
              <w:rPr>
                <w:sz w:val="18"/>
              </w:rPr>
              <w:t>risk</w:t>
            </w:r>
            <w:r>
              <w:rPr>
                <w:spacing w:val="-8"/>
                <w:sz w:val="18"/>
              </w:rPr>
              <w:t> </w:t>
            </w:r>
            <w:r>
              <w:rPr>
                <w:sz w:val="18"/>
              </w:rPr>
              <w:t>of</w:t>
            </w:r>
            <w:r>
              <w:rPr>
                <w:spacing w:val="-9"/>
                <w:sz w:val="18"/>
              </w:rPr>
              <w:t> </w:t>
            </w:r>
            <w:r>
              <w:rPr>
                <w:sz w:val="18"/>
              </w:rPr>
              <w:t>bias,</w:t>
            </w:r>
            <w:r>
              <w:rPr>
                <w:spacing w:val="-8"/>
                <w:sz w:val="18"/>
              </w:rPr>
              <w:t> </w:t>
            </w:r>
            <w:r>
              <w:rPr>
                <w:sz w:val="18"/>
              </w:rPr>
              <w:t>due to very</w:t>
            </w:r>
          </w:p>
          <w:p>
            <w:pPr>
              <w:pStyle w:val="TableParagraph"/>
              <w:spacing w:before="1"/>
              <w:ind w:left="8"/>
              <w:rPr>
                <w:position w:val="5"/>
                <w:sz w:val="12"/>
              </w:rPr>
            </w:pPr>
            <w:r>
              <w:rPr>
                <w:sz w:val="18"/>
              </w:rPr>
              <w:t>serious</w:t>
            </w:r>
            <w:r>
              <w:rPr>
                <w:spacing w:val="-5"/>
                <w:sz w:val="18"/>
              </w:rPr>
              <w:t> </w:t>
            </w:r>
            <w:r>
              <w:rPr>
                <w:spacing w:val="-2"/>
                <w:sz w:val="18"/>
              </w:rPr>
              <w:t>imprecision</w:t>
            </w:r>
            <w:r>
              <w:rPr>
                <w:spacing w:val="-2"/>
                <w:position w:val="5"/>
                <w:sz w:val="12"/>
              </w:rPr>
              <w:t>23</w:t>
            </w:r>
          </w:p>
        </w:tc>
        <w:tc>
          <w:tcPr>
            <w:tcW w:w="488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6"/>
              <w:rPr>
                <w:sz w:val="18"/>
              </w:rPr>
            </w:pPr>
          </w:p>
          <w:p>
            <w:pPr>
              <w:pStyle w:val="TableParagraph"/>
              <w:spacing w:line="280" w:lineRule="auto"/>
              <w:ind w:left="8"/>
              <w:rPr>
                <w:sz w:val="18"/>
              </w:rPr>
            </w:pPr>
            <w:r>
              <w:rPr>
                <w:sz w:val="18"/>
              </w:rPr>
              <w:t>The evidence is</w:t>
            </w:r>
            <w:r>
              <w:rPr>
                <w:spacing w:val="-1"/>
                <w:sz w:val="18"/>
              </w:rPr>
              <w:t> </w:t>
            </w:r>
            <w:r>
              <w:rPr>
                <w:sz w:val="18"/>
              </w:rPr>
              <w:t>very uncertain</w:t>
            </w:r>
            <w:r>
              <w:rPr>
                <w:spacing w:val="-1"/>
                <w:sz w:val="18"/>
              </w:rPr>
              <w:t> </w:t>
            </w:r>
            <w:r>
              <w:rPr>
                <w:sz w:val="18"/>
              </w:rPr>
              <w:t>about the effect of VKAs on minor bleeding, when compared with a combination of an antiplatelet and</w:t>
            </w:r>
            <w:r>
              <w:rPr>
                <w:spacing w:val="-5"/>
                <w:sz w:val="18"/>
              </w:rPr>
              <w:t> </w:t>
            </w:r>
            <w:r>
              <w:rPr>
                <w:sz w:val="18"/>
              </w:rPr>
              <w:t>an</w:t>
            </w:r>
            <w:r>
              <w:rPr>
                <w:spacing w:val="-5"/>
                <w:sz w:val="18"/>
              </w:rPr>
              <w:t> </w:t>
            </w:r>
            <w:r>
              <w:rPr>
                <w:sz w:val="18"/>
              </w:rPr>
              <w:t>anticoagulant</w:t>
            </w:r>
            <w:r>
              <w:rPr>
                <w:spacing w:val="-4"/>
                <w:sz w:val="18"/>
              </w:rPr>
              <w:t> </w:t>
            </w:r>
            <w:r>
              <w:rPr>
                <w:sz w:val="18"/>
              </w:rPr>
              <w:t>in</w:t>
            </w:r>
            <w:r>
              <w:rPr>
                <w:spacing w:val="-5"/>
                <w:sz w:val="18"/>
              </w:rPr>
              <w:t> </w:t>
            </w:r>
            <w:r>
              <w:rPr>
                <w:sz w:val="18"/>
              </w:rPr>
              <w:t>children</w:t>
            </w:r>
            <w:r>
              <w:rPr>
                <w:spacing w:val="-3"/>
                <w:sz w:val="18"/>
              </w:rPr>
              <w:t> </w:t>
            </w:r>
            <w:r>
              <w:rPr>
                <w:sz w:val="18"/>
              </w:rPr>
              <w:t>with</w:t>
            </w:r>
            <w:r>
              <w:rPr>
                <w:spacing w:val="-4"/>
                <w:sz w:val="18"/>
              </w:rPr>
              <w:t> </w:t>
            </w:r>
            <w:r>
              <w:rPr>
                <w:sz w:val="18"/>
              </w:rPr>
              <w:t>an</w:t>
            </w:r>
            <w:r>
              <w:rPr>
                <w:spacing w:val="-5"/>
                <w:sz w:val="18"/>
              </w:rPr>
              <w:t> </w:t>
            </w:r>
            <w:r>
              <w:rPr>
                <w:sz w:val="18"/>
              </w:rPr>
              <w:t>indication</w:t>
            </w:r>
            <w:r>
              <w:rPr>
                <w:spacing w:val="-5"/>
                <w:sz w:val="18"/>
              </w:rPr>
              <w:t> </w:t>
            </w:r>
            <w:r>
              <w:rPr>
                <w:sz w:val="18"/>
              </w:rPr>
              <w:t>for</w:t>
            </w:r>
            <w:r>
              <w:rPr>
                <w:spacing w:val="-4"/>
                <w:sz w:val="18"/>
              </w:rPr>
              <w:t> </w:t>
            </w:r>
            <w:r>
              <w:rPr>
                <w:sz w:val="18"/>
              </w:rPr>
              <w:t>the</w:t>
            </w:r>
            <w:r>
              <w:rPr>
                <w:spacing w:val="-3"/>
                <w:sz w:val="18"/>
              </w:rPr>
              <w:t> </w:t>
            </w:r>
            <w:r>
              <w:rPr>
                <w:sz w:val="18"/>
              </w:rPr>
              <w:t>Fontan </w:t>
            </w:r>
            <w:r>
              <w:rPr>
                <w:spacing w:val="-2"/>
                <w:sz w:val="18"/>
              </w:rPr>
              <w:t>procedure</w:t>
            </w:r>
          </w:p>
          <w:p>
            <w:pPr>
              <w:pStyle w:val="TableParagraph"/>
              <w:rPr>
                <w:sz w:val="18"/>
              </w:rPr>
            </w:pPr>
          </w:p>
          <w:p>
            <w:pPr>
              <w:pStyle w:val="TableParagraph"/>
              <w:spacing w:before="131"/>
              <w:rPr>
                <w:sz w:val="18"/>
              </w:rPr>
            </w:pPr>
          </w:p>
          <w:p>
            <w:pPr>
              <w:pStyle w:val="TableParagraph"/>
              <w:ind w:left="8"/>
              <w:rPr>
                <w:sz w:val="18"/>
              </w:rPr>
            </w:pPr>
            <w:r>
              <w:rPr>
                <w:sz w:val="18"/>
              </w:rPr>
              <w:t>(Kawamatsu,</w:t>
            </w:r>
            <w:r>
              <w:rPr>
                <w:spacing w:val="-4"/>
                <w:sz w:val="18"/>
              </w:rPr>
              <w:t> </w:t>
            </w:r>
            <w:r>
              <w:rPr>
                <w:spacing w:val="-2"/>
                <w:sz w:val="18"/>
              </w:rPr>
              <w:t>2021)</w:t>
            </w:r>
          </w:p>
        </w:tc>
      </w:tr>
      <w:tr>
        <w:trPr>
          <w:trHeight w:val="2414" w:hRule="atLeast"/>
        </w:trPr>
        <w:tc>
          <w:tcPr>
            <w:tcW w:w="1032" w:type="dxa"/>
            <w:vMerge/>
            <w:tcBorders>
              <w:top w:val="nil"/>
            </w:tcBorders>
          </w:tcPr>
          <w:p>
            <w:pPr>
              <w:rPr>
                <w:sz w:val="2"/>
                <w:szCs w:val="2"/>
              </w:rPr>
            </w:pPr>
          </w:p>
        </w:tc>
        <w:tc>
          <w:tcPr>
            <w:tcW w:w="1010" w:type="dxa"/>
            <w:vMerge/>
            <w:tcBorders>
              <w:top w:val="nil"/>
            </w:tcBorders>
          </w:tcPr>
          <w:p>
            <w:pPr>
              <w:rPr>
                <w:sz w:val="2"/>
                <w:szCs w:val="2"/>
              </w:rPr>
            </w:pPr>
          </w:p>
        </w:tc>
        <w:tc>
          <w:tcPr>
            <w:tcW w:w="2506" w:type="dxa"/>
            <w:vMerge/>
            <w:tcBorders>
              <w:top w:val="nil"/>
            </w:tcBorders>
          </w:tcPr>
          <w:p>
            <w:pPr>
              <w:rPr>
                <w:sz w:val="2"/>
                <w:szCs w:val="2"/>
              </w:rPr>
            </w:pPr>
          </w:p>
        </w:tc>
        <w:tc>
          <w:tcPr>
            <w:tcW w:w="2486" w:type="dxa"/>
            <w:gridSpan w:val="2"/>
          </w:tcPr>
          <w:p>
            <w:pPr>
              <w:pStyle w:val="TableParagraph"/>
              <w:rPr>
                <w:sz w:val="18"/>
              </w:rPr>
            </w:pPr>
          </w:p>
          <w:p>
            <w:pPr>
              <w:pStyle w:val="TableParagraph"/>
              <w:rPr>
                <w:sz w:val="18"/>
              </w:rPr>
            </w:pPr>
          </w:p>
          <w:p>
            <w:pPr>
              <w:pStyle w:val="TableParagraph"/>
              <w:spacing w:before="172"/>
              <w:rPr>
                <w:sz w:val="18"/>
              </w:rPr>
            </w:pPr>
          </w:p>
          <w:p>
            <w:pPr>
              <w:pStyle w:val="TableParagraph"/>
              <w:ind w:left="5"/>
              <w:rPr>
                <w:b/>
                <w:sz w:val="18"/>
              </w:rPr>
            </w:pPr>
            <w:r>
              <w:rPr>
                <w:sz w:val="18"/>
              </w:rPr>
              <w:t>Difference:</w:t>
            </w:r>
            <w:r>
              <w:rPr>
                <w:spacing w:val="-3"/>
                <w:sz w:val="18"/>
              </w:rPr>
              <w:t> </w:t>
            </w:r>
            <w:r>
              <w:rPr>
                <w:b/>
                <w:sz w:val="18"/>
              </w:rPr>
              <w:t>7</w:t>
            </w:r>
            <w:r>
              <w:rPr>
                <w:b/>
                <w:spacing w:val="-2"/>
                <w:sz w:val="18"/>
              </w:rPr>
              <w:t> </w:t>
            </w:r>
            <w:r>
              <w:rPr>
                <w:b/>
                <w:sz w:val="18"/>
              </w:rPr>
              <w:t>fewer</w:t>
            </w:r>
            <w:r>
              <w:rPr>
                <w:b/>
                <w:spacing w:val="-1"/>
                <w:sz w:val="18"/>
              </w:rPr>
              <w:t> </w:t>
            </w:r>
            <w:r>
              <w:rPr>
                <w:b/>
                <w:sz w:val="18"/>
              </w:rPr>
              <w:t>per</w:t>
            </w:r>
            <w:r>
              <w:rPr>
                <w:b/>
                <w:spacing w:val="-2"/>
                <w:sz w:val="18"/>
              </w:rPr>
              <w:t> </w:t>
            </w:r>
            <w:r>
              <w:rPr>
                <w:b/>
                <w:spacing w:val="-5"/>
                <w:sz w:val="18"/>
              </w:rPr>
              <w:t>100</w:t>
            </w:r>
          </w:p>
          <w:p>
            <w:pPr>
              <w:pStyle w:val="TableParagraph"/>
              <w:spacing w:before="196"/>
              <w:ind w:left="5"/>
              <w:rPr>
                <w:sz w:val="18"/>
              </w:rPr>
            </w:pPr>
            <w:r>
              <w:rPr>
                <w:sz w:val="18"/>
              </w:rPr>
              <w:t>(95%</w:t>
            </w:r>
            <w:r>
              <w:rPr>
                <w:spacing w:val="-3"/>
                <w:sz w:val="18"/>
              </w:rPr>
              <w:t> </w:t>
            </w:r>
            <w:r>
              <w:rPr>
                <w:sz w:val="18"/>
              </w:rPr>
              <w:t>CI 5 fewer</w:t>
            </w:r>
            <w:r>
              <w:rPr>
                <w:spacing w:val="-1"/>
                <w:sz w:val="18"/>
              </w:rPr>
              <w:t> </w:t>
            </w:r>
            <w:r>
              <w:rPr>
                <w:sz w:val="18"/>
              </w:rPr>
              <w:t>to 20 </w:t>
            </w:r>
            <w:r>
              <w:rPr>
                <w:spacing w:val="-4"/>
                <w:sz w:val="18"/>
              </w:rPr>
              <w:t>more)</w:t>
            </w:r>
          </w:p>
        </w:tc>
        <w:tc>
          <w:tcPr>
            <w:tcW w:w="2028" w:type="dxa"/>
            <w:vMerge/>
            <w:tcBorders>
              <w:top w:val="nil"/>
            </w:tcBorders>
          </w:tcPr>
          <w:p>
            <w:pPr>
              <w:rPr>
                <w:sz w:val="2"/>
                <w:szCs w:val="2"/>
              </w:rPr>
            </w:pPr>
          </w:p>
        </w:tc>
        <w:tc>
          <w:tcPr>
            <w:tcW w:w="4882" w:type="dxa"/>
            <w:vMerge/>
            <w:tcBorders>
              <w:top w:val="nil"/>
            </w:tcBorders>
          </w:tcPr>
          <w:p>
            <w:pPr>
              <w:rPr>
                <w:sz w:val="2"/>
                <w:szCs w:val="2"/>
              </w:rPr>
            </w:pPr>
          </w:p>
        </w:tc>
      </w:tr>
      <w:tr>
        <w:trPr>
          <w:trHeight w:val="3059" w:hRule="atLeast"/>
        </w:trPr>
        <w:tc>
          <w:tcPr>
            <w:tcW w:w="2042" w:type="dxa"/>
            <w:gridSpan w:val="2"/>
          </w:tcPr>
          <w:p>
            <w:pPr>
              <w:pStyle w:val="TableParagraph"/>
              <w:numPr>
                <w:ilvl w:val="0"/>
                <w:numId w:val="65"/>
              </w:numPr>
              <w:tabs>
                <w:tab w:pos="727" w:val="left" w:leader="none"/>
              </w:tabs>
              <w:spacing w:line="273" w:lineRule="auto" w:before="0" w:after="0"/>
              <w:ind w:left="727" w:right="451" w:hanging="360"/>
              <w:jc w:val="left"/>
              <w:rPr>
                <w:sz w:val="18"/>
              </w:rPr>
            </w:pPr>
            <w:r>
              <w:rPr>
                <w:spacing w:val="-2"/>
                <w:sz w:val="18"/>
              </w:rPr>
              <w:t>Mortality</w:t>
            </w:r>
            <w:r>
              <w:rPr>
                <w:sz w:val="18"/>
              </w:rPr>
              <w:t> </w:t>
            </w:r>
            <w:r>
              <w:rPr>
                <w:spacing w:val="-2"/>
                <w:sz w:val="18"/>
              </w:rPr>
              <w:t>(important)</w:t>
            </w:r>
          </w:p>
          <w:p>
            <w:pPr>
              <w:pStyle w:val="TableParagraph"/>
              <w:numPr>
                <w:ilvl w:val="0"/>
                <w:numId w:val="65"/>
              </w:numPr>
              <w:tabs>
                <w:tab w:pos="727" w:val="left" w:leader="none"/>
              </w:tabs>
              <w:spacing w:line="273" w:lineRule="auto" w:before="167" w:after="0"/>
              <w:ind w:left="727" w:right="161" w:hanging="360"/>
              <w:jc w:val="left"/>
              <w:rPr>
                <w:sz w:val="18"/>
              </w:rPr>
            </w:pPr>
            <w:r>
              <w:rPr>
                <w:sz w:val="18"/>
              </w:rPr>
              <w:t>Ischemic</w:t>
            </w:r>
            <w:r>
              <w:rPr>
                <w:spacing w:val="-11"/>
                <w:sz w:val="18"/>
              </w:rPr>
              <w:t> </w:t>
            </w:r>
            <w:r>
              <w:rPr>
                <w:sz w:val="18"/>
              </w:rPr>
              <w:t>stroke </w:t>
            </w:r>
            <w:r>
              <w:rPr>
                <w:spacing w:val="-2"/>
                <w:sz w:val="18"/>
              </w:rPr>
              <w:t>(important)</w:t>
            </w:r>
          </w:p>
          <w:p>
            <w:pPr>
              <w:pStyle w:val="TableParagraph"/>
              <w:numPr>
                <w:ilvl w:val="0"/>
                <w:numId w:val="65"/>
              </w:numPr>
              <w:tabs>
                <w:tab w:pos="727" w:val="left" w:leader="none"/>
              </w:tabs>
              <w:spacing w:line="273" w:lineRule="auto" w:before="166" w:after="0"/>
              <w:ind w:left="727" w:right="313" w:hanging="360"/>
              <w:jc w:val="left"/>
              <w:rPr>
                <w:sz w:val="18"/>
              </w:rPr>
            </w:pPr>
            <w:r>
              <w:rPr>
                <w:sz w:val="18"/>
              </w:rPr>
              <w:t>Quality</w:t>
            </w:r>
            <w:r>
              <w:rPr>
                <w:spacing w:val="-11"/>
                <w:sz w:val="18"/>
              </w:rPr>
              <w:t> </w:t>
            </w:r>
            <w:r>
              <w:rPr>
                <w:sz w:val="18"/>
              </w:rPr>
              <w:t>of</w:t>
            </w:r>
            <w:r>
              <w:rPr>
                <w:spacing w:val="-10"/>
                <w:sz w:val="18"/>
              </w:rPr>
              <w:t> </w:t>
            </w:r>
            <w:r>
              <w:rPr>
                <w:sz w:val="18"/>
              </w:rPr>
              <w:t>life </w:t>
            </w:r>
            <w:r>
              <w:rPr>
                <w:spacing w:val="-2"/>
                <w:sz w:val="18"/>
              </w:rPr>
              <w:t>(QOL)</w:t>
            </w:r>
          </w:p>
          <w:p>
            <w:pPr>
              <w:pStyle w:val="TableParagraph"/>
              <w:spacing w:before="5"/>
              <w:ind w:left="727"/>
              <w:rPr>
                <w:sz w:val="18"/>
              </w:rPr>
            </w:pPr>
            <w:r>
              <w:rPr>
                <w:spacing w:val="-2"/>
                <w:sz w:val="18"/>
              </w:rPr>
              <w:t>(important)</w:t>
            </w:r>
          </w:p>
          <w:p>
            <w:pPr>
              <w:pStyle w:val="TableParagraph"/>
              <w:numPr>
                <w:ilvl w:val="0"/>
                <w:numId w:val="65"/>
              </w:numPr>
              <w:tabs>
                <w:tab w:pos="727" w:val="left" w:leader="none"/>
              </w:tabs>
              <w:spacing w:line="273" w:lineRule="auto" w:before="197" w:after="0"/>
              <w:ind w:left="727" w:right="181" w:hanging="360"/>
              <w:jc w:val="left"/>
              <w:rPr>
                <w:sz w:val="18"/>
              </w:rPr>
            </w:pPr>
            <w:r>
              <w:rPr>
                <w:sz w:val="18"/>
              </w:rPr>
              <w:t>Adverse</w:t>
            </w:r>
            <w:r>
              <w:rPr>
                <w:spacing w:val="-11"/>
                <w:sz w:val="18"/>
              </w:rPr>
              <w:t> </w:t>
            </w:r>
            <w:r>
              <w:rPr>
                <w:sz w:val="18"/>
              </w:rPr>
              <w:t>events </w:t>
            </w:r>
            <w:r>
              <w:rPr>
                <w:spacing w:val="-2"/>
                <w:sz w:val="18"/>
              </w:rPr>
              <w:t>(important)</w:t>
            </w:r>
          </w:p>
        </w:tc>
        <w:tc>
          <w:tcPr>
            <w:tcW w:w="2506"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3"/>
              <w:rPr>
                <w:sz w:val="18"/>
              </w:rPr>
            </w:pPr>
          </w:p>
          <w:p>
            <w:pPr>
              <w:pStyle w:val="TableParagraph"/>
              <w:spacing w:before="1"/>
              <w:ind w:left="7"/>
              <w:rPr>
                <w:sz w:val="18"/>
              </w:rPr>
            </w:pPr>
            <w:r>
              <w:rPr>
                <w:spacing w:val="-10"/>
                <w:sz w:val="18"/>
              </w:rPr>
              <w:t>-</w:t>
            </w:r>
          </w:p>
        </w:tc>
        <w:tc>
          <w:tcPr>
            <w:tcW w:w="2486" w:type="dxa"/>
            <w:gridSpan w:val="2"/>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3"/>
              <w:rPr>
                <w:sz w:val="18"/>
              </w:rPr>
            </w:pPr>
          </w:p>
          <w:p>
            <w:pPr>
              <w:pStyle w:val="TableParagraph"/>
              <w:spacing w:before="1"/>
              <w:ind w:left="5"/>
              <w:rPr>
                <w:sz w:val="18"/>
              </w:rPr>
            </w:pPr>
            <w:r>
              <w:rPr>
                <w:spacing w:val="-10"/>
                <w:sz w:val="18"/>
              </w:rPr>
              <w:t>-</w:t>
            </w:r>
          </w:p>
        </w:tc>
        <w:tc>
          <w:tcPr>
            <w:tcW w:w="2028"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8"/>
              <w:rPr>
                <w:sz w:val="18"/>
              </w:rPr>
            </w:pPr>
          </w:p>
          <w:p>
            <w:pPr>
              <w:pStyle w:val="TableParagraph"/>
              <w:ind w:left="8"/>
              <w:rPr>
                <w:b/>
                <w:sz w:val="18"/>
              </w:rPr>
            </w:pPr>
            <w:r>
              <w:rPr>
                <w:b/>
                <w:sz w:val="18"/>
              </w:rPr>
              <w:t>No</w:t>
            </w:r>
            <w:r>
              <w:rPr>
                <w:b/>
                <w:spacing w:val="-5"/>
                <w:sz w:val="18"/>
              </w:rPr>
              <w:t> </w:t>
            </w:r>
            <w:r>
              <w:rPr>
                <w:b/>
                <w:spacing w:val="-2"/>
                <w:sz w:val="18"/>
              </w:rPr>
              <w:t>GRADE</w:t>
            </w:r>
          </w:p>
          <w:p>
            <w:pPr>
              <w:pStyle w:val="TableParagraph"/>
              <w:spacing w:before="34"/>
              <w:ind w:left="8"/>
              <w:rPr>
                <w:sz w:val="18"/>
              </w:rPr>
            </w:pPr>
            <w:r>
              <w:rPr>
                <w:sz w:val="18"/>
              </w:rPr>
              <w:t>(No</w:t>
            </w:r>
            <w:r>
              <w:rPr>
                <w:spacing w:val="-4"/>
                <w:sz w:val="18"/>
              </w:rPr>
              <w:t> </w:t>
            </w:r>
            <w:r>
              <w:rPr>
                <w:sz w:val="18"/>
              </w:rPr>
              <w:t>evidence</w:t>
            </w:r>
            <w:r>
              <w:rPr>
                <w:spacing w:val="-4"/>
                <w:sz w:val="18"/>
              </w:rPr>
              <w:t> </w:t>
            </w:r>
            <w:r>
              <w:rPr>
                <w:sz w:val="18"/>
              </w:rPr>
              <w:t>was</w:t>
            </w:r>
            <w:r>
              <w:rPr>
                <w:spacing w:val="-3"/>
                <w:sz w:val="18"/>
              </w:rPr>
              <w:t> </w:t>
            </w:r>
            <w:r>
              <w:rPr>
                <w:spacing w:val="-2"/>
                <w:sz w:val="18"/>
              </w:rPr>
              <w:t>found)</w:t>
            </w:r>
          </w:p>
        </w:tc>
        <w:tc>
          <w:tcPr>
            <w:tcW w:w="4882" w:type="dxa"/>
          </w:tcPr>
          <w:p>
            <w:pPr>
              <w:pStyle w:val="TableParagraph"/>
              <w:rPr>
                <w:sz w:val="18"/>
              </w:rPr>
            </w:pPr>
          </w:p>
          <w:p>
            <w:pPr>
              <w:pStyle w:val="TableParagraph"/>
              <w:rPr>
                <w:sz w:val="18"/>
              </w:rPr>
            </w:pPr>
          </w:p>
          <w:p>
            <w:pPr>
              <w:pStyle w:val="TableParagraph"/>
              <w:rPr>
                <w:sz w:val="18"/>
              </w:rPr>
            </w:pPr>
          </w:p>
          <w:p>
            <w:pPr>
              <w:pStyle w:val="TableParagraph"/>
              <w:spacing w:before="207"/>
              <w:rPr>
                <w:sz w:val="18"/>
              </w:rPr>
            </w:pPr>
          </w:p>
          <w:p>
            <w:pPr>
              <w:pStyle w:val="TableParagraph"/>
              <w:spacing w:line="278" w:lineRule="auto"/>
              <w:ind w:left="8"/>
              <w:rPr>
                <w:sz w:val="18"/>
              </w:rPr>
            </w:pPr>
            <w:r>
              <w:rPr>
                <w:sz w:val="18"/>
              </w:rPr>
              <w:t>No evidence was found regarding the effect of VKAs on mortality, ischemic stroke, quality of life (QOL), and adverse events, when compared</w:t>
            </w:r>
            <w:r>
              <w:rPr>
                <w:spacing w:val="-6"/>
                <w:sz w:val="18"/>
              </w:rPr>
              <w:t> </w:t>
            </w:r>
            <w:r>
              <w:rPr>
                <w:sz w:val="18"/>
              </w:rPr>
              <w:t>with</w:t>
            </w:r>
            <w:r>
              <w:rPr>
                <w:spacing w:val="-6"/>
                <w:sz w:val="18"/>
              </w:rPr>
              <w:t> </w:t>
            </w:r>
            <w:r>
              <w:rPr>
                <w:sz w:val="18"/>
              </w:rPr>
              <w:t>a</w:t>
            </w:r>
            <w:r>
              <w:rPr>
                <w:spacing w:val="-6"/>
                <w:sz w:val="18"/>
              </w:rPr>
              <w:t> </w:t>
            </w:r>
            <w:r>
              <w:rPr>
                <w:sz w:val="18"/>
              </w:rPr>
              <w:t>combination</w:t>
            </w:r>
            <w:r>
              <w:rPr>
                <w:spacing w:val="-6"/>
                <w:sz w:val="18"/>
              </w:rPr>
              <w:t> </w:t>
            </w:r>
            <w:r>
              <w:rPr>
                <w:sz w:val="18"/>
              </w:rPr>
              <w:t>of</w:t>
            </w:r>
            <w:r>
              <w:rPr>
                <w:spacing w:val="-6"/>
                <w:sz w:val="18"/>
              </w:rPr>
              <w:t> </w:t>
            </w:r>
            <w:r>
              <w:rPr>
                <w:sz w:val="18"/>
              </w:rPr>
              <w:t>an</w:t>
            </w:r>
            <w:r>
              <w:rPr>
                <w:spacing w:val="-6"/>
                <w:sz w:val="18"/>
              </w:rPr>
              <w:t> </w:t>
            </w:r>
            <w:r>
              <w:rPr>
                <w:sz w:val="18"/>
              </w:rPr>
              <w:t>antiplatelet</w:t>
            </w:r>
            <w:r>
              <w:rPr>
                <w:spacing w:val="-5"/>
                <w:sz w:val="18"/>
              </w:rPr>
              <w:t> </w:t>
            </w:r>
            <w:r>
              <w:rPr>
                <w:sz w:val="18"/>
              </w:rPr>
              <w:t>and</w:t>
            </w:r>
            <w:r>
              <w:rPr>
                <w:spacing w:val="-6"/>
                <w:sz w:val="18"/>
              </w:rPr>
              <w:t> </w:t>
            </w:r>
            <w:r>
              <w:rPr>
                <w:sz w:val="18"/>
              </w:rPr>
              <w:t>anticoagulant in children with an indication for the Fontan procedure</w:t>
            </w:r>
          </w:p>
        </w:tc>
      </w:tr>
    </w:tbl>
    <w:p>
      <w:pPr>
        <w:pStyle w:val="TableParagraph"/>
        <w:spacing w:after="0" w:line="278" w:lineRule="auto"/>
        <w:rPr>
          <w:sz w:val="18"/>
        </w:rPr>
        <w:sectPr>
          <w:pgSz w:w="16840" w:h="11910" w:orient="landscape"/>
          <w:pgMar w:top="1340" w:bottom="280" w:left="1417" w:right="992"/>
        </w:sectPr>
      </w:pPr>
    </w:p>
    <w:p>
      <w:pPr>
        <w:pStyle w:val="ListParagraph"/>
        <w:numPr>
          <w:ilvl w:val="0"/>
          <w:numId w:val="66"/>
        </w:numPr>
        <w:tabs>
          <w:tab w:pos="743" w:val="left" w:leader="none"/>
        </w:tabs>
        <w:spacing w:line="240" w:lineRule="auto" w:before="95" w:after="0"/>
        <w:ind w:left="743" w:right="936" w:hanging="360"/>
        <w:jc w:val="left"/>
        <w:rPr>
          <w:sz w:val="18"/>
        </w:rPr>
      </w:pPr>
      <w:r>
        <w:rPr>
          <w:b/>
          <w:sz w:val="18"/>
        </w:rPr>
        <w:t>Risk of bias: some concerns (-1 level). </w:t>
      </w:r>
      <w:r>
        <w:rPr>
          <w:sz w:val="18"/>
        </w:rPr>
        <w:t>It is unclear whether the outcomes of interest were not present at the start of the study, confounder adjustment is not consistently conducted</w:t>
      </w:r>
      <w:r>
        <w:rPr>
          <w:spacing w:val="-3"/>
          <w:sz w:val="18"/>
        </w:rPr>
        <w:t> </w:t>
      </w:r>
      <w:r>
        <w:rPr>
          <w:sz w:val="18"/>
        </w:rPr>
        <w:t>across</w:t>
      </w:r>
      <w:r>
        <w:rPr>
          <w:spacing w:val="-3"/>
          <w:sz w:val="18"/>
        </w:rPr>
        <w:t> </w:t>
      </w:r>
      <w:r>
        <w:rPr>
          <w:sz w:val="18"/>
        </w:rPr>
        <w:t>all study,</w:t>
      </w:r>
      <w:r>
        <w:rPr>
          <w:spacing w:val="-2"/>
          <w:sz w:val="18"/>
        </w:rPr>
        <w:t> </w:t>
      </w:r>
      <w:r>
        <w:rPr>
          <w:sz w:val="18"/>
        </w:rPr>
        <w:t>method</w:t>
      </w:r>
      <w:r>
        <w:rPr>
          <w:spacing w:val="-3"/>
          <w:sz w:val="18"/>
        </w:rPr>
        <w:t> </w:t>
      </w:r>
      <w:r>
        <w:rPr>
          <w:sz w:val="18"/>
        </w:rPr>
        <w:t>of</w:t>
      </w:r>
      <w:r>
        <w:rPr>
          <w:spacing w:val="-3"/>
          <w:sz w:val="18"/>
        </w:rPr>
        <w:t> </w:t>
      </w:r>
      <w:r>
        <w:rPr>
          <w:sz w:val="18"/>
        </w:rPr>
        <w:t>randomization</w:t>
      </w:r>
      <w:r>
        <w:rPr>
          <w:spacing w:val="-3"/>
          <w:sz w:val="18"/>
        </w:rPr>
        <w:t> </w:t>
      </w:r>
      <w:r>
        <w:rPr>
          <w:sz w:val="18"/>
        </w:rPr>
        <w:t>is</w:t>
      </w:r>
      <w:r>
        <w:rPr>
          <w:spacing w:val="-4"/>
          <w:sz w:val="18"/>
        </w:rPr>
        <w:t> </w:t>
      </w:r>
      <w:r>
        <w:rPr>
          <w:sz w:val="18"/>
        </w:rPr>
        <w:t>unclear,</w:t>
      </w:r>
      <w:r>
        <w:rPr>
          <w:spacing w:val="-2"/>
          <w:sz w:val="18"/>
        </w:rPr>
        <w:t> </w:t>
      </w:r>
      <w:r>
        <w:rPr>
          <w:sz w:val="18"/>
        </w:rPr>
        <w:t>no</w:t>
      </w:r>
      <w:r>
        <w:rPr>
          <w:spacing w:val="-2"/>
          <w:sz w:val="18"/>
        </w:rPr>
        <w:t> </w:t>
      </w:r>
      <w:r>
        <w:rPr>
          <w:sz w:val="18"/>
        </w:rPr>
        <w:t>blinding,</w:t>
      </w:r>
      <w:r>
        <w:rPr>
          <w:spacing w:val="-2"/>
          <w:sz w:val="18"/>
        </w:rPr>
        <w:t> </w:t>
      </w:r>
      <w:r>
        <w:rPr>
          <w:sz w:val="18"/>
        </w:rPr>
        <w:t>and</w:t>
      </w:r>
      <w:r>
        <w:rPr>
          <w:spacing w:val="-3"/>
          <w:sz w:val="18"/>
        </w:rPr>
        <w:t> </w:t>
      </w:r>
      <w:r>
        <w:rPr>
          <w:sz w:val="18"/>
        </w:rPr>
        <w:t>no</w:t>
      </w:r>
      <w:r>
        <w:rPr>
          <w:spacing w:val="-2"/>
          <w:sz w:val="18"/>
        </w:rPr>
        <w:t> </w:t>
      </w:r>
      <w:r>
        <w:rPr>
          <w:sz w:val="18"/>
        </w:rPr>
        <w:t>reporting</w:t>
      </w:r>
      <w:r>
        <w:rPr>
          <w:spacing w:val="-3"/>
          <w:sz w:val="18"/>
        </w:rPr>
        <w:t> </w:t>
      </w:r>
      <w:r>
        <w:rPr>
          <w:sz w:val="18"/>
        </w:rPr>
        <w:t>on</w:t>
      </w:r>
      <w:r>
        <w:rPr>
          <w:spacing w:val="-3"/>
          <w:sz w:val="18"/>
        </w:rPr>
        <w:t> </w:t>
      </w:r>
      <w:r>
        <w:rPr>
          <w:sz w:val="18"/>
        </w:rPr>
        <w:t>allocation</w:t>
      </w:r>
      <w:r>
        <w:rPr>
          <w:spacing w:val="-3"/>
          <w:sz w:val="18"/>
        </w:rPr>
        <w:t> </w:t>
      </w:r>
      <w:r>
        <w:rPr>
          <w:sz w:val="18"/>
        </w:rPr>
        <w:t>concealment. </w:t>
      </w:r>
      <w:r>
        <w:rPr>
          <w:b/>
          <w:sz w:val="18"/>
        </w:rPr>
        <w:t>Imprecision:</w:t>
      </w:r>
      <w:r>
        <w:rPr>
          <w:b/>
          <w:spacing w:val="-1"/>
          <w:sz w:val="18"/>
        </w:rPr>
        <w:t> </w:t>
      </w:r>
      <w:r>
        <w:rPr>
          <w:b/>
          <w:sz w:val="18"/>
        </w:rPr>
        <w:t>very</w:t>
      </w:r>
      <w:r>
        <w:rPr>
          <w:b/>
          <w:spacing w:val="-2"/>
          <w:sz w:val="18"/>
        </w:rPr>
        <w:t> </w:t>
      </w:r>
      <w:r>
        <w:rPr>
          <w:b/>
          <w:sz w:val="18"/>
        </w:rPr>
        <w:t>serious</w:t>
      </w:r>
      <w:r>
        <w:rPr>
          <w:b/>
          <w:spacing w:val="-1"/>
          <w:sz w:val="18"/>
        </w:rPr>
        <w:t> </w:t>
      </w:r>
      <w:r>
        <w:rPr>
          <w:b/>
          <w:sz w:val="18"/>
        </w:rPr>
        <w:t>(-2</w:t>
      </w:r>
      <w:r>
        <w:rPr>
          <w:b/>
          <w:spacing w:val="-2"/>
          <w:sz w:val="18"/>
        </w:rPr>
        <w:t> </w:t>
      </w:r>
      <w:r>
        <w:rPr>
          <w:b/>
          <w:sz w:val="18"/>
        </w:rPr>
        <w:t>levels).</w:t>
      </w:r>
      <w:r>
        <w:rPr>
          <w:b/>
          <w:spacing w:val="-2"/>
          <w:sz w:val="18"/>
        </w:rPr>
        <w:t> </w:t>
      </w:r>
      <w:r>
        <w:rPr>
          <w:sz w:val="18"/>
        </w:rPr>
        <w:t>The</w:t>
      </w:r>
      <w:r>
        <w:rPr>
          <w:spacing w:val="-3"/>
          <w:sz w:val="18"/>
        </w:rPr>
        <w:t> </w:t>
      </w:r>
      <w:r>
        <w:rPr>
          <w:sz w:val="18"/>
        </w:rPr>
        <w:t>confidence interval crosses both borders of clinical relevance.</w:t>
      </w:r>
    </w:p>
    <w:p>
      <w:pPr>
        <w:pStyle w:val="ListParagraph"/>
        <w:numPr>
          <w:ilvl w:val="0"/>
          <w:numId w:val="66"/>
        </w:numPr>
        <w:tabs>
          <w:tab w:pos="743" w:val="left" w:leader="none"/>
        </w:tabs>
        <w:spacing w:line="240" w:lineRule="auto" w:before="0" w:after="0"/>
        <w:ind w:left="743" w:right="554"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 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w:t>
      </w:r>
      <w:r>
        <w:rPr>
          <w:spacing w:val="-3"/>
          <w:sz w:val="18"/>
        </w:rPr>
        <w:t> </w:t>
      </w:r>
      <w:r>
        <w:rPr>
          <w:sz w:val="18"/>
        </w:rPr>
        <w:t>study,</w:t>
      </w:r>
      <w:r>
        <w:rPr>
          <w:spacing w:val="-2"/>
          <w:sz w:val="18"/>
        </w:rPr>
        <w:t> </w:t>
      </w:r>
      <w:r>
        <w:rPr>
          <w:sz w:val="18"/>
        </w:rPr>
        <w:t>unclear</w:t>
      </w:r>
      <w:r>
        <w:rPr>
          <w:spacing w:val="-2"/>
          <w:sz w:val="18"/>
        </w:rPr>
        <w:t> </w:t>
      </w:r>
      <w:r>
        <w:rPr>
          <w:sz w:val="18"/>
        </w:rPr>
        <w:t>reporting</w:t>
      </w:r>
      <w:r>
        <w:rPr>
          <w:spacing w:val="-3"/>
          <w:sz w:val="18"/>
        </w:rPr>
        <w:t> </w:t>
      </w:r>
      <w:r>
        <w:rPr>
          <w:sz w:val="18"/>
        </w:rPr>
        <w:t>on</w:t>
      </w:r>
      <w:r>
        <w:rPr>
          <w:spacing w:val="-3"/>
          <w:sz w:val="18"/>
        </w:rPr>
        <w:t> </w:t>
      </w:r>
      <w:r>
        <w:rPr>
          <w:sz w:val="18"/>
        </w:rPr>
        <w:t>multivariable</w:t>
      </w:r>
      <w:r>
        <w:rPr>
          <w:spacing w:val="-1"/>
          <w:sz w:val="18"/>
        </w:rPr>
        <w:t> </w:t>
      </w:r>
      <w:r>
        <w:rPr>
          <w:sz w:val="18"/>
        </w:rPr>
        <w:t>statistical</w:t>
      </w:r>
      <w:r>
        <w:rPr>
          <w:spacing w:val="-2"/>
          <w:sz w:val="18"/>
        </w:rPr>
        <w:t> </w:t>
      </w:r>
      <w:r>
        <w:rPr>
          <w:sz w:val="18"/>
        </w:rPr>
        <w:t>analyses, method of randomization unclear, and no blinding. </w:t>
      </w:r>
      <w:r>
        <w:rPr>
          <w:b/>
          <w:sz w:val="18"/>
        </w:rPr>
        <w:t>Imprecision: serious (-1 level). </w:t>
      </w:r>
      <w:r>
        <w:rPr>
          <w:sz w:val="18"/>
        </w:rPr>
        <w:t>The confidence interval crosses one border of clinical relevance.</w:t>
      </w:r>
    </w:p>
    <w:p>
      <w:pPr>
        <w:pStyle w:val="ListParagraph"/>
        <w:numPr>
          <w:ilvl w:val="0"/>
          <w:numId w:val="66"/>
        </w:numPr>
        <w:tabs>
          <w:tab w:pos="743" w:val="left" w:leader="none"/>
        </w:tabs>
        <w:spacing w:line="240" w:lineRule="auto" w:before="0" w:after="0"/>
        <w:ind w:left="743" w:right="988"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 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w:t>
      </w:r>
      <w:r>
        <w:rPr>
          <w:spacing w:val="-3"/>
          <w:sz w:val="18"/>
        </w:rPr>
        <w:t> </w:t>
      </w:r>
      <w:r>
        <w:rPr>
          <w:sz w:val="18"/>
        </w:rPr>
        <w:t>study</w:t>
      </w:r>
      <w:r>
        <w:rPr>
          <w:spacing w:val="-2"/>
          <w:sz w:val="18"/>
        </w:rPr>
        <w:t> </w:t>
      </w:r>
      <w:r>
        <w:rPr>
          <w:sz w:val="18"/>
        </w:rPr>
        <w:t>and</w:t>
      </w:r>
      <w:r>
        <w:rPr>
          <w:spacing w:val="-3"/>
          <w:sz w:val="18"/>
        </w:rPr>
        <w:t> </w:t>
      </w:r>
      <w:r>
        <w:rPr>
          <w:sz w:val="18"/>
        </w:rPr>
        <w:t>unclear</w:t>
      </w:r>
      <w:r>
        <w:rPr>
          <w:spacing w:val="-2"/>
          <w:sz w:val="18"/>
        </w:rPr>
        <w:t> </w:t>
      </w:r>
      <w:r>
        <w:rPr>
          <w:sz w:val="18"/>
        </w:rPr>
        <w:t>reporting</w:t>
      </w:r>
      <w:r>
        <w:rPr>
          <w:spacing w:val="-3"/>
          <w:sz w:val="18"/>
        </w:rPr>
        <w:t> </w:t>
      </w:r>
      <w:r>
        <w:rPr>
          <w:sz w:val="18"/>
        </w:rPr>
        <w:t>on</w:t>
      </w:r>
      <w:r>
        <w:rPr>
          <w:spacing w:val="-3"/>
          <w:sz w:val="18"/>
        </w:rPr>
        <w:t> </w:t>
      </w:r>
      <w:r>
        <w:rPr>
          <w:sz w:val="18"/>
        </w:rPr>
        <w:t>multivariable</w:t>
      </w:r>
      <w:r>
        <w:rPr>
          <w:spacing w:val="-1"/>
          <w:sz w:val="18"/>
        </w:rPr>
        <w:t> </w:t>
      </w:r>
      <w:r>
        <w:rPr>
          <w:sz w:val="18"/>
        </w:rPr>
        <w:t>statistical analyses. </w:t>
      </w:r>
      <w:r>
        <w:rPr>
          <w:b/>
          <w:sz w:val="18"/>
        </w:rPr>
        <w:t>Imprecision: serious (-1 level). </w:t>
      </w:r>
      <w:r>
        <w:rPr>
          <w:sz w:val="18"/>
        </w:rPr>
        <w:t>The confidence interval crosses one border of clinical relevance.</w:t>
      </w:r>
    </w:p>
    <w:p>
      <w:pPr>
        <w:pStyle w:val="ListParagraph"/>
        <w:numPr>
          <w:ilvl w:val="0"/>
          <w:numId w:val="66"/>
        </w:numPr>
        <w:tabs>
          <w:tab w:pos="743" w:val="left" w:leader="none"/>
        </w:tabs>
        <w:spacing w:line="240" w:lineRule="auto" w:before="0" w:after="0"/>
        <w:ind w:left="743" w:right="550" w:hanging="360"/>
        <w:jc w:val="left"/>
        <w:rPr>
          <w:sz w:val="18"/>
        </w:rPr>
      </w:pPr>
      <w:r>
        <w:rPr>
          <w:b/>
          <w:sz w:val="18"/>
        </w:rPr>
        <w:t>Risk</w:t>
      </w:r>
      <w:r>
        <w:rPr>
          <w:b/>
          <w:spacing w:val="-1"/>
          <w:sz w:val="18"/>
        </w:rPr>
        <w:t> </w:t>
      </w:r>
      <w:r>
        <w:rPr>
          <w:b/>
          <w:sz w:val="18"/>
        </w:rPr>
        <w:t>of</w:t>
      </w:r>
      <w:r>
        <w:rPr>
          <w:b/>
          <w:spacing w:val="-2"/>
          <w:sz w:val="18"/>
        </w:rPr>
        <w:t> </w:t>
      </w:r>
      <w:r>
        <w:rPr>
          <w:b/>
          <w:sz w:val="18"/>
        </w:rPr>
        <w:t>bias:</w:t>
      </w:r>
      <w:r>
        <w:rPr>
          <w:b/>
          <w:spacing w:val="-1"/>
          <w:sz w:val="18"/>
        </w:rPr>
        <w:t> </w:t>
      </w:r>
      <w:r>
        <w:rPr>
          <w:b/>
          <w:sz w:val="18"/>
        </w:rPr>
        <w:t>some</w:t>
      </w:r>
      <w:r>
        <w:rPr>
          <w:b/>
          <w:spacing w:val="-2"/>
          <w:sz w:val="18"/>
        </w:rPr>
        <w:t> </w:t>
      </w:r>
      <w:r>
        <w:rPr>
          <w:b/>
          <w:sz w:val="18"/>
        </w:rPr>
        <w:t>concerns</w:t>
      </w:r>
      <w:r>
        <w:rPr>
          <w:b/>
          <w:spacing w:val="-1"/>
          <w:sz w:val="18"/>
        </w:rPr>
        <w:t> </w:t>
      </w:r>
      <w:r>
        <w:rPr>
          <w:b/>
          <w:sz w:val="18"/>
        </w:rPr>
        <w:t>(-1</w:t>
      </w:r>
      <w:r>
        <w:rPr>
          <w:b/>
          <w:spacing w:val="-1"/>
          <w:sz w:val="18"/>
        </w:rPr>
        <w:t> </w:t>
      </w:r>
      <w:r>
        <w:rPr>
          <w:b/>
          <w:sz w:val="18"/>
        </w:rPr>
        <w:t>level).</w:t>
      </w:r>
      <w:r>
        <w:rPr>
          <w:b/>
          <w:spacing w:val="-1"/>
          <w:sz w:val="18"/>
        </w:rPr>
        <w:t> </w:t>
      </w:r>
      <w:r>
        <w:rPr>
          <w:sz w:val="18"/>
        </w:rPr>
        <w:t>It</w:t>
      </w:r>
      <w:r>
        <w:rPr>
          <w:spacing w:val="-1"/>
          <w:sz w:val="18"/>
        </w:rPr>
        <w:t> </w:t>
      </w:r>
      <w:r>
        <w:rPr>
          <w:sz w:val="18"/>
        </w:rPr>
        <w:t>is</w:t>
      </w:r>
      <w:r>
        <w:rPr>
          <w:spacing w:val="-3"/>
          <w:sz w:val="18"/>
        </w:rPr>
        <w:t> </w:t>
      </w:r>
      <w:r>
        <w:rPr>
          <w:sz w:val="18"/>
        </w:rPr>
        <w:t>unclear</w:t>
      </w:r>
      <w:r>
        <w:rPr>
          <w:spacing w:val="-1"/>
          <w:sz w:val="18"/>
        </w:rPr>
        <w:t> </w:t>
      </w:r>
      <w:r>
        <w:rPr>
          <w:sz w:val="18"/>
        </w:rPr>
        <w:t>whether</w:t>
      </w:r>
      <w:r>
        <w:rPr>
          <w:spacing w:val="-1"/>
          <w:sz w:val="18"/>
        </w:rPr>
        <w:t> </w:t>
      </w:r>
      <w:r>
        <w:rPr>
          <w:sz w:val="18"/>
        </w:rPr>
        <w:t>the</w:t>
      </w:r>
      <w:r>
        <w:rPr>
          <w:spacing w:val="-2"/>
          <w:sz w:val="18"/>
        </w:rPr>
        <w:t> </w:t>
      </w:r>
      <w:r>
        <w:rPr>
          <w:sz w:val="18"/>
        </w:rPr>
        <w:t>outcome</w:t>
      </w:r>
      <w:r>
        <w:rPr>
          <w:spacing w:val="-2"/>
          <w:sz w:val="18"/>
        </w:rPr>
        <w:t> </w:t>
      </w:r>
      <w:r>
        <w:rPr>
          <w:sz w:val="18"/>
        </w:rPr>
        <w:t>of</w:t>
      </w:r>
      <w:r>
        <w:rPr>
          <w:spacing w:val="-2"/>
          <w:sz w:val="18"/>
        </w:rPr>
        <w:t> </w:t>
      </w:r>
      <w:r>
        <w:rPr>
          <w:sz w:val="18"/>
        </w:rPr>
        <w:t>interest</w:t>
      </w:r>
      <w:r>
        <w:rPr>
          <w:spacing w:val="-1"/>
          <w:sz w:val="18"/>
        </w:rPr>
        <w:t> </w:t>
      </w:r>
      <w:r>
        <w:rPr>
          <w:sz w:val="18"/>
        </w:rPr>
        <w:t>was</w:t>
      </w:r>
      <w:r>
        <w:rPr>
          <w:spacing w:val="-1"/>
          <w:sz w:val="18"/>
        </w:rPr>
        <w:t> </w:t>
      </w:r>
      <w:r>
        <w:rPr>
          <w:sz w:val="18"/>
        </w:rPr>
        <w:t>not</w:t>
      </w:r>
      <w:r>
        <w:rPr>
          <w:spacing w:val="-1"/>
          <w:sz w:val="18"/>
        </w:rPr>
        <w:t> </w:t>
      </w:r>
      <w:r>
        <w:rPr>
          <w:sz w:val="18"/>
        </w:rPr>
        <w:t>present</w:t>
      </w:r>
      <w:r>
        <w:rPr>
          <w:spacing w:val="-1"/>
          <w:sz w:val="18"/>
        </w:rPr>
        <w:t> </w:t>
      </w:r>
      <w:r>
        <w:rPr>
          <w:sz w:val="18"/>
        </w:rPr>
        <w:t>at</w:t>
      </w:r>
      <w:r>
        <w:rPr>
          <w:spacing w:val="-1"/>
          <w:sz w:val="18"/>
        </w:rPr>
        <w:t> </w:t>
      </w:r>
      <w:r>
        <w:rPr>
          <w:sz w:val="18"/>
        </w:rPr>
        <w:t>the</w:t>
      </w:r>
      <w:r>
        <w:rPr>
          <w:spacing w:val="-1"/>
          <w:sz w:val="18"/>
        </w:rPr>
        <w:t> </w:t>
      </w:r>
      <w:r>
        <w:rPr>
          <w:sz w:val="18"/>
        </w:rPr>
        <w:t>start</w:t>
      </w:r>
      <w:r>
        <w:rPr>
          <w:spacing w:val="-1"/>
          <w:sz w:val="18"/>
        </w:rPr>
        <w:t> </w:t>
      </w:r>
      <w:r>
        <w:rPr>
          <w:sz w:val="18"/>
        </w:rPr>
        <w:t>of</w:t>
      </w:r>
      <w:r>
        <w:rPr>
          <w:spacing w:val="-2"/>
          <w:sz w:val="18"/>
        </w:rPr>
        <w:t> </w:t>
      </w:r>
      <w:r>
        <w:rPr>
          <w:sz w:val="18"/>
        </w:rPr>
        <w:t>the</w:t>
      </w:r>
      <w:r>
        <w:rPr>
          <w:spacing w:val="-2"/>
          <w:sz w:val="18"/>
        </w:rPr>
        <w:t> </w:t>
      </w:r>
      <w:r>
        <w:rPr>
          <w:sz w:val="18"/>
        </w:rPr>
        <w:t>study,</w:t>
      </w:r>
      <w:r>
        <w:rPr>
          <w:spacing w:val="-1"/>
          <w:sz w:val="18"/>
        </w:rPr>
        <w:t> </w:t>
      </w:r>
      <w:r>
        <w:rPr>
          <w:sz w:val="18"/>
        </w:rPr>
        <w:t>unclear</w:t>
      </w:r>
      <w:r>
        <w:rPr>
          <w:spacing w:val="-1"/>
          <w:sz w:val="18"/>
        </w:rPr>
        <w:t> </w:t>
      </w:r>
      <w:r>
        <w:rPr>
          <w:sz w:val="18"/>
        </w:rPr>
        <w:t>reporting</w:t>
      </w:r>
      <w:r>
        <w:rPr>
          <w:spacing w:val="-2"/>
          <w:sz w:val="18"/>
        </w:rPr>
        <w:t> </w:t>
      </w:r>
      <w:r>
        <w:rPr>
          <w:sz w:val="18"/>
        </w:rPr>
        <w:t>on</w:t>
      </w:r>
      <w:r>
        <w:rPr>
          <w:spacing w:val="-2"/>
          <w:sz w:val="18"/>
        </w:rPr>
        <w:t> </w:t>
      </w:r>
      <w:r>
        <w:rPr>
          <w:sz w:val="18"/>
        </w:rPr>
        <w:t>multivariable</w:t>
      </w:r>
      <w:r>
        <w:rPr>
          <w:spacing w:val="-1"/>
          <w:sz w:val="18"/>
        </w:rPr>
        <w:t> </w:t>
      </w:r>
      <w:r>
        <w:rPr>
          <w:sz w:val="18"/>
        </w:rPr>
        <w:t>statistical</w:t>
      </w:r>
      <w:r>
        <w:rPr>
          <w:spacing w:val="-1"/>
          <w:sz w:val="18"/>
        </w:rPr>
        <w:t> </w:t>
      </w:r>
      <w:r>
        <w:rPr>
          <w:sz w:val="18"/>
        </w:rPr>
        <w:t>analyses, method of randomization is unclear, and no blinding. </w:t>
      </w:r>
      <w:r>
        <w:rPr>
          <w:b/>
          <w:sz w:val="18"/>
        </w:rPr>
        <w:t>Imprecision: very serious (-2 levels). </w:t>
      </w:r>
      <w:r>
        <w:rPr>
          <w:sz w:val="18"/>
        </w:rPr>
        <w:t>The confidence interval crosses both borders of clinical relevance.</w:t>
      </w:r>
    </w:p>
    <w:p>
      <w:pPr>
        <w:pStyle w:val="ListParagraph"/>
        <w:numPr>
          <w:ilvl w:val="0"/>
          <w:numId w:val="66"/>
        </w:numPr>
        <w:tabs>
          <w:tab w:pos="743" w:val="left" w:leader="none"/>
        </w:tabs>
        <w:spacing w:line="240" w:lineRule="auto" w:before="0" w:after="0"/>
        <w:ind w:left="743" w:right="1146"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Method</w:t>
      </w:r>
      <w:r>
        <w:rPr>
          <w:spacing w:val="-3"/>
          <w:sz w:val="18"/>
        </w:rPr>
        <w:t> </w:t>
      </w:r>
      <w:r>
        <w:rPr>
          <w:sz w:val="18"/>
        </w:rPr>
        <w:t>of</w:t>
      </w:r>
      <w:r>
        <w:rPr>
          <w:spacing w:val="-3"/>
          <w:sz w:val="18"/>
        </w:rPr>
        <w:t> </w:t>
      </w:r>
      <w:r>
        <w:rPr>
          <w:sz w:val="18"/>
        </w:rPr>
        <w:t>randomization</w:t>
      </w:r>
      <w:r>
        <w:rPr>
          <w:spacing w:val="-3"/>
          <w:sz w:val="18"/>
        </w:rPr>
        <w:t> </w:t>
      </w:r>
      <w:r>
        <w:rPr>
          <w:sz w:val="18"/>
        </w:rPr>
        <w:t>is</w:t>
      </w:r>
      <w:r>
        <w:rPr>
          <w:spacing w:val="-3"/>
          <w:sz w:val="18"/>
        </w:rPr>
        <w:t> </w:t>
      </w:r>
      <w:r>
        <w:rPr>
          <w:sz w:val="18"/>
        </w:rPr>
        <w:t>clear,</w:t>
      </w:r>
      <w:r>
        <w:rPr>
          <w:spacing w:val="-2"/>
          <w:sz w:val="18"/>
        </w:rPr>
        <w:t> </w:t>
      </w:r>
      <w:r>
        <w:rPr>
          <w:sz w:val="18"/>
        </w:rPr>
        <w:t>no</w:t>
      </w:r>
      <w:r>
        <w:rPr>
          <w:spacing w:val="-2"/>
          <w:sz w:val="18"/>
        </w:rPr>
        <w:t> </w:t>
      </w:r>
      <w:r>
        <w:rPr>
          <w:sz w:val="18"/>
        </w:rPr>
        <w:t>blinding,</w:t>
      </w:r>
      <w:r>
        <w:rPr>
          <w:spacing w:val="-2"/>
          <w:sz w:val="18"/>
        </w:rPr>
        <w:t> </w:t>
      </w:r>
      <w:r>
        <w:rPr>
          <w:sz w:val="18"/>
        </w:rPr>
        <w:t>and</w:t>
      </w:r>
      <w:r>
        <w:rPr>
          <w:spacing w:val="-1"/>
          <w:sz w:val="18"/>
        </w:rPr>
        <w:t> </w:t>
      </w:r>
      <w:r>
        <w:rPr>
          <w:sz w:val="18"/>
        </w:rPr>
        <w:t>no</w:t>
      </w:r>
      <w:r>
        <w:rPr>
          <w:spacing w:val="-2"/>
          <w:sz w:val="18"/>
        </w:rPr>
        <w:t> </w:t>
      </w:r>
      <w:r>
        <w:rPr>
          <w:sz w:val="18"/>
        </w:rPr>
        <w:t>reporting</w:t>
      </w:r>
      <w:r>
        <w:rPr>
          <w:spacing w:val="-3"/>
          <w:sz w:val="18"/>
        </w:rPr>
        <w:t> </w:t>
      </w:r>
      <w:r>
        <w:rPr>
          <w:sz w:val="18"/>
        </w:rPr>
        <w:t>on</w:t>
      </w:r>
      <w:r>
        <w:rPr>
          <w:spacing w:val="-3"/>
          <w:sz w:val="18"/>
        </w:rPr>
        <w:t> </w:t>
      </w:r>
      <w:r>
        <w:rPr>
          <w:sz w:val="18"/>
        </w:rPr>
        <w:t>allocation</w:t>
      </w:r>
      <w:r>
        <w:rPr>
          <w:spacing w:val="-3"/>
          <w:sz w:val="18"/>
        </w:rPr>
        <w:t> </w:t>
      </w:r>
      <w:r>
        <w:rPr>
          <w:sz w:val="18"/>
        </w:rPr>
        <w:t>concealment. </w:t>
      </w:r>
      <w:r>
        <w:rPr>
          <w:b/>
          <w:sz w:val="18"/>
        </w:rPr>
        <w:t>Imprecision:</w:t>
      </w:r>
      <w:r>
        <w:rPr>
          <w:b/>
          <w:spacing w:val="-1"/>
          <w:sz w:val="18"/>
        </w:rPr>
        <w:t> </w:t>
      </w:r>
      <w:r>
        <w:rPr>
          <w:b/>
          <w:sz w:val="18"/>
        </w:rPr>
        <w:t>very</w:t>
      </w:r>
      <w:r>
        <w:rPr>
          <w:b/>
          <w:spacing w:val="-2"/>
          <w:sz w:val="18"/>
        </w:rPr>
        <w:t> </w:t>
      </w:r>
      <w:r>
        <w:rPr>
          <w:b/>
          <w:sz w:val="18"/>
        </w:rPr>
        <w:t>serious (-2</w:t>
      </w:r>
      <w:r>
        <w:rPr>
          <w:b/>
          <w:spacing w:val="-2"/>
          <w:sz w:val="18"/>
        </w:rPr>
        <w:t> </w:t>
      </w:r>
      <w:r>
        <w:rPr>
          <w:b/>
          <w:sz w:val="18"/>
        </w:rPr>
        <w:t>levels).</w:t>
      </w:r>
      <w:r>
        <w:rPr>
          <w:b/>
          <w:spacing w:val="-2"/>
          <w:sz w:val="18"/>
        </w:rPr>
        <w:t> </w:t>
      </w:r>
      <w:r>
        <w:rPr>
          <w:sz w:val="18"/>
        </w:rPr>
        <w:t>The confidence interval crosses both borders of clinical relevance.</w:t>
      </w:r>
    </w:p>
    <w:p>
      <w:pPr>
        <w:pStyle w:val="ListParagraph"/>
        <w:numPr>
          <w:ilvl w:val="0"/>
          <w:numId w:val="66"/>
        </w:numPr>
        <w:tabs>
          <w:tab w:pos="743" w:val="left" w:leader="none"/>
        </w:tabs>
        <w:spacing w:line="240" w:lineRule="auto" w:before="1"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 start</w:t>
      </w:r>
      <w:r>
        <w:rPr>
          <w:spacing w:val="-2"/>
          <w:sz w:val="18"/>
        </w:rPr>
        <w:t> </w:t>
      </w:r>
      <w:r>
        <w:rPr>
          <w:sz w:val="18"/>
        </w:rPr>
        <w:t>of</w:t>
      </w:r>
      <w:r>
        <w:rPr>
          <w:spacing w:val="-3"/>
          <w:sz w:val="18"/>
        </w:rPr>
        <w:t> </w:t>
      </w:r>
      <w:r>
        <w:rPr>
          <w:sz w:val="18"/>
        </w:rPr>
        <w:t>the</w:t>
      </w:r>
      <w:r>
        <w:rPr>
          <w:spacing w:val="-3"/>
          <w:sz w:val="18"/>
        </w:rPr>
        <w:t> </w:t>
      </w:r>
      <w:r>
        <w:rPr>
          <w:sz w:val="18"/>
        </w:rPr>
        <w:t>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 </w:t>
      </w:r>
      <w:r>
        <w:rPr>
          <w:b/>
          <w:sz w:val="18"/>
        </w:rPr>
        <w:t>Imprecision: very serious (-2 levels). </w:t>
      </w:r>
      <w:r>
        <w:rPr>
          <w:sz w:val="18"/>
        </w:rPr>
        <w:t>The confidence interval crosses both borders of clinical relevance.</w:t>
      </w:r>
    </w:p>
    <w:p>
      <w:pPr>
        <w:pStyle w:val="ListParagraph"/>
        <w:numPr>
          <w:ilvl w:val="0"/>
          <w:numId w:val="66"/>
        </w:numPr>
        <w:tabs>
          <w:tab w:pos="743" w:val="left" w:leader="none"/>
        </w:tabs>
        <w:spacing w:line="240" w:lineRule="auto" w:before="0"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 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 </w:t>
      </w:r>
      <w:r>
        <w:rPr>
          <w:b/>
          <w:sz w:val="18"/>
        </w:rPr>
        <w:t>Imprecision: very serious (-2 levels). </w:t>
      </w:r>
      <w:r>
        <w:rPr>
          <w:sz w:val="18"/>
        </w:rPr>
        <w:t>The confidence interval crosses both borders of clinical relevance.</w:t>
      </w:r>
    </w:p>
    <w:p>
      <w:pPr>
        <w:pStyle w:val="ListParagraph"/>
        <w:numPr>
          <w:ilvl w:val="0"/>
          <w:numId w:val="66"/>
        </w:numPr>
        <w:tabs>
          <w:tab w:pos="743" w:val="left" w:leader="none"/>
        </w:tabs>
        <w:spacing w:line="240" w:lineRule="auto" w:before="0"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 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 </w:t>
      </w:r>
      <w:r>
        <w:rPr>
          <w:b/>
          <w:sz w:val="18"/>
        </w:rPr>
        <w:t>Imprecision: very serious (-2 levels). </w:t>
      </w:r>
      <w:r>
        <w:rPr>
          <w:sz w:val="18"/>
        </w:rPr>
        <w:t>The confidence interval crosses both borders of clinical relevance.</w:t>
      </w:r>
    </w:p>
    <w:p>
      <w:pPr>
        <w:pStyle w:val="ListParagraph"/>
        <w:numPr>
          <w:ilvl w:val="0"/>
          <w:numId w:val="66"/>
        </w:numPr>
        <w:tabs>
          <w:tab w:pos="743" w:val="left" w:leader="none"/>
        </w:tabs>
        <w:spacing w:line="240" w:lineRule="auto" w:before="0"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 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 </w:t>
      </w:r>
      <w:r>
        <w:rPr>
          <w:b/>
          <w:sz w:val="18"/>
        </w:rPr>
        <w:t>Imprecision: very serious (-2 levels). </w:t>
      </w:r>
      <w:r>
        <w:rPr>
          <w:sz w:val="18"/>
        </w:rPr>
        <w:t>The confidence interval crosses both borders of clinical relevance.</w:t>
      </w:r>
    </w:p>
    <w:p>
      <w:pPr>
        <w:pStyle w:val="ListParagraph"/>
        <w:numPr>
          <w:ilvl w:val="0"/>
          <w:numId w:val="66"/>
        </w:numPr>
        <w:tabs>
          <w:tab w:pos="740" w:val="left" w:leader="none"/>
          <w:tab w:pos="743" w:val="left" w:leader="none"/>
        </w:tabs>
        <w:spacing w:line="240" w:lineRule="auto" w:before="0"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 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 </w:t>
      </w:r>
      <w:r>
        <w:rPr>
          <w:b/>
          <w:sz w:val="18"/>
        </w:rPr>
        <w:t>Imprecision: very serious (-2 levels). </w:t>
      </w:r>
      <w:r>
        <w:rPr>
          <w:sz w:val="18"/>
        </w:rPr>
        <w:t>The confidence interval crosses both borders of clinical relevance.</w:t>
      </w:r>
    </w:p>
    <w:p>
      <w:pPr>
        <w:pStyle w:val="ListParagraph"/>
        <w:numPr>
          <w:ilvl w:val="0"/>
          <w:numId w:val="66"/>
        </w:numPr>
        <w:tabs>
          <w:tab w:pos="740" w:val="left" w:leader="none"/>
          <w:tab w:pos="743" w:val="left" w:leader="none"/>
        </w:tabs>
        <w:spacing w:line="240" w:lineRule="auto" w:before="0"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 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 </w:t>
      </w:r>
      <w:r>
        <w:rPr>
          <w:b/>
          <w:sz w:val="18"/>
        </w:rPr>
        <w:t>Imprecision: very serious (-2 levels). </w:t>
      </w:r>
      <w:r>
        <w:rPr>
          <w:sz w:val="18"/>
        </w:rPr>
        <w:t>The confidence interval crosses both borders of clinical relevance.</w:t>
      </w:r>
    </w:p>
    <w:p>
      <w:pPr>
        <w:pStyle w:val="ListParagraph"/>
        <w:numPr>
          <w:ilvl w:val="0"/>
          <w:numId w:val="66"/>
        </w:numPr>
        <w:tabs>
          <w:tab w:pos="740" w:val="left" w:leader="none"/>
          <w:tab w:pos="743" w:val="left" w:leader="none"/>
        </w:tabs>
        <w:spacing w:line="240" w:lineRule="auto" w:before="0"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 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w:t>
      </w:r>
    </w:p>
    <w:p>
      <w:pPr>
        <w:pStyle w:val="ListParagraph"/>
        <w:numPr>
          <w:ilvl w:val="0"/>
          <w:numId w:val="66"/>
        </w:numPr>
        <w:tabs>
          <w:tab w:pos="740" w:val="left" w:leader="none"/>
          <w:tab w:pos="743" w:val="left" w:leader="none"/>
        </w:tabs>
        <w:spacing w:line="240" w:lineRule="auto" w:before="0"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 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 </w:t>
      </w:r>
      <w:r>
        <w:rPr>
          <w:b/>
          <w:sz w:val="18"/>
        </w:rPr>
        <w:t>Imprecision: very serious (-2 levels). </w:t>
      </w:r>
      <w:r>
        <w:rPr>
          <w:sz w:val="18"/>
        </w:rPr>
        <w:t>The confidence interval crosses both borders of clinical relevance.</w:t>
      </w:r>
    </w:p>
    <w:p>
      <w:pPr>
        <w:pStyle w:val="ListParagraph"/>
        <w:numPr>
          <w:ilvl w:val="0"/>
          <w:numId w:val="66"/>
        </w:numPr>
        <w:tabs>
          <w:tab w:pos="740" w:val="left" w:leader="none"/>
          <w:tab w:pos="743" w:val="left" w:leader="none"/>
        </w:tabs>
        <w:spacing w:line="240" w:lineRule="auto" w:before="0"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 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 </w:t>
      </w:r>
      <w:r>
        <w:rPr>
          <w:b/>
          <w:sz w:val="18"/>
        </w:rPr>
        <w:t>Imprecision: very serious (-2 levels). </w:t>
      </w:r>
      <w:r>
        <w:rPr>
          <w:sz w:val="18"/>
        </w:rPr>
        <w:t>The confidence interval crosses both borders of clinical relevance.</w:t>
      </w:r>
    </w:p>
    <w:p>
      <w:pPr>
        <w:pStyle w:val="ListParagraph"/>
        <w:numPr>
          <w:ilvl w:val="0"/>
          <w:numId w:val="66"/>
        </w:numPr>
        <w:tabs>
          <w:tab w:pos="740" w:val="left" w:leader="none"/>
          <w:tab w:pos="743" w:val="left" w:leader="none"/>
        </w:tabs>
        <w:spacing w:line="240" w:lineRule="auto" w:before="0"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 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 </w:t>
      </w:r>
      <w:r>
        <w:rPr>
          <w:b/>
          <w:sz w:val="18"/>
        </w:rPr>
        <w:t>Imprecision: very serious (-2 levels). </w:t>
      </w:r>
      <w:r>
        <w:rPr>
          <w:sz w:val="18"/>
        </w:rPr>
        <w:t>The confidence interval crosses both borders of clinical relevance.</w:t>
      </w:r>
    </w:p>
    <w:p>
      <w:pPr>
        <w:pStyle w:val="ListParagraph"/>
        <w:numPr>
          <w:ilvl w:val="0"/>
          <w:numId w:val="66"/>
        </w:numPr>
        <w:tabs>
          <w:tab w:pos="740" w:val="left" w:leader="none"/>
          <w:tab w:pos="743" w:val="left" w:leader="none"/>
        </w:tabs>
        <w:spacing w:line="240" w:lineRule="auto" w:before="0"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 start</w:t>
      </w:r>
      <w:r>
        <w:rPr>
          <w:spacing w:val="-2"/>
          <w:sz w:val="18"/>
        </w:rPr>
        <w:t> </w:t>
      </w:r>
      <w:r>
        <w:rPr>
          <w:sz w:val="18"/>
        </w:rPr>
        <w:t>of</w:t>
      </w:r>
      <w:r>
        <w:rPr>
          <w:spacing w:val="-3"/>
          <w:sz w:val="18"/>
        </w:rPr>
        <w:t> </w:t>
      </w:r>
      <w:r>
        <w:rPr>
          <w:sz w:val="18"/>
        </w:rPr>
        <w:t>the</w:t>
      </w:r>
      <w:r>
        <w:rPr>
          <w:spacing w:val="-3"/>
          <w:sz w:val="18"/>
        </w:rPr>
        <w:t> </w:t>
      </w:r>
      <w:r>
        <w:rPr>
          <w:sz w:val="18"/>
        </w:rPr>
        <w:t>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 </w:t>
      </w:r>
      <w:r>
        <w:rPr>
          <w:b/>
          <w:sz w:val="18"/>
        </w:rPr>
        <w:t>Imprecision: very serious (-2 levels). </w:t>
      </w:r>
      <w:r>
        <w:rPr>
          <w:sz w:val="18"/>
        </w:rPr>
        <w:t>The confidence interval crosses both borders of clinical relevance.</w:t>
      </w:r>
    </w:p>
    <w:p>
      <w:pPr>
        <w:pStyle w:val="ListParagraph"/>
        <w:numPr>
          <w:ilvl w:val="0"/>
          <w:numId w:val="66"/>
        </w:numPr>
        <w:tabs>
          <w:tab w:pos="740" w:val="left" w:leader="none"/>
          <w:tab w:pos="743" w:val="left" w:leader="none"/>
        </w:tabs>
        <w:spacing w:line="240" w:lineRule="auto" w:before="0"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2"/>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 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 </w:t>
      </w:r>
      <w:r>
        <w:rPr>
          <w:b/>
          <w:sz w:val="18"/>
        </w:rPr>
        <w:t>Imprecision: very serious (-2 levels). </w:t>
      </w:r>
      <w:r>
        <w:rPr>
          <w:sz w:val="18"/>
        </w:rPr>
        <w:t>The confidence interval crosses both borders of clinical relevance.</w:t>
      </w:r>
    </w:p>
    <w:p>
      <w:pPr>
        <w:pStyle w:val="ListParagraph"/>
        <w:numPr>
          <w:ilvl w:val="0"/>
          <w:numId w:val="66"/>
        </w:numPr>
        <w:tabs>
          <w:tab w:pos="740" w:val="left" w:leader="none"/>
          <w:tab w:pos="743" w:val="left" w:leader="none"/>
        </w:tabs>
        <w:spacing w:line="240" w:lineRule="auto" w:before="0"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 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 </w:t>
      </w:r>
      <w:r>
        <w:rPr>
          <w:b/>
          <w:sz w:val="18"/>
        </w:rPr>
        <w:t>Imprecision: very serious (-2 levels). </w:t>
      </w:r>
      <w:r>
        <w:rPr>
          <w:sz w:val="18"/>
        </w:rPr>
        <w:t>The confidence interval crosses both borders of clinical relevance.</w:t>
      </w:r>
    </w:p>
    <w:p>
      <w:pPr>
        <w:pStyle w:val="ListParagraph"/>
        <w:numPr>
          <w:ilvl w:val="0"/>
          <w:numId w:val="66"/>
        </w:numPr>
        <w:tabs>
          <w:tab w:pos="740" w:val="left" w:leader="none"/>
          <w:tab w:pos="743" w:val="left" w:leader="none"/>
        </w:tabs>
        <w:spacing w:line="240" w:lineRule="auto" w:before="0"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 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w:t>
      </w:r>
    </w:p>
    <w:p>
      <w:pPr>
        <w:pStyle w:val="ListParagraph"/>
        <w:numPr>
          <w:ilvl w:val="0"/>
          <w:numId w:val="66"/>
        </w:numPr>
        <w:tabs>
          <w:tab w:pos="740" w:val="left" w:leader="none"/>
          <w:tab w:pos="743" w:val="left" w:leader="none"/>
        </w:tabs>
        <w:spacing w:line="240" w:lineRule="auto" w:before="0"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 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 </w:t>
      </w:r>
      <w:r>
        <w:rPr>
          <w:b/>
          <w:sz w:val="18"/>
        </w:rPr>
        <w:t>Imprecision: very serious (-2 levels). </w:t>
      </w:r>
      <w:r>
        <w:rPr>
          <w:sz w:val="18"/>
        </w:rPr>
        <w:t>The confidence interval crosses both borders of clinical relevance.</w:t>
      </w:r>
    </w:p>
    <w:p>
      <w:pPr>
        <w:pStyle w:val="ListParagraph"/>
        <w:spacing w:after="0" w:line="240" w:lineRule="auto"/>
        <w:jc w:val="left"/>
        <w:rPr>
          <w:sz w:val="18"/>
        </w:rPr>
        <w:sectPr>
          <w:pgSz w:w="16840" w:h="11910" w:orient="landscape"/>
          <w:pgMar w:top="1340" w:bottom="280" w:left="1417" w:right="992"/>
        </w:sectPr>
      </w:pPr>
    </w:p>
    <w:p>
      <w:pPr>
        <w:pStyle w:val="ListParagraph"/>
        <w:numPr>
          <w:ilvl w:val="0"/>
          <w:numId w:val="66"/>
        </w:numPr>
        <w:tabs>
          <w:tab w:pos="740" w:val="left" w:leader="none"/>
          <w:tab w:pos="743" w:val="left" w:leader="none"/>
        </w:tabs>
        <w:spacing w:line="240" w:lineRule="auto" w:before="95"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 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 </w:t>
      </w:r>
      <w:r>
        <w:rPr>
          <w:b/>
          <w:sz w:val="18"/>
        </w:rPr>
        <w:t>Imprecision: very serious (-2 levels). </w:t>
      </w:r>
      <w:r>
        <w:rPr>
          <w:sz w:val="18"/>
        </w:rPr>
        <w:t>The confidence interval crosses both borders of clinical relevance.</w:t>
      </w:r>
    </w:p>
    <w:p>
      <w:pPr>
        <w:pStyle w:val="ListParagraph"/>
        <w:numPr>
          <w:ilvl w:val="0"/>
          <w:numId w:val="66"/>
        </w:numPr>
        <w:tabs>
          <w:tab w:pos="740" w:val="left" w:leader="none"/>
          <w:tab w:pos="743" w:val="left" w:leader="none"/>
        </w:tabs>
        <w:spacing w:line="240" w:lineRule="auto" w:before="0"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 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w:t>
      </w:r>
    </w:p>
    <w:p>
      <w:pPr>
        <w:pStyle w:val="ListParagraph"/>
        <w:numPr>
          <w:ilvl w:val="0"/>
          <w:numId w:val="66"/>
        </w:numPr>
        <w:tabs>
          <w:tab w:pos="740" w:val="left" w:leader="none"/>
          <w:tab w:pos="743" w:val="left" w:leader="none"/>
        </w:tabs>
        <w:spacing w:line="240" w:lineRule="auto" w:before="0" w:after="0"/>
        <w:ind w:left="743" w:right="540" w:hanging="360"/>
        <w:jc w:val="left"/>
        <w:rPr>
          <w:sz w:val="18"/>
        </w:rPr>
      </w:pPr>
      <w:r>
        <w:rPr>
          <w:b/>
          <w:sz w:val="18"/>
        </w:rPr>
        <w:t>Risk</w:t>
      </w:r>
      <w:r>
        <w:rPr>
          <w:b/>
          <w:spacing w:val="-2"/>
          <w:sz w:val="18"/>
        </w:rPr>
        <w:t> </w:t>
      </w:r>
      <w:r>
        <w:rPr>
          <w:b/>
          <w:sz w:val="18"/>
        </w:rPr>
        <w:t>of</w:t>
      </w:r>
      <w:r>
        <w:rPr>
          <w:b/>
          <w:spacing w:val="-3"/>
          <w:sz w:val="18"/>
        </w:rPr>
        <w:t> </w:t>
      </w:r>
      <w:r>
        <w:rPr>
          <w:b/>
          <w:sz w:val="18"/>
        </w:rPr>
        <w:t>bias:</w:t>
      </w:r>
      <w:r>
        <w:rPr>
          <w:b/>
          <w:spacing w:val="-2"/>
          <w:sz w:val="18"/>
        </w:rPr>
        <w:t> </w:t>
      </w:r>
      <w:r>
        <w:rPr>
          <w:b/>
          <w:sz w:val="18"/>
        </w:rPr>
        <w:t>some</w:t>
      </w:r>
      <w:r>
        <w:rPr>
          <w:b/>
          <w:spacing w:val="-3"/>
          <w:sz w:val="18"/>
        </w:rPr>
        <w:t> </w:t>
      </w:r>
      <w:r>
        <w:rPr>
          <w:b/>
          <w:sz w:val="18"/>
        </w:rPr>
        <w:t>concerns</w:t>
      </w:r>
      <w:r>
        <w:rPr>
          <w:b/>
          <w:spacing w:val="-2"/>
          <w:sz w:val="18"/>
        </w:rPr>
        <w:t> </w:t>
      </w:r>
      <w:r>
        <w:rPr>
          <w:b/>
          <w:sz w:val="18"/>
        </w:rPr>
        <w:t>(-1</w:t>
      </w:r>
      <w:r>
        <w:rPr>
          <w:b/>
          <w:spacing w:val="-2"/>
          <w:sz w:val="18"/>
        </w:rPr>
        <w:t> </w:t>
      </w:r>
      <w:r>
        <w:rPr>
          <w:b/>
          <w:sz w:val="18"/>
        </w:rPr>
        <w:t>level).</w:t>
      </w:r>
      <w:r>
        <w:rPr>
          <w:b/>
          <w:spacing w:val="-2"/>
          <w:sz w:val="18"/>
        </w:rPr>
        <w:t> </w:t>
      </w:r>
      <w:r>
        <w:rPr>
          <w:sz w:val="18"/>
        </w:rPr>
        <w:t>It</w:t>
      </w:r>
      <w:r>
        <w:rPr>
          <w:spacing w:val="-2"/>
          <w:sz w:val="18"/>
        </w:rPr>
        <w:t> </w:t>
      </w:r>
      <w:r>
        <w:rPr>
          <w:sz w:val="18"/>
        </w:rPr>
        <w:t>is</w:t>
      </w:r>
      <w:r>
        <w:rPr>
          <w:spacing w:val="-4"/>
          <w:sz w:val="18"/>
        </w:rPr>
        <w:t> </w:t>
      </w:r>
      <w:r>
        <w:rPr>
          <w:sz w:val="18"/>
        </w:rPr>
        <w:t>unclear</w:t>
      </w:r>
      <w:r>
        <w:rPr>
          <w:spacing w:val="-2"/>
          <w:sz w:val="18"/>
        </w:rPr>
        <w:t> </w:t>
      </w:r>
      <w:r>
        <w:rPr>
          <w:sz w:val="18"/>
        </w:rPr>
        <w:t>whether</w:t>
      </w:r>
      <w:r>
        <w:rPr>
          <w:spacing w:val="-2"/>
          <w:sz w:val="18"/>
        </w:rPr>
        <w:t> </w:t>
      </w:r>
      <w:r>
        <w:rPr>
          <w:sz w:val="18"/>
        </w:rPr>
        <w:t>the</w:t>
      </w:r>
      <w:r>
        <w:rPr>
          <w:spacing w:val="-3"/>
          <w:sz w:val="18"/>
        </w:rPr>
        <w:t> </w:t>
      </w:r>
      <w:r>
        <w:rPr>
          <w:sz w:val="18"/>
        </w:rPr>
        <w:t>outcome</w:t>
      </w:r>
      <w:r>
        <w:rPr>
          <w:spacing w:val="-3"/>
          <w:sz w:val="18"/>
        </w:rPr>
        <w:t> </w:t>
      </w:r>
      <w:r>
        <w:rPr>
          <w:sz w:val="18"/>
        </w:rPr>
        <w:t>of</w:t>
      </w:r>
      <w:r>
        <w:rPr>
          <w:spacing w:val="-3"/>
          <w:sz w:val="18"/>
        </w:rPr>
        <w:t> </w:t>
      </w:r>
      <w:r>
        <w:rPr>
          <w:sz w:val="18"/>
        </w:rPr>
        <w:t>interest</w:t>
      </w:r>
      <w:r>
        <w:rPr>
          <w:spacing w:val="-2"/>
          <w:sz w:val="18"/>
        </w:rPr>
        <w:t> </w:t>
      </w:r>
      <w:r>
        <w:rPr>
          <w:sz w:val="18"/>
        </w:rPr>
        <w:t>was</w:t>
      </w:r>
      <w:r>
        <w:rPr>
          <w:spacing w:val="-1"/>
          <w:sz w:val="18"/>
        </w:rPr>
        <w:t> </w:t>
      </w:r>
      <w:r>
        <w:rPr>
          <w:sz w:val="18"/>
        </w:rPr>
        <w:t>not</w:t>
      </w:r>
      <w:r>
        <w:rPr>
          <w:spacing w:val="-2"/>
          <w:sz w:val="18"/>
        </w:rPr>
        <w:t> </w:t>
      </w:r>
      <w:r>
        <w:rPr>
          <w:sz w:val="18"/>
        </w:rPr>
        <w:t>present</w:t>
      </w:r>
      <w:r>
        <w:rPr>
          <w:spacing w:val="-2"/>
          <w:sz w:val="18"/>
        </w:rPr>
        <w:t> </w:t>
      </w:r>
      <w:r>
        <w:rPr>
          <w:sz w:val="18"/>
        </w:rPr>
        <w:t>at</w:t>
      </w:r>
      <w:r>
        <w:rPr>
          <w:spacing w:val="-2"/>
          <w:sz w:val="18"/>
        </w:rPr>
        <w:t> </w:t>
      </w:r>
      <w:r>
        <w:rPr>
          <w:sz w:val="18"/>
        </w:rPr>
        <w:t>the</w:t>
      </w:r>
      <w:r>
        <w:rPr>
          <w:spacing w:val="-1"/>
          <w:sz w:val="18"/>
        </w:rPr>
        <w:t> </w:t>
      </w:r>
      <w:r>
        <w:rPr>
          <w:sz w:val="18"/>
        </w:rPr>
        <w:t>start</w:t>
      </w:r>
      <w:r>
        <w:rPr>
          <w:spacing w:val="-2"/>
          <w:sz w:val="18"/>
        </w:rPr>
        <w:t> </w:t>
      </w:r>
      <w:r>
        <w:rPr>
          <w:sz w:val="18"/>
        </w:rPr>
        <w:t>of</w:t>
      </w:r>
      <w:r>
        <w:rPr>
          <w:spacing w:val="-3"/>
          <w:sz w:val="18"/>
        </w:rPr>
        <w:t> </w:t>
      </w:r>
      <w:r>
        <w:rPr>
          <w:sz w:val="18"/>
        </w:rPr>
        <w:t>the study,</w:t>
      </w:r>
      <w:r>
        <w:rPr>
          <w:spacing w:val="-1"/>
          <w:sz w:val="18"/>
        </w:rPr>
        <w:t> </w:t>
      </w:r>
      <w:r>
        <w:rPr>
          <w:sz w:val="18"/>
        </w:rPr>
        <w:t>no</w:t>
      </w:r>
      <w:r>
        <w:rPr>
          <w:spacing w:val="-2"/>
          <w:sz w:val="18"/>
        </w:rPr>
        <w:t> </w:t>
      </w:r>
      <w:r>
        <w:rPr>
          <w:sz w:val="18"/>
        </w:rPr>
        <w:t>proper</w:t>
      </w:r>
      <w:r>
        <w:rPr>
          <w:spacing w:val="-2"/>
          <w:sz w:val="18"/>
        </w:rPr>
        <w:t> </w:t>
      </w:r>
      <w:r>
        <w:rPr>
          <w:sz w:val="18"/>
        </w:rPr>
        <w:t>confounder</w:t>
      </w:r>
      <w:r>
        <w:rPr>
          <w:spacing w:val="-2"/>
          <w:sz w:val="18"/>
        </w:rPr>
        <w:t> </w:t>
      </w:r>
      <w:r>
        <w:rPr>
          <w:sz w:val="18"/>
        </w:rPr>
        <w:t>adjustment</w:t>
      </w:r>
      <w:r>
        <w:rPr>
          <w:spacing w:val="-2"/>
          <w:sz w:val="18"/>
        </w:rPr>
        <w:t> </w:t>
      </w:r>
      <w:r>
        <w:rPr>
          <w:sz w:val="18"/>
        </w:rPr>
        <w:t>was conducted,</w:t>
      </w:r>
      <w:r>
        <w:rPr>
          <w:spacing w:val="-1"/>
          <w:sz w:val="18"/>
        </w:rPr>
        <w:t> </w:t>
      </w:r>
      <w:r>
        <w:rPr>
          <w:sz w:val="18"/>
        </w:rPr>
        <w:t>co-interventions differed between the intervention groups. </w:t>
      </w:r>
      <w:r>
        <w:rPr>
          <w:b/>
          <w:sz w:val="18"/>
        </w:rPr>
        <w:t>Imprecision: very serious (-2 levels). </w:t>
      </w:r>
      <w:r>
        <w:rPr>
          <w:sz w:val="18"/>
        </w:rPr>
        <w:t>The confidence interval crosses both borders of clinical relevance.</w:t>
      </w:r>
    </w:p>
    <w:p>
      <w:pPr>
        <w:pStyle w:val="ListParagraph"/>
        <w:spacing w:after="0" w:line="240" w:lineRule="auto"/>
        <w:jc w:val="left"/>
        <w:rPr>
          <w:sz w:val="18"/>
        </w:rPr>
        <w:sectPr>
          <w:pgSz w:w="16840" w:h="11910" w:orient="landscape"/>
          <w:pgMar w:top="1340" w:bottom="280" w:left="1417" w:right="992"/>
        </w:sectPr>
      </w:pPr>
    </w:p>
    <w:p>
      <w:pPr>
        <w:pStyle w:val="ListParagraph"/>
        <w:numPr>
          <w:ilvl w:val="0"/>
          <w:numId w:val="1"/>
        </w:numPr>
        <w:tabs>
          <w:tab w:pos="189" w:val="left" w:leader="none"/>
        </w:tabs>
        <w:spacing w:line="360" w:lineRule="auto" w:before="93" w:after="0"/>
        <w:ind w:left="23" w:right="699" w:firstLine="0"/>
        <w:jc w:val="left"/>
        <w:rPr>
          <w:i/>
          <w:sz w:val="20"/>
        </w:rPr>
      </w:pPr>
      <w:r>
        <w:rPr>
          <w:i/>
          <w:sz w:val="22"/>
        </w:rPr>
        <w:t>Clinical question: What is the recommended antithrombotic strategy for primary thrombosis prevention in children with cardiomyopathy (particularly</w:t>
      </w:r>
      <w:r>
        <w:rPr>
          <w:i/>
          <w:sz w:val="22"/>
        </w:rPr>
        <w:t> dilated</w:t>
      </w:r>
      <w:r>
        <w:rPr>
          <w:i/>
          <w:spacing w:val="-2"/>
          <w:sz w:val="22"/>
        </w:rPr>
        <w:t> </w:t>
      </w:r>
      <w:r>
        <w:rPr>
          <w:i/>
          <w:sz w:val="22"/>
        </w:rPr>
        <w:t>cardiomyopathy</w:t>
      </w:r>
      <w:r>
        <w:rPr>
          <w:i/>
          <w:spacing w:val="-2"/>
          <w:sz w:val="22"/>
        </w:rPr>
        <w:t> </w:t>
      </w:r>
      <w:r>
        <w:rPr>
          <w:i/>
          <w:sz w:val="22"/>
        </w:rPr>
        <w:t>(DCM),</w:t>
      </w:r>
      <w:r>
        <w:rPr>
          <w:i/>
          <w:spacing w:val="-2"/>
          <w:sz w:val="22"/>
        </w:rPr>
        <w:t> </w:t>
      </w:r>
      <w:r>
        <w:rPr>
          <w:i/>
          <w:sz w:val="22"/>
        </w:rPr>
        <w:t>hypertrophic</w:t>
      </w:r>
      <w:r>
        <w:rPr>
          <w:i/>
          <w:spacing w:val="-3"/>
          <w:sz w:val="22"/>
        </w:rPr>
        <w:t> </w:t>
      </w:r>
      <w:r>
        <w:rPr>
          <w:i/>
          <w:sz w:val="22"/>
        </w:rPr>
        <w:t>cardiomyopathy</w:t>
      </w:r>
      <w:r>
        <w:rPr>
          <w:i/>
          <w:spacing w:val="-2"/>
          <w:sz w:val="22"/>
        </w:rPr>
        <w:t> </w:t>
      </w:r>
      <w:r>
        <w:rPr>
          <w:i/>
          <w:sz w:val="22"/>
        </w:rPr>
        <w:t>(HCM),</w:t>
      </w:r>
      <w:r>
        <w:rPr>
          <w:i/>
          <w:spacing w:val="-4"/>
          <w:sz w:val="22"/>
        </w:rPr>
        <w:t> </w:t>
      </w:r>
      <w:r>
        <w:rPr>
          <w:i/>
          <w:sz w:val="22"/>
        </w:rPr>
        <w:t>non-compaction</w:t>
      </w:r>
      <w:r>
        <w:rPr>
          <w:i/>
          <w:spacing w:val="-3"/>
          <w:sz w:val="22"/>
        </w:rPr>
        <w:t> </w:t>
      </w:r>
      <w:r>
        <w:rPr>
          <w:i/>
          <w:sz w:val="22"/>
        </w:rPr>
        <w:t>cardiomyopathy</w:t>
      </w:r>
      <w:r>
        <w:rPr>
          <w:i/>
          <w:spacing w:val="-2"/>
          <w:sz w:val="22"/>
        </w:rPr>
        <w:t> </w:t>
      </w:r>
      <w:r>
        <w:rPr>
          <w:i/>
          <w:sz w:val="22"/>
        </w:rPr>
        <w:t>(NCCM),</w:t>
      </w:r>
      <w:r>
        <w:rPr>
          <w:i/>
          <w:spacing w:val="-2"/>
          <w:sz w:val="22"/>
        </w:rPr>
        <w:t> </w:t>
      </w:r>
      <w:r>
        <w:rPr>
          <w:i/>
          <w:sz w:val="22"/>
        </w:rPr>
        <w:t>and</w:t>
      </w:r>
      <w:r>
        <w:rPr>
          <w:i/>
          <w:spacing w:val="-5"/>
          <w:sz w:val="22"/>
        </w:rPr>
        <w:t> </w:t>
      </w:r>
      <w:r>
        <w:rPr>
          <w:i/>
          <w:sz w:val="22"/>
        </w:rPr>
        <w:t>restrictive</w:t>
      </w:r>
      <w:r>
        <w:rPr>
          <w:i/>
          <w:spacing w:val="-2"/>
          <w:sz w:val="22"/>
        </w:rPr>
        <w:t> </w:t>
      </w:r>
      <w:r>
        <w:rPr>
          <w:i/>
          <w:sz w:val="22"/>
        </w:rPr>
        <w:t>cardiomyopathy</w:t>
      </w:r>
      <w:r>
        <w:rPr>
          <w:i/>
          <w:spacing w:val="-2"/>
          <w:sz w:val="22"/>
        </w:rPr>
        <w:t> </w:t>
      </w:r>
      <w:r>
        <w:rPr>
          <w:i/>
          <w:sz w:val="22"/>
        </w:rPr>
        <w:t>(RCM))</w:t>
      </w:r>
      <w:r>
        <w:rPr>
          <w:i/>
          <w:spacing w:val="-4"/>
          <w:sz w:val="22"/>
        </w:rPr>
        <w:t> </w:t>
      </w:r>
      <w:r>
        <w:rPr>
          <w:i/>
          <w:sz w:val="22"/>
        </w:rPr>
        <w:t>to prevent thrombosis?</w:t>
      </w:r>
    </w:p>
    <w:p>
      <w:pPr>
        <w:pStyle w:val="BodyText"/>
        <w:spacing w:before="44"/>
        <w:rPr>
          <w:i/>
        </w:rPr>
      </w:pPr>
    </w:p>
    <w:p>
      <w:pPr>
        <w:pStyle w:val="BodyText"/>
        <w:spacing w:before="1"/>
        <w:ind w:left="23"/>
      </w:pPr>
      <w:r>
        <w:rPr/>
        <w:t>A</w:t>
      </w:r>
      <w:r>
        <w:rPr>
          <w:spacing w:val="-6"/>
        </w:rPr>
        <w:t> </w:t>
      </w:r>
      <w:r>
        <w:rPr/>
        <w:t>systematic</w:t>
      </w:r>
      <w:r>
        <w:rPr>
          <w:spacing w:val="-3"/>
        </w:rPr>
        <w:t> </w:t>
      </w:r>
      <w:r>
        <w:rPr/>
        <w:t>review</w:t>
      </w:r>
      <w:r>
        <w:rPr>
          <w:spacing w:val="-5"/>
        </w:rPr>
        <w:t> </w:t>
      </w:r>
      <w:r>
        <w:rPr/>
        <w:t>of</w:t>
      </w:r>
      <w:r>
        <w:rPr>
          <w:spacing w:val="-5"/>
        </w:rPr>
        <w:t> </w:t>
      </w:r>
      <w:r>
        <w:rPr/>
        <w:t>the</w:t>
      </w:r>
      <w:r>
        <w:rPr>
          <w:spacing w:val="-6"/>
        </w:rPr>
        <w:t> </w:t>
      </w:r>
      <w:r>
        <w:rPr/>
        <w:t>literature</w:t>
      </w:r>
      <w:r>
        <w:rPr>
          <w:spacing w:val="-5"/>
        </w:rPr>
        <w:t> </w:t>
      </w:r>
      <w:r>
        <w:rPr/>
        <w:t>was</w:t>
      </w:r>
      <w:r>
        <w:rPr>
          <w:spacing w:val="-6"/>
        </w:rPr>
        <w:t> </w:t>
      </w:r>
      <w:r>
        <w:rPr/>
        <w:t>performed</w:t>
      </w:r>
      <w:r>
        <w:rPr>
          <w:spacing w:val="-3"/>
        </w:rPr>
        <w:t> </w:t>
      </w:r>
      <w:r>
        <w:rPr/>
        <w:t>to</w:t>
      </w:r>
      <w:r>
        <w:rPr>
          <w:spacing w:val="-3"/>
        </w:rPr>
        <w:t> </w:t>
      </w:r>
      <w:r>
        <w:rPr/>
        <w:t>answer</w:t>
      </w:r>
      <w:r>
        <w:rPr>
          <w:spacing w:val="-3"/>
        </w:rPr>
        <w:t> </w:t>
      </w:r>
      <w:r>
        <w:rPr/>
        <w:t>the</w:t>
      </w:r>
      <w:r>
        <w:rPr>
          <w:spacing w:val="-3"/>
        </w:rPr>
        <w:t> </w:t>
      </w:r>
      <w:r>
        <w:rPr/>
        <w:t>following</w:t>
      </w:r>
      <w:r>
        <w:rPr>
          <w:spacing w:val="-5"/>
        </w:rPr>
        <w:t> </w:t>
      </w:r>
      <w:r>
        <w:rPr/>
        <w:t>question(s):</w:t>
      </w:r>
      <w:r>
        <w:rPr>
          <w:spacing w:val="46"/>
        </w:rPr>
        <w:t> </w:t>
      </w:r>
      <w:r>
        <w:rPr/>
        <w:t>What</w:t>
      </w:r>
      <w:r>
        <w:rPr>
          <w:spacing w:val="-4"/>
        </w:rPr>
        <w:t> </w:t>
      </w:r>
      <w:r>
        <w:rPr/>
        <w:t>are</w:t>
      </w:r>
      <w:r>
        <w:rPr>
          <w:spacing w:val="-3"/>
        </w:rPr>
        <w:t> </w:t>
      </w:r>
      <w:r>
        <w:rPr/>
        <w:t>the</w:t>
      </w:r>
      <w:r>
        <w:rPr>
          <w:spacing w:val="-3"/>
        </w:rPr>
        <w:t> </w:t>
      </w:r>
      <w:r>
        <w:rPr/>
        <w:t>favorable</w:t>
      </w:r>
      <w:r>
        <w:rPr>
          <w:spacing w:val="-3"/>
        </w:rPr>
        <w:t> </w:t>
      </w:r>
      <w:r>
        <w:rPr/>
        <w:t>and</w:t>
      </w:r>
      <w:r>
        <w:rPr>
          <w:spacing w:val="-6"/>
        </w:rPr>
        <w:t> </w:t>
      </w:r>
      <w:r>
        <w:rPr/>
        <w:t>unfavorable</w:t>
      </w:r>
      <w:r>
        <w:rPr>
          <w:spacing w:val="-5"/>
        </w:rPr>
        <w:t> </w:t>
      </w:r>
      <w:r>
        <w:rPr/>
        <w:t>effects</w:t>
      </w:r>
      <w:r>
        <w:rPr>
          <w:spacing w:val="-5"/>
        </w:rPr>
        <w:t> </w:t>
      </w:r>
      <w:r>
        <w:rPr/>
        <w:t>of</w:t>
      </w:r>
      <w:r>
        <w:rPr>
          <w:spacing w:val="-3"/>
        </w:rPr>
        <w:t> </w:t>
      </w:r>
      <w:r>
        <w:rPr/>
        <w:t>the</w:t>
      </w:r>
      <w:r>
        <w:rPr>
          <w:spacing w:val="-5"/>
        </w:rPr>
        <w:t> use</w:t>
      </w:r>
    </w:p>
    <w:p>
      <w:pPr>
        <w:pStyle w:val="BodyText"/>
        <w:spacing w:line="276" w:lineRule="auto" w:before="38"/>
        <w:ind w:left="23" w:right="466"/>
      </w:pPr>
      <w:r>
        <w:rPr/>
        <w:t>of</w:t>
      </w:r>
      <w:r>
        <w:rPr>
          <w:spacing w:val="-1"/>
        </w:rPr>
        <w:t> </w:t>
      </w:r>
      <w:r>
        <w:rPr/>
        <w:t>thromboprophylaxis</w:t>
      </w:r>
      <w:r>
        <w:rPr>
          <w:spacing w:val="-3"/>
        </w:rPr>
        <w:t> </w:t>
      </w:r>
      <w:r>
        <w:rPr/>
        <w:t>(A)</w:t>
      </w:r>
      <w:r>
        <w:rPr>
          <w:spacing w:val="-3"/>
        </w:rPr>
        <w:t> </w:t>
      </w:r>
      <w:r>
        <w:rPr/>
        <w:t>compared</w:t>
      </w:r>
      <w:r>
        <w:rPr>
          <w:spacing w:val="-4"/>
        </w:rPr>
        <w:t> </w:t>
      </w:r>
      <w:r>
        <w:rPr/>
        <w:t>with</w:t>
      </w:r>
      <w:r>
        <w:rPr>
          <w:spacing w:val="-1"/>
        </w:rPr>
        <w:t> </w:t>
      </w:r>
      <w:r>
        <w:rPr/>
        <w:t>the</w:t>
      </w:r>
      <w:r>
        <w:rPr>
          <w:spacing w:val="-3"/>
        </w:rPr>
        <w:t> </w:t>
      </w:r>
      <w:r>
        <w:rPr/>
        <w:t>use</w:t>
      </w:r>
      <w:r>
        <w:rPr>
          <w:spacing w:val="-3"/>
        </w:rPr>
        <w:t> </w:t>
      </w:r>
      <w:r>
        <w:rPr/>
        <w:t>of</w:t>
      </w:r>
      <w:r>
        <w:rPr>
          <w:spacing w:val="-2"/>
        </w:rPr>
        <w:t> </w:t>
      </w:r>
      <w:r>
        <w:rPr/>
        <w:t>thromboprophylaxis (B)/no</w:t>
      </w:r>
      <w:r>
        <w:rPr>
          <w:spacing w:val="-2"/>
        </w:rPr>
        <w:t> </w:t>
      </w:r>
      <w:r>
        <w:rPr/>
        <w:t>thromboprophylaxis</w:t>
      </w:r>
      <w:r>
        <w:rPr>
          <w:spacing w:val="-2"/>
        </w:rPr>
        <w:t> </w:t>
      </w:r>
      <w:r>
        <w:rPr/>
        <w:t>for</w:t>
      </w:r>
      <w:r>
        <w:rPr>
          <w:spacing w:val="-4"/>
        </w:rPr>
        <w:t> </w:t>
      </w:r>
      <w:r>
        <w:rPr/>
        <w:t>the</w:t>
      </w:r>
      <w:r>
        <w:rPr>
          <w:spacing w:val="-1"/>
        </w:rPr>
        <w:t> </w:t>
      </w:r>
      <w:r>
        <w:rPr/>
        <w:t>primary</w:t>
      </w:r>
      <w:r>
        <w:rPr>
          <w:spacing w:val="-1"/>
        </w:rPr>
        <w:t> </w:t>
      </w:r>
      <w:r>
        <w:rPr/>
        <w:t>prevention</w:t>
      </w:r>
      <w:r>
        <w:rPr>
          <w:spacing w:val="-4"/>
        </w:rPr>
        <w:t> </w:t>
      </w:r>
      <w:r>
        <w:rPr/>
        <w:t>of</w:t>
      </w:r>
      <w:r>
        <w:rPr>
          <w:spacing w:val="-3"/>
        </w:rPr>
        <w:t> </w:t>
      </w:r>
      <w:r>
        <w:rPr/>
        <w:t>thrombosis</w:t>
      </w:r>
      <w:r>
        <w:rPr>
          <w:spacing w:val="-1"/>
        </w:rPr>
        <w:t> </w:t>
      </w:r>
      <w:r>
        <w:rPr/>
        <w:t>in</w:t>
      </w:r>
      <w:r>
        <w:rPr>
          <w:spacing w:val="-5"/>
        </w:rPr>
        <w:t> </w:t>
      </w:r>
      <w:r>
        <w:rPr/>
        <w:t>children with a treatment indication for cardiomyopathies?</w:t>
      </w:r>
    </w:p>
    <w:p>
      <w:pPr>
        <w:pStyle w:val="BodyText"/>
        <w:spacing w:before="161"/>
        <w:ind w:left="23"/>
      </w:pPr>
      <w:r>
        <w:rPr/>
        <w:t>PICO</w:t>
      </w:r>
      <w:r>
        <w:rPr>
          <w:spacing w:val="-3"/>
        </w:rPr>
        <w:t> </w:t>
      </w:r>
      <w:r>
        <w:rPr/>
        <w:t>used</w:t>
      </w:r>
      <w:r>
        <w:rPr>
          <w:spacing w:val="-2"/>
        </w:rPr>
        <w:t> </w:t>
      </w:r>
      <w:r>
        <w:rPr/>
        <w:t>for</w:t>
      </w:r>
      <w:r>
        <w:rPr>
          <w:spacing w:val="-5"/>
        </w:rPr>
        <w:t> </w:t>
      </w:r>
      <w:r>
        <w:rPr/>
        <w:t>this</w:t>
      </w:r>
      <w:r>
        <w:rPr>
          <w:spacing w:val="-2"/>
        </w:rPr>
        <w:t> question:</w:t>
      </w:r>
    </w:p>
    <w:p>
      <w:pPr>
        <w:pStyle w:val="BodyText"/>
        <w:spacing w:before="7"/>
        <w:rPr>
          <w:sz w:val="14"/>
        </w:rPr>
      </w:pPr>
      <w:r>
        <w:rPr>
          <w:sz w:val="14"/>
        </w:rPr>
        <mc:AlternateContent>
          <mc:Choice Requires="wps">
            <w:drawing>
              <wp:anchor distT="0" distB="0" distL="0" distR="0" allowOverlap="1" layoutInCell="1" locked="0" behindDoc="1" simplePos="0" relativeHeight="487598080">
                <wp:simplePos x="0" y="0"/>
                <wp:positionH relativeFrom="page">
                  <wp:posOffset>914400</wp:posOffset>
                </wp:positionH>
                <wp:positionV relativeFrom="paragraph">
                  <wp:posOffset>128627</wp:posOffset>
                </wp:positionV>
                <wp:extent cx="5267960" cy="9525"/>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5267960" cy="9525"/>
                        </a:xfrm>
                        <a:custGeom>
                          <a:avLst/>
                          <a:gdLst/>
                          <a:ahLst/>
                          <a:cxnLst/>
                          <a:rect l="l" t="t" r="r" b="b"/>
                          <a:pathLst>
                            <a:path w="5267960" h="9525">
                              <a:moveTo>
                                <a:pt x="5267820" y="0"/>
                              </a:moveTo>
                              <a:lnTo>
                                <a:pt x="1504442" y="0"/>
                              </a:lnTo>
                              <a:lnTo>
                                <a:pt x="1495298" y="0"/>
                              </a:lnTo>
                              <a:lnTo>
                                <a:pt x="0" y="0"/>
                              </a:lnTo>
                              <a:lnTo>
                                <a:pt x="0" y="9144"/>
                              </a:lnTo>
                              <a:lnTo>
                                <a:pt x="1495298" y="9144"/>
                              </a:lnTo>
                              <a:lnTo>
                                <a:pt x="1504442" y="9144"/>
                              </a:lnTo>
                              <a:lnTo>
                                <a:pt x="5267820" y="9144"/>
                              </a:lnTo>
                              <a:lnTo>
                                <a:pt x="5267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128185pt;width:414.8pt;height:.75pt;mso-position-horizontal-relative:page;mso-position-vertical-relative:paragraph;z-index:-15718400;mso-wrap-distance-left:0;mso-wrap-distance-right:0" id="docshape29" coordorigin="1440,203" coordsize="8296,15" path="m9736,203l3809,203,3795,203,1440,203,1440,217,3795,217,3809,217,9736,217,9736,203xe" filled="true" fillcolor="#000000" stroked="false">
                <v:path arrowok="t"/>
                <v:fill type="solid"/>
                <w10:wrap type="topAndBottom"/>
              </v:shape>
            </w:pict>
          </mc:Fallback>
        </mc:AlternateContent>
      </w:r>
    </w:p>
    <w:p>
      <w:pPr>
        <w:pStyle w:val="BodyText"/>
        <w:tabs>
          <w:tab w:pos="2377" w:val="left" w:leader="none"/>
        </w:tabs>
        <w:ind w:left="23"/>
      </w:pPr>
      <w:r>
        <w:rPr>
          <w:spacing w:val="-2"/>
        </w:rPr>
        <w:t>Patients</w:t>
      </w:r>
      <w:r>
        <w:rPr/>
        <w:tab/>
        <w:t>Children</w:t>
      </w:r>
      <w:r>
        <w:rPr>
          <w:spacing w:val="-6"/>
        </w:rPr>
        <w:t> </w:t>
      </w:r>
      <w:r>
        <w:rPr/>
        <w:t>with</w:t>
      </w:r>
      <w:r>
        <w:rPr>
          <w:spacing w:val="-4"/>
        </w:rPr>
        <w:t> </w:t>
      </w:r>
      <w:r>
        <w:rPr/>
        <w:t>a</w:t>
      </w:r>
      <w:r>
        <w:rPr>
          <w:spacing w:val="-6"/>
        </w:rPr>
        <w:t> </w:t>
      </w:r>
      <w:r>
        <w:rPr/>
        <w:t>treatment</w:t>
      </w:r>
      <w:r>
        <w:rPr>
          <w:spacing w:val="-2"/>
        </w:rPr>
        <w:t> </w:t>
      </w:r>
      <w:r>
        <w:rPr/>
        <w:t>indication</w:t>
      </w:r>
      <w:r>
        <w:rPr>
          <w:spacing w:val="-4"/>
        </w:rPr>
        <w:t> </w:t>
      </w:r>
      <w:r>
        <w:rPr/>
        <w:t>for</w:t>
      </w:r>
      <w:r>
        <w:rPr>
          <w:spacing w:val="-4"/>
        </w:rPr>
        <w:t> </w:t>
      </w:r>
      <w:r>
        <w:rPr>
          <w:spacing w:val="-2"/>
        </w:rPr>
        <w:t>cardiomyopathies</w:t>
      </w:r>
    </w:p>
    <w:p>
      <w:pPr>
        <w:pStyle w:val="BodyText"/>
        <w:spacing w:before="9"/>
        <w:rPr>
          <w:sz w:val="14"/>
        </w:rPr>
      </w:pPr>
      <w:r>
        <w:rPr>
          <w:sz w:val="14"/>
        </w:rPr>
        <mc:AlternateContent>
          <mc:Choice Requires="wps">
            <w:drawing>
              <wp:anchor distT="0" distB="0" distL="0" distR="0" allowOverlap="1" layoutInCell="1" locked="0" behindDoc="1" simplePos="0" relativeHeight="487598592">
                <wp:simplePos x="0" y="0"/>
                <wp:positionH relativeFrom="page">
                  <wp:posOffset>914400</wp:posOffset>
                </wp:positionH>
                <wp:positionV relativeFrom="paragraph">
                  <wp:posOffset>129695</wp:posOffset>
                </wp:positionV>
                <wp:extent cx="5267960" cy="9525"/>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5267960" cy="9525"/>
                        </a:xfrm>
                        <a:custGeom>
                          <a:avLst/>
                          <a:gdLst/>
                          <a:ahLst/>
                          <a:cxnLst/>
                          <a:rect l="l" t="t" r="r" b="b"/>
                          <a:pathLst>
                            <a:path w="5267960" h="9525">
                              <a:moveTo>
                                <a:pt x="5267820" y="0"/>
                              </a:moveTo>
                              <a:lnTo>
                                <a:pt x="1504442" y="0"/>
                              </a:lnTo>
                              <a:lnTo>
                                <a:pt x="1495298" y="0"/>
                              </a:lnTo>
                              <a:lnTo>
                                <a:pt x="0" y="0"/>
                              </a:lnTo>
                              <a:lnTo>
                                <a:pt x="0" y="9144"/>
                              </a:lnTo>
                              <a:lnTo>
                                <a:pt x="1495298" y="9144"/>
                              </a:lnTo>
                              <a:lnTo>
                                <a:pt x="1504442" y="9144"/>
                              </a:lnTo>
                              <a:lnTo>
                                <a:pt x="5267820" y="9144"/>
                              </a:lnTo>
                              <a:lnTo>
                                <a:pt x="5267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212249pt;width:414.8pt;height:.75pt;mso-position-horizontal-relative:page;mso-position-vertical-relative:paragraph;z-index:-15717888;mso-wrap-distance-left:0;mso-wrap-distance-right:0" id="docshape30" coordorigin="1440,204" coordsize="8296,15" path="m9736,204l3809,204,3795,204,1440,204,1440,219,3795,219,3809,219,9736,219,9736,204xe" filled="true" fillcolor="#000000" stroked="false">
                <v:path arrowok="t"/>
                <v:fill type="solid"/>
                <w10:wrap type="topAndBottom"/>
              </v:shape>
            </w:pict>
          </mc:Fallback>
        </mc:AlternateContent>
      </w:r>
    </w:p>
    <w:p>
      <w:pPr>
        <w:pStyle w:val="BodyText"/>
        <w:tabs>
          <w:tab w:pos="2377" w:val="left" w:leader="none"/>
        </w:tabs>
        <w:ind w:left="23"/>
      </w:pPr>
      <w:r>
        <w:rPr>
          <w:spacing w:val="-2"/>
        </w:rPr>
        <w:t>Intervention</w:t>
      </w:r>
      <w:r>
        <w:rPr/>
        <w:tab/>
      </w:r>
      <w:r>
        <w:rPr>
          <w:spacing w:val="-2"/>
        </w:rPr>
        <w:t>Thromboprophylaxis</w:t>
      </w:r>
      <w:r>
        <w:rPr>
          <w:spacing w:val="17"/>
        </w:rPr>
        <w:t> </w:t>
      </w:r>
      <w:r>
        <w:rPr>
          <w:spacing w:val="-5"/>
        </w:rPr>
        <w:t>(A)</w:t>
      </w:r>
    </w:p>
    <w:p>
      <w:pPr>
        <w:pStyle w:val="BodyText"/>
        <w:spacing w:before="9"/>
        <w:rPr>
          <w:sz w:val="14"/>
        </w:rPr>
      </w:pPr>
      <w:r>
        <w:rPr>
          <w:sz w:val="14"/>
        </w:rPr>
        <mc:AlternateContent>
          <mc:Choice Requires="wps">
            <w:drawing>
              <wp:anchor distT="0" distB="0" distL="0" distR="0" allowOverlap="1" layoutInCell="1" locked="0" behindDoc="1" simplePos="0" relativeHeight="487599104">
                <wp:simplePos x="0" y="0"/>
                <wp:positionH relativeFrom="page">
                  <wp:posOffset>914400</wp:posOffset>
                </wp:positionH>
                <wp:positionV relativeFrom="paragraph">
                  <wp:posOffset>129695</wp:posOffset>
                </wp:positionV>
                <wp:extent cx="5267960" cy="9525"/>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5267960" cy="9525"/>
                        </a:xfrm>
                        <a:custGeom>
                          <a:avLst/>
                          <a:gdLst/>
                          <a:ahLst/>
                          <a:cxnLst/>
                          <a:rect l="l" t="t" r="r" b="b"/>
                          <a:pathLst>
                            <a:path w="5267960" h="9525">
                              <a:moveTo>
                                <a:pt x="5267820" y="0"/>
                              </a:moveTo>
                              <a:lnTo>
                                <a:pt x="1504442" y="0"/>
                              </a:lnTo>
                              <a:lnTo>
                                <a:pt x="1495298" y="0"/>
                              </a:lnTo>
                              <a:lnTo>
                                <a:pt x="0" y="0"/>
                              </a:lnTo>
                              <a:lnTo>
                                <a:pt x="0" y="9144"/>
                              </a:lnTo>
                              <a:lnTo>
                                <a:pt x="1495298" y="9144"/>
                              </a:lnTo>
                              <a:lnTo>
                                <a:pt x="1504442" y="9144"/>
                              </a:lnTo>
                              <a:lnTo>
                                <a:pt x="5267820" y="9144"/>
                              </a:lnTo>
                              <a:lnTo>
                                <a:pt x="5267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212251pt;width:414.8pt;height:.75pt;mso-position-horizontal-relative:page;mso-position-vertical-relative:paragraph;z-index:-15717376;mso-wrap-distance-left:0;mso-wrap-distance-right:0" id="docshape31" coordorigin="1440,204" coordsize="8296,15" path="m9736,204l3809,204,3795,204,1440,204,1440,219,3795,219,3809,219,9736,219,9736,204xe" filled="true" fillcolor="#000000" stroked="false">
                <v:path arrowok="t"/>
                <v:fill type="solid"/>
                <w10:wrap type="topAndBottom"/>
              </v:shape>
            </w:pict>
          </mc:Fallback>
        </mc:AlternateContent>
      </w:r>
    </w:p>
    <w:p>
      <w:pPr>
        <w:pStyle w:val="BodyText"/>
        <w:tabs>
          <w:tab w:pos="2377" w:val="left" w:leader="none"/>
        </w:tabs>
        <w:ind w:left="23"/>
      </w:pPr>
      <w:r>
        <w:rPr>
          <w:spacing w:val="-2"/>
        </w:rPr>
        <w:t>Control</w:t>
      </w:r>
      <w:r>
        <w:rPr/>
        <w:tab/>
        <w:t>Thromboprophylaxis</w:t>
      </w:r>
      <w:r>
        <w:rPr>
          <w:spacing w:val="-15"/>
        </w:rPr>
        <w:t> </w:t>
      </w:r>
      <w:r>
        <w:rPr/>
        <w:t>(B)/no</w:t>
      </w:r>
      <w:r>
        <w:rPr>
          <w:spacing w:val="-11"/>
        </w:rPr>
        <w:t> </w:t>
      </w:r>
      <w:r>
        <w:rPr>
          <w:spacing w:val="-2"/>
        </w:rPr>
        <w:t>thromboprophylaxis</w:t>
      </w:r>
    </w:p>
    <w:p>
      <w:pPr>
        <w:pStyle w:val="BodyText"/>
        <w:spacing w:before="9"/>
        <w:rPr>
          <w:sz w:val="14"/>
        </w:rPr>
      </w:pPr>
      <w:r>
        <w:rPr>
          <w:sz w:val="14"/>
        </w:rPr>
        <mc:AlternateContent>
          <mc:Choice Requires="wps">
            <w:drawing>
              <wp:anchor distT="0" distB="0" distL="0" distR="0" allowOverlap="1" layoutInCell="1" locked="0" behindDoc="1" simplePos="0" relativeHeight="487599616">
                <wp:simplePos x="0" y="0"/>
                <wp:positionH relativeFrom="page">
                  <wp:posOffset>914400</wp:posOffset>
                </wp:positionH>
                <wp:positionV relativeFrom="paragraph">
                  <wp:posOffset>129708</wp:posOffset>
                </wp:positionV>
                <wp:extent cx="5267960" cy="9525"/>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5267960" cy="9525"/>
                        </a:xfrm>
                        <a:custGeom>
                          <a:avLst/>
                          <a:gdLst/>
                          <a:ahLst/>
                          <a:cxnLst/>
                          <a:rect l="l" t="t" r="r" b="b"/>
                          <a:pathLst>
                            <a:path w="5267960" h="9525">
                              <a:moveTo>
                                <a:pt x="5267820" y="0"/>
                              </a:moveTo>
                              <a:lnTo>
                                <a:pt x="1504442" y="0"/>
                              </a:lnTo>
                              <a:lnTo>
                                <a:pt x="1495298" y="0"/>
                              </a:lnTo>
                              <a:lnTo>
                                <a:pt x="0" y="0"/>
                              </a:lnTo>
                              <a:lnTo>
                                <a:pt x="0" y="9131"/>
                              </a:lnTo>
                              <a:lnTo>
                                <a:pt x="1495298" y="9131"/>
                              </a:lnTo>
                              <a:lnTo>
                                <a:pt x="1504442" y="9131"/>
                              </a:lnTo>
                              <a:lnTo>
                                <a:pt x="5267820" y="9131"/>
                              </a:lnTo>
                              <a:lnTo>
                                <a:pt x="5267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213251pt;width:414.8pt;height:.75pt;mso-position-horizontal-relative:page;mso-position-vertical-relative:paragraph;z-index:-15716864;mso-wrap-distance-left:0;mso-wrap-distance-right:0" id="docshape32" coordorigin="1440,204" coordsize="8296,15" path="m9736,204l3809,204,3795,204,1440,204,1440,219,3795,219,3809,219,9736,219,9736,204xe" filled="true" fillcolor="#000000" stroked="false">
                <v:path arrowok="t"/>
                <v:fill type="solid"/>
                <w10:wrap type="topAndBottom"/>
              </v:shape>
            </w:pict>
          </mc:Fallback>
        </mc:AlternateContent>
      </w:r>
    </w:p>
    <w:p>
      <w:pPr>
        <w:pStyle w:val="BodyText"/>
        <w:tabs>
          <w:tab w:pos="2354" w:val="left" w:leader="none"/>
        </w:tabs>
        <w:ind w:right="6718"/>
        <w:jc w:val="right"/>
      </w:pPr>
      <w:r>
        <w:rPr>
          <w:spacing w:val="-2"/>
        </w:rPr>
        <w:t>Outcomes</w:t>
      </w:r>
      <w:r>
        <w:rPr/>
        <w:tab/>
        <w:t>Thrombotic</w:t>
      </w:r>
      <w:r>
        <w:rPr>
          <w:spacing w:val="-10"/>
        </w:rPr>
        <w:t> </w:t>
      </w:r>
      <w:r>
        <w:rPr/>
        <w:t>complications</w:t>
      </w:r>
      <w:r>
        <w:rPr>
          <w:spacing w:val="-8"/>
        </w:rPr>
        <w:t> </w:t>
      </w:r>
      <w:r>
        <w:rPr/>
        <w:t>(including</w:t>
      </w:r>
      <w:r>
        <w:rPr>
          <w:spacing w:val="-9"/>
        </w:rPr>
        <w:t> </w:t>
      </w:r>
      <w:r>
        <w:rPr/>
        <w:t>pulmonary</w:t>
      </w:r>
      <w:r>
        <w:rPr>
          <w:spacing w:val="-9"/>
        </w:rPr>
        <w:t> </w:t>
      </w:r>
      <w:r>
        <w:rPr>
          <w:spacing w:val="-2"/>
        </w:rPr>
        <w:t>embolism),</w:t>
      </w:r>
    </w:p>
    <w:p>
      <w:pPr>
        <w:pStyle w:val="BodyText"/>
        <w:spacing w:before="42"/>
        <w:ind w:right="6686"/>
        <w:jc w:val="right"/>
      </w:pPr>
      <w:r>
        <w:rPr/>
        <w:t>ischemic</w:t>
      </w:r>
      <w:r>
        <w:rPr>
          <w:spacing w:val="-5"/>
        </w:rPr>
        <w:t> </w:t>
      </w:r>
      <w:r>
        <w:rPr/>
        <w:t>stroke,</w:t>
      </w:r>
      <w:r>
        <w:rPr>
          <w:spacing w:val="-5"/>
        </w:rPr>
        <w:t> </w:t>
      </w:r>
      <w:r>
        <w:rPr/>
        <w:t>hemorrhage,</w:t>
      </w:r>
      <w:r>
        <w:rPr>
          <w:spacing w:val="-5"/>
        </w:rPr>
        <w:t> </w:t>
      </w:r>
      <w:r>
        <w:rPr/>
        <w:t>mortality,</w:t>
      </w:r>
      <w:r>
        <w:rPr>
          <w:spacing w:val="-7"/>
        </w:rPr>
        <w:t> </w:t>
      </w:r>
      <w:r>
        <w:rPr/>
        <w:t>quality</w:t>
      </w:r>
      <w:r>
        <w:rPr>
          <w:spacing w:val="-6"/>
        </w:rPr>
        <w:t> </w:t>
      </w:r>
      <w:r>
        <w:rPr/>
        <w:t>of</w:t>
      </w:r>
      <w:r>
        <w:rPr>
          <w:spacing w:val="-5"/>
        </w:rPr>
        <w:t> </w:t>
      </w:r>
      <w:r>
        <w:rPr/>
        <w:t>life</w:t>
      </w:r>
      <w:r>
        <w:rPr>
          <w:spacing w:val="-6"/>
        </w:rPr>
        <w:t> </w:t>
      </w:r>
      <w:r>
        <w:rPr>
          <w:spacing w:val="-2"/>
        </w:rPr>
        <w:t>(QOL)</w:t>
      </w:r>
    </w:p>
    <w:p>
      <w:pPr>
        <w:pStyle w:val="BodyText"/>
        <w:spacing w:before="11"/>
        <w:rPr>
          <w:sz w:val="14"/>
        </w:rPr>
      </w:pPr>
      <w:r>
        <w:rPr>
          <w:sz w:val="14"/>
        </w:rPr>
        <mc:AlternateContent>
          <mc:Choice Requires="wps">
            <w:drawing>
              <wp:anchor distT="0" distB="0" distL="0" distR="0" allowOverlap="1" layoutInCell="1" locked="0" behindDoc="1" simplePos="0" relativeHeight="487600128">
                <wp:simplePos x="0" y="0"/>
                <wp:positionH relativeFrom="page">
                  <wp:posOffset>905256</wp:posOffset>
                </wp:positionH>
                <wp:positionV relativeFrom="paragraph">
                  <wp:posOffset>130867</wp:posOffset>
                </wp:positionV>
                <wp:extent cx="5277485" cy="9525"/>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5277485" cy="9525"/>
                        </a:xfrm>
                        <a:custGeom>
                          <a:avLst/>
                          <a:gdLst/>
                          <a:ahLst/>
                          <a:cxnLst/>
                          <a:rect l="l" t="t" r="r" b="b"/>
                          <a:pathLst>
                            <a:path w="5277485" h="9525">
                              <a:moveTo>
                                <a:pt x="5276977" y="0"/>
                              </a:moveTo>
                              <a:lnTo>
                                <a:pt x="1504442" y="0"/>
                              </a:lnTo>
                              <a:lnTo>
                                <a:pt x="1495298" y="0"/>
                              </a:lnTo>
                              <a:lnTo>
                                <a:pt x="0" y="0"/>
                              </a:lnTo>
                              <a:lnTo>
                                <a:pt x="0" y="9144"/>
                              </a:lnTo>
                              <a:lnTo>
                                <a:pt x="1495298" y="9144"/>
                              </a:lnTo>
                              <a:lnTo>
                                <a:pt x="1504442" y="9144"/>
                              </a:lnTo>
                              <a:lnTo>
                                <a:pt x="5276977" y="9144"/>
                              </a:lnTo>
                              <a:lnTo>
                                <a:pt x="52769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1.280006pt;margin-top:10.304519pt;width:415.55pt;height:.75pt;mso-position-horizontal-relative:page;mso-position-vertical-relative:paragraph;z-index:-15716352;mso-wrap-distance-left:0;mso-wrap-distance-right:0" id="docshape33" coordorigin="1426,206" coordsize="8311,15" path="m9736,206l3795,206,3780,206,1426,206,1426,220,3780,220,3795,220,9736,220,9736,206xe" filled="true" fillcolor="#000000" stroked="false">
                <v:path arrowok="t"/>
                <v:fill type="solid"/>
                <w10:wrap type="topAndBottom"/>
              </v:shape>
            </w:pict>
          </mc:Fallback>
        </mc:AlternateContent>
      </w:r>
    </w:p>
    <w:p>
      <w:pPr>
        <w:pStyle w:val="BodyText"/>
        <w:spacing w:before="203"/>
      </w:pPr>
    </w:p>
    <w:p>
      <w:pPr>
        <w:pStyle w:val="BodyText"/>
        <w:ind w:left="23"/>
      </w:pPr>
      <w:r>
        <w:rPr>
          <w:u w:val="single"/>
        </w:rPr>
        <w:t>Relevant</w:t>
      </w:r>
      <w:r>
        <w:rPr>
          <w:spacing w:val="-6"/>
          <w:u w:val="single"/>
        </w:rPr>
        <w:t> </w:t>
      </w:r>
      <w:r>
        <w:rPr>
          <w:u w:val="single"/>
        </w:rPr>
        <w:t>outcome</w:t>
      </w:r>
      <w:r>
        <w:rPr>
          <w:spacing w:val="-5"/>
          <w:u w:val="single"/>
        </w:rPr>
        <w:t> </w:t>
      </w:r>
      <w:r>
        <w:rPr>
          <w:spacing w:val="-2"/>
          <w:u w:val="single"/>
        </w:rPr>
        <w:t>measures</w:t>
      </w:r>
    </w:p>
    <w:p>
      <w:pPr>
        <w:pStyle w:val="BodyText"/>
        <w:spacing w:line="276" w:lineRule="auto" w:before="39"/>
        <w:ind w:left="23" w:right="466"/>
      </w:pPr>
      <w:r>
        <w:rPr/>
        <w:t>The guideline development group considered thrombotic complications (including pulmonary embolism), as a critical outcome measures for decision making;</w:t>
      </w:r>
      <w:r>
        <w:rPr>
          <w:spacing w:val="-3"/>
        </w:rPr>
        <w:t> </w:t>
      </w:r>
      <w:r>
        <w:rPr/>
        <w:t>and</w:t>
      </w:r>
      <w:r>
        <w:rPr>
          <w:spacing w:val="-3"/>
        </w:rPr>
        <w:t> </w:t>
      </w:r>
      <w:r>
        <w:rPr/>
        <w:t>ischemic</w:t>
      </w:r>
      <w:r>
        <w:rPr>
          <w:spacing w:val="-3"/>
        </w:rPr>
        <w:t> </w:t>
      </w:r>
      <w:r>
        <w:rPr/>
        <w:t>stroke,</w:t>
      </w:r>
      <w:r>
        <w:rPr>
          <w:spacing w:val="-1"/>
        </w:rPr>
        <w:t> </w:t>
      </w:r>
      <w:r>
        <w:rPr/>
        <w:t>hemorrhage,</w:t>
      </w:r>
      <w:r>
        <w:rPr>
          <w:spacing w:val="-3"/>
        </w:rPr>
        <w:t> </w:t>
      </w:r>
      <w:r>
        <w:rPr/>
        <w:t>mortality,</w:t>
      </w:r>
      <w:r>
        <w:rPr>
          <w:spacing w:val="-1"/>
        </w:rPr>
        <w:t> </w:t>
      </w:r>
      <w:r>
        <w:rPr/>
        <w:t>and</w:t>
      </w:r>
      <w:r>
        <w:rPr>
          <w:spacing w:val="-2"/>
        </w:rPr>
        <w:t> </w:t>
      </w:r>
      <w:r>
        <w:rPr/>
        <w:t>quality of</w:t>
      </w:r>
      <w:r>
        <w:rPr>
          <w:spacing w:val="-4"/>
        </w:rPr>
        <w:t> </w:t>
      </w:r>
      <w:r>
        <w:rPr/>
        <w:t>life</w:t>
      </w:r>
      <w:r>
        <w:rPr>
          <w:spacing w:val="-1"/>
        </w:rPr>
        <w:t> </w:t>
      </w:r>
      <w:r>
        <w:rPr/>
        <w:t>as</w:t>
      </w:r>
      <w:r>
        <w:rPr>
          <w:spacing w:val="-3"/>
        </w:rPr>
        <w:t> </w:t>
      </w:r>
      <w:r>
        <w:rPr/>
        <w:t>an important</w:t>
      </w:r>
      <w:r>
        <w:rPr>
          <w:spacing w:val="-2"/>
        </w:rPr>
        <w:t> </w:t>
      </w:r>
      <w:r>
        <w:rPr/>
        <w:t>outcome</w:t>
      </w:r>
      <w:r>
        <w:rPr>
          <w:spacing w:val="-3"/>
        </w:rPr>
        <w:t> </w:t>
      </w:r>
      <w:r>
        <w:rPr/>
        <w:t>measure</w:t>
      </w:r>
      <w:r>
        <w:rPr>
          <w:spacing w:val="-4"/>
        </w:rPr>
        <w:t> </w:t>
      </w:r>
      <w:r>
        <w:rPr/>
        <w:t>for</w:t>
      </w:r>
      <w:r>
        <w:rPr>
          <w:spacing w:val="-1"/>
        </w:rPr>
        <w:t> </w:t>
      </w:r>
      <w:r>
        <w:rPr/>
        <w:t>decision</w:t>
      </w:r>
      <w:r>
        <w:rPr>
          <w:spacing w:val="-4"/>
        </w:rPr>
        <w:t> </w:t>
      </w:r>
      <w:r>
        <w:rPr/>
        <w:t>making.</w:t>
      </w:r>
      <w:r>
        <w:rPr>
          <w:spacing w:val="40"/>
        </w:rPr>
        <w:t> </w:t>
      </w:r>
      <w:r>
        <w:rPr/>
        <w:t>A</w:t>
      </w:r>
      <w:r>
        <w:rPr>
          <w:spacing w:val="-4"/>
        </w:rPr>
        <w:t> </w:t>
      </w:r>
      <w:r>
        <w:rPr/>
        <w:t>priori,</w:t>
      </w:r>
      <w:r>
        <w:rPr>
          <w:spacing w:val="-1"/>
        </w:rPr>
        <w:t> </w:t>
      </w:r>
      <w:r>
        <w:rPr/>
        <w:t>the</w:t>
      </w:r>
      <w:r>
        <w:rPr>
          <w:spacing w:val="-1"/>
        </w:rPr>
        <w:t> </w:t>
      </w:r>
      <w:r>
        <w:rPr/>
        <w:t>guideline</w:t>
      </w:r>
      <w:r>
        <w:rPr>
          <w:spacing w:val="-1"/>
        </w:rPr>
        <w:t> </w:t>
      </w:r>
      <w:r>
        <w:rPr/>
        <w:t>panel did not define the outcome measures listed above but used the definitions used in the studies. The guideline panel defined a difference of 25% (0.8 ≥ RR ≥ 1.25) as minimal clinically (patient) important difference.</w:t>
      </w:r>
    </w:p>
    <w:p>
      <w:pPr>
        <w:pStyle w:val="BodyText"/>
        <w:spacing w:before="202"/>
        <w:ind w:left="23"/>
      </w:pPr>
      <w:r>
        <w:rPr>
          <w:u w:val="single"/>
        </w:rPr>
        <w:t>Search</w:t>
      </w:r>
      <w:r>
        <w:rPr>
          <w:spacing w:val="-6"/>
          <w:u w:val="single"/>
        </w:rPr>
        <w:t> </w:t>
      </w:r>
      <w:r>
        <w:rPr>
          <w:u w:val="single"/>
        </w:rPr>
        <w:t>and</w:t>
      </w:r>
      <w:r>
        <w:rPr>
          <w:spacing w:val="-5"/>
          <w:u w:val="single"/>
        </w:rPr>
        <w:t> </w:t>
      </w:r>
      <w:r>
        <w:rPr>
          <w:spacing w:val="-2"/>
          <w:u w:val="single"/>
        </w:rPr>
        <w:t>selection</w:t>
      </w:r>
    </w:p>
    <w:p>
      <w:pPr>
        <w:pStyle w:val="BodyText"/>
        <w:spacing w:line="278" w:lineRule="auto" w:before="39"/>
        <w:ind w:left="23" w:right="466"/>
      </w:pPr>
      <w:r>
        <w:rPr/>
        <w:t>The systematic literature search resulted in 415 hits. Initially, seven studies were selected based on title and abstract screening. After reading the full text, six studies were excluded (Table 4.1), and one study was included. Additionally, we also screened the title and abstract of six additional studies that were included</w:t>
      </w:r>
      <w:r>
        <w:rPr>
          <w:spacing w:val="-1"/>
        </w:rPr>
        <w:t> </w:t>
      </w:r>
      <w:r>
        <w:rPr/>
        <w:t>in</w:t>
      </w:r>
      <w:r>
        <w:rPr>
          <w:spacing w:val="-2"/>
        </w:rPr>
        <w:t> </w:t>
      </w:r>
      <w:r>
        <w:rPr/>
        <w:t>the conclusions</w:t>
      </w:r>
      <w:r>
        <w:rPr>
          <w:spacing w:val="-4"/>
        </w:rPr>
        <w:t> </w:t>
      </w:r>
      <w:r>
        <w:rPr/>
        <w:t>of</w:t>
      </w:r>
      <w:r>
        <w:rPr>
          <w:spacing w:val="-3"/>
        </w:rPr>
        <w:t> </w:t>
      </w:r>
      <w:r>
        <w:rPr/>
        <w:t>the</w:t>
      </w:r>
      <w:r>
        <w:rPr>
          <w:spacing w:val="-3"/>
        </w:rPr>
        <w:t> </w:t>
      </w:r>
      <w:r>
        <w:rPr/>
        <w:t>module</w:t>
      </w:r>
      <w:r>
        <w:rPr>
          <w:spacing w:val="-4"/>
        </w:rPr>
        <w:t> </w:t>
      </w:r>
      <w:r>
        <w:rPr/>
        <w:t>on</w:t>
      </w:r>
      <w:r>
        <w:rPr>
          <w:spacing w:val="-5"/>
        </w:rPr>
        <w:t> </w:t>
      </w:r>
      <w:r>
        <w:rPr/>
        <w:t>DCM</w:t>
      </w:r>
      <w:r>
        <w:rPr>
          <w:spacing w:val="-1"/>
        </w:rPr>
        <w:t> </w:t>
      </w:r>
      <w:r>
        <w:rPr/>
        <w:t>in</w:t>
      </w:r>
      <w:r>
        <w:rPr>
          <w:spacing w:val="-1"/>
        </w:rPr>
        <w:t> </w:t>
      </w:r>
      <w:r>
        <w:rPr/>
        <w:t>the</w:t>
      </w:r>
      <w:r>
        <w:rPr>
          <w:spacing w:val="-1"/>
        </w:rPr>
        <w:t> </w:t>
      </w:r>
      <w:r>
        <w:rPr/>
        <w:t>former</w:t>
      </w:r>
      <w:r>
        <w:rPr>
          <w:spacing w:val="-3"/>
        </w:rPr>
        <w:t> </w:t>
      </w:r>
      <w:r>
        <w:rPr/>
        <w:t>Dutch</w:t>
      </w:r>
      <w:r>
        <w:rPr>
          <w:spacing w:val="-1"/>
        </w:rPr>
        <w:t> </w:t>
      </w:r>
      <w:r>
        <w:rPr/>
        <w:t>guideline.</w:t>
      </w:r>
      <w:r>
        <w:rPr>
          <w:spacing w:val="-3"/>
        </w:rPr>
        <w:t> </w:t>
      </w:r>
      <w:r>
        <w:rPr/>
        <w:t>Five</w:t>
      </w:r>
      <w:r>
        <w:rPr>
          <w:spacing w:val="-1"/>
        </w:rPr>
        <w:t> </w:t>
      </w:r>
      <w:r>
        <w:rPr/>
        <w:t>studies</w:t>
      </w:r>
      <w:r>
        <w:rPr>
          <w:spacing w:val="-1"/>
        </w:rPr>
        <w:t> </w:t>
      </w:r>
      <w:r>
        <w:rPr/>
        <w:t>(McCrindle,</w:t>
      </w:r>
      <w:r>
        <w:rPr>
          <w:spacing w:val="-4"/>
        </w:rPr>
        <w:t> </w:t>
      </w:r>
      <w:r>
        <w:rPr/>
        <w:t>2006;</w:t>
      </w:r>
      <w:r>
        <w:rPr>
          <w:spacing w:val="-1"/>
        </w:rPr>
        <w:t> </w:t>
      </w:r>
      <w:r>
        <w:rPr/>
        <w:t>Choi,</w:t>
      </w:r>
      <w:r>
        <w:rPr>
          <w:spacing w:val="-1"/>
        </w:rPr>
        <w:t> </w:t>
      </w:r>
      <w:r>
        <w:rPr/>
        <w:t>2010;</w:t>
      </w:r>
      <w:r>
        <w:rPr>
          <w:spacing w:val="-3"/>
        </w:rPr>
        <w:t> </w:t>
      </w:r>
      <w:r>
        <w:rPr/>
        <w:t>Gunthard,</w:t>
      </w:r>
      <w:r>
        <w:rPr>
          <w:spacing w:val="-3"/>
        </w:rPr>
        <w:t> </w:t>
      </w:r>
      <w:r>
        <w:rPr/>
        <w:t>1997;</w:t>
      </w:r>
      <w:r>
        <w:rPr>
          <w:spacing w:val="-1"/>
        </w:rPr>
        <w:t> </w:t>
      </w:r>
      <w:r>
        <w:rPr/>
        <w:t>Homma,</w:t>
      </w:r>
      <w:r>
        <w:rPr>
          <w:spacing w:val="-3"/>
        </w:rPr>
        <w:t> </w:t>
      </w:r>
      <w:r>
        <w:rPr/>
        <w:t>2012;</w:t>
      </w:r>
    </w:p>
    <w:p>
      <w:pPr>
        <w:pStyle w:val="BodyText"/>
        <w:spacing w:after="0" w:line="278" w:lineRule="auto"/>
        <w:sectPr>
          <w:pgSz w:w="16840" w:h="11910" w:orient="landscape"/>
          <w:pgMar w:top="1340" w:bottom="280" w:left="1417" w:right="992"/>
        </w:sectPr>
      </w:pPr>
    </w:p>
    <w:p>
      <w:pPr>
        <w:pStyle w:val="BodyText"/>
        <w:spacing w:line="278" w:lineRule="auto" w:before="93"/>
        <w:ind w:left="23" w:right="466"/>
      </w:pPr>
      <w:r>
        <w:rPr/>
        <w:t>Massie,</w:t>
      </w:r>
      <w:r>
        <w:rPr>
          <w:spacing w:val="-4"/>
        </w:rPr>
        <w:t> </w:t>
      </w:r>
      <w:r>
        <w:rPr/>
        <w:t>2009)</w:t>
      </w:r>
      <w:r>
        <w:rPr>
          <w:spacing w:val="-1"/>
        </w:rPr>
        <w:t> </w:t>
      </w:r>
      <w:r>
        <w:rPr/>
        <w:t>did</w:t>
      </w:r>
      <w:r>
        <w:rPr>
          <w:spacing w:val="-3"/>
        </w:rPr>
        <w:t> </w:t>
      </w:r>
      <w:r>
        <w:rPr/>
        <w:t>not</w:t>
      </w:r>
      <w:r>
        <w:rPr>
          <w:spacing w:val="-1"/>
        </w:rPr>
        <w:t> </w:t>
      </w:r>
      <w:r>
        <w:rPr/>
        <w:t>fit</w:t>
      </w:r>
      <w:r>
        <w:rPr>
          <w:spacing w:val="-1"/>
        </w:rPr>
        <w:t> </w:t>
      </w:r>
      <w:r>
        <w:rPr/>
        <w:t>the</w:t>
      </w:r>
      <w:r>
        <w:rPr>
          <w:spacing w:val="-1"/>
        </w:rPr>
        <w:t> </w:t>
      </w:r>
      <w:r>
        <w:rPr/>
        <w:t>PICO</w:t>
      </w:r>
      <w:r>
        <w:rPr>
          <w:spacing w:val="-1"/>
        </w:rPr>
        <w:t> </w:t>
      </w:r>
      <w:r>
        <w:rPr/>
        <w:t>and</w:t>
      </w:r>
      <w:r>
        <w:rPr>
          <w:spacing w:val="-2"/>
        </w:rPr>
        <w:t> </w:t>
      </w:r>
      <w:r>
        <w:rPr/>
        <w:t>were</w:t>
      </w:r>
      <w:r>
        <w:rPr>
          <w:spacing w:val="-3"/>
        </w:rPr>
        <w:t> </w:t>
      </w:r>
      <w:r>
        <w:rPr/>
        <w:t>therefore</w:t>
      </w:r>
      <w:r>
        <w:rPr>
          <w:spacing w:val="-3"/>
        </w:rPr>
        <w:t> </w:t>
      </w:r>
      <w:r>
        <w:rPr/>
        <w:t>not</w:t>
      </w:r>
      <w:r>
        <w:rPr>
          <w:spacing w:val="-1"/>
        </w:rPr>
        <w:t> </w:t>
      </w:r>
      <w:r>
        <w:rPr/>
        <w:t>included</w:t>
      </w:r>
      <w:r>
        <w:rPr>
          <w:spacing w:val="-1"/>
        </w:rPr>
        <w:t> </w:t>
      </w:r>
      <w:r>
        <w:rPr/>
        <w:t>in</w:t>
      </w:r>
      <w:r>
        <w:rPr>
          <w:spacing w:val="-4"/>
        </w:rPr>
        <w:t> </w:t>
      </w:r>
      <w:r>
        <w:rPr/>
        <w:t>this</w:t>
      </w:r>
      <w:r>
        <w:rPr>
          <w:spacing w:val="-1"/>
        </w:rPr>
        <w:t> </w:t>
      </w:r>
      <w:r>
        <w:rPr/>
        <w:t>summary of</w:t>
      </w:r>
      <w:r>
        <w:rPr>
          <w:spacing w:val="-4"/>
        </w:rPr>
        <w:t> </w:t>
      </w:r>
      <w:r>
        <w:rPr/>
        <w:t>literature.</w:t>
      </w:r>
      <w:r>
        <w:rPr>
          <w:spacing w:val="-1"/>
        </w:rPr>
        <w:t> </w:t>
      </w:r>
      <w:r>
        <w:rPr/>
        <w:t>Reasons</w:t>
      </w:r>
      <w:r>
        <w:rPr>
          <w:spacing w:val="-1"/>
        </w:rPr>
        <w:t> </w:t>
      </w:r>
      <w:r>
        <w:rPr/>
        <w:t>for</w:t>
      </w:r>
      <w:r>
        <w:rPr>
          <w:spacing w:val="-4"/>
        </w:rPr>
        <w:t> </w:t>
      </w:r>
      <w:r>
        <w:rPr/>
        <w:t>exclusion</w:t>
      </w:r>
      <w:r>
        <w:rPr>
          <w:spacing w:val="-2"/>
        </w:rPr>
        <w:t> </w:t>
      </w:r>
      <w:r>
        <w:rPr/>
        <w:t>were wrong</w:t>
      </w:r>
      <w:r>
        <w:rPr>
          <w:spacing w:val="-2"/>
        </w:rPr>
        <w:t> </w:t>
      </w:r>
      <w:r>
        <w:rPr/>
        <w:t>population</w:t>
      </w:r>
      <w:r>
        <w:rPr>
          <w:spacing w:val="-2"/>
        </w:rPr>
        <w:t> </w:t>
      </w:r>
      <w:r>
        <w:rPr/>
        <w:t>(Homma, 2012; Massie, 2009) and wrong or no comparison (Choi, 2010; Gunthard, 1997; McCrindle, 2006). Arola (1998) was also not included in the summary of literature, due to too few patients in the intervention group (&lt;10).</w:t>
      </w:r>
    </w:p>
    <w:p>
      <w:pPr>
        <w:pStyle w:val="BodyText"/>
        <w:spacing w:before="162"/>
        <w:ind w:left="23"/>
      </w:pPr>
      <w:r>
        <w:rPr>
          <w:u w:val="single"/>
        </w:rPr>
        <w:t>Summary</w:t>
      </w:r>
      <w:r>
        <w:rPr>
          <w:spacing w:val="-5"/>
          <w:u w:val="single"/>
        </w:rPr>
        <w:t> </w:t>
      </w:r>
      <w:r>
        <w:rPr>
          <w:u w:val="single"/>
        </w:rPr>
        <w:t>of</w:t>
      </w:r>
      <w:r>
        <w:rPr>
          <w:spacing w:val="-2"/>
          <w:u w:val="single"/>
        </w:rPr>
        <w:t> literature</w:t>
      </w:r>
    </w:p>
    <w:p>
      <w:pPr>
        <w:spacing w:before="41"/>
        <w:ind w:left="23" w:right="0" w:firstLine="0"/>
        <w:jc w:val="left"/>
        <w:rPr>
          <w:i/>
          <w:sz w:val="22"/>
        </w:rPr>
      </w:pPr>
      <w:r>
        <w:rPr>
          <w:i/>
          <w:sz w:val="22"/>
        </w:rPr>
        <w:t>Description</w:t>
      </w:r>
      <w:r>
        <w:rPr>
          <w:i/>
          <w:spacing w:val="-6"/>
          <w:sz w:val="22"/>
        </w:rPr>
        <w:t> </w:t>
      </w:r>
      <w:r>
        <w:rPr>
          <w:i/>
          <w:sz w:val="22"/>
        </w:rPr>
        <w:t>of</w:t>
      </w:r>
      <w:r>
        <w:rPr>
          <w:i/>
          <w:spacing w:val="-5"/>
          <w:sz w:val="22"/>
        </w:rPr>
        <w:t> </w:t>
      </w:r>
      <w:r>
        <w:rPr>
          <w:i/>
          <w:spacing w:val="-2"/>
          <w:sz w:val="22"/>
        </w:rPr>
        <w:t>studies</w:t>
      </w:r>
    </w:p>
    <w:p>
      <w:pPr>
        <w:pStyle w:val="BodyText"/>
        <w:spacing w:line="278" w:lineRule="auto" w:before="39"/>
        <w:ind w:left="23" w:right="466"/>
      </w:pPr>
      <w:r>
        <w:rPr/>
        <w:t>One</w:t>
      </w:r>
      <w:r>
        <w:rPr>
          <w:spacing w:val="-1"/>
        </w:rPr>
        <w:t> </w:t>
      </w:r>
      <w:r>
        <w:rPr/>
        <w:t>study</w:t>
      </w:r>
      <w:r>
        <w:rPr>
          <w:spacing w:val="-3"/>
        </w:rPr>
        <w:t> </w:t>
      </w:r>
      <w:r>
        <w:rPr/>
        <w:t>was</w:t>
      </w:r>
      <w:r>
        <w:rPr>
          <w:spacing w:val="-4"/>
        </w:rPr>
        <w:t> </w:t>
      </w:r>
      <w:r>
        <w:rPr/>
        <w:t>included</w:t>
      </w:r>
      <w:r>
        <w:rPr>
          <w:spacing w:val="-1"/>
        </w:rPr>
        <w:t> </w:t>
      </w:r>
      <w:r>
        <w:rPr/>
        <w:t>in</w:t>
      </w:r>
      <w:r>
        <w:rPr>
          <w:spacing w:val="-4"/>
        </w:rPr>
        <w:t> </w:t>
      </w:r>
      <w:r>
        <w:rPr/>
        <w:t>the</w:t>
      </w:r>
      <w:r>
        <w:rPr>
          <w:spacing w:val="-1"/>
        </w:rPr>
        <w:t> </w:t>
      </w:r>
      <w:r>
        <w:rPr/>
        <w:t>analysis</w:t>
      </w:r>
      <w:r>
        <w:rPr>
          <w:spacing w:val="-1"/>
        </w:rPr>
        <w:t> </w:t>
      </w:r>
      <w:r>
        <w:rPr/>
        <w:t>of</w:t>
      </w:r>
      <w:r>
        <w:rPr>
          <w:spacing w:val="-3"/>
        </w:rPr>
        <w:t> </w:t>
      </w:r>
      <w:r>
        <w:rPr/>
        <w:t>literature.</w:t>
      </w:r>
      <w:r>
        <w:rPr>
          <w:spacing w:val="-1"/>
        </w:rPr>
        <w:t> </w:t>
      </w:r>
      <w:r>
        <w:rPr/>
        <w:t>Important</w:t>
      </w:r>
      <w:r>
        <w:rPr>
          <w:spacing w:val="-1"/>
        </w:rPr>
        <w:t> </w:t>
      </w:r>
      <w:r>
        <w:rPr/>
        <w:t>study</w:t>
      </w:r>
      <w:r>
        <w:rPr>
          <w:spacing w:val="-1"/>
        </w:rPr>
        <w:t> </w:t>
      </w:r>
      <w:r>
        <w:rPr/>
        <w:t>characteristics</w:t>
      </w:r>
      <w:r>
        <w:rPr>
          <w:spacing w:val="-1"/>
        </w:rPr>
        <w:t> </w:t>
      </w:r>
      <w:r>
        <w:rPr/>
        <w:t>and</w:t>
      </w:r>
      <w:r>
        <w:rPr>
          <w:spacing w:val="-2"/>
        </w:rPr>
        <w:t> </w:t>
      </w:r>
      <w:r>
        <w:rPr/>
        <w:t>results are</w:t>
      </w:r>
      <w:r>
        <w:rPr>
          <w:spacing w:val="-1"/>
        </w:rPr>
        <w:t> </w:t>
      </w:r>
      <w:r>
        <w:rPr/>
        <w:t>summarized</w:t>
      </w:r>
      <w:r>
        <w:rPr>
          <w:spacing w:val="-1"/>
        </w:rPr>
        <w:t> </w:t>
      </w:r>
      <w:r>
        <w:rPr/>
        <w:t>in</w:t>
      </w:r>
      <w:r>
        <w:rPr>
          <w:spacing w:val="-2"/>
        </w:rPr>
        <w:t> </w:t>
      </w:r>
      <w:r>
        <w:rPr/>
        <w:t>table 4.2.</w:t>
      </w:r>
      <w:r>
        <w:rPr>
          <w:spacing w:val="-4"/>
        </w:rPr>
        <w:t> </w:t>
      </w:r>
      <w:r>
        <w:rPr/>
        <w:t>The</w:t>
      </w:r>
      <w:r>
        <w:rPr>
          <w:spacing w:val="-1"/>
        </w:rPr>
        <w:t> </w:t>
      </w:r>
      <w:r>
        <w:rPr/>
        <w:t>assessment</w:t>
      </w:r>
      <w:r>
        <w:rPr>
          <w:spacing w:val="-4"/>
        </w:rPr>
        <w:t> </w:t>
      </w:r>
      <w:r>
        <w:rPr/>
        <w:t>of</w:t>
      </w:r>
      <w:r>
        <w:rPr>
          <w:spacing w:val="-4"/>
        </w:rPr>
        <w:t> </w:t>
      </w:r>
      <w:r>
        <w:rPr/>
        <w:t>the</w:t>
      </w:r>
      <w:r>
        <w:rPr>
          <w:spacing w:val="-1"/>
        </w:rPr>
        <w:t> </w:t>
      </w:r>
      <w:r>
        <w:rPr/>
        <w:t>risk</w:t>
      </w:r>
      <w:r>
        <w:rPr>
          <w:spacing w:val="-3"/>
        </w:rPr>
        <w:t> </w:t>
      </w:r>
      <w:r>
        <w:rPr/>
        <w:t>of bias is summarized in the risk of bias tables (table 4.3).</w:t>
      </w:r>
    </w:p>
    <w:p>
      <w:pPr>
        <w:pStyle w:val="BodyText"/>
        <w:spacing w:before="162"/>
        <w:ind w:left="23"/>
      </w:pPr>
      <w:r>
        <w:rPr/>
        <w:t>Irdem</w:t>
      </w:r>
      <w:r>
        <w:rPr>
          <w:spacing w:val="-4"/>
        </w:rPr>
        <w:t> </w:t>
      </w:r>
      <w:r>
        <w:rPr/>
        <w:t>(2014)</w:t>
      </w:r>
      <w:r>
        <w:rPr>
          <w:spacing w:val="-2"/>
        </w:rPr>
        <w:t> </w:t>
      </w:r>
      <w:r>
        <w:rPr/>
        <w:t>conducted</w:t>
      </w:r>
      <w:r>
        <w:rPr>
          <w:spacing w:val="-6"/>
        </w:rPr>
        <w:t> </w:t>
      </w:r>
      <w:r>
        <w:rPr/>
        <w:t>a</w:t>
      </w:r>
      <w:r>
        <w:rPr>
          <w:spacing w:val="-3"/>
        </w:rPr>
        <w:t> </w:t>
      </w:r>
      <w:r>
        <w:rPr/>
        <w:t>retrospective</w:t>
      </w:r>
      <w:r>
        <w:rPr>
          <w:spacing w:val="-5"/>
        </w:rPr>
        <w:t> </w:t>
      </w:r>
      <w:r>
        <w:rPr/>
        <w:t>cohort</w:t>
      </w:r>
      <w:r>
        <w:rPr>
          <w:spacing w:val="-5"/>
        </w:rPr>
        <w:t> </w:t>
      </w:r>
      <w:r>
        <w:rPr/>
        <w:t>study</w:t>
      </w:r>
      <w:r>
        <w:rPr>
          <w:spacing w:val="-3"/>
        </w:rPr>
        <w:t> </w:t>
      </w:r>
      <w:r>
        <w:rPr/>
        <w:t>in</w:t>
      </w:r>
      <w:r>
        <w:rPr>
          <w:spacing w:val="-4"/>
        </w:rPr>
        <w:t> </w:t>
      </w:r>
      <w:r>
        <w:rPr/>
        <w:t>which</w:t>
      </w:r>
      <w:r>
        <w:rPr>
          <w:spacing w:val="-4"/>
        </w:rPr>
        <w:t> </w:t>
      </w:r>
      <w:r>
        <w:rPr/>
        <w:t>the</w:t>
      </w:r>
      <w:r>
        <w:rPr>
          <w:spacing w:val="-5"/>
        </w:rPr>
        <w:t> </w:t>
      </w:r>
      <w:r>
        <w:rPr/>
        <w:t>files</w:t>
      </w:r>
      <w:r>
        <w:rPr>
          <w:spacing w:val="-5"/>
        </w:rPr>
        <w:t> </w:t>
      </w:r>
      <w:r>
        <w:rPr/>
        <w:t>of</w:t>
      </w:r>
      <w:r>
        <w:rPr>
          <w:spacing w:val="-5"/>
        </w:rPr>
        <w:t> </w:t>
      </w:r>
      <w:r>
        <w:rPr/>
        <w:t>83</w:t>
      </w:r>
      <w:r>
        <w:rPr>
          <w:spacing w:val="-5"/>
        </w:rPr>
        <w:t> </w:t>
      </w:r>
      <w:r>
        <w:rPr/>
        <w:t>DCM</w:t>
      </w:r>
      <w:r>
        <w:rPr>
          <w:spacing w:val="-5"/>
        </w:rPr>
        <w:t> </w:t>
      </w:r>
      <w:r>
        <w:rPr/>
        <w:t>patients</w:t>
      </w:r>
      <w:r>
        <w:rPr>
          <w:spacing w:val="-5"/>
        </w:rPr>
        <w:t> </w:t>
      </w:r>
      <w:r>
        <w:rPr/>
        <w:t>(42</w:t>
      </w:r>
      <w:r>
        <w:rPr>
          <w:spacing w:val="-5"/>
        </w:rPr>
        <w:t> </w:t>
      </w:r>
      <w:r>
        <w:rPr/>
        <w:t>males,</w:t>
      </w:r>
      <w:r>
        <w:rPr>
          <w:spacing w:val="-6"/>
        </w:rPr>
        <w:t> </w:t>
      </w:r>
      <w:r>
        <w:rPr/>
        <w:t>41</w:t>
      </w:r>
      <w:r>
        <w:rPr>
          <w:spacing w:val="-3"/>
        </w:rPr>
        <w:t> </w:t>
      </w:r>
      <w:r>
        <w:rPr/>
        <w:t>females)</w:t>
      </w:r>
      <w:r>
        <w:rPr>
          <w:spacing w:val="-5"/>
        </w:rPr>
        <w:t> </w:t>
      </w:r>
      <w:r>
        <w:rPr/>
        <w:t>were</w:t>
      </w:r>
      <w:r>
        <w:rPr>
          <w:spacing w:val="-5"/>
        </w:rPr>
        <w:t> </w:t>
      </w:r>
      <w:r>
        <w:rPr/>
        <w:t>reviewed.</w:t>
      </w:r>
      <w:r>
        <w:rPr>
          <w:spacing w:val="-4"/>
        </w:rPr>
        <w:t> </w:t>
      </w:r>
      <w:r>
        <w:rPr/>
        <w:t>The</w:t>
      </w:r>
      <w:r>
        <w:rPr>
          <w:spacing w:val="-5"/>
        </w:rPr>
        <w:t> </w:t>
      </w:r>
      <w:r>
        <w:rPr/>
        <w:t>patients</w:t>
      </w:r>
      <w:r>
        <w:rPr>
          <w:spacing w:val="-4"/>
        </w:rPr>
        <w:t> were</w:t>
      </w:r>
    </w:p>
    <w:p>
      <w:pPr>
        <w:pStyle w:val="BodyText"/>
        <w:spacing w:line="278" w:lineRule="auto" w:before="44"/>
        <w:ind w:left="23" w:right="466"/>
      </w:pPr>
      <w:r>
        <w:rPr/>
        <w:t>followed</w:t>
      </w:r>
      <w:r>
        <w:rPr>
          <w:spacing w:val="-1"/>
        </w:rPr>
        <w:t> </w:t>
      </w:r>
      <w:r>
        <w:rPr/>
        <w:t>between</w:t>
      </w:r>
      <w:r>
        <w:rPr>
          <w:spacing w:val="-1"/>
        </w:rPr>
        <w:t> </w:t>
      </w:r>
      <w:r>
        <w:rPr/>
        <w:t>June</w:t>
      </w:r>
      <w:r>
        <w:rPr>
          <w:spacing w:val="-2"/>
        </w:rPr>
        <w:t> </w:t>
      </w:r>
      <w:r>
        <w:rPr/>
        <w:t>2004 and</w:t>
      </w:r>
      <w:r>
        <w:rPr>
          <w:spacing w:val="-4"/>
        </w:rPr>
        <w:t> </w:t>
      </w:r>
      <w:r>
        <w:rPr/>
        <w:t>December</w:t>
      </w:r>
      <w:r>
        <w:rPr>
          <w:spacing w:val="-2"/>
        </w:rPr>
        <w:t> </w:t>
      </w:r>
      <w:r>
        <w:rPr/>
        <w:t>2011.</w:t>
      </w:r>
      <w:r>
        <w:rPr>
          <w:spacing w:val="-3"/>
        </w:rPr>
        <w:t> </w:t>
      </w:r>
      <w:r>
        <w:rPr/>
        <w:t>DCMP</w:t>
      </w:r>
      <w:r>
        <w:rPr>
          <w:spacing w:val="-2"/>
        </w:rPr>
        <w:t> </w:t>
      </w:r>
      <w:r>
        <w:rPr/>
        <w:t>diagnosis</w:t>
      </w:r>
      <w:r>
        <w:rPr>
          <w:spacing w:val="-3"/>
        </w:rPr>
        <w:t> </w:t>
      </w:r>
      <w:r>
        <w:rPr/>
        <w:t>was based on</w:t>
      </w:r>
      <w:r>
        <w:rPr>
          <w:spacing w:val="-4"/>
        </w:rPr>
        <w:t> </w:t>
      </w:r>
      <w:r>
        <w:rPr/>
        <w:t>the American</w:t>
      </w:r>
      <w:r>
        <w:rPr>
          <w:spacing w:val="-1"/>
        </w:rPr>
        <w:t> </w:t>
      </w:r>
      <w:r>
        <w:rPr/>
        <w:t>Heart</w:t>
      </w:r>
      <w:r>
        <w:rPr>
          <w:spacing w:val="-3"/>
        </w:rPr>
        <w:t> </w:t>
      </w:r>
      <w:r>
        <w:rPr/>
        <w:t>Association’s definitions</w:t>
      </w:r>
      <w:r>
        <w:rPr>
          <w:spacing w:val="-3"/>
        </w:rPr>
        <w:t> </w:t>
      </w:r>
      <w:r>
        <w:rPr/>
        <w:t>and</w:t>
      </w:r>
      <w:r>
        <w:rPr>
          <w:spacing w:val="-2"/>
        </w:rPr>
        <w:t> </w:t>
      </w:r>
      <w:r>
        <w:rPr/>
        <w:t>classifications</w:t>
      </w:r>
      <w:r>
        <w:rPr>
          <w:spacing w:val="-3"/>
        </w:rPr>
        <w:t> </w:t>
      </w:r>
      <w:r>
        <w:rPr/>
        <w:t>(2006) and was defined as ventricular chamber enlargement and systolic dysfunction with normal LV wall thickness determined by two-dimensional transthoracic echocardiography (TTE). Patients with left ventricular ejection fraction (LVEF) ≤30% (n=29) were treated with aspirin, whereas antiplatelet treatment was not started in patients with LVEF &gt;30%.</w:t>
      </w:r>
    </w:p>
    <w:p>
      <w:pPr>
        <w:spacing w:before="162"/>
        <w:ind w:left="23" w:right="0" w:firstLine="0"/>
        <w:jc w:val="left"/>
        <w:rPr>
          <w:i/>
          <w:sz w:val="22"/>
        </w:rPr>
      </w:pPr>
      <w:r>
        <w:rPr>
          <w:i/>
          <w:spacing w:val="-2"/>
          <w:sz w:val="22"/>
        </w:rPr>
        <w:t>Results</w:t>
      </w:r>
    </w:p>
    <w:p>
      <w:pPr>
        <w:pStyle w:val="BodyText"/>
        <w:spacing w:line="422" w:lineRule="auto" w:before="205"/>
        <w:ind w:left="23" w:right="7738"/>
      </w:pPr>
      <w:r>
        <w:rPr/>
        <w:t>A</w:t>
      </w:r>
      <w:r>
        <w:rPr>
          <w:spacing w:val="-2"/>
        </w:rPr>
        <w:t> </w:t>
      </w:r>
      <w:r>
        <w:rPr/>
        <w:t>summary</w:t>
      </w:r>
      <w:r>
        <w:rPr>
          <w:spacing w:val="-4"/>
        </w:rPr>
        <w:t> </w:t>
      </w:r>
      <w:r>
        <w:rPr/>
        <w:t>of</w:t>
      </w:r>
      <w:r>
        <w:rPr>
          <w:spacing w:val="-5"/>
        </w:rPr>
        <w:t> </w:t>
      </w:r>
      <w:r>
        <w:rPr/>
        <w:t>the</w:t>
      </w:r>
      <w:r>
        <w:rPr>
          <w:spacing w:val="-2"/>
        </w:rPr>
        <w:t> </w:t>
      </w:r>
      <w:r>
        <w:rPr/>
        <w:t>findings</w:t>
      </w:r>
      <w:r>
        <w:rPr>
          <w:spacing w:val="-4"/>
        </w:rPr>
        <w:t> </w:t>
      </w:r>
      <w:r>
        <w:rPr/>
        <w:t>and</w:t>
      </w:r>
      <w:r>
        <w:rPr>
          <w:spacing w:val="-3"/>
        </w:rPr>
        <w:t> </w:t>
      </w:r>
      <w:r>
        <w:rPr/>
        <w:t>levels</w:t>
      </w:r>
      <w:r>
        <w:rPr>
          <w:spacing w:val="-5"/>
        </w:rPr>
        <w:t> </w:t>
      </w:r>
      <w:r>
        <w:rPr/>
        <w:t>of</w:t>
      </w:r>
      <w:r>
        <w:rPr>
          <w:spacing w:val="-5"/>
        </w:rPr>
        <w:t> </w:t>
      </w:r>
      <w:r>
        <w:rPr/>
        <w:t>evidence</w:t>
      </w:r>
      <w:r>
        <w:rPr>
          <w:spacing w:val="-4"/>
        </w:rPr>
        <w:t> </w:t>
      </w:r>
      <w:r>
        <w:rPr/>
        <w:t>is</w:t>
      </w:r>
      <w:r>
        <w:rPr>
          <w:spacing w:val="-2"/>
        </w:rPr>
        <w:t> </w:t>
      </w:r>
      <w:r>
        <w:rPr/>
        <w:t>shown</w:t>
      </w:r>
      <w:r>
        <w:rPr>
          <w:spacing w:val="-2"/>
        </w:rPr>
        <w:t> </w:t>
      </w:r>
      <w:r>
        <w:rPr/>
        <w:t>in</w:t>
      </w:r>
      <w:r>
        <w:rPr>
          <w:spacing w:val="-5"/>
        </w:rPr>
        <w:t> </w:t>
      </w:r>
      <w:r>
        <w:rPr/>
        <w:t>table</w:t>
      </w:r>
      <w:r>
        <w:rPr>
          <w:spacing w:val="-4"/>
        </w:rPr>
        <w:t> </w:t>
      </w:r>
      <w:r>
        <w:rPr/>
        <w:t>4.4 Table 4.1. Excluded studies</w:t>
      </w: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298"/>
        <w:gridCol w:w="5415"/>
      </w:tblGrid>
      <w:tr>
        <w:trPr>
          <w:trHeight w:val="417" w:hRule="atLeast"/>
        </w:trPr>
        <w:tc>
          <w:tcPr>
            <w:tcW w:w="8298" w:type="dxa"/>
            <w:shd w:val="clear" w:color="auto" w:fill="D9D9D9"/>
          </w:tcPr>
          <w:p>
            <w:pPr>
              <w:pStyle w:val="TableParagraph"/>
              <w:spacing w:before="1"/>
              <w:ind w:left="105"/>
              <w:rPr>
                <w:b/>
                <w:sz w:val="18"/>
              </w:rPr>
            </w:pPr>
            <w:r>
              <w:rPr>
                <w:b/>
                <w:spacing w:val="-2"/>
                <w:sz w:val="18"/>
              </w:rPr>
              <w:t>Reference</w:t>
            </w:r>
          </w:p>
        </w:tc>
        <w:tc>
          <w:tcPr>
            <w:tcW w:w="5415" w:type="dxa"/>
            <w:shd w:val="clear" w:color="auto" w:fill="D9D9D9"/>
          </w:tcPr>
          <w:p>
            <w:pPr>
              <w:pStyle w:val="TableParagraph"/>
              <w:spacing w:before="1"/>
              <w:ind w:left="103"/>
              <w:rPr>
                <w:b/>
                <w:sz w:val="18"/>
              </w:rPr>
            </w:pPr>
            <w:r>
              <w:rPr>
                <w:b/>
                <w:sz w:val="18"/>
              </w:rPr>
              <w:t>Reason</w:t>
            </w:r>
            <w:r>
              <w:rPr>
                <w:b/>
                <w:spacing w:val="-3"/>
                <w:sz w:val="18"/>
              </w:rPr>
              <w:t> </w:t>
            </w:r>
            <w:r>
              <w:rPr>
                <w:b/>
                <w:sz w:val="18"/>
              </w:rPr>
              <w:t>for</w:t>
            </w:r>
            <w:r>
              <w:rPr>
                <w:b/>
                <w:spacing w:val="-1"/>
                <w:sz w:val="18"/>
              </w:rPr>
              <w:t> </w:t>
            </w:r>
            <w:r>
              <w:rPr>
                <w:b/>
                <w:spacing w:val="-2"/>
                <w:sz w:val="18"/>
              </w:rPr>
              <w:t>exclusion</w:t>
            </w:r>
          </w:p>
        </w:tc>
      </w:tr>
      <w:tr>
        <w:trPr>
          <w:trHeight w:val="925" w:hRule="atLeast"/>
        </w:trPr>
        <w:tc>
          <w:tcPr>
            <w:tcW w:w="8298" w:type="dxa"/>
            <w:shd w:val="clear" w:color="auto" w:fill="D9D9D9"/>
          </w:tcPr>
          <w:p>
            <w:pPr>
              <w:pStyle w:val="TableParagraph"/>
              <w:spacing w:line="278" w:lineRule="auto"/>
              <w:ind w:left="105" w:right="247"/>
              <w:rPr>
                <w:sz w:val="18"/>
              </w:rPr>
            </w:pPr>
            <w:r>
              <w:rPr>
                <w:sz w:val="18"/>
              </w:rPr>
              <w:t>Abdelghani E, Cua CL, Giver J, Rodriguez V. Thrombosis Prevention and Anticoagulation Management in the Pediatric</w:t>
            </w:r>
            <w:r>
              <w:rPr>
                <w:spacing w:val="-3"/>
                <w:sz w:val="18"/>
              </w:rPr>
              <w:t> </w:t>
            </w:r>
            <w:r>
              <w:rPr>
                <w:sz w:val="18"/>
              </w:rPr>
              <w:t>Patient</w:t>
            </w:r>
            <w:r>
              <w:rPr>
                <w:spacing w:val="-3"/>
                <w:sz w:val="18"/>
              </w:rPr>
              <w:t> </w:t>
            </w:r>
            <w:r>
              <w:rPr>
                <w:sz w:val="18"/>
              </w:rPr>
              <w:t>with</w:t>
            </w:r>
            <w:r>
              <w:rPr>
                <w:spacing w:val="-5"/>
                <w:sz w:val="18"/>
              </w:rPr>
              <w:t> </w:t>
            </w:r>
            <w:r>
              <w:rPr>
                <w:sz w:val="18"/>
              </w:rPr>
              <w:t>Congenital</w:t>
            </w:r>
            <w:r>
              <w:rPr>
                <w:spacing w:val="-3"/>
                <w:sz w:val="18"/>
              </w:rPr>
              <w:t> </w:t>
            </w:r>
            <w:r>
              <w:rPr>
                <w:sz w:val="18"/>
              </w:rPr>
              <w:t>Heart</w:t>
            </w:r>
            <w:r>
              <w:rPr>
                <w:spacing w:val="-4"/>
                <w:sz w:val="18"/>
              </w:rPr>
              <w:t> </w:t>
            </w:r>
            <w:r>
              <w:rPr>
                <w:sz w:val="18"/>
              </w:rPr>
              <w:t>Disease.</w:t>
            </w:r>
            <w:r>
              <w:rPr>
                <w:spacing w:val="-4"/>
                <w:sz w:val="18"/>
              </w:rPr>
              <w:t> </w:t>
            </w:r>
            <w:r>
              <w:rPr>
                <w:sz w:val="18"/>
              </w:rPr>
              <w:t>Cardiol</w:t>
            </w:r>
            <w:r>
              <w:rPr>
                <w:spacing w:val="-4"/>
                <w:sz w:val="18"/>
              </w:rPr>
              <w:t> </w:t>
            </w:r>
            <w:r>
              <w:rPr>
                <w:sz w:val="18"/>
              </w:rPr>
              <w:t>Ther.</w:t>
            </w:r>
            <w:r>
              <w:rPr>
                <w:spacing w:val="-4"/>
                <w:sz w:val="18"/>
              </w:rPr>
              <w:t> </w:t>
            </w:r>
            <w:r>
              <w:rPr>
                <w:sz w:val="18"/>
              </w:rPr>
              <w:t>2021</w:t>
            </w:r>
            <w:r>
              <w:rPr>
                <w:spacing w:val="-3"/>
                <w:sz w:val="18"/>
              </w:rPr>
              <w:t> </w:t>
            </w:r>
            <w:r>
              <w:rPr>
                <w:sz w:val="18"/>
              </w:rPr>
              <w:t>Dec;10(2):325-348.</w:t>
            </w:r>
            <w:r>
              <w:rPr>
                <w:spacing w:val="-4"/>
                <w:sz w:val="18"/>
              </w:rPr>
              <w:t> </w:t>
            </w:r>
            <w:r>
              <w:rPr>
                <w:sz w:val="18"/>
              </w:rPr>
              <w:t>doi:</w:t>
            </w:r>
            <w:r>
              <w:rPr>
                <w:spacing w:val="-3"/>
                <w:sz w:val="18"/>
              </w:rPr>
              <w:t> </w:t>
            </w:r>
            <w:r>
              <w:rPr>
                <w:sz w:val="18"/>
              </w:rPr>
              <w:t>10.1007/s40119-021-00228-4. Epub 2021 Jun 29. PMID: 34184214; PMCID: PMC8555036.</w:t>
            </w:r>
          </w:p>
        </w:tc>
        <w:tc>
          <w:tcPr>
            <w:tcW w:w="5415" w:type="dxa"/>
          </w:tcPr>
          <w:p>
            <w:pPr>
              <w:pStyle w:val="TableParagraph"/>
              <w:spacing w:line="278" w:lineRule="auto"/>
              <w:ind w:left="103"/>
              <w:rPr>
                <w:sz w:val="18"/>
              </w:rPr>
            </w:pPr>
            <w:r>
              <w:rPr>
                <w:sz w:val="18"/>
              </w:rPr>
              <w:t>No</w:t>
            </w:r>
            <w:r>
              <w:rPr>
                <w:spacing w:val="-6"/>
                <w:sz w:val="18"/>
              </w:rPr>
              <w:t> </w:t>
            </w:r>
            <w:r>
              <w:rPr>
                <w:sz w:val="18"/>
              </w:rPr>
              <w:t>comparison</w:t>
            </w:r>
            <w:r>
              <w:rPr>
                <w:spacing w:val="-7"/>
                <w:sz w:val="18"/>
              </w:rPr>
              <w:t> </w:t>
            </w:r>
            <w:r>
              <w:rPr>
                <w:sz w:val="18"/>
              </w:rPr>
              <w:t>between</w:t>
            </w:r>
            <w:r>
              <w:rPr>
                <w:spacing w:val="-7"/>
                <w:sz w:val="18"/>
              </w:rPr>
              <w:t> </w:t>
            </w:r>
            <w:r>
              <w:rPr>
                <w:sz w:val="18"/>
              </w:rPr>
              <w:t>treatment</w:t>
            </w:r>
            <w:r>
              <w:rPr>
                <w:spacing w:val="-6"/>
                <w:sz w:val="18"/>
              </w:rPr>
              <w:t> </w:t>
            </w:r>
            <w:r>
              <w:rPr>
                <w:sz w:val="18"/>
              </w:rPr>
              <w:t>vs.</w:t>
            </w:r>
            <w:r>
              <w:rPr>
                <w:spacing w:val="-7"/>
                <w:sz w:val="18"/>
              </w:rPr>
              <w:t> </w:t>
            </w:r>
            <w:r>
              <w:rPr>
                <w:sz w:val="18"/>
              </w:rPr>
              <w:t>other</w:t>
            </w:r>
            <w:r>
              <w:rPr>
                <w:spacing w:val="-6"/>
                <w:sz w:val="18"/>
              </w:rPr>
              <w:t> </w:t>
            </w:r>
            <w:r>
              <w:rPr>
                <w:sz w:val="18"/>
              </w:rPr>
              <w:t>treatment/no</w:t>
            </w:r>
            <w:r>
              <w:rPr>
                <w:spacing w:val="-6"/>
                <w:sz w:val="18"/>
              </w:rPr>
              <w:t> </w:t>
            </w:r>
            <w:r>
              <w:rPr>
                <w:sz w:val="18"/>
              </w:rPr>
              <w:t>treatment </w:t>
            </w:r>
            <w:r>
              <w:rPr>
                <w:spacing w:val="-2"/>
                <w:sz w:val="18"/>
              </w:rPr>
              <w:t>mentioned</w:t>
            </w:r>
          </w:p>
        </w:tc>
      </w:tr>
      <w:tr>
        <w:trPr>
          <w:trHeight w:val="671" w:hRule="atLeast"/>
        </w:trPr>
        <w:tc>
          <w:tcPr>
            <w:tcW w:w="8298" w:type="dxa"/>
            <w:shd w:val="clear" w:color="auto" w:fill="D9D9D9"/>
          </w:tcPr>
          <w:p>
            <w:pPr>
              <w:pStyle w:val="TableParagraph"/>
              <w:spacing w:line="280" w:lineRule="auto"/>
              <w:ind w:left="105"/>
              <w:rPr>
                <w:sz w:val="18"/>
              </w:rPr>
            </w:pPr>
            <w:r>
              <w:rPr>
                <w:sz w:val="18"/>
              </w:rPr>
              <w:t>Giglia</w:t>
            </w:r>
            <w:r>
              <w:rPr>
                <w:spacing w:val="-3"/>
                <w:sz w:val="18"/>
              </w:rPr>
              <w:t> </w:t>
            </w:r>
            <w:r>
              <w:rPr>
                <w:sz w:val="18"/>
              </w:rPr>
              <w:t>TM,</w:t>
            </w:r>
            <w:r>
              <w:rPr>
                <w:spacing w:val="-2"/>
                <w:sz w:val="18"/>
              </w:rPr>
              <w:t> </w:t>
            </w:r>
            <w:r>
              <w:rPr>
                <w:sz w:val="18"/>
              </w:rPr>
              <w:t>Witmer</w:t>
            </w:r>
            <w:r>
              <w:rPr>
                <w:spacing w:val="-2"/>
                <w:sz w:val="18"/>
              </w:rPr>
              <w:t> </w:t>
            </w:r>
            <w:r>
              <w:rPr>
                <w:sz w:val="18"/>
              </w:rPr>
              <w:t>C.</w:t>
            </w:r>
            <w:r>
              <w:rPr>
                <w:spacing w:val="-3"/>
                <w:sz w:val="18"/>
              </w:rPr>
              <w:t> </w:t>
            </w:r>
            <w:r>
              <w:rPr>
                <w:sz w:val="18"/>
              </w:rPr>
              <w:t>Bleeding</w:t>
            </w:r>
            <w:r>
              <w:rPr>
                <w:spacing w:val="-3"/>
                <w:sz w:val="18"/>
              </w:rPr>
              <w:t> </w:t>
            </w:r>
            <w:r>
              <w:rPr>
                <w:sz w:val="18"/>
              </w:rPr>
              <w:t>and</w:t>
            </w:r>
            <w:r>
              <w:rPr>
                <w:spacing w:val="-3"/>
                <w:sz w:val="18"/>
              </w:rPr>
              <w:t> </w:t>
            </w:r>
            <w:r>
              <w:rPr>
                <w:sz w:val="18"/>
              </w:rPr>
              <w:t>Thrombosis</w:t>
            </w:r>
            <w:r>
              <w:rPr>
                <w:spacing w:val="-3"/>
                <w:sz w:val="18"/>
              </w:rPr>
              <w:t> </w:t>
            </w:r>
            <w:r>
              <w:rPr>
                <w:sz w:val="18"/>
              </w:rPr>
              <w:t>in</w:t>
            </w:r>
            <w:r>
              <w:rPr>
                <w:spacing w:val="-4"/>
                <w:sz w:val="18"/>
              </w:rPr>
              <w:t> </w:t>
            </w:r>
            <w:r>
              <w:rPr>
                <w:sz w:val="18"/>
              </w:rPr>
              <w:t>Pediatric</w:t>
            </w:r>
            <w:r>
              <w:rPr>
                <w:spacing w:val="-2"/>
                <w:sz w:val="18"/>
              </w:rPr>
              <w:t> </w:t>
            </w:r>
            <w:r>
              <w:rPr>
                <w:sz w:val="18"/>
              </w:rPr>
              <w:t>Cardiac</w:t>
            </w:r>
            <w:r>
              <w:rPr>
                <w:spacing w:val="-2"/>
                <w:sz w:val="18"/>
              </w:rPr>
              <w:t> </w:t>
            </w:r>
            <w:r>
              <w:rPr>
                <w:sz w:val="18"/>
              </w:rPr>
              <w:t>Intensive</w:t>
            </w:r>
            <w:r>
              <w:rPr>
                <w:spacing w:val="-3"/>
                <w:sz w:val="18"/>
              </w:rPr>
              <w:t> </w:t>
            </w:r>
            <w:r>
              <w:rPr>
                <w:sz w:val="18"/>
              </w:rPr>
              <w:t>Care.</w:t>
            </w:r>
            <w:r>
              <w:rPr>
                <w:spacing w:val="-3"/>
                <w:sz w:val="18"/>
              </w:rPr>
              <w:t> </w:t>
            </w:r>
            <w:r>
              <w:rPr>
                <w:sz w:val="18"/>
              </w:rPr>
              <w:t>Pediatr</w:t>
            </w:r>
            <w:r>
              <w:rPr>
                <w:spacing w:val="-3"/>
                <w:sz w:val="18"/>
              </w:rPr>
              <w:t> </w:t>
            </w:r>
            <w:r>
              <w:rPr>
                <w:sz w:val="18"/>
              </w:rPr>
              <w:t>Crit</w:t>
            </w:r>
            <w:r>
              <w:rPr>
                <w:spacing w:val="-2"/>
                <w:sz w:val="18"/>
              </w:rPr>
              <w:t> </w:t>
            </w:r>
            <w:r>
              <w:rPr>
                <w:sz w:val="18"/>
              </w:rPr>
              <w:t>Care</w:t>
            </w:r>
            <w:r>
              <w:rPr>
                <w:spacing w:val="-1"/>
                <w:sz w:val="18"/>
              </w:rPr>
              <w:t> </w:t>
            </w:r>
            <w:r>
              <w:rPr>
                <w:sz w:val="18"/>
              </w:rPr>
              <w:t>Med.</w:t>
            </w:r>
            <w:r>
              <w:rPr>
                <w:spacing w:val="-3"/>
                <w:sz w:val="18"/>
              </w:rPr>
              <w:t> </w:t>
            </w:r>
            <w:r>
              <w:rPr>
                <w:sz w:val="18"/>
              </w:rPr>
              <w:t>2016 Aug;17(8 Suppl 1):S287-95. doi: 10.1097/PCC.0000000000000814. PMID: 27490612.</w:t>
            </w:r>
          </w:p>
        </w:tc>
        <w:tc>
          <w:tcPr>
            <w:tcW w:w="5415" w:type="dxa"/>
          </w:tcPr>
          <w:p>
            <w:pPr>
              <w:pStyle w:val="TableParagraph"/>
              <w:spacing w:line="280" w:lineRule="auto"/>
              <w:ind w:left="103"/>
              <w:rPr>
                <w:sz w:val="18"/>
              </w:rPr>
            </w:pPr>
            <w:r>
              <w:rPr>
                <w:sz w:val="18"/>
              </w:rPr>
              <w:t>No</w:t>
            </w:r>
            <w:r>
              <w:rPr>
                <w:spacing w:val="-6"/>
                <w:sz w:val="18"/>
              </w:rPr>
              <w:t> </w:t>
            </w:r>
            <w:r>
              <w:rPr>
                <w:sz w:val="18"/>
              </w:rPr>
              <w:t>comparison</w:t>
            </w:r>
            <w:r>
              <w:rPr>
                <w:spacing w:val="-7"/>
                <w:sz w:val="18"/>
              </w:rPr>
              <w:t> </w:t>
            </w:r>
            <w:r>
              <w:rPr>
                <w:sz w:val="18"/>
              </w:rPr>
              <w:t>between</w:t>
            </w:r>
            <w:r>
              <w:rPr>
                <w:spacing w:val="-7"/>
                <w:sz w:val="18"/>
              </w:rPr>
              <w:t> </w:t>
            </w:r>
            <w:r>
              <w:rPr>
                <w:sz w:val="18"/>
              </w:rPr>
              <w:t>treatment</w:t>
            </w:r>
            <w:r>
              <w:rPr>
                <w:spacing w:val="-6"/>
                <w:sz w:val="18"/>
              </w:rPr>
              <w:t> </w:t>
            </w:r>
            <w:r>
              <w:rPr>
                <w:sz w:val="18"/>
              </w:rPr>
              <w:t>vs.</w:t>
            </w:r>
            <w:r>
              <w:rPr>
                <w:spacing w:val="-7"/>
                <w:sz w:val="18"/>
              </w:rPr>
              <w:t> </w:t>
            </w:r>
            <w:r>
              <w:rPr>
                <w:sz w:val="18"/>
              </w:rPr>
              <w:t>other</w:t>
            </w:r>
            <w:r>
              <w:rPr>
                <w:spacing w:val="-6"/>
                <w:sz w:val="18"/>
              </w:rPr>
              <w:t> </w:t>
            </w:r>
            <w:r>
              <w:rPr>
                <w:sz w:val="18"/>
              </w:rPr>
              <w:t>treatment/no</w:t>
            </w:r>
            <w:r>
              <w:rPr>
                <w:spacing w:val="-6"/>
                <w:sz w:val="18"/>
              </w:rPr>
              <w:t> </w:t>
            </w:r>
            <w:r>
              <w:rPr>
                <w:sz w:val="18"/>
              </w:rPr>
              <w:t>treatment </w:t>
            </w:r>
            <w:r>
              <w:rPr>
                <w:spacing w:val="-2"/>
                <w:sz w:val="18"/>
              </w:rPr>
              <w:t>mentioned</w:t>
            </w:r>
          </w:p>
        </w:tc>
      </w:tr>
      <w:tr>
        <w:trPr>
          <w:trHeight w:val="1183" w:hRule="atLeast"/>
        </w:trPr>
        <w:tc>
          <w:tcPr>
            <w:tcW w:w="8298" w:type="dxa"/>
            <w:shd w:val="clear" w:color="auto" w:fill="D9D9D9"/>
          </w:tcPr>
          <w:p>
            <w:pPr>
              <w:pStyle w:val="TableParagraph"/>
              <w:spacing w:line="278" w:lineRule="auto"/>
              <w:ind w:left="105" w:right="106"/>
              <w:rPr>
                <w:sz w:val="18"/>
              </w:rPr>
            </w:pPr>
            <w:r>
              <w:rPr>
                <w:sz w:val="18"/>
              </w:rPr>
              <w:t>Hirono K, Takarada S, Miyao N, Nakaoka H, Ibuki K, Ozawa S, Origasa H, Ichida F. Thromboembolic events in left ventricular non-compaction: comparison between children and adults - a systematic review and meta-analysis.</w:t>
            </w:r>
            <w:r>
              <w:rPr>
                <w:spacing w:val="-5"/>
                <w:sz w:val="18"/>
              </w:rPr>
              <w:t> </w:t>
            </w:r>
            <w:r>
              <w:rPr>
                <w:sz w:val="18"/>
              </w:rPr>
              <w:t>Open</w:t>
            </w:r>
            <w:r>
              <w:rPr>
                <w:spacing w:val="-5"/>
                <w:sz w:val="18"/>
              </w:rPr>
              <w:t> </w:t>
            </w:r>
            <w:r>
              <w:rPr>
                <w:sz w:val="18"/>
              </w:rPr>
              <w:t>Heart.</w:t>
            </w:r>
            <w:r>
              <w:rPr>
                <w:spacing w:val="-5"/>
                <w:sz w:val="18"/>
              </w:rPr>
              <w:t> </w:t>
            </w:r>
            <w:r>
              <w:rPr>
                <w:sz w:val="18"/>
              </w:rPr>
              <w:t>2022</w:t>
            </w:r>
            <w:r>
              <w:rPr>
                <w:spacing w:val="-4"/>
                <w:sz w:val="18"/>
              </w:rPr>
              <w:t> </w:t>
            </w:r>
            <w:r>
              <w:rPr>
                <w:sz w:val="18"/>
              </w:rPr>
              <w:t>May;9(1):e001908.</w:t>
            </w:r>
            <w:r>
              <w:rPr>
                <w:spacing w:val="-5"/>
                <w:sz w:val="18"/>
              </w:rPr>
              <w:t> </w:t>
            </w:r>
            <w:r>
              <w:rPr>
                <w:sz w:val="18"/>
              </w:rPr>
              <w:t>doi:</w:t>
            </w:r>
            <w:r>
              <w:rPr>
                <w:spacing w:val="-4"/>
                <w:sz w:val="18"/>
              </w:rPr>
              <w:t> </w:t>
            </w:r>
            <w:r>
              <w:rPr>
                <w:sz w:val="18"/>
              </w:rPr>
              <w:t>10.1136/openhrt-2021-001908.</w:t>
            </w:r>
            <w:r>
              <w:rPr>
                <w:spacing w:val="-5"/>
                <w:sz w:val="18"/>
              </w:rPr>
              <w:t> </w:t>
            </w:r>
            <w:r>
              <w:rPr>
                <w:sz w:val="18"/>
              </w:rPr>
              <w:t>PMID:</w:t>
            </w:r>
            <w:r>
              <w:rPr>
                <w:spacing w:val="-4"/>
                <w:sz w:val="18"/>
              </w:rPr>
              <w:t> </w:t>
            </w:r>
            <w:r>
              <w:rPr>
                <w:sz w:val="18"/>
              </w:rPr>
              <w:t>35613828;</w:t>
            </w:r>
            <w:r>
              <w:rPr>
                <w:spacing w:val="-4"/>
                <w:sz w:val="18"/>
              </w:rPr>
              <w:t> </w:t>
            </w:r>
            <w:r>
              <w:rPr>
                <w:sz w:val="18"/>
              </w:rPr>
              <w:t>PMCID: </w:t>
            </w:r>
            <w:r>
              <w:rPr>
                <w:spacing w:val="-2"/>
                <w:sz w:val="18"/>
              </w:rPr>
              <w:t>PMC9134208.</w:t>
            </w:r>
          </w:p>
        </w:tc>
        <w:tc>
          <w:tcPr>
            <w:tcW w:w="5415" w:type="dxa"/>
          </w:tcPr>
          <w:p>
            <w:pPr>
              <w:pStyle w:val="TableParagraph"/>
              <w:spacing w:line="219" w:lineRule="exact"/>
              <w:ind w:left="103"/>
              <w:rPr>
                <w:sz w:val="18"/>
              </w:rPr>
            </w:pPr>
            <w:r>
              <w:rPr>
                <w:sz w:val="18"/>
              </w:rPr>
              <w:t>No</w:t>
            </w:r>
            <w:r>
              <w:rPr>
                <w:spacing w:val="-2"/>
                <w:sz w:val="18"/>
              </w:rPr>
              <w:t> </w:t>
            </w:r>
            <w:r>
              <w:rPr>
                <w:sz w:val="18"/>
              </w:rPr>
              <w:t>treatments</w:t>
            </w:r>
            <w:r>
              <w:rPr>
                <w:spacing w:val="-2"/>
                <w:sz w:val="18"/>
              </w:rPr>
              <w:t> </w:t>
            </w:r>
            <w:r>
              <w:rPr>
                <w:sz w:val="18"/>
              </w:rPr>
              <w:t>are</w:t>
            </w:r>
            <w:r>
              <w:rPr>
                <w:spacing w:val="-2"/>
                <w:sz w:val="18"/>
              </w:rPr>
              <w:t> described</w:t>
            </w:r>
          </w:p>
        </w:tc>
      </w:tr>
    </w:tbl>
    <w:p>
      <w:pPr>
        <w:pStyle w:val="TableParagraph"/>
        <w:spacing w:after="0" w:line="219" w:lineRule="exact"/>
        <w:rPr>
          <w:sz w:val="18"/>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298"/>
        <w:gridCol w:w="5415"/>
      </w:tblGrid>
      <w:tr>
        <w:trPr>
          <w:trHeight w:val="925" w:hRule="atLeast"/>
        </w:trPr>
        <w:tc>
          <w:tcPr>
            <w:tcW w:w="8298" w:type="dxa"/>
            <w:shd w:val="clear" w:color="auto" w:fill="D9D9D9"/>
          </w:tcPr>
          <w:p>
            <w:pPr>
              <w:pStyle w:val="TableParagraph"/>
              <w:spacing w:line="278" w:lineRule="auto"/>
              <w:ind w:left="105" w:right="106"/>
              <w:rPr>
                <w:sz w:val="18"/>
              </w:rPr>
            </w:pPr>
            <w:r>
              <w:rPr>
                <w:sz w:val="18"/>
              </w:rPr>
              <w:t>Monagle</w:t>
            </w:r>
            <w:r>
              <w:rPr>
                <w:spacing w:val="-4"/>
                <w:sz w:val="18"/>
              </w:rPr>
              <w:t> </w:t>
            </w:r>
            <w:r>
              <w:rPr>
                <w:sz w:val="18"/>
              </w:rPr>
              <w:t>K,</w:t>
            </w:r>
            <w:r>
              <w:rPr>
                <w:spacing w:val="-3"/>
                <w:sz w:val="18"/>
              </w:rPr>
              <w:t> </w:t>
            </w:r>
            <w:r>
              <w:rPr>
                <w:sz w:val="18"/>
              </w:rPr>
              <w:t>Jones</w:t>
            </w:r>
            <w:r>
              <w:rPr>
                <w:spacing w:val="-4"/>
                <w:sz w:val="18"/>
              </w:rPr>
              <w:t> </w:t>
            </w:r>
            <w:r>
              <w:rPr>
                <w:sz w:val="18"/>
              </w:rPr>
              <w:t>S,</w:t>
            </w:r>
            <w:r>
              <w:rPr>
                <w:spacing w:val="-3"/>
                <w:sz w:val="18"/>
              </w:rPr>
              <w:t> </w:t>
            </w:r>
            <w:r>
              <w:rPr>
                <w:sz w:val="18"/>
              </w:rPr>
              <w:t>King</w:t>
            </w:r>
            <w:r>
              <w:rPr>
                <w:spacing w:val="-4"/>
                <w:sz w:val="18"/>
              </w:rPr>
              <w:t> </w:t>
            </w:r>
            <w:r>
              <w:rPr>
                <w:sz w:val="18"/>
              </w:rPr>
              <w:t>I,</w:t>
            </w:r>
            <w:r>
              <w:rPr>
                <w:spacing w:val="-3"/>
                <w:sz w:val="18"/>
              </w:rPr>
              <w:t> </w:t>
            </w:r>
            <w:r>
              <w:rPr>
                <w:sz w:val="18"/>
              </w:rPr>
              <w:t>Weintraub</w:t>
            </w:r>
            <w:r>
              <w:rPr>
                <w:spacing w:val="-4"/>
                <w:sz w:val="18"/>
              </w:rPr>
              <w:t> </w:t>
            </w:r>
            <w:r>
              <w:rPr>
                <w:sz w:val="18"/>
              </w:rPr>
              <w:t>R,</w:t>
            </w:r>
            <w:r>
              <w:rPr>
                <w:spacing w:val="-3"/>
                <w:sz w:val="18"/>
              </w:rPr>
              <w:t> </w:t>
            </w:r>
            <w:r>
              <w:rPr>
                <w:sz w:val="18"/>
              </w:rPr>
              <w:t>Monagle</w:t>
            </w:r>
            <w:r>
              <w:rPr>
                <w:spacing w:val="-4"/>
                <w:sz w:val="18"/>
              </w:rPr>
              <w:t> </w:t>
            </w:r>
            <w:r>
              <w:rPr>
                <w:sz w:val="18"/>
              </w:rPr>
              <w:t>P,</w:t>
            </w:r>
            <w:r>
              <w:rPr>
                <w:spacing w:val="-3"/>
                <w:sz w:val="18"/>
              </w:rPr>
              <w:t> </w:t>
            </w:r>
            <w:r>
              <w:rPr>
                <w:sz w:val="18"/>
              </w:rPr>
              <w:t>Newall</w:t>
            </w:r>
            <w:r>
              <w:rPr>
                <w:spacing w:val="-2"/>
                <w:sz w:val="18"/>
              </w:rPr>
              <w:t> </w:t>
            </w:r>
            <w:r>
              <w:rPr>
                <w:sz w:val="18"/>
              </w:rPr>
              <w:t>F.</w:t>
            </w:r>
            <w:r>
              <w:rPr>
                <w:spacing w:val="-4"/>
                <w:sz w:val="18"/>
              </w:rPr>
              <w:t> </w:t>
            </w:r>
            <w:r>
              <w:rPr>
                <w:sz w:val="18"/>
              </w:rPr>
              <w:t>Anticoagulation</w:t>
            </w:r>
            <w:r>
              <w:rPr>
                <w:spacing w:val="-4"/>
                <w:sz w:val="18"/>
              </w:rPr>
              <w:t> </w:t>
            </w:r>
            <w:r>
              <w:rPr>
                <w:sz w:val="18"/>
              </w:rPr>
              <w:t>of</w:t>
            </w:r>
            <w:r>
              <w:rPr>
                <w:spacing w:val="-4"/>
                <w:sz w:val="18"/>
              </w:rPr>
              <w:t> </w:t>
            </w:r>
            <w:r>
              <w:rPr>
                <w:sz w:val="18"/>
              </w:rPr>
              <w:t>cardiomyopathy</w:t>
            </w:r>
            <w:r>
              <w:rPr>
                <w:spacing w:val="-3"/>
                <w:sz w:val="18"/>
              </w:rPr>
              <w:t> </w:t>
            </w:r>
            <w:r>
              <w:rPr>
                <w:sz w:val="18"/>
              </w:rPr>
              <w:t>in</w:t>
            </w:r>
            <w:r>
              <w:rPr>
                <w:spacing w:val="-5"/>
                <w:sz w:val="18"/>
              </w:rPr>
              <w:t> </w:t>
            </w:r>
            <w:r>
              <w:rPr>
                <w:sz w:val="18"/>
              </w:rPr>
              <w:t>children. Thromb Res. 2014 Aug;134(2):255-8. doi: 10.1016/j.thromres.2014.05.007. Epub 2014 May 10. PMID: </w:t>
            </w:r>
            <w:r>
              <w:rPr>
                <w:spacing w:val="-2"/>
                <w:sz w:val="18"/>
              </w:rPr>
              <w:t>24867812.</w:t>
            </w:r>
          </w:p>
        </w:tc>
        <w:tc>
          <w:tcPr>
            <w:tcW w:w="5415" w:type="dxa"/>
          </w:tcPr>
          <w:p>
            <w:pPr>
              <w:pStyle w:val="TableParagraph"/>
              <w:spacing w:line="218" w:lineRule="exact"/>
              <w:ind w:left="103"/>
              <w:rPr>
                <w:sz w:val="18"/>
              </w:rPr>
            </w:pPr>
            <w:r>
              <w:rPr>
                <w:sz w:val="18"/>
              </w:rPr>
              <w:t>Only</w:t>
            </w:r>
            <w:r>
              <w:rPr>
                <w:spacing w:val="-2"/>
                <w:sz w:val="18"/>
              </w:rPr>
              <w:t> </w:t>
            </w:r>
            <w:r>
              <w:rPr>
                <w:sz w:val="18"/>
              </w:rPr>
              <w:t>one</w:t>
            </w:r>
            <w:r>
              <w:rPr>
                <w:spacing w:val="-3"/>
                <w:sz w:val="18"/>
              </w:rPr>
              <w:t> </w:t>
            </w:r>
            <w:r>
              <w:rPr>
                <w:sz w:val="18"/>
              </w:rPr>
              <w:t>treatment</w:t>
            </w:r>
            <w:r>
              <w:rPr>
                <w:spacing w:val="-2"/>
                <w:sz w:val="18"/>
              </w:rPr>
              <w:t> </w:t>
            </w:r>
            <w:r>
              <w:rPr>
                <w:sz w:val="18"/>
              </w:rPr>
              <w:t>is</w:t>
            </w:r>
            <w:r>
              <w:rPr>
                <w:spacing w:val="-1"/>
                <w:sz w:val="18"/>
              </w:rPr>
              <w:t> </w:t>
            </w:r>
            <w:r>
              <w:rPr>
                <w:sz w:val="18"/>
              </w:rPr>
              <w:t>described,</w:t>
            </w:r>
            <w:r>
              <w:rPr>
                <w:spacing w:val="-1"/>
                <w:sz w:val="18"/>
              </w:rPr>
              <w:t> </w:t>
            </w:r>
            <w:r>
              <w:rPr>
                <w:sz w:val="18"/>
              </w:rPr>
              <w:t>no</w:t>
            </w:r>
            <w:r>
              <w:rPr>
                <w:spacing w:val="-2"/>
                <w:sz w:val="18"/>
              </w:rPr>
              <w:t> </w:t>
            </w:r>
            <w:r>
              <w:rPr>
                <w:sz w:val="18"/>
              </w:rPr>
              <w:t>comparison</w:t>
            </w:r>
            <w:r>
              <w:rPr>
                <w:spacing w:val="-3"/>
                <w:sz w:val="18"/>
              </w:rPr>
              <w:t> </w:t>
            </w:r>
            <w:r>
              <w:rPr>
                <w:sz w:val="18"/>
              </w:rPr>
              <w:t>is</w:t>
            </w:r>
            <w:r>
              <w:rPr>
                <w:spacing w:val="-3"/>
                <w:sz w:val="18"/>
              </w:rPr>
              <w:t> </w:t>
            </w:r>
            <w:r>
              <w:rPr>
                <w:spacing w:val="-4"/>
                <w:sz w:val="18"/>
              </w:rPr>
              <w:t>made</w:t>
            </w:r>
          </w:p>
        </w:tc>
      </w:tr>
      <w:tr>
        <w:trPr>
          <w:trHeight w:val="1182" w:hRule="atLeast"/>
        </w:trPr>
        <w:tc>
          <w:tcPr>
            <w:tcW w:w="8298" w:type="dxa"/>
            <w:shd w:val="clear" w:color="auto" w:fill="D9D9D9"/>
          </w:tcPr>
          <w:p>
            <w:pPr>
              <w:pStyle w:val="TableParagraph"/>
              <w:spacing w:line="280" w:lineRule="auto"/>
              <w:ind w:left="105" w:right="316"/>
              <w:rPr>
                <w:sz w:val="18"/>
              </w:rPr>
            </w:pPr>
            <w:r>
              <w:rPr>
                <w:sz w:val="18"/>
              </w:rPr>
              <w:t>Mukhtar G, Sasidharan B, Krishnamoorthy KM, Kurup HKN, Gopalakrishnan A, Sasikumar D, Sarma S, Valaparambil</w:t>
            </w:r>
            <w:r>
              <w:rPr>
                <w:spacing w:val="-4"/>
                <w:sz w:val="18"/>
              </w:rPr>
              <w:t> </w:t>
            </w:r>
            <w:r>
              <w:rPr>
                <w:sz w:val="18"/>
              </w:rPr>
              <w:t>AK,</w:t>
            </w:r>
            <w:r>
              <w:rPr>
                <w:spacing w:val="-3"/>
                <w:sz w:val="18"/>
              </w:rPr>
              <w:t> </w:t>
            </w:r>
            <w:r>
              <w:rPr>
                <w:sz w:val="18"/>
              </w:rPr>
              <w:t>Sivasubramonian</w:t>
            </w:r>
            <w:r>
              <w:rPr>
                <w:spacing w:val="-4"/>
                <w:sz w:val="18"/>
              </w:rPr>
              <w:t> </w:t>
            </w:r>
            <w:r>
              <w:rPr>
                <w:sz w:val="18"/>
              </w:rPr>
              <w:t>S.</w:t>
            </w:r>
            <w:r>
              <w:rPr>
                <w:spacing w:val="-4"/>
                <w:sz w:val="18"/>
              </w:rPr>
              <w:t> </w:t>
            </w:r>
            <w:r>
              <w:rPr>
                <w:sz w:val="18"/>
              </w:rPr>
              <w:t>Clinical</w:t>
            </w:r>
            <w:r>
              <w:rPr>
                <w:spacing w:val="-3"/>
                <w:sz w:val="18"/>
              </w:rPr>
              <w:t> </w:t>
            </w:r>
            <w:r>
              <w:rPr>
                <w:sz w:val="18"/>
              </w:rPr>
              <w:t>profile</w:t>
            </w:r>
            <w:r>
              <w:rPr>
                <w:spacing w:val="-4"/>
                <w:sz w:val="18"/>
              </w:rPr>
              <w:t> </w:t>
            </w:r>
            <w:r>
              <w:rPr>
                <w:sz w:val="18"/>
              </w:rPr>
              <w:t>and</w:t>
            </w:r>
            <w:r>
              <w:rPr>
                <w:spacing w:val="-4"/>
                <w:sz w:val="18"/>
              </w:rPr>
              <w:t> </w:t>
            </w:r>
            <w:r>
              <w:rPr>
                <w:sz w:val="18"/>
              </w:rPr>
              <w:t>outcomes</w:t>
            </w:r>
            <w:r>
              <w:rPr>
                <w:spacing w:val="-2"/>
                <w:sz w:val="18"/>
              </w:rPr>
              <w:t> </w:t>
            </w:r>
            <w:r>
              <w:rPr>
                <w:sz w:val="18"/>
              </w:rPr>
              <w:t>of</w:t>
            </w:r>
            <w:r>
              <w:rPr>
                <w:spacing w:val="-4"/>
                <w:sz w:val="18"/>
              </w:rPr>
              <w:t> </w:t>
            </w:r>
            <w:r>
              <w:rPr>
                <w:sz w:val="18"/>
              </w:rPr>
              <w:t>childhood</w:t>
            </w:r>
            <w:r>
              <w:rPr>
                <w:spacing w:val="-4"/>
                <w:sz w:val="18"/>
              </w:rPr>
              <w:t> </w:t>
            </w:r>
            <w:r>
              <w:rPr>
                <w:sz w:val="18"/>
              </w:rPr>
              <w:t>dilated</w:t>
            </w:r>
            <w:r>
              <w:rPr>
                <w:spacing w:val="-4"/>
                <w:sz w:val="18"/>
              </w:rPr>
              <w:t> </w:t>
            </w:r>
            <w:r>
              <w:rPr>
                <w:sz w:val="18"/>
              </w:rPr>
              <w:t>cardiomyopathy -</w:t>
            </w:r>
            <w:r>
              <w:rPr>
                <w:spacing w:val="-3"/>
                <w:sz w:val="18"/>
              </w:rPr>
              <w:t> </w:t>
            </w:r>
            <w:r>
              <w:rPr>
                <w:sz w:val="18"/>
              </w:rPr>
              <w:t>A single-center three-decade experience. Ann Pediatr Cardiol. 2023 May-Jun;16(3):175-181. doi: 10.4103/apc.apc_149_22. Epub 2023 Sep 8. PMID: 37876955; PMCID: PMC10593277.</w:t>
            </w:r>
          </w:p>
        </w:tc>
        <w:tc>
          <w:tcPr>
            <w:tcW w:w="5415" w:type="dxa"/>
          </w:tcPr>
          <w:p>
            <w:pPr>
              <w:pStyle w:val="TableParagraph"/>
              <w:spacing w:line="280" w:lineRule="auto"/>
              <w:ind w:left="103"/>
              <w:rPr>
                <w:sz w:val="18"/>
              </w:rPr>
            </w:pPr>
            <w:r>
              <w:rPr>
                <w:sz w:val="18"/>
              </w:rPr>
              <w:t>Only</w:t>
            </w:r>
            <w:r>
              <w:rPr>
                <w:spacing w:val="-5"/>
                <w:sz w:val="18"/>
              </w:rPr>
              <w:t> </w:t>
            </w:r>
            <w:r>
              <w:rPr>
                <w:sz w:val="18"/>
              </w:rPr>
              <w:t>3</w:t>
            </w:r>
            <w:r>
              <w:rPr>
                <w:spacing w:val="-5"/>
                <w:sz w:val="18"/>
              </w:rPr>
              <w:t> </w:t>
            </w:r>
            <w:r>
              <w:rPr>
                <w:sz w:val="18"/>
              </w:rPr>
              <w:t>patients</w:t>
            </w:r>
            <w:r>
              <w:rPr>
                <w:spacing w:val="-7"/>
                <w:sz w:val="18"/>
              </w:rPr>
              <w:t> </w:t>
            </w:r>
            <w:r>
              <w:rPr>
                <w:sz w:val="18"/>
              </w:rPr>
              <w:t>received</w:t>
            </w:r>
            <w:r>
              <w:rPr>
                <w:spacing w:val="-4"/>
                <w:sz w:val="18"/>
              </w:rPr>
              <w:t> </w:t>
            </w:r>
            <w:r>
              <w:rPr>
                <w:sz w:val="18"/>
              </w:rPr>
              <w:t>prophylactic</w:t>
            </w:r>
            <w:r>
              <w:rPr>
                <w:spacing w:val="-5"/>
                <w:sz w:val="18"/>
              </w:rPr>
              <w:t> </w:t>
            </w:r>
            <w:r>
              <w:rPr>
                <w:sz w:val="18"/>
              </w:rPr>
              <w:t>treatment,</w:t>
            </w:r>
            <w:r>
              <w:rPr>
                <w:spacing w:val="-5"/>
                <w:sz w:val="18"/>
              </w:rPr>
              <w:t> </w:t>
            </w:r>
            <w:r>
              <w:rPr>
                <w:sz w:val="18"/>
              </w:rPr>
              <w:t>not</w:t>
            </w:r>
            <w:r>
              <w:rPr>
                <w:spacing w:val="-5"/>
                <w:sz w:val="18"/>
              </w:rPr>
              <w:t> </w:t>
            </w:r>
            <w:r>
              <w:rPr>
                <w:sz w:val="18"/>
              </w:rPr>
              <w:t>sufficient</w:t>
            </w:r>
            <w:r>
              <w:rPr>
                <w:spacing w:val="-5"/>
                <w:sz w:val="18"/>
              </w:rPr>
              <w:t> </w:t>
            </w:r>
            <w:r>
              <w:rPr>
                <w:sz w:val="18"/>
              </w:rPr>
              <w:t>to</w:t>
            </w:r>
            <w:r>
              <w:rPr>
                <w:spacing w:val="-3"/>
                <w:sz w:val="18"/>
              </w:rPr>
              <w:t> </w:t>
            </w:r>
            <w:r>
              <w:rPr>
                <w:sz w:val="18"/>
              </w:rPr>
              <w:t>make </w:t>
            </w:r>
            <w:r>
              <w:rPr>
                <w:spacing w:val="-2"/>
                <w:sz w:val="18"/>
              </w:rPr>
              <w:t>comparisons</w:t>
            </w:r>
          </w:p>
        </w:tc>
      </w:tr>
      <w:tr>
        <w:trPr>
          <w:trHeight w:val="926" w:hRule="atLeast"/>
        </w:trPr>
        <w:tc>
          <w:tcPr>
            <w:tcW w:w="8298" w:type="dxa"/>
            <w:shd w:val="clear" w:color="auto" w:fill="D9D9D9"/>
          </w:tcPr>
          <w:p>
            <w:pPr>
              <w:pStyle w:val="TableParagraph"/>
              <w:spacing w:line="278" w:lineRule="auto"/>
              <w:ind w:left="105" w:right="370"/>
              <w:rPr>
                <w:sz w:val="18"/>
              </w:rPr>
            </w:pPr>
            <w:r>
              <w:rPr>
                <w:sz w:val="18"/>
              </w:rPr>
              <w:t>Zhu X, Wang Z, Ferrari MW, Ferrari-Kuehne K, Bulter J, Xu X, Zhou Q, Zhang Y, Zhang J. Anticoagulation in cardiomyopathy:</w:t>
            </w:r>
            <w:r>
              <w:rPr>
                <w:spacing w:val="-3"/>
                <w:sz w:val="18"/>
              </w:rPr>
              <w:t> </w:t>
            </w:r>
            <w:r>
              <w:rPr>
                <w:sz w:val="18"/>
              </w:rPr>
              <w:t>unravelling</w:t>
            </w:r>
            <w:r>
              <w:rPr>
                <w:spacing w:val="-4"/>
                <w:sz w:val="18"/>
              </w:rPr>
              <w:t> </w:t>
            </w:r>
            <w:r>
              <w:rPr>
                <w:sz w:val="18"/>
              </w:rPr>
              <w:t>the</w:t>
            </w:r>
            <w:r>
              <w:rPr>
                <w:spacing w:val="-2"/>
                <w:sz w:val="18"/>
              </w:rPr>
              <w:t> </w:t>
            </w:r>
            <w:r>
              <w:rPr>
                <w:sz w:val="18"/>
              </w:rPr>
              <w:t>hidden</w:t>
            </w:r>
            <w:r>
              <w:rPr>
                <w:spacing w:val="-4"/>
                <w:sz w:val="18"/>
              </w:rPr>
              <w:t> </w:t>
            </w:r>
            <w:r>
              <w:rPr>
                <w:sz w:val="18"/>
              </w:rPr>
              <w:t>threat</w:t>
            </w:r>
            <w:r>
              <w:rPr>
                <w:spacing w:val="-3"/>
                <w:sz w:val="18"/>
              </w:rPr>
              <w:t> </w:t>
            </w:r>
            <w:r>
              <w:rPr>
                <w:sz w:val="18"/>
              </w:rPr>
              <w:t>and</w:t>
            </w:r>
            <w:r>
              <w:rPr>
                <w:spacing w:val="-4"/>
                <w:sz w:val="18"/>
              </w:rPr>
              <w:t> </w:t>
            </w:r>
            <w:r>
              <w:rPr>
                <w:sz w:val="18"/>
              </w:rPr>
              <w:t>challenging</w:t>
            </w:r>
            <w:r>
              <w:rPr>
                <w:spacing w:val="-4"/>
                <w:sz w:val="18"/>
              </w:rPr>
              <w:t> </w:t>
            </w:r>
            <w:r>
              <w:rPr>
                <w:sz w:val="18"/>
              </w:rPr>
              <w:t>the</w:t>
            </w:r>
            <w:r>
              <w:rPr>
                <w:spacing w:val="-4"/>
                <w:sz w:val="18"/>
              </w:rPr>
              <w:t> </w:t>
            </w:r>
            <w:r>
              <w:rPr>
                <w:sz w:val="18"/>
              </w:rPr>
              <w:t>threat</w:t>
            </w:r>
            <w:r>
              <w:rPr>
                <w:spacing w:val="-3"/>
                <w:sz w:val="18"/>
              </w:rPr>
              <w:t> </w:t>
            </w:r>
            <w:r>
              <w:rPr>
                <w:sz w:val="18"/>
              </w:rPr>
              <w:t>individually.</w:t>
            </w:r>
            <w:r>
              <w:rPr>
                <w:spacing w:val="-4"/>
                <w:sz w:val="18"/>
              </w:rPr>
              <w:t> </w:t>
            </w:r>
            <w:r>
              <w:rPr>
                <w:sz w:val="18"/>
              </w:rPr>
              <w:t>ESC</w:t>
            </w:r>
            <w:r>
              <w:rPr>
                <w:spacing w:val="-4"/>
                <w:sz w:val="18"/>
              </w:rPr>
              <w:t> </w:t>
            </w:r>
            <w:r>
              <w:rPr>
                <w:sz w:val="18"/>
              </w:rPr>
              <w:t>Heart</w:t>
            </w:r>
            <w:r>
              <w:rPr>
                <w:spacing w:val="-4"/>
                <w:sz w:val="18"/>
              </w:rPr>
              <w:t> </w:t>
            </w:r>
            <w:r>
              <w:rPr>
                <w:sz w:val="18"/>
              </w:rPr>
              <w:t>Fail.</w:t>
            </w:r>
            <w:r>
              <w:rPr>
                <w:spacing w:val="-4"/>
                <w:sz w:val="18"/>
              </w:rPr>
              <w:t> </w:t>
            </w:r>
            <w:r>
              <w:rPr>
                <w:sz w:val="18"/>
              </w:rPr>
              <w:t>2021 Dec;8(6):4737-4750. doi: 10.1002/ehf2.13597. Epub 2021 Sep 8. PMID: 34498416; PMCID: PMC8712898.</w:t>
            </w:r>
          </w:p>
        </w:tc>
        <w:tc>
          <w:tcPr>
            <w:tcW w:w="5415" w:type="dxa"/>
          </w:tcPr>
          <w:p>
            <w:pPr>
              <w:pStyle w:val="TableParagraph"/>
              <w:spacing w:line="218" w:lineRule="exact"/>
              <w:ind w:left="103"/>
              <w:rPr>
                <w:sz w:val="18"/>
              </w:rPr>
            </w:pPr>
            <w:r>
              <w:rPr>
                <w:sz w:val="18"/>
              </w:rPr>
              <w:t>Study</w:t>
            </w:r>
            <w:r>
              <w:rPr>
                <w:spacing w:val="-2"/>
                <w:sz w:val="18"/>
              </w:rPr>
              <w:t> </w:t>
            </w:r>
            <w:r>
              <w:rPr>
                <w:sz w:val="18"/>
              </w:rPr>
              <w:t>was</w:t>
            </w:r>
            <w:r>
              <w:rPr>
                <w:spacing w:val="-3"/>
                <w:sz w:val="18"/>
              </w:rPr>
              <w:t> </w:t>
            </w:r>
            <w:r>
              <w:rPr>
                <w:sz w:val="18"/>
              </w:rPr>
              <w:t>conducted</w:t>
            </w:r>
            <w:r>
              <w:rPr>
                <w:spacing w:val="-2"/>
                <w:sz w:val="18"/>
              </w:rPr>
              <w:t> </w:t>
            </w:r>
            <w:r>
              <w:rPr>
                <w:sz w:val="18"/>
              </w:rPr>
              <w:t>in</w:t>
            </w:r>
            <w:r>
              <w:rPr>
                <w:spacing w:val="-3"/>
                <w:sz w:val="18"/>
              </w:rPr>
              <w:t> </w:t>
            </w:r>
            <w:r>
              <w:rPr>
                <w:sz w:val="18"/>
              </w:rPr>
              <w:t>adults</w:t>
            </w:r>
            <w:r>
              <w:rPr>
                <w:spacing w:val="-3"/>
                <w:sz w:val="18"/>
              </w:rPr>
              <w:t> </w:t>
            </w:r>
            <w:r>
              <w:rPr>
                <w:sz w:val="18"/>
              </w:rPr>
              <w:t>instead</w:t>
            </w:r>
            <w:r>
              <w:rPr>
                <w:spacing w:val="-3"/>
                <w:sz w:val="18"/>
              </w:rPr>
              <w:t> </w:t>
            </w:r>
            <w:r>
              <w:rPr>
                <w:sz w:val="18"/>
              </w:rPr>
              <w:t>of</w:t>
            </w:r>
            <w:r>
              <w:rPr>
                <w:spacing w:val="-2"/>
                <w:sz w:val="18"/>
              </w:rPr>
              <w:t> children</w:t>
            </w:r>
          </w:p>
        </w:tc>
      </w:tr>
    </w:tbl>
    <w:p>
      <w:pPr>
        <w:pStyle w:val="BodyText"/>
        <w:spacing w:before="204"/>
      </w:pPr>
    </w:p>
    <w:p>
      <w:pPr>
        <w:pStyle w:val="BodyText"/>
        <w:ind w:left="23"/>
      </w:pPr>
      <w:r>
        <w:rPr/>
        <w:t>Table</w:t>
      </w:r>
      <w:r>
        <w:rPr>
          <w:spacing w:val="-4"/>
        </w:rPr>
        <w:t> </w:t>
      </w:r>
      <w:r>
        <w:rPr/>
        <w:t>4.2</w:t>
      </w:r>
      <w:r>
        <w:rPr>
          <w:spacing w:val="-4"/>
        </w:rPr>
        <w:t> </w:t>
      </w:r>
      <w:r>
        <w:rPr/>
        <w:t>Characteristics</w:t>
      </w:r>
      <w:r>
        <w:rPr>
          <w:spacing w:val="-6"/>
        </w:rPr>
        <w:t> </w:t>
      </w:r>
      <w:r>
        <w:rPr/>
        <w:t>of</w:t>
      </w:r>
      <w:r>
        <w:rPr>
          <w:spacing w:val="-7"/>
        </w:rPr>
        <w:t> </w:t>
      </w:r>
      <w:r>
        <w:rPr/>
        <w:t>included</w:t>
      </w:r>
      <w:r>
        <w:rPr>
          <w:spacing w:val="-3"/>
        </w:rPr>
        <w:t> </w:t>
      </w:r>
      <w:r>
        <w:rPr>
          <w:spacing w:val="-2"/>
        </w:rPr>
        <w:t>studies</w:t>
      </w:r>
    </w:p>
    <w:p>
      <w:pPr>
        <w:pStyle w:val="BodyText"/>
        <w:spacing w:before="10"/>
        <w:rPr>
          <w:sz w:val="16"/>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77"/>
        <w:gridCol w:w="1992"/>
        <w:gridCol w:w="1988"/>
        <w:gridCol w:w="1558"/>
        <w:gridCol w:w="2979"/>
        <w:gridCol w:w="1699"/>
        <w:gridCol w:w="2552"/>
      </w:tblGrid>
      <w:tr>
        <w:trPr>
          <w:trHeight w:val="784" w:hRule="atLeast"/>
        </w:trPr>
        <w:tc>
          <w:tcPr>
            <w:tcW w:w="977" w:type="dxa"/>
          </w:tcPr>
          <w:p>
            <w:pPr>
              <w:pStyle w:val="TableParagraph"/>
              <w:spacing w:line="268" w:lineRule="exact"/>
              <w:ind w:left="6"/>
              <w:rPr>
                <w:b/>
                <w:sz w:val="22"/>
              </w:rPr>
            </w:pPr>
            <w:r>
              <w:rPr>
                <w:b/>
                <w:spacing w:val="-2"/>
                <w:sz w:val="22"/>
              </w:rPr>
              <w:t>Study</w:t>
            </w:r>
          </w:p>
        </w:tc>
        <w:tc>
          <w:tcPr>
            <w:tcW w:w="1992" w:type="dxa"/>
          </w:tcPr>
          <w:p>
            <w:pPr>
              <w:pStyle w:val="TableParagraph"/>
              <w:spacing w:line="268" w:lineRule="exact"/>
              <w:ind w:left="7"/>
              <w:rPr>
                <w:b/>
                <w:sz w:val="22"/>
              </w:rPr>
            </w:pPr>
            <w:r>
              <w:rPr>
                <w:b/>
                <w:spacing w:val="-2"/>
                <w:sz w:val="22"/>
              </w:rPr>
              <w:t>Participants</w:t>
            </w:r>
          </w:p>
        </w:tc>
        <w:tc>
          <w:tcPr>
            <w:tcW w:w="1988" w:type="dxa"/>
          </w:tcPr>
          <w:p>
            <w:pPr>
              <w:pStyle w:val="TableParagraph"/>
              <w:spacing w:line="268" w:lineRule="exact"/>
              <w:ind w:left="7"/>
              <w:rPr>
                <w:b/>
                <w:sz w:val="22"/>
              </w:rPr>
            </w:pPr>
            <w:r>
              <w:rPr>
                <w:b/>
                <w:spacing w:val="-2"/>
                <w:sz w:val="22"/>
              </w:rPr>
              <w:t>Comparison</w:t>
            </w:r>
          </w:p>
        </w:tc>
        <w:tc>
          <w:tcPr>
            <w:tcW w:w="1558" w:type="dxa"/>
          </w:tcPr>
          <w:p>
            <w:pPr>
              <w:pStyle w:val="TableParagraph"/>
              <w:spacing w:line="268" w:lineRule="exact"/>
              <w:ind w:left="4"/>
              <w:rPr>
                <w:b/>
                <w:sz w:val="22"/>
              </w:rPr>
            </w:pPr>
            <w:r>
              <w:rPr>
                <w:b/>
                <w:spacing w:val="-2"/>
                <w:sz w:val="22"/>
              </w:rPr>
              <w:t>Follow-</w:t>
            </w:r>
            <w:r>
              <w:rPr>
                <w:b/>
                <w:spacing w:val="-5"/>
                <w:sz w:val="22"/>
              </w:rPr>
              <w:t>up</w:t>
            </w:r>
          </w:p>
        </w:tc>
        <w:tc>
          <w:tcPr>
            <w:tcW w:w="2979" w:type="dxa"/>
          </w:tcPr>
          <w:p>
            <w:pPr>
              <w:pStyle w:val="TableParagraph"/>
              <w:spacing w:line="268" w:lineRule="exact"/>
              <w:ind w:left="6"/>
              <w:rPr>
                <w:b/>
                <w:sz w:val="22"/>
              </w:rPr>
            </w:pPr>
            <w:r>
              <w:rPr>
                <w:b/>
                <w:sz w:val="22"/>
              </w:rPr>
              <w:t>Outcome</w:t>
            </w:r>
            <w:r>
              <w:rPr>
                <w:b/>
                <w:spacing w:val="-5"/>
                <w:sz w:val="22"/>
              </w:rPr>
              <w:t> </w:t>
            </w:r>
            <w:r>
              <w:rPr>
                <w:b/>
                <w:spacing w:val="-2"/>
                <w:sz w:val="22"/>
              </w:rPr>
              <w:t>measures</w:t>
            </w:r>
          </w:p>
        </w:tc>
        <w:tc>
          <w:tcPr>
            <w:tcW w:w="1699" w:type="dxa"/>
          </w:tcPr>
          <w:p>
            <w:pPr>
              <w:pStyle w:val="TableParagraph"/>
              <w:spacing w:line="268" w:lineRule="exact"/>
              <w:ind w:left="3"/>
              <w:rPr>
                <w:b/>
                <w:sz w:val="22"/>
              </w:rPr>
            </w:pPr>
            <w:r>
              <w:rPr>
                <w:b/>
                <w:spacing w:val="-2"/>
                <w:sz w:val="22"/>
              </w:rPr>
              <w:t>Comments</w:t>
            </w:r>
          </w:p>
        </w:tc>
        <w:tc>
          <w:tcPr>
            <w:tcW w:w="2552" w:type="dxa"/>
          </w:tcPr>
          <w:p>
            <w:pPr>
              <w:pStyle w:val="TableParagraph"/>
              <w:spacing w:line="278" w:lineRule="auto"/>
              <w:ind w:left="6" w:right="690"/>
              <w:rPr>
                <w:b/>
                <w:sz w:val="22"/>
              </w:rPr>
            </w:pPr>
            <w:r>
              <w:rPr>
                <w:b/>
                <w:sz w:val="22"/>
              </w:rPr>
              <w:t>Risk of bias (per outcome</w:t>
            </w:r>
            <w:r>
              <w:rPr>
                <w:b/>
                <w:spacing w:val="-13"/>
                <w:sz w:val="22"/>
              </w:rPr>
              <w:t> </w:t>
            </w:r>
            <w:r>
              <w:rPr>
                <w:b/>
                <w:sz w:val="22"/>
              </w:rPr>
              <w:t>measure)*</w:t>
            </w:r>
          </w:p>
        </w:tc>
      </w:tr>
      <w:tr>
        <w:trPr>
          <w:trHeight w:val="3931" w:hRule="atLeast"/>
        </w:trPr>
        <w:tc>
          <w:tcPr>
            <w:tcW w:w="977" w:type="dxa"/>
          </w:tcPr>
          <w:p>
            <w:pPr>
              <w:pStyle w:val="TableParagraph"/>
              <w:spacing w:line="278" w:lineRule="auto"/>
              <w:ind w:left="6" w:right="360"/>
              <w:rPr>
                <w:sz w:val="22"/>
              </w:rPr>
            </w:pPr>
            <w:r>
              <w:rPr>
                <w:spacing w:val="-2"/>
                <w:sz w:val="22"/>
              </w:rPr>
              <w:t>Irdem, </w:t>
            </w:r>
            <w:r>
              <w:rPr>
                <w:spacing w:val="-4"/>
                <w:sz w:val="22"/>
              </w:rPr>
              <w:t>2014</w:t>
            </w:r>
          </w:p>
        </w:tc>
        <w:tc>
          <w:tcPr>
            <w:tcW w:w="1992" w:type="dxa"/>
          </w:tcPr>
          <w:p>
            <w:pPr>
              <w:pStyle w:val="TableParagraph"/>
              <w:spacing w:line="422" w:lineRule="auto"/>
              <w:ind w:left="7" w:right="520"/>
              <w:rPr>
                <w:sz w:val="22"/>
              </w:rPr>
            </w:pPr>
            <w:r>
              <w:rPr>
                <w:sz w:val="22"/>
                <w:u w:val="single"/>
              </w:rPr>
              <w:t>N at baseline </w:t>
            </w:r>
            <w:r>
              <w:rPr>
                <w:sz w:val="22"/>
                <w:u w:val="none"/>
              </w:rPr>
              <w:t> Intervention:</w:t>
            </w:r>
            <w:r>
              <w:rPr>
                <w:spacing w:val="-13"/>
                <w:sz w:val="22"/>
                <w:u w:val="none"/>
              </w:rPr>
              <w:t> </w:t>
            </w:r>
            <w:r>
              <w:rPr>
                <w:sz w:val="22"/>
                <w:u w:val="none"/>
              </w:rPr>
              <w:t>29</w:t>
            </w:r>
          </w:p>
          <w:p>
            <w:pPr>
              <w:pStyle w:val="TableParagraph"/>
              <w:ind w:left="7"/>
              <w:rPr>
                <w:sz w:val="22"/>
              </w:rPr>
            </w:pPr>
            <w:r>
              <w:rPr>
                <w:sz w:val="22"/>
              </w:rPr>
              <w:t>Control:</w:t>
            </w:r>
            <w:r>
              <w:rPr>
                <w:spacing w:val="-8"/>
                <w:sz w:val="22"/>
              </w:rPr>
              <w:t> </w:t>
            </w:r>
            <w:r>
              <w:rPr>
                <w:spacing w:val="-5"/>
                <w:sz w:val="22"/>
              </w:rPr>
              <w:t>54</w:t>
            </w:r>
          </w:p>
          <w:p>
            <w:pPr>
              <w:pStyle w:val="TableParagraph"/>
              <w:rPr>
                <w:sz w:val="22"/>
              </w:rPr>
            </w:pPr>
          </w:p>
          <w:p>
            <w:pPr>
              <w:pStyle w:val="TableParagraph"/>
              <w:spacing w:before="137"/>
              <w:rPr>
                <w:sz w:val="22"/>
              </w:rPr>
            </w:pPr>
          </w:p>
          <w:p>
            <w:pPr>
              <w:pStyle w:val="TableParagraph"/>
              <w:spacing w:line="278" w:lineRule="auto"/>
              <w:ind w:left="7" w:right="834"/>
              <w:rPr>
                <w:sz w:val="22"/>
              </w:rPr>
            </w:pPr>
            <w:r>
              <w:rPr>
                <w:sz w:val="22"/>
                <w:u w:val="single"/>
              </w:rPr>
              <w:t>Age</w:t>
            </w:r>
            <w:r>
              <w:rPr>
                <w:spacing w:val="-13"/>
                <w:sz w:val="22"/>
                <w:u w:val="single"/>
              </w:rPr>
              <w:t> </w:t>
            </w:r>
            <w:r>
              <w:rPr>
                <w:sz w:val="22"/>
                <w:u w:val="single"/>
              </w:rPr>
              <w:t>(median</w:t>
            </w:r>
            <w:r>
              <w:rPr>
                <w:sz w:val="22"/>
                <w:u w:val="none"/>
              </w:rPr>
              <w:t> </w:t>
            </w:r>
            <w:r>
              <w:rPr>
                <w:spacing w:val="-2"/>
                <w:sz w:val="22"/>
                <w:u w:val="single"/>
              </w:rPr>
              <w:t>(range))</w:t>
            </w:r>
            <w:r>
              <w:rPr>
                <w:spacing w:val="-2"/>
                <w:sz w:val="22"/>
                <w:u w:val="none"/>
                <w:vertAlign w:val="superscript"/>
              </w:rPr>
              <w:t>1</w:t>
            </w:r>
            <w:r>
              <w:rPr>
                <w:spacing w:val="-2"/>
                <w:sz w:val="22"/>
                <w:u w:val="none"/>
                <w:vertAlign w:val="baseline"/>
              </w:rPr>
              <w:t>:</w:t>
            </w:r>
          </w:p>
          <w:p>
            <w:pPr>
              <w:pStyle w:val="TableParagraph"/>
              <w:spacing w:line="278" w:lineRule="auto" w:before="162"/>
              <w:ind w:left="7"/>
              <w:rPr>
                <w:sz w:val="22"/>
              </w:rPr>
            </w:pPr>
            <w:r>
              <w:rPr>
                <w:sz w:val="22"/>
              </w:rPr>
              <w:t>2.0</w:t>
            </w:r>
            <w:r>
              <w:rPr>
                <w:spacing w:val="-9"/>
                <w:sz w:val="22"/>
              </w:rPr>
              <w:t> </w:t>
            </w:r>
            <w:r>
              <w:rPr>
                <w:sz w:val="22"/>
              </w:rPr>
              <w:t>(1</w:t>
            </w:r>
            <w:r>
              <w:rPr>
                <w:spacing w:val="-11"/>
                <w:sz w:val="22"/>
              </w:rPr>
              <w:t> </w:t>
            </w:r>
            <w:r>
              <w:rPr>
                <w:sz w:val="22"/>
              </w:rPr>
              <w:t>month</w:t>
            </w:r>
            <w:r>
              <w:rPr>
                <w:spacing w:val="-8"/>
                <w:sz w:val="22"/>
              </w:rPr>
              <w:t> </w:t>
            </w:r>
            <w:r>
              <w:rPr>
                <w:sz w:val="22"/>
              </w:rPr>
              <w:t>-</w:t>
            </w:r>
            <w:r>
              <w:rPr>
                <w:spacing w:val="-12"/>
                <w:sz w:val="22"/>
              </w:rPr>
              <w:t> </w:t>
            </w:r>
            <w:r>
              <w:rPr>
                <w:sz w:val="22"/>
              </w:rPr>
              <w:t>14.8 </w:t>
            </w:r>
            <w:r>
              <w:rPr>
                <w:spacing w:val="-2"/>
                <w:sz w:val="22"/>
              </w:rPr>
              <w:t>years)</w:t>
            </w:r>
          </w:p>
        </w:tc>
        <w:tc>
          <w:tcPr>
            <w:tcW w:w="1988" w:type="dxa"/>
          </w:tcPr>
          <w:p>
            <w:pPr>
              <w:pStyle w:val="TableParagraph"/>
              <w:spacing w:line="278" w:lineRule="auto"/>
              <w:ind w:left="7" w:right="117"/>
              <w:rPr>
                <w:sz w:val="22"/>
              </w:rPr>
            </w:pPr>
            <w:r>
              <w:rPr>
                <w:sz w:val="22"/>
                <w:u w:val="single"/>
              </w:rPr>
              <w:t>Intervention</w:t>
            </w:r>
            <w:r>
              <w:rPr>
                <w:sz w:val="22"/>
                <w:u w:val="none"/>
              </w:rPr>
              <w:t>:</w:t>
            </w:r>
            <w:r>
              <w:rPr>
                <w:spacing w:val="-13"/>
                <w:sz w:val="22"/>
                <w:u w:val="none"/>
              </w:rPr>
              <w:t> </w:t>
            </w:r>
            <w:r>
              <w:rPr>
                <w:sz w:val="22"/>
                <w:u w:val="none"/>
              </w:rPr>
              <w:t>Aspirin at antiaggregant </w:t>
            </w:r>
            <w:r>
              <w:rPr>
                <w:spacing w:val="-4"/>
                <w:sz w:val="22"/>
                <w:u w:val="none"/>
              </w:rPr>
              <w:t>dose</w:t>
            </w:r>
          </w:p>
          <w:p>
            <w:pPr>
              <w:pStyle w:val="TableParagraph"/>
              <w:rPr>
                <w:sz w:val="22"/>
              </w:rPr>
            </w:pPr>
          </w:p>
          <w:p>
            <w:pPr>
              <w:pStyle w:val="TableParagraph"/>
              <w:spacing w:before="97"/>
              <w:rPr>
                <w:sz w:val="22"/>
              </w:rPr>
            </w:pPr>
          </w:p>
          <w:p>
            <w:pPr>
              <w:pStyle w:val="TableParagraph"/>
              <w:ind w:left="7"/>
              <w:rPr>
                <w:sz w:val="22"/>
              </w:rPr>
            </w:pPr>
            <w:r>
              <w:rPr>
                <w:spacing w:val="-2"/>
                <w:sz w:val="22"/>
                <w:u w:val="single"/>
              </w:rPr>
              <w:t>Control</w:t>
            </w:r>
            <w:r>
              <w:rPr>
                <w:spacing w:val="-2"/>
                <w:sz w:val="22"/>
                <w:u w:val="none"/>
              </w:rPr>
              <w:t>:</w:t>
            </w:r>
          </w:p>
          <w:p>
            <w:pPr>
              <w:pStyle w:val="TableParagraph"/>
              <w:spacing w:line="278" w:lineRule="auto" w:before="204"/>
              <w:ind w:left="7"/>
              <w:rPr>
                <w:sz w:val="22"/>
              </w:rPr>
            </w:pPr>
            <w:r>
              <w:rPr>
                <w:spacing w:val="-6"/>
                <w:sz w:val="22"/>
              </w:rPr>
              <w:t>No </w:t>
            </w:r>
            <w:r>
              <w:rPr>
                <w:spacing w:val="-2"/>
                <w:sz w:val="22"/>
              </w:rPr>
              <w:t>thromboprophylaxis</w:t>
            </w:r>
          </w:p>
        </w:tc>
        <w:tc>
          <w:tcPr>
            <w:tcW w:w="1558" w:type="dxa"/>
          </w:tcPr>
          <w:p>
            <w:pPr>
              <w:pStyle w:val="TableParagraph"/>
              <w:spacing w:line="268" w:lineRule="exact"/>
              <w:ind w:left="4"/>
              <w:rPr>
                <w:sz w:val="22"/>
              </w:rPr>
            </w:pPr>
            <w:r>
              <w:rPr>
                <w:sz w:val="22"/>
              </w:rPr>
              <w:t>Mean:</w:t>
            </w:r>
            <w:r>
              <w:rPr>
                <w:spacing w:val="-5"/>
                <w:sz w:val="22"/>
              </w:rPr>
              <w:t> </w:t>
            </w:r>
            <w:r>
              <w:rPr>
                <w:sz w:val="22"/>
              </w:rPr>
              <w:t>33.6</w:t>
            </w:r>
            <w:r>
              <w:rPr>
                <w:spacing w:val="-3"/>
                <w:sz w:val="22"/>
              </w:rPr>
              <w:t> </w:t>
            </w:r>
            <w:r>
              <w:rPr>
                <w:spacing w:val="-10"/>
                <w:sz w:val="22"/>
              </w:rPr>
              <w:t>±</w:t>
            </w:r>
          </w:p>
          <w:p>
            <w:pPr>
              <w:pStyle w:val="TableParagraph"/>
              <w:spacing w:before="44"/>
              <w:ind w:left="4"/>
              <w:rPr>
                <w:sz w:val="22"/>
              </w:rPr>
            </w:pPr>
            <w:r>
              <w:rPr>
                <w:sz w:val="22"/>
              </w:rPr>
              <w:t>35.6</w:t>
            </w:r>
            <w:r>
              <w:rPr>
                <w:spacing w:val="-5"/>
                <w:sz w:val="22"/>
              </w:rPr>
              <w:t> </w:t>
            </w:r>
            <w:r>
              <w:rPr>
                <w:sz w:val="22"/>
              </w:rPr>
              <w:t>months</w:t>
            </w:r>
            <w:r>
              <w:rPr>
                <w:spacing w:val="-4"/>
                <w:sz w:val="22"/>
              </w:rPr>
              <w:t> </w:t>
            </w:r>
            <w:r>
              <w:rPr>
                <w:spacing w:val="-5"/>
                <w:sz w:val="22"/>
              </w:rPr>
              <w:t>(3</w:t>
            </w:r>
          </w:p>
          <w:p>
            <w:pPr>
              <w:pStyle w:val="TableParagraph"/>
              <w:spacing w:line="278" w:lineRule="auto" w:before="43"/>
              <w:ind w:left="4" w:right="119"/>
              <w:rPr>
                <w:sz w:val="22"/>
              </w:rPr>
            </w:pPr>
            <w:r>
              <w:rPr>
                <w:sz w:val="22"/>
              </w:rPr>
              <w:t>days</w:t>
            </w:r>
            <w:r>
              <w:rPr>
                <w:spacing w:val="-13"/>
                <w:sz w:val="22"/>
              </w:rPr>
              <w:t> </w:t>
            </w:r>
            <w:r>
              <w:rPr>
                <w:sz w:val="22"/>
              </w:rPr>
              <w:t>–</w:t>
            </w:r>
            <w:r>
              <w:rPr>
                <w:spacing w:val="-12"/>
                <w:sz w:val="22"/>
              </w:rPr>
              <w:t> </w:t>
            </w:r>
            <w:r>
              <w:rPr>
                <w:sz w:val="22"/>
              </w:rPr>
              <w:t>168 </w:t>
            </w:r>
            <w:r>
              <w:rPr>
                <w:spacing w:val="-2"/>
                <w:sz w:val="22"/>
              </w:rPr>
              <w:t>months)</w:t>
            </w:r>
          </w:p>
        </w:tc>
        <w:tc>
          <w:tcPr>
            <w:tcW w:w="2979" w:type="dxa"/>
          </w:tcPr>
          <w:p>
            <w:pPr>
              <w:pStyle w:val="TableParagraph"/>
              <w:numPr>
                <w:ilvl w:val="0"/>
                <w:numId w:val="67"/>
              </w:numPr>
              <w:tabs>
                <w:tab w:pos="726" w:val="left" w:leader="none"/>
              </w:tabs>
              <w:spacing w:line="278" w:lineRule="auto" w:before="0" w:after="0"/>
              <w:ind w:left="726" w:right="123" w:hanging="360"/>
              <w:jc w:val="left"/>
              <w:rPr>
                <w:sz w:val="22"/>
              </w:rPr>
            </w:pPr>
            <w:r>
              <w:rPr>
                <w:b/>
                <w:spacing w:val="-2"/>
                <w:sz w:val="22"/>
              </w:rPr>
              <w:t>Thrombotic </w:t>
            </w:r>
            <w:r>
              <w:rPr>
                <w:b/>
                <w:sz w:val="22"/>
              </w:rPr>
              <w:t>complications</w:t>
            </w:r>
            <w:r>
              <w:rPr>
                <w:sz w:val="22"/>
              </w:rPr>
              <w:t>, defined as intracardiac thrombus, diagnosed using two-dimensional </w:t>
            </w:r>
            <w:r>
              <w:rPr>
                <w:spacing w:val="-2"/>
                <w:sz w:val="22"/>
              </w:rPr>
              <w:t>transthoracic </w:t>
            </w:r>
            <w:r>
              <w:rPr>
                <w:sz w:val="22"/>
              </w:rPr>
              <w:t>echocardiography</w:t>
            </w:r>
            <w:r>
              <w:rPr>
                <w:spacing w:val="-13"/>
                <w:sz w:val="22"/>
              </w:rPr>
              <w:t> </w:t>
            </w:r>
            <w:r>
              <w:rPr>
                <w:sz w:val="22"/>
              </w:rPr>
              <w:t>(TEE)</w:t>
            </w:r>
          </w:p>
        </w:tc>
        <w:tc>
          <w:tcPr>
            <w:tcW w:w="1699" w:type="dxa"/>
          </w:tcPr>
          <w:p>
            <w:pPr>
              <w:pStyle w:val="TableParagraph"/>
              <w:spacing w:line="268" w:lineRule="exact"/>
              <w:ind w:left="3"/>
              <w:rPr>
                <w:sz w:val="22"/>
              </w:rPr>
            </w:pPr>
            <w:r>
              <w:rPr>
                <w:spacing w:val="-2"/>
                <w:sz w:val="22"/>
                <w:u w:val="single"/>
              </w:rPr>
              <w:t>Funding</w:t>
            </w:r>
          </w:p>
          <w:p>
            <w:pPr>
              <w:pStyle w:val="TableParagraph"/>
              <w:spacing w:before="204"/>
              <w:ind w:left="3"/>
              <w:rPr>
                <w:sz w:val="22"/>
              </w:rPr>
            </w:pPr>
            <w:r>
              <w:rPr>
                <w:sz w:val="22"/>
              </w:rPr>
              <w:t>Not </w:t>
            </w:r>
            <w:r>
              <w:rPr>
                <w:spacing w:val="-2"/>
                <w:sz w:val="22"/>
              </w:rPr>
              <w:t>reported</w:t>
            </w:r>
          </w:p>
          <w:p>
            <w:pPr>
              <w:pStyle w:val="TableParagraph"/>
              <w:rPr>
                <w:sz w:val="22"/>
              </w:rPr>
            </w:pPr>
          </w:p>
          <w:p>
            <w:pPr>
              <w:pStyle w:val="TableParagraph"/>
              <w:spacing w:before="138"/>
              <w:rPr>
                <w:sz w:val="22"/>
              </w:rPr>
            </w:pPr>
          </w:p>
          <w:p>
            <w:pPr>
              <w:pStyle w:val="TableParagraph"/>
              <w:spacing w:line="280" w:lineRule="auto"/>
              <w:ind w:left="3" w:right="671"/>
              <w:rPr>
                <w:sz w:val="22"/>
              </w:rPr>
            </w:pPr>
            <w:r>
              <w:rPr>
                <w:sz w:val="22"/>
                <w:u w:val="single"/>
              </w:rPr>
              <w:t>Conflicts</w:t>
            </w:r>
            <w:r>
              <w:rPr>
                <w:spacing w:val="-13"/>
                <w:sz w:val="22"/>
                <w:u w:val="single"/>
              </w:rPr>
              <w:t> </w:t>
            </w:r>
            <w:r>
              <w:rPr>
                <w:sz w:val="22"/>
                <w:u w:val="single"/>
              </w:rPr>
              <w:t>of</w:t>
            </w:r>
            <w:r>
              <w:rPr>
                <w:sz w:val="22"/>
                <w:u w:val="none"/>
              </w:rPr>
              <w:t> </w:t>
            </w:r>
            <w:r>
              <w:rPr>
                <w:spacing w:val="-2"/>
                <w:sz w:val="22"/>
                <w:u w:val="single"/>
              </w:rPr>
              <w:t>interest</w:t>
            </w:r>
            <w:r>
              <w:rPr>
                <w:spacing w:val="-2"/>
                <w:sz w:val="22"/>
                <w:u w:val="none"/>
              </w:rPr>
              <w:t> </w:t>
            </w:r>
            <w:r>
              <w:rPr>
                <w:spacing w:val="-4"/>
                <w:sz w:val="22"/>
                <w:u w:val="none"/>
              </w:rPr>
              <w:t>None</w:t>
            </w:r>
          </w:p>
        </w:tc>
        <w:tc>
          <w:tcPr>
            <w:tcW w:w="2552" w:type="dxa"/>
          </w:tcPr>
          <w:p>
            <w:pPr>
              <w:pStyle w:val="TableParagraph"/>
              <w:spacing w:line="278" w:lineRule="auto"/>
              <w:ind w:left="6" w:right="159"/>
              <w:rPr>
                <w:sz w:val="22"/>
              </w:rPr>
            </w:pPr>
            <w:r>
              <w:rPr>
                <w:b/>
                <w:sz w:val="22"/>
              </w:rPr>
              <w:t>High </w:t>
            </w:r>
            <w:r>
              <w:rPr>
                <w:sz w:val="22"/>
              </w:rPr>
              <w:t>(for outcome thrombotic</w:t>
            </w:r>
            <w:r>
              <w:rPr>
                <w:spacing w:val="-13"/>
                <w:sz w:val="22"/>
              </w:rPr>
              <w:t> </w:t>
            </w:r>
            <w:r>
              <w:rPr>
                <w:sz w:val="22"/>
              </w:rPr>
              <w:t>complications)</w:t>
            </w:r>
          </w:p>
        </w:tc>
      </w:tr>
    </w:tbl>
    <w:p>
      <w:pPr>
        <w:pStyle w:val="TableParagraph"/>
        <w:spacing w:after="0" w:line="278" w:lineRule="auto"/>
        <w:rPr>
          <w:sz w:val="22"/>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77"/>
        <w:gridCol w:w="1992"/>
        <w:gridCol w:w="1988"/>
        <w:gridCol w:w="1558"/>
        <w:gridCol w:w="2979"/>
        <w:gridCol w:w="1699"/>
        <w:gridCol w:w="2552"/>
      </w:tblGrid>
      <w:tr>
        <w:trPr>
          <w:trHeight w:val="945" w:hRule="atLeast"/>
        </w:trPr>
        <w:tc>
          <w:tcPr>
            <w:tcW w:w="977" w:type="dxa"/>
          </w:tcPr>
          <w:p>
            <w:pPr>
              <w:pStyle w:val="TableParagraph"/>
              <w:rPr>
                <w:rFonts w:ascii="Times New Roman"/>
                <w:sz w:val="22"/>
              </w:rPr>
            </w:pPr>
          </w:p>
        </w:tc>
        <w:tc>
          <w:tcPr>
            <w:tcW w:w="1992" w:type="dxa"/>
          </w:tcPr>
          <w:p>
            <w:pPr>
              <w:pStyle w:val="TableParagraph"/>
              <w:spacing w:line="268" w:lineRule="exact"/>
              <w:ind w:left="7"/>
              <w:rPr>
                <w:sz w:val="22"/>
              </w:rPr>
            </w:pPr>
            <w:r>
              <w:rPr>
                <w:spacing w:val="-5"/>
                <w:sz w:val="22"/>
                <w:u w:val="single"/>
              </w:rPr>
              <w:t>Sex</w:t>
            </w:r>
          </w:p>
          <w:p>
            <w:pPr>
              <w:pStyle w:val="TableParagraph"/>
              <w:spacing w:before="204"/>
              <w:ind w:left="7"/>
              <w:rPr>
                <w:sz w:val="22"/>
              </w:rPr>
            </w:pPr>
            <w:r>
              <w:rPr>
                <w:sz w:val="22"/>
              </w:rPr>
              <w:t>49%</w:t>
            </w:r>
            <w:r>
              <w:rPr>
                <w:spacing w:val="-1"/>
                <w:sz w:val="22"/>
              </w:rPr>
              <w:t> </w:t>
            </w:r>
            <w:r>
              <w:rPr>
                <w:spacing w:val="-2"/>
                <w:sz w:val="22"/>
              </w:rPr>
              <w:t>female</w:t>
            </w:r>
            <w:r>
              <w:rPr>
                <w:spacing w:val="-2"/>
                <w:sz w:val="22"/>
                <w:vertAlign w:val="superscript"/>
              </w:rPr>
              <w:t>1</w:t>
            </w:r>
          </w:p>
        </w:tc>
        <w:tc>
          <w:tcPr>
            <w:tcW w:w="1988" w:type="dxa"/>
          </w:tcPr>
          <w:p>
            <w:pPr>
              <w:pStyle w:val="TableParagraph"/>
              <w:rPr>
                <w:rFonts w:ascii="Times New Roman"/>
                <w:sz w:val="22"/>
              </w:rPr>
            </w:pPr>
          </w:p>
        </w:tc>
        <w:tc>
          <w:tcPr>
            <w:tcW w:w="1558" w:type="dxa"/>
          </w:tcPr>
          <w:p>
            <w:pPr>
              <w:pStyle w:val="TableParagraph"/>
              <w:rPr>
                <w:rFonts w:ascii="Times New Roman"/>
                <w:sz w:val="22"/>
              </w:rPr>
            </w:pPr>
          </w:p>
        </w:tc>
        <w:tc>
          <w:tcPr>
            <w:tcW w:w="2979" w:type="dxa"/>
          </w:tcPr>
          <w:p>
            <w:pPr>
              <w:pStyle w:val="TableParagraph"/>
              <w:rPr>
                <w:rFonts w:ascii="Times New Roman"/>
                <w:sz w:val="22"/>
              </w:rPr>
            </w:pPr>
          </w:p>
        </w:tc>
        <w:tc>
          <w:tcPr>
            <w:tcW w:w="1699" w:type="dxa"/>
          </w:tcPr>
          <w:p>
            <w:pPr>
              <w:pStyle w:val="TableParagraph"/>
              <w:rPr>
                <w:rFonts w:ascii="Times New Roman"/>
                <w:sz w:val="22"/>
              </w:rPr>
            </w:pPr>
          </w:p>
        </w:tc>
        <w:tc>
          <w:tcPr>
            <w:tcW w:w="2552" w:type="dxa"/>
          </w:tcPr>
          <w:p>
            <w:pPr>
              <w:pStyle w:val="TableParagraph"/>
              <w:rPr>
                <w:rFonts w:ascii="Times New Roman"/>
                <w:sz w:val="22"/>
              </w:rPr>
            </w:pPr>
          </w:p>
        </w:tc>
      </w:tr>
    </w:tbl>
    <w:p>
      <w:pPr>
        <w:pStyle w:val="BodyText"/>
        <w:spacing w:before="202"/>
      </w:pPr>
    </w:p>
    <w:p>
      <w:pPr>
        <w:pStyle w:val="BodyText"/>
        <w:spacing w:before="1"/>
        <w:ind w:left="23"/>
      </w:pPr>
      <w:r>
        <w:rPr/>
        <w:t>Table</w:t>
      </w:r>
      <w:r>
        <w:rPr>
          <w:spacing w:val="-3"/>
        </w:rPr>
        <w:t> </w:t>
      </w:r>
      <w:r>
        <w:rPr/>
        <w:t>4.3.</w:t>
      </w:r>
      <w:r>
        <w:rPr>
          <w:spacing w:val="-2"/>
        </w:rPr>
        <w:t> </w:t>
      </w:r>
      <w:r>
        <w:rPr/>
        <w:t>Risk</w:t>
      </w:r>
      <w:r>
        <w:rPr>
          <w:spacing w:val="-3"/>
        </w:rPr>
        <w:t> </w:t>
      </w:r>
      <w:r>
        <w:rPr/>
        <w:t>of</w:t>
      </w:r>
      <w:r>
        <w:rPr>
          <w:spacing w:val="-2"/>
        </w:rPr>
        <w:t> </w:t>
      </w:r>
      <w:r>
        <w:rPr/>
        <w:t>bias</w:t>
      </w:r>
      <w:r>
        <w:rPr>
          <w:spacing w:val="-2"/>
        </w:rPr>
        <w:t> table</w:t>
      </w:r>
    </w:p>
    <w:p>
      <w:pPr>
        <w:pStyle w:val="BodyText"/>
        <w:spacing w:before="7"/>
        <w:rPr>
          <w:sz w:val="16"/>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47"/>
        <w:gridCol w:w="1409"/>
        <w:gridCol w:w="1455"/>
        <w:gridCol w:w="1211"/>
        <w:gridCol w:w="1614"/>
        <w:gridCol w:w="1357"/>
        <w:gridCol w:w="1420"/>
        <w:gridCol w:w="1420"/>
        <w:gridCol w:w="1598"/>
        <w:gridCol w:w="1725"/>
      </w:tblGrid>
      <w:tr>
        <w:trPr>
          <w:trHeight w:val="6886" w:hRule="atLeast"/>
        </w:trPr>
        <w:tc>
          <w:tcPr>
            <w:tcW w:w="747" w:type="dxa"/>
            <w:shd w:val="clear" w:color="auto" w:fill="D9D9D9"/>
          </w:tcPr>
          <w:p>
            <w:pPr>
              <w:pStyle w:val="TableParagraph"/>
              <w:spacing w:line="278" w:lineRule="auto" w:before="1"/>
              <w:ind w:left="6" w:right="21"/>
              <w:rPr>
                <w:b/>
                <w:sz w:val="22"/>
              </w:rPr>
            </w:pPr>
            <w:r>
              <w:rPr>
                <w:b/>
                <w:spacing w:val="-2"/>
                <w:sz w:val="22"/>
              </w:rPr>
              <w:t>Author, </w:t>
            </w:r>
            <w:r>
              <w:rPr>
                <w:b/>
                <w:spacing w:val="-4"/>
                <w:sz w:val="22"/>
              </w:rPr>
              <w:t>year</w:t>
            </w:r>
          </w:p>
        </w:tc>
        <w:tc>
          <w:tcPr>
            <w:tcW w:w="1409" w:type="dxa"/>
            <w:tcBorders>
              <w:bottom w:val="nil"/>
            </w:tcBorders>
            <w:shd w:val="clear" w:color="auto" w:fill="D9D9D9"/>
          </w:tcPr>
          <w:p>
            <w:pPr>
              <w:pStyle w:val="TableParagraph"/>
              <w:spacing w:line="278" w:lineRule="auto" w:before="1"/>
              <w:ind w:left="6" w:right="49"/>
              <w:rPr>
                <w:b/>
                <w:sz w:val="22"/>
              </w:rPr>
            </w:pPr>
            <w:r>
              <w:rPr>
                <w:b/>
                <w:sz w:val="22"/>
              </w:rPr>
              <w:t>Selection</w:t>
            </w:r>
            <w:r>
              <w:rPr>
                <w:b/>
                <w:spacing w:val="-13"/>
                <w:sz w:val="22"/>
              </w:rPr>
              <w:t> </w:t>
            </w:r>
            <w:r>
              <w:rPr>
                <w:b/>
                <w:sz w:val="22"/>
              </w:rPr>
              <w:t>of </w:t>
            </w:r>
            <w:r>
              <w:rPr>
                <w:b/>
                <w:spacing w:val="-2"/>
                <w:sz w:val="22"/>
              </w:rPr>
              <w:t>participants</w:t>
            </w:r>
          </w:p>
          <w:p>
            <w:pPr>
              <w:pStyle w:val="TableParagraph"/>
              <w:rPr>
                <w:sz w:val="22"/>
              </w:rPr>
            </w:pPr>
          </w:p>
          <w:p>
            <w:pPr>
              <w:pStyle w:val="TableParagraph"/>
              <w:spacing w:before="96"/>
              <w:rPr>
                <w:sz w:val="22"/>
              </w:rPr>
            </w:pPr>
          </w:p>
          <w:p>
            <w:pPr>
              <w:pStyle w:val="TableParagraph"/>
              <w:spacing w:line="278" w:lineRule="auto"/>
              <w:ind w:left="6" w:right="49"/>
              <w:rPr>
                <w:b/>
                <w:sz w:val="22"/>
              </w:rPr>
            </w:pPr>
            <w:r>
              <w:rPr>
                <w:b/>
                <w:sz w:val="22"/>
              </w:rPr>
              <w:t>Was selection of exposed and non-</w:t>
            </w:r>
            <w:r>
              <w:rPr>
                <w:b/>
                <w:spacing w:val="-2"/>
                <w:sz w:val="22"/>
              </w:rPr>
              <w:t>exposed </w:t>
            </w:r>
            <w:r>
              <w:rPr>
                <w:b/>
                <w:sz w:val="22"/>
              </w:rPr>
              <w:t>cohorts</w:t>
            </w:r>
            <w:r>
              <w:rPr>
                <w:b/>
                <w:spacing w:val="-13"/>
                <w:sz w:val="22"/>
              </w:rPr>
              <w:t> </w:t>
            </w:r>
            <w:r>
              <w:rPr>
                <w:b/>
                <w:sz w:val="22"/>
              </w:rPr>
              <w:t>drawn from</w:t>
            </w:r>
            <w:r>
              <w:rPr>
                <w:b/>
                <w:spacing w:val="-13"/>
                <w:sz w:val="22"/>
              </w:rPr>
              <w:t> </w:t>
            </w:r>
            <w:r>
              <w:rPr>
                <w:b/>
                <w:sz w:val="22"/>
              </w:rPr>
              <w:t>the</w:t>
            </w:r>
            <w:r>
              <w:rPr>
                <w:b/>
                <w:spacing w:val="-12"/>
                <w:sz w:val="22"/>
              </w:rPr>
              <w:t> </w:t>
            </w:r>
            <w:r>
              <w:rPr>
                <w:b/>
                <w:sz w:val="22"/>
              </w:rPr>
              <w:t>same </w:t>
            </w:r>
            <w:r>
              <w:rPr>
                <w:b/>
                <w:spacing w:val="-2"/>
                <w:sz w:val="22"/>
              </w:rPr>
              <w:t>population?</w:t>
            </w:r>
          </w:p>
        </w:tc>
        <w:tc>
          <w:tcPr>
            <w:tcW w:w="1455" w:type="dxa"/>
            <w:tcBorders>
              <w:bottom w:val="nil"/>
            </w:tcBorders>
            <w:shd w:val="clear" w:color="auto" w:fill="D9D9D9"/>
          </w:tcPr>
          <w:p>
            <w:pPr>
              <w:pStyle w:val="TableParagraph"/>
              <w:spacing w:before="1"/>
              <w:ind w:left="6"/>
              <w:rPr>
                <w:b/>
                <w:sz w:val="22"/>
              </w:rPr>
            </w:pPr>
            <w:r>
              <w:rPr>
                <w:b/>
                <w:spacing w:val="-2"/>
                <w:sz w:val="22"/>
              </w:rPr>
              <w:t>Exposure</w:t>
            </w:r>
          </w:p>
          <w:p>
            <w:pPr>
              <w:pStyle w:val="TableParagraph"/>
              <w:rPr>
                <w:sz w:val="22"/>
              </w:rPr>
            </w:pPr>
          </w:p>
          <w:p>
            <w:pPr>
              <w:pStyle w:val="TableParagraph"/>
              <w:rPr>
                <w:sz w:val="22"/>
              </w:rPr>
            </w:pPr>
          </w:p>
          <w:p>
            <w:pPr>
              <w:pStyle w:val="TableParagraph"/>
              <w:rPr>
                <w:sz w:val="22"/>
              </w:rPr>
            </w:pPr>
          </w:p>
          <w:p>
            <w:pPr>
              <w:pStyle w:val="TableParagraph"/>
              <w:spacing w:before="74"/>
              <w:rPr>
                <w:sz w:val="22"/>
              </w:rPr>
            </w:pPr>
          </w:p>
          <w:p>
            <w:pPr>
              <w:pStyle w:val="TableParagraph"/>
              <w:spacing w:line="278" w:lineRule="auto"/>
              <w:ind w:left="6" w:right="20"/>
              <w:rPr>
                <w:b/>
                <w:sz w:val="22"/>
              </w:rPr>
            </w:pPr>
            <w:r>
              <w:rPr>
                <w:b/>
                <w:sz w:val="22"/>
              </w:rPr>
              <w:t>Can we be confident in</w:t>
            </w:r>
            <w:r>
              <w:rPr>
                <w:b/>
                <w:spacing w:val="40"/>
                <w:sz w:val="22"/>
              </w:rPr>
              <w:t> </w:t>
            </w:r>
            <w:r>
              <w:rPr>
                <w:b/>
                <w:sz w:val="22"/>
              </w:rPr>
              <w:t>the</w:t>
            </w:r>
            <w:r>
              <w:rPr>
                <w:b/>
                <w:spacing w:val="-13"/>
                <w:sz w:val="22"/>
              </w:rPr>
              <w:t> </w:t>
            </w:r>
            <w:r>
              <w:rPr>
                <w:b/>
                <w:sz w:val="22"/>
              </w:rPr>
              <w:t>assessment of exposure?</w:t>
            </w:r>
          </w:p>
        </w:tc>
        <w:tc>
          <w:tcPr>
            <w:tcW w:w="1211" w:type="dxa"/>
            <w:tcBorders>
              <w:bottom w:val="nil"/>
            </w:tcBorders>
            <w:shd w:val="clear" w:color="auto" w:fill="D9D9D9"/>
          </w:tcPr>
          <w:p>
            <w:pPr>
              <w:pStyle w:val="TableParagraph"/>
              <w:spacing w:line="278" w:lineRule="auto" w:before="1"/>
              <w:ind w:left="5" w:right="103"/>
              <w:rPr>
                <w:b/>
                <w:sz w:val="22"/>
              </w:rPr>
            </w:pPr>
            <w:r>
              <w:rPr>
                <w:b/>
                <w:sz w:val="22"/>
              </w:rPr>
              <w:t>Outcome</w:t>
            </w:r>
            <w:r>
              <w:rPr>
                <w:b/>
                <w:spacing w:val="-13"/>
                <w:sz w:val="22"/>
              </w:rPr>
              <w:t> </w:t>
            </w:r>
            <w:r>
              <w:rPr>
                <w:b/>
                <w:sz w:val="22"/>
              </w:rPr>
              <w:t>of </w:t>
            </w:r>
            <w:r>
              <w:rPr>
                <w:b/>
                <w:spacing w:val="-2"/>
                <w:sz w:val="22"/>
              </w:rPr>
              <w:t>interest</w:t>
            </w:r>
          </w:p>
          <w:p>
            <w:pPr>
              <w:pStyle w:val="TableParagraph"/>
              <w:rPr>
                <w:sz w:val="22"/>
              </w:rPr>
            </w:pPr>
          </w:p>
          <w:p>
            <w:pPr>
              <w:pStyle w:val="TableParagraph"/>
              <w:spacing w:before="96"/>
              <w:rPr>
                <w:sz w:val="22"/>
              </w:rPr>
            </w:pPr>
          </w:p>
          <w:p>
            <w:pPr>
              <w:pStyle w:val="TableParagraph"/>
              <w:spacing w:line="278" w:lineRule="auto"/>
              <w:ind w:left="5" w:right="61"/>
              <w:rPr>
                <w:b/>
                <w:sz w:val="22"/>
              </w:rPr>
            </w:pPr>
            <w:r>
              <w:rPr>
                <w:b/>
                <w:sz w:val="22"/>
              </w:rPr>
              <w:t>Can we be </w:t>
            </w:r>
            <w:r>
              <w:rPr>
                <w:b/>
                <w:spacing w:val="-2"/>
                <w:sz w:val="22"/>
              </w:rPr>
              <w:t>confident </w:t>
            </w:r>
            <w:r>
              <w:rPr>
                <w:b/>
                <w:sz w:val="22"/>
              </w:rPr>
              <w:t>that the outcome of interest</w:t>
            </w:r>
            <w:r>
              <w:rPr>
                <w:b/>
                <w:spacing w:val="-13"/>
                <w:sz w:val="22"/>
              </w:rPr>
              <w:t> </w:t>
            </w:r>
            <w:r>
              <w:rPr>
                <w:b/>
                <w:sz w:val="22"/>
              </w:rPr>
              <w:t>was not present at start of </w:t>
            </w:r>
            <w:r>
              <w:rPr>
                <w:b/>
                <w:spacing w:val="-2"/>
                <w:sz w:val="22"/>
              </w:rPr>
              <w:t>study?</w:t>
            </w:r>
          </w:p>
        </w:tc>
        <w:tc>
          <w:tcPr>
            <w:tcW w:w="1614" w:type="dxa"/>
            <w:tcBorders>
              <w:bottom w:val="nil"/>
            </w:tcBorders>
            <w:shd w:val="clear" w:color="auto" w:fill="D9D9D9"/>
          </w:tcPr>
          <w:p>
            <w:pPr>
              <w:pStyle w:val="TableParagraph"/>
              <w:spacing w:line="278" w:lineRule="auto" w:before="1"/>
              <w:ind w:left="5"/>
              <w:rPr>
                <w:b/>
                <w:sz w:val="22"/>
              </w:rPr>
            </w:pPr>
            <w:r>
              <w:rPr>
                <w:b/>
                <w:spacing w:val="-2"/>
                <w:sz w:val="22"/>
              </w:rPr>
              <w:t>Confounding-assessment</w:t>
            </w:r>
          </w:p>
          <w:p>
            <w:pPr>
              <w:pStyle w:val="TableParagraph"/>
              <w:rPr>
                <w:sz w:val="22"/>
              </w:rPr>
            </w:pPr>
          </w:p>
          <w:p>
            <w:pPr>
              <w:pStyle w:val="TableParagraph"/>
              <w:spacing w:before="96"/>
              <w:rPr>
                <w:sz w:val="22"/>
              </w:rPr>
            </w:pPr>
          </w:p>
          <w:p>
            <w:pPr>
              <w:pStyle w:val="TableParagraph"/>
              <w:spacing w:line="278" w:lineRule="auto"/>
              <w:ind w:left="5"/>
              <w:rPr>
                <w:b/>
                <w:sz w:val="22"/>
              </w:rPr>
            </w:pPr>
            <w:r>
              <w:rPr>
                <w:b/>
                <w:sz w:val="22"/>
              </w:rPr>
              <w:t>Can we be confident</w:t>
            </w:r>
            <w:r>
              <w:rPr>
                <w:b/>
                <w:spacing w:val="-13"/>
                <w:sz w:val="22"/>
              </w:rPr>
              <w:t> </w:t>
            </w:r>
            <w:r>
              <w:rPr>
                <w:b/>
                <w:sz w:val="22"/>
              </w:rPr>
              <w:t>in</w:t>
            </w:r>
            <w:r>
              <w:rPr>
                <w:b/>
                <w:spacing w:val="-12"/>
                <w:sz w:val="22"/>
              </w:rPr>
              <w:t> </w:t>
            </w:r>
            <w:r>
              <w:rPr>
                <w:b/>
                <w:sz w:val="22"/>
              </w:rPr>
              <w:t>the assessment of </w:t>
            </w:r>
            <w:r>
              <w:rPr>
                <w:b/>
                <w:spacing w:val="-2"/>
                <w:sz w:val="22"/>
              </w:rPr>
              <w:t>confounding</w:t>
            </w:r>
          </w:p>
          <w:p>
            <w:pPr>
              <w:pStyle w:val="TableParagraph"/>
              <w:spacing w:before="4"/>
              <w:ind w:left="5"/>
              <w:rPr>
                <w:b/>
                <w:sz w:val="22"/>
              </w:rPr>
            </w:pPr>
            <w:r>
              <w:rPr>
                <w:b/>
                <w:spacing w:val="-2"/>
                <w:sz w:val="22"/>
              </w:rPr>
              <w:t>factors?</w:t>
            </w:r>
          </w:p>
        </w:tc>
        <w:tc>
          <w:tcPr>
            <w:tcW w:w="1357" w:type="dxa"/>
            <w:tcBorders>
              <w:bottom w:val="nil"/>
            </w:tcBorders>
            <w:shd w:val="clear" w:color="auto" w:fill="D9D9D9"/>
          </w:tcPr>
          <w:p>
            <w:pPr>
              <w:pStyle w:val="TableParagraph"/>
              <w:spacing w:line="278" w:lineRule="auto" w:before="1"/>
              <w:ind w:left="3" w:right="15"/>
              <w:rPr>
                <w:b/>
                <w:sz w:val="22"/>
              </w:rPr>
            </w:pPr>
            <w:r>
              <w:rPr>
                <w:b/>
                <w:spacing w:val="-2"/>
                <w:sz w:val="22"/>
              </w:rPr>
              <w:t>Confounding-analysis</w:t>
            </w:r>
          </w:p>
          <w:p>
            <w:pPr>
              <w:pStyle w:val="TableParagraph"/>
              <w:rPr>
                <w:sz w:val="22"/>
              </w:rPr>
            </w:pPr>
          </w:p>
          <w:p>
            <w:pPr>
              <w:pStyle w:val="TableParagraph"/>
              <w:spacing w:before="96"/>
              <w:rPr>
                <w:sz w:val="22"/>
              </w:rPr>
            </w:pPr>
          </w:p>
          <w:p>
            <w:pPr>
              <w:pStyle w:val="TableParagraph"/>
              <w:spacing w:line="278" w:lineRule="auto"/>
              <w:ind w:left="3" w:right="15"/>
              <w:rPr>
                <w:b/>
                <w:sz w:val="22"/>
              </w:rPr>
            </w:pPr>
            <w:r>
              <w:rPr>
                <w:b/>
                <w:sz w:val="22"/>
              </w:rPr>
              <w:t>Did the study </w:t>
            </w:r>
            <w:r>
              <w:rPr>
                <w:b/>
                <w:spacing w:val="-2"/>
                <w:sz w:val="22"/>
              </w:rPr>
              <w:t>match </w:t>
            </w:r>
            <w:r>
              <w:rPr>
                <w:b/>
                <w:sz w:val="22"/>
              </w:rPr>
              <w:t>exposed and unexposed</w:t>
            </w:r>
            <w:r>
              <w:rPr>
                <w:b/>
                <w:spacing w:val="-13"/>
                <w:sz w:val="22"/>
              </w:rPr>
              <w:t> </w:t>
            </w:r>
            <w:r>
              <w:rPr>
                <w:b/>
                <w:sz w:val="22"/>
              </w:rPr>
              <w:t>for all variables that are </w:t>
            </w:r>
            <w:r>
              <w:rPr>
                <w:b/>
                <w:spacing w:val="-2"/>
                <w:sz w:val="22"/>
              </w:rPr>
              <w:t>associated </w:t>
            </w:r>
            <w:r>
              <w:rPr>
                <w:b/>
                <w:sz w:val="22"/>
              </w:rPr>
              <w:t>with the </w:t>
            </w:r>
            <w:r>
              <w:rPr>
                <w:b/>
                <w:spacing w:val="-2"/>
                <w:sz w:val="22"/>
              </w:rPr>
              <w:t>outcome</w:t>
            </w:r>
          </w:p>
          <w:p>
            <w:pPr>
              <w:pStyle w:val="TableParagraph"/>
              <w:spacing w:line="278" w:lineRule="auto" w:before="7"/>
              <w:ind w:left="3" w:right="-6"/>
              <w:rPr>
                <w:b/>
                <w:sz w:val="22"/>
              </w:rPr>
            </w:pPr>
            <w:r>
              <w:rPr>
                <w:b/>
                <w:sz w:val="22"/>
              </w:rPr>
              <w:t>of interest or did the </w:t>
            </w:r>
            <w:r>
              <w:rPr>
                <w:b/>
                <w:spacing w:val="-2"/>
                <w:sz w:val="22"/>
              </w:rPr>
              <w:t>statistical </w:t>
            </w:r>
            <w:r>
              <w:rPr>
                <w:b/>
                <w:sz w:val="22"/>
              </w:rPr>
              <w:t>analysis</w:t>
            </w:r>
            <w:r>
              <w:rPr>
                <w:b/>
                <w:spacing w:val="-13"/>
                <w:sz w:val="22"/>
              </w:rPr>
              <w:t> </w:t>
            </w:r>
            <w:r>
              <w:rPr>
                <w:b/>
                <w:sz w:val="22"/>
              </w:rPr>
              <w:t>adjust for these </w:t>
            </w:r>
            <w:r>
              <w:rPr>
                <w:b/>
                <w:spacing w:val="-2"/>
                <w:sz w:val="22"/>
              </w:rPr>
              <w:t>confounding variables?</w:t>
            </w:r>
          </w:p>
        </w:tc>
        <w:tc>
          <w:tcPr>
            <w:tcW w:w="1420" w:type="dxa"/>
            <w:tcBorders>
              <w:bottom w:val="nil"/>
            </w:tcBorders>
            <w:shd w:val="clear" w:color="auto" w:fill="D9D9D9"/>
          </w:tcPr>
          <w:p>
            <w:pPr>
              <w:pStyle w:val="TableParagraph"/>
              <w:spacing w:line="278" w:lineRule="auto" w:before="1"/>
              <w:ind w:left="2" w:right="79"/>
              <w:rPr>
                <w:b/>
                <w:sz w:val="22"/>
              </w:rPr>
            </w:pPr>
            <w:r>
              <w:rPr>
                <w:b/>
                <w:sz w:val="22"/>
              </w:rPr>
              <w:t>Assessment</w:t>
            </w:r>
            <w:r>
              <w:rPr>
                <w:b/>
                <w:spacing w:val="-13"/>
                <w:sz w:val="22"/>
              </w:rPr>
              <w:t> </w:t>
            </w:r>
            <w:r>
              <w:rPr>
                <w:b/>
                <w:sz w:val="22"/>
              </w:rPr>
              <w:t>of </w:t>
            </w:r>
            <w:r>
              <w:rPr>
                <w:b/>
                <w:spacing w:val="-2"/>
                <w:sz w:val="22"/>
              </w:rPr>
              <w:t>outcome</w:t>
            </w:r>
          </w:p>
          <w:p>
            <w:pPr>
              <w:pStyle w:val="TableParagraph"/>
              <w:rPr>
                <w:sz w:val="22"/>
              </w:rPr>
            </w:pPr>
          </w:p>
          <w:p>
            <w:pPr>
              <w:pStyle w:val="TableParagraph"/>
              <w:spacing w:before="96"/>
              <w:rPr>
                <w:sz w:val="22"/>
              </w:rPr>
            </w:pPr>
          </w:p>
          <w:p>
            <w:pPr>
              <w:pStyle w:val="TableParagraph"/>
              <w:spacing w:line="278" w:lineRule="auto"/>
              <w:ind w:left="2" w:right="243"/>
              <w:rPr>
                <w:b/>
                <w:sz w:val="22"/>
              </w:rPr>
            </w:pPr>
            <w:r>
              <w:rPr>
                <w:b/>
                <w:sz w:val="22"/>
              </w:rPr>
              <w:t>Can we be confident in </w:t>
            </w:r>
            <w:r>
              <w:rPr>
                <w:b/>
                <w:spacing w:val="-4"/>
                <w:sz w:val="22"/>
              </w:rPr>
              <w:t>the </w:t>
            </w:r>
            <w:r>
              <w:rPr>
                <w:b/>
                <w:spacing w:val="-2"/>
                <w:sz w:val="22"/>
              </w:rPr>
              <w:t>assessment </w:t>
            </w:r>
            <w:r>
              <w:rPr>
                <w:b/>
                <w:sz w:val="22"/>
              </w:rPr>
              <w:t>of</w:t>
            </w:r>
            <w:r>
              <w:rPr>
                <w:b/>
                <w:spacing w:val="-13"/>
                <w:sz w:val="22"/>
              </w:rPr>
              <w:t> </w:t>
            </w:r>
            <w:r>
              <w:rPr>
                <w:b/>
                <w:sz w:val="22"/>
              </w:rPr>
              <w:t>outcome?</w:t>
            </w:r>
          </w:p>
        </w:tc>
        <w:tc>
          <w:tcPr>
            <w:tcW w:w="1420" w:type="dxa"/>
            <w:tcBorders>
              <w:bottom w:val="nil"/>
            </w:tcBorders>
            <w:shd w:val="clear" w:color="auto" w:fill="D9D9D9"/>
          </w:tcPr>
          <w:p>
            <w:pPr>
              <w:pStyle w:val="TableParagraph"/>
              <w:spacing w:before="1"/>
              <w:ind w:left="1"/>
              <w:rPr>
                <w:b/>
                <w:sz w:val="22"/>
              </w:rPr>
            </w:pPr>
            <w:r>
              <w:rPr>
                <w:b/>
                <w:sz w:val="22"/>
              </w:rPr>
              <w:t>Follow</w:t>
            </w:r>
            <w:r>
              <w:rPr>
                <w:b/>
                <w:spacing w:val="-5"/>
                <w:sz w:val="22"/>
              </w:rPr>
              <w:t> up</w:t>
            </w:r>
          </w:p>
          <w:p>
            <w:pPr>
              <w:pStyle w:val="TableParagraph"/>
              <w:rPr>
                <w:sz w:val="22"/>
              </w:rPr>
            </w:pPr>
          </w:p>
          <w:p>
            <w:pPr>
              <w:pStyle w:val="TableParagraph"/>
              <w:rPr>
                <w:sz w:val="22"/>
              </w:rPr>
            </w:pPr>
          </w:p>
          <w:p>
            <w:pPr>
              <w:pStyle w:val="TableParagraph"/>
              <w:rPr>
                <w:sz w:val="22"/>
              </w:rPr>
            </w:pPr>
          </w:p>
          <w:p>
            <w:pPr>
              <w:pStyle w:val="TableParagraph"/>
              <w:spacing w:before="74"/>
              <w:rPr>
                <w:sz w:val="22"/>
              </w:rPr>
            </w:pPr>
          </w:p>
          <w:p>
            <w:pPr>
              <w:pStyle w:val="TableParagraph"/>
              <w:spacing w:line="278" w:lineRule="auto"/>
              <w:ind w:left="1"/>
              <w:rPr>
                <w:b/>
                <w:sz w:val="22"/>
              </w:rPr>
            </w:pPr>
            <w:r>
              <w:rPr>
                <w:b/>
                <w:sz w:val="22"/>
              </w:rPr>
              <w:t>Was</w:t>
            </w:r>
            <w:r>
              <w:rPr>
                <w:b/>
                <w:spacing w:val="-13"/>
                <w:sz w:val="22"/>
              </w:rPr>
              <w:t> </w:t>
            </w:r>
            <w:r>
              <w:rPr>
                <w:b/>
                <w:sz w:val="22"/>
              </w:rPr>
              <w:t>the</w:t>
            </w:r>
            <w:r>
              <w:rPr>
                <w:b/>
                <w:spacing w:val="-12"/>
                <w:sz w:val="22"/>
              </w:rPr>
              <w:t> </w:t>
            </w:r>
            <w:r>
              <w:rPr>
                <w:b/>
                <w:sz w:val="22"/>
              </w:rPr>
              <w:t>follow up of cohorts adequate? In </w:t>
            </w:r>
            <w:r>
              <w:rPr>
                <w:b/>
                <w:spacing w:val="-2"/>
                <w:sz w:val="22"/>
              </w:rPr>
              <w:t>particular,</w:t>
            </w:r>
          </w:p>
          <w:p>
            <w:pPr>
              <w:pStyle w:val="TableParagraph"/>
              <w:spacing w:line="278" w:lineRule="auto" w:before="2"/>
              <w:ind w:left="1" w:right="76"/>
              <w:rPr>
                <w:b/>
                <w:sz w:val="22"/>
              </w:rPr>
            </w:pPr>
            <w:r>
              <w:rPr>
                <w:b/>
                <w:sz w:val="22"/>
              </w:rPr>
              <w:t>was outcome data</w:t>
            </w:r>
            <w:r>
              <w:rPr>
                <w:b/>
                <w:spacing w:val="-13"/>
                <w:sz w:val="22"/>
              </w:rPr>
              <w:t> </w:t>
            </w:r>
            <w:r>
              <w:rPr>
                <w:b/>
                <w:sz w:val="22"/>
              </w:rPr>
              <w:t>complete or imputed?</w:t>
            </w:r>
          </w:p>
        </w:tc>
        <w:tc>
          <w:tcPr>
            <w:tcW w:w="1598" w:type="dxa"/>
            <w:tcBorders>
              <w:bottom w:val="nil"/>
            </w:tcBorders>
            <w:shd w:val="clear" w:color="auto" w:fill="D9D9D9"/>
          </w:tcPr>
          <w:p>
            <w:pPr>
              <w:pStyle w:val="TableParagraph"/>
              <w:spacing w:before="1"/>
              <w:rPr>
                <w:b/>
                <w:sz w:val="22"/>
              </w:rPr>
            </w:pPr>
            <w:r>
              <w:rPr>
                <w:b/>
                <w:spacing w:val="-2"/>
                <w:sz w:val="22"/>
              </w:rPr>
              <w:t>Co-interventions</w:t>
            </w:r>
          </w:p>
          <w:p>
            <w:pPr>
              <w:pStyle w:val="TableParagraph"/>
              <w:rPr>
                <w:sz w:val="22"/>
              </w:rPr>
            </w:pPr>
          </w:p>
          <w:p>
            <w:pPr>
              <w:pStyle w:val="TableParagraph"/>
              <w:spacing w:before="138"/>
              <w:rPr>
                <w:sz w:val="22"/>
              </w:rPr>
            </w:pPr>
          </w:p>
          <w:p>
            <w:pPr>
              <w:pStyle w:val="TableParagraph"/>
              <w:spacing w:line="278" w:lineRule="auto"/>
              <w:ind w:right="102"/>
              <w:rPr>
                <w:b/>
                <w:sz w:val="22"/>
              </w:rPr>
            </w:pPr>
            <w:r>
              <w:rPr>
                <w:b/>
                <w:sz w:val="22"/>
              </w:rPr>
              <w:t>Were co-</w:t>
            </w:r>
            <w:r>
              <w:rPr>
                <w:b/>
                <w:spacing w:val="-2"/>
                <w:sz w:val="22"/>
              </w:rPr>
              <w:t>interventions </w:t>
            </w:r>
            <w:r>
              <w:rPr>
                <w:b/>
                <w:sz w:val="22"/>
              </w:rPr>
              <w:t>similar</w:t>
            </w:r>
            <w:r>
              <w:rPr>
                <w:b/>
                <w:spacing w:val="-13"/>
                <w:sz w:val="22"/>
              </w:rPr>
              <w:t> </w:t>
            </w:r>
            <w:r>
              <w:rPr>
                <w:b/>
                <w:sz w:val="22"/>
              </w:rPr>
              <w:t>between </w:t>
            </w:r>
            <w:r>
              <w:rPr>
                <w:b/>
                <w:spacing w:val="-2"/>
                <w:sz w:val="22"/>
              </w:rPr>
              <w:t>groups?</w:t>
            </w:r>
          </w:p>
        </w:tc>
        <w:tc>
          <w:tcPr>
            <w:tcW w:w="1725" w:type="dxa"/>
            <w:tcBorders>
              <w:bottom w:val="nil"/>
            </w:tcBorders>
            <w:shd w:val="clear" w:color="auto" w:fill="D9D9D9"/>
          </w:tcPr>
          <w:p>
            <w:pPr>
              <w:pStyle w:val="TableParagraph"/>
              <w:spacing w:line="278" w:lineRule="auto" w:before="1"/>
              <w:ind w:left="-2" w:right="388"/>
              <w:rPr>
                <w:b/>
                <w:sz w:val="22"/>
              </w:rPr>
            </w:pPr>
            <w:r>
              <w:rPr>
                <w:b/>
                <w:sz w:val="22"/>
              </w:rPr>
              <w:t>Overall</w:t>
            </w:r>
            <w:r>
              <w:rPr>
                <w:b/>
                <w:spacing w:val="-13"/>
                <w:sz w:val="22"/>
              </w:rPr>
              <w:t> </w:t>
            </w:r>
            <w:r>
              <w:rPr>
                <w:b/>
                <w:sz w:val="22"/>
              </w:rPr>
              <w:t>Risk</w:t>
            </w:r>
            <w:r>
              <w:rPr>
                <w:b/>
                <w:spacing w:val="-12"/>
                <w:sz w:val="22"/>
              </w:rPr>
              <w:t> </w:t>
            </w:r>
            <w:r>
              <w:rPr>
                <w:b/>
                <w:sz w:val="22"/>
              </w:rPr>
              <w:t>of </w:t>
            </w:r>
            <w:r>
              <w:rPr>
                <w:b/>
                <w:spacing w:val="-4"/>
                <w:sz w:val="22"/>
              </w:rPr>
              <w:t>bias</w:t>
            </w:r>
          </w:p>
        </w:tc>
      </w:tr>
    </w:tbl>
    <w:p>
      <w:pPr>
        <w:pStyle w:val="TableParagraph"/>
        <w:spacing w:after="0" w:line="278" w:lineRule="auto"/>
        <w:rPr>
          <w:b/>
          <w:sz w:val="22"/>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47"/>
        <w:gridCol w:w="1409"/>
        <w:gridCol w:w="1455"/>
        <w:gridCol w:w="1211"/>
        <w:gridCol w:w="1614"/>
        <w:gridCol w:w="1357"/>
        <w:gridCol w:w="1420"/>
        <w:gridCol w:w="1420"/>
        <w:gridCol w:w="1598"/>
        <w:gridCol w:w="1725"/>
      </w:tblGrid>
      <w:tr>
        <w:trPr>
          <w:trHeight w:val="1720" w:hRule="atLeast"/>
        </w:trPr>
        <w:tc>
          <w:tcPr>
            <w:tcW w:w="747" w:type="dxa"/>
            <w:shd w:val="clear" w:color="auto" w:fill="D9D9D9"/>
          </w:tcPr>
          <w:p>
            <w:pPr>
              <w:pStyle w:val="TableParagraph"/>
              <w:rPr>
                <w:rFonts w:ascii="Times New Roman"/>
                <w:sz w:val="22"/>
              </w:rPr>
            </w:pPr>
          </w:p>
        </w:tc>
        <w:tc>
          <w:tcPr>
            <w:tcW w:w="1409" w:type="dxa"/>
            <w:tcBorders>
              <w:top w:val="nil"/>
            </w:tcBorders>
            <w:shd w:val="clear" w:color="auto" w:fill="D9D9D9"/>
          </w:tcPr>
          <w:p>
            <w:pPr>
              <w:pStyle w:val="TableParagraph"/>
              <w:spacing w:line="278" w:lineRule="auto"/>
              <w:ind w:left="6" w:right="188"/>
              <w:rPr>
                <w:sz w:val="22"/>
              </w:rPr>
            </w:pPr>
            <w:r>
              <w:rPr>
                <w:spacing w:val="-2"/>
                <w:sz w:val="22"/>
              </w:rPr>
              <w:t>Definitely</w:t>
            </w:r>
            <w:r>
              <w:rPr>
                <w:sz w:val="22"/>
              </w:rPr>
              <w:t> yes,</w:t>
            </w:r>
            <w:r>
              <w:rPr>
                <w:spacing w:val="-13"/>
                <w:sz w:val="22"/>
              </w:rPr>
              <w:t> </w:t>
            </w:r>
            <w:r>
              <w:rPr>
                <w:sz w:val="22"/>
              </w:rPr>
              <w:t>probably yes,</w:t>
            </w:r>
            <w:r>
              <w:rPr>
                <w:spacing w:val="-13"/>
                <w:sz w:val="22"/>
              </w:rPr>
              <w:t> </w:t>
            </w:r>
            <w:r>
              <w:rPr>
                <w:sz w:val="22"/>
              </w:rPr>
              <w:t>probably no,</w:t>
            </w:r>
            <w:r>
              <w:rPr>
                <w:spacing w:val="-13"/>
                <w:sz w:val="22"/>
              </w:rPr>
              <w:t> </w:t>
            </w:r>
            <w:r>
              <w:rPr>
                <w:sz w:val="22"/>
              </w:rPr>
              <w:t>definitely </w:t>
            </w:r>
            <w:r>
              <w:rPr>
                <w:spacing w:val="-6"/>
                <w:sz w:val="22"/>
              </w:rPr>
              <w:t>no</w:t>
            </w:r>
          </w:p>
        </w:tc>
        <w:tc>
          <w:tcPr>
            <w:tcW w:w="1455" w:type="dxa"/>
            <w:tcBorders>
              <w:top w:val="nil"/>
            </w:tcBorders>
            <w:shd w:val="clear" w:color="auto" w:fill="D9D9D9"/>
          </w:tcPr>
          <w:p>
            <w:pPr>
              <w:pStyle w:val="TableParagraph"/>
              <w:spacing w:line="278" w:lineRule="auto"/>
              <w:ind w:left="6" w:right="234"/>
              <w:rPr>
                <w:sz w:val="22"/>
              </w:rPr>
            </w:pPr>
            <w:r>
              <w:rPr>
                <w:spacing w:val="-2"/>
                <w:sz w:val="22"/>
              </w:rPr>
              <w:t>Definitely</w:t>
            </w:r>
            <w:r>
              <w:rPr>
                <w:sz w:val="22"/>
              </w:rPr>
              <w:t> yes,</w:t>
            </w:r>
            <w:r>
              <w:rPr>
                <w:spacing w:val="-13"/>
                <w:sz w:val="22"/>
              </w:rPr>
              <w:t> </w:t>
            </w:r>
            <w:r>
              <w:rPr>
                <w:sz w:val="22"/>
              </w:rPr>
              <w:t>probably yes,</w:t>
            </w:r>
            <w:r>
              <w:rPr>
                <w:spacing w:val="-13"/>
                <w:sz w:val="22"/>
              </w:rPr>
              <w:t> </w:t>
            </w:r>
            <w:r>
              <w:rPr>
                <w:sz w:val="22"/>
              </w:rPr>
              <w:t>probably no,</w:t>
            </w:r>
            <w:r>
              <w:rPr>
                <w:spacing w:val="-13"/>
                <w:sz w:val="22"/>
              </w:rPr>
              <w:t> </w:t>
            </w:r>
            <w:r>
              <w:rPr>
                <w:sz w:val="22"/>
              </w:rPr>
              <w:t>definitely </w:t>
            </w:r>
            <w:r>
              <w:rPr>
                <w:spacing w:val="-6"/>
                <w:sz w:val="22"/>
              </w:rPr>
              <w:t>no</w:t>
            </w:r>
          </w:p>
        </w:tc>
        <w:tc>
          <w:tcPr>
            <w:tcW w:w="1211" w:type="dxa"/>
            <w:tcBorders>
              <w:top w:val="nil"/>
            </w:tcBorders>
            <w:shd w:val="clear" w:color="auto" w:fill="D9D9D9"/>
          </w:tcPr>
          <w:p>
            <w:pPr>
              <w:pStyle w:val="TableParagraph"/>
              <w:spacing w:line="278" w:lineRule="auto"/>
              <w:ind w:left="5" w:right="-1"/>
              <w:rPr>
                <w:sz w:val="22"/>
              </w:rPr>
            </w:pPr>
            <w:r>
              <w:rPr>
                <w:spacing w:val="-2"/>
                <w:sz w:val="22"/>
              </w:rPr>
              <w:t>Definitely</w:t>
            </w:r>
            <w:r>
              <w:rPr>
                <w:spacing w:val="40"/>
                <w:sz w:val="22"/>
              </w:rPr>
              <w:t> </w:t>
            </w:r>
            <w:r>
              <w:rPr>
                <w:sz w:val="22"/>
              </w:rPr>
              <w:t>yes,</w:t>
            </w:r>
            <w:r>
              <w:rPr>
                <w:spacing w:val="-13"/>
                <w:sz w:val="22"/>
              </w:rPr>
              <w:t> </w:t>
            </w:r>
            <w:r>
              <w:rPr>
                <w:sz w:val="22"/>
              </w:rPr>
              <w:t>probably yes,</w:t>
            </w:r>
            <w:r>
              <w:rPr>
                <w:spacing w:val="-13"/>
                <w:sz w:val="22"/>
              </w:rPr>
              <w:t> </w:t>
            </w:r>
            <w:r>
              <w:rPr>
                <w:sz w:val="22"/>
              </w:rPr>
              <w:t>probably no,</w:t>
            </w:r>
            <w:r>
              <w:rPr>
                <w:spacing w:val="-13"/>
                <w:sz w:val="22"/>
              </w:rPr>
              <w:t> </w:t>
            </w:r>
            <w:r>
              <w:rPr>
                <w:sz w:val="22"/>
              </w:rPr>
              <w:t>definitely </w:t>
            </w:r>
            <w:r>
              <w:rPr>
                <w:spacing w:val="-6"/>
                <w:sz w:val="22"/>
              </w:rPr>
              <w:t>no</w:t>
            </w:r>
          </w:p>
        </w:tc>
        <w:tc>
          <w:tcPr>
            <w:tcW w:w="1614" w:type="dxa"/>
            <w:tcBorders>
              <w:top w:val="nil"/>
            </w:tcBorders>
            <w:shd w:val="clear" w:color="auto" w:fill="D9D9D9"/>
          </w:tcPr>
          <w:p>
            <w:pPr>
              <w:pStyle w:val="TableParagraph"/>
              <w:spacing w:line="268" w:lineRule="exact"/>
              <w:ind w:left="5"/>
              <w:rPr>
                <w:sz w:val="22"/>
              </w:rPr>
            </w:pPr>
            <w:r>
              <w:rPr>
                <w:spacing w:val="-2"/>
                <w:sz w:val="22"/>
              </w:rPr>
              <w:t>Definitely</w:t>
            </w:r>
          </w:p>
          <w:p>
            <w:pPr>
              <w:pStyle w:val="TableParagraph"/>
              <w:spacing w:line="278" w:lineRule="auto" w:before="43"/>
              <w:ind w:left="5" w:right="-15"/>
              <w:rPr>
                <w:sz w:val="22"/>
              </w:rPr>
            </w:pPr>
            <w:r>
              <w:rPr>
                <w:sz w:val="22"/>
              </w:rPr>
              <w:t>yes,</w:t>
            </w:r>
            <w:r>
              <w:rPr>
                <w:spacing w:val="-13"/>
                <w:sz w:val="22"/>
              </w:rPr>
              <w:t> </w:t>
            </w:r>
            <w:r>
              <w:rPr>
                <w:sz w:val="22"/>
              </w:rPr>
              <w:t>probably</w:t>
            </w:r>
            <w:r>
              <w:rPr>
                <w:spacing w:val="-12"/>
                <w:sz w:val="22"/>
              </w:rPr>
              <w:t> </w:t>
            </w:r>
            <w:r>
              <w:rPr>
                <w:sz w:val="22"/>
              </w:rPr>
              <w:t>yes, </w:t>
            </w:r>
            <w:r>
              <w:rPr>
                <w:spacing w:val="-2"/>
                <w:sz w:val="22"/>
              </w:rPr>
              <w:t>probably</w:t>
            </w:r>
          </w:p>
          <w:p>
            <w:pPr>
              <w:pStyle w:val="TableParagraph"/>
              <w:spacing w:before="1"/>
              <w:ind w:left="5"/>
              <w:rPr>
                <w:sz w:val="22"/>
              </w:rPr>
            </w:pPr>
            <w:r>
              <w:rPr>
                <w:sz w:val="22"/>
              </w:rPr>
              <w:t>no,</w:t>
            </w:r>
            <w:r>
              <w:rPr>
                <w:spacing w:val="-4"/>
                <w:sz w:val="22"/>
              </w:rPr>
              <w:t> </w:t>
            </w:r>
            <w:r>
              <w:rPr>
                <w:sz w:val="22"/>
              </w:rPr>
              <w:t>definitely</w:t>
            </w:r>
            <w:r>
              <w:rPr>
                <w:spacing w:val="-4"/>
                <w:sz w:val="22"/>
              </w:rPr>
              <w:t> </w:t>
            </w:r>
            <w:r>
              <w:rPr>
                <w:spacing w:val="-5"/>
                <w:sz w:val="22"/>
              </w:rPr>
              <w:t>no</w:t>
            </w:r>
          </w:p>
        </w:tc>
        <w:tc>
          <w:tcPr>
            <w:tcW w:w="1357" w:type="dxa"/>
            <w:tcBorders>
              <w:top w:val="nil"/>
            </w:tcBorders>
            <w:shd w:val="clear" w:color="auto" w:fill="D9D9D9"/>
          </w:tcPr>
          <w:p>
            <w:pPr>
              <w:pStyle w:val="TableParagraph"/>
              <w:spacing w:line="278" w:lineRule="auto"/>
              <w:ind w:left="3" w:right="139"/>
              <w:rPr>
                <w:sz w:val="22"/>
              </w:rPr>
            </w:pPr>
            <w:r>
              <w:rPr>
                <w:spacing w:val="-2"/>
                <w:sz w:val="22"/>
              </w:rPr>
              <w:t>Definitely</w:t>
            </w:r>
            <w:r>
              <w:rPr>
                <w:sz w:val="22"/>
              </w:rPr>
              <w:t> yes,</w:t>
            </w:r>
            <w:r>
              <w:rPr>
                <w:spacing w:val="-13"/>
                <w:sz w:val="22"/>
              </w:rPr>
              <w:t> </w:t>
            </w:r>
            <w:r>
              <w:rPr>
                <w:sz w:val="22"/>
              </w:rPr>
              <w:t>probably yes,</w:t>
            </w:r>
            <w:r>
              <w:rPr>
                <w:spacing w:val="-13"/>
                <w:sz w:val="22"/>
              </w:rPr>
              <w:t> </w:t>
            </w:r>
            <w:r>
              <w:rPr>
                <w:sz w:val="22"/>
              </w:rPr>
              <w:t>probably no,</w:t>
            </w:r>
            <w:r>
              <w:rPr>
                <w:spacing w:val="-13"/>
                <w:sz w:val="22"/>
              </w:rPr>
              <w:t> </w:t>
            </w:r>
            <w:r>
              <w:rPr>
                <w:sz w:val="22"/>
              </w:rPr>
              <w:t>definitely </w:t>
            </w:r>
            <w:r>
              <w:rPr>
                <w:spacing w:val="-6"/>
                <w:sz w:val="22"/>
              </w:rPr>
              <w:t>no</w:t>
            </w:r>
          </w:p>
        </w:tc>
        <w:tc>
          <w:tcPr>
            <w:tcW w:w="1420" w:type="dxa"/>
            <w:tcBorders>
              <w:top w:val="nil"/>
            </w:tcBorders>
            <w:shd w:val="clear" w:color="auto" w:fill="D9D9D9"/>
          </w:tcPr>
          <w:p>
            <w:pPr>
              <w:pStyle w:val="TableParagraph"/>
              <w:spacing w:line="278" w:lineRule="auto"/>
              <w:ind w:left="2" w:right="202"/>
              <w:rPr>
                <w:sz w:val="22"/>
              </w:rPr>
            </w:pPr>
            <w:r>
              <w:rPr>
                <w:spacing w:val="-2"/>
                <w:sz w:val="22"/>
              </w:rPr>
              <w:t>Definitely</w:t>
            </w:r>
            <w:r>
              <w:rPr>
                <w:sz w:val="22"/>
              </w:rPr>
              <w:t> yes,</w:t>
            </w:r>
            <w:r>
              <w:rPr>
                <w:spacing w:val="-13"/>
                <w:sz w:val="22"/>
              </w:rPr>
              <w:t> </w:t>
            </w:r>
            <w:r>
              <w:rPr>
                <w:sz w:val="22"/>
              </w:rPr>
              <w:t>probably yes,</w:t>
            </w:r>
            <w:r>
              <w:rPr>
                <w:spacing w:val="-13"/>
                <w:sz w:val="22"/>
              </w:rPr>
              <w:t> </w:t>
            </w:r>
            <w:r>
              <w:rPr>
                <w:sz w:val="22"/>
              </w:rPr>
              <w:t>probably no,</w:t>
            </w:r>
            <w:r>
              <w:rPr>
                <w:spacing w:val="-13"/>
                <w:sz w:val="22"/>
              </w:rPr>
              <w:t> </w:t>
            </w:r>
            <w:r>
              <w:rPr>
                <w:sz w:val="22"/>
              </w:rPr>
              <w:t>definitely </w:t>
            </w:r>
            <w:r>
              <w:rPr>
                <w:spacing w:val="-6"/>
                <w:sz w:val="22"/>
              </w:rPr>
              <w:t>no</w:t>
            </w:r>
          </w:p>
        </w:tc>
        <w:tc>
          <w:tcPr>
            <w:tcW w:w="1420" w:type="dxa"/>
            <w:tcBorders>
              <w:top w:val="nil"/>
            </w:tcBorders>
            <w:shd w:val="clear" w:color="auto" w:fill="D9D9D9"/>
          </w:tcPr>
          <w:p>
            <w:pPr>
              <w:pStyle w:val="TableParagraph"/>
              <w:spacing w:line="278" w:lineRule="auto"/>
              <w:ind w:left="1" w:right="204"/>
              <w:rPr>
                <w:sz w:val="22"/>
              </w:rPr>
            </w:pPr>
            <w:r>
              <w:rPr>
                <w:spacing w:val="-2"/>
                <w:sz w:val="22"/>
              </w:rPr>
              <w:t>Definitely</w:t>
            </w:r>
            <w:r>
              <w:rPr>
                <w:sz w:val="22"/>
              </w:rPr>
              <w:t> yes,</w:t>
            </w:r>
            <w:r>
              <w:rPr>
                <w:spacing w:val="-13"/>
                <w:sz w:val="22"/>
              </w:rPr>
              <w:t> </w:t>
            </w:r>
            <w:r>
              <w:rPr>
                <w:sz w:val="22"/>
              </w:rPr>
              <w:t>probably yes,</w:t>
            </w:r>
            <w:r>
              <w:rPr>
                <w:spacing w:val="-13"/>
                <w:sz w:val="22"/>
              </w:rPr>
              <w:t> </w:t>
            </w:r>
            <w:r>
              <w:rPr>
                <w:sz w:val="22"/>
              </w:rPr>
              <w:t>probably no,</w:t>
            </w:r>
            <w:r>
              <w:rPr>
                <w:spacing w:val="-13"/>
                <w:sz w:val="22"/>
              </w:rPr>
              <w:t> </w:t>
            </w:r>
            <w:r>
              <w:rPr>
                <w:sz w:val="22"/>
              </w:rPr>
              <w:t>definitely </w:t>
            </w:r>
            <w:r>
              <w:rPr>
                <w:spacing w:val="-6"/>
                <w:sz w:val="22"/>
              </w:rPr>
              <w:t>no</w:t>
            </w:r>
          </w:p>
        </w:tc>
        <w:tc>
          <w:tcPr>
            <w:tcW w:w="1598" w:type="dxa"/>
            <w:tcBorders>
              <w:top w:val="nil"/>
            </w:tcBorders>
            <w:shd w:val="clear" w:color="auto" w:fill="D9D9D9"/>
          </w:tcPr>
          <w:p>
            <w:pPr>
              <w:pStyle w:val="TableParagraph"/>
              <w:spacing w:line="278" w:lineRule="auto"/>
              <w:ind w:right="383"/>
              <w:rPr>
                <w:sz w:val="22"/>
              </w:rPr>
            </w:pPr>
            <w:r>
              <w:rPr>
                <w:spacing w:val="-2"/>
                <w:sz w:val="22"/>
              </w:rPr>
              <w:t>Definitely</w:t>
            </w:r>
            <w:r>
              <w:rPr>
                <w:sz w:val="22"/>
              </w:rPr>
              <w:t> yes,</w:t>
            </w:r>
            <w:r>
              <w:rPr>
                <w:spacing w:val="-13"/>
                <w:sz w:val="22"/>
              </w:rPr>
              <w:t> </w:t>
            </w:r>
            <w:r>
              <w:rPr>
                <w:sz w:val="22"/>
              </w:rPr>
              <w:t>probably yes,</w:t>
            </w:r>
            <w:r>
              <w:rPr>
                <w:spacing w:val="1"/>
                <w:sz w:val="22"/>
              </w:rPr>
              <w:t> </w:t>
            </w:r>
            <w:r>
              <w:rPr>
                <w:spacing w:val="-2"/>
                <w:sz w:val="22"/>
              </w:rPr>
              <w:t>probably</w:t>
            </w:r>
          </w:p>
          <w:p>
            <w:pPr>
              <w:pStyle w:val="TableParagraph"/>
              <w:rPr>
                <w:sz w:val="22"/>
              </w:rPr>
            </w:pPr>
            <w:r>
              <w:rPr>
                <w:sz w:val="22"/>
              </w:rPr>
              <w:t>no,</w:t>
            </w:r>
            <w:r>
              <w:rPr>
                <w:spacing w:val="-4"/>
                <w:sz w:val="22"/>
              </w:rPr>
              <w:t> </w:t>
            </w:r>
            <w:r>
              <w:rPr>
                <w:sz w:val="22"/>
              </w:rPr>
              <w:t>definitely</w:t>
            </w:r>
            <w:r>
              <w:rPr>
                <w:spacing w:val="-4"/>
                <w:sz w:val="22"/>
              </w:rPr>
              <w:t> </w:t>
            </w:r>
            <w:r>
              <w:rPr>
                <w:spacing w:val="-5"/>
                <w:sz w:val="22"/>
              </w:rPr>
              <w:t>no</w:t>
            </w:r>
          </w:p>
        </w:tc>
        <w:tc>
          <w:tcPr>
            <w:tcW w:w="1725" w:type="dxa"/>
            <w:tcBorders>
              <w:top w:val="nil"/>
            </w:tcBorders>
            <w:shd w:val="clear" w:color="auto" w:fill="D9D9D9"/>
          </w:tcPr>
          <w:p>
            <w:pPr>
              <w:pStyle w:val="TableParagraph"/>
              <w:spacing w:line="278" w:lineRule="auto"/>
              <w:ind w:left="-2" w:right="388"/>
              <w:rPr>
                <w:sz w:val="22"/>
              </w:rPr>
            </w:pPr>
            <w:r>
              <w:rPr>
                <w:sz w:val="22"/>
              </w:rPr>
              <w:t>Low, Some concerns,</w:t>
            </w:r>
            <w:r>
              <w:rPr>
                <w:spacing w:val="-13"/>
                <w:sz w:val="22"/>
              </w:rPr>
              <w:t> </w:t>
            </w:r>
            <w:r>
              <w:rPr>
                <w:sz w:val="22"/>
              </w:rPr>
              <w:t>High</w:t>
            </w:r>
          </w:p>
        </w:tc>
      </w:tr>
      <w:tr>
        <w:trPr>
          <w:trHeight w:val="6574" w:hRule="atLeast"/>
        </w:trPr>
        <w:tc>
          <w:tcPr>
            <w:tcW w:w="747" w:type="dxa"/>
          </w:tcPr>
          <w:p>
            <w:pPr>
              <w:pStyle w:val="TableParagraph"/>
              <w:spacing w:line="278" w:lineRule="auto" w:before="1"/>
              <w:ind w:left="6" w:right="130"/>
              <w:rPr>
                <w:sz w:val="22"/>
              </w:rPr>
            </w:pPr>
            <w:r>
              <w:rPr>
                <w:spacing w:val="-2"/>
                <w:sz w:val="22"/>
              </w:rPr>
              <w:t>Irdem, </w:t>
            </w:r>
            <w:r>
              <w:rPr>
                <w:spacing w:val="-4"/>
                <w:sz w:val="22"/>
              </w:rPr>
              <w:t>2014</w:t>
            </w:r>
          </w:p>
        </w:tc>
        <w:tc>
          <w:tcPr>
            <w:tcW w:w="1409" w:type="dxa"/>
          </w:tcPr>
          <w:p>
            <w:pPr>
              <w:pStyle w:val="TableParagraph"/>
              <w:spacing w:before="1"/>
              <w:ind w:left="6"/>
              <w:rPr>
                <w:sz w:val="22"/>
              </w:rPr>
            </w:pPr>
            <w:r>
              <w:rPr>
                <w:sz w:val="22"/>
              </w:rPr>
              <w:t>Yes, </w:t>
            </w:r>
            <w:r>
              <w:rPr>
                <w:spacing w:val="-2"/>
                <w:sz w:val="22"/>
              </w:rPr>
              <w:t>probably</w:t>
            </w:r>
          </w:p>
          <w:p>
            <w:pPr>
              <w:pStyle w:val="TableParagraph"/>
              <w:rPr>
                <w:sz w:val="22"/>
              </w:rPr>
            </w:pPr>
          </w:p>
          <w:p>
            <w:pPr>
              <w:pStyle w:val="TableParagraph"/>
              <w:spacing w:before="138"/>
              <w:rPr>
                <w:sz w:val="22"/>
              </w:rPr>
            </w:pPr>
          </w:p>
          <w:p>
            <w:pPr>
              <w:pStyle w:val="TableParagraph"/>
              <w:spacing w:line="278" w:lineRule="auto"/>
              <w:ind w:left="6" w:right="325"/>
              <w:rPr>
                <w:sz w:val="22"/>
              </w:rPr>
            </w:pPr>
            <w:r>
              <w:rPr>
                <w:spacing w:val="-2"/>
                <w:sz w:val="22"/>
              </w:rPr>
              <w:t>Reason: </w:t>
            </w:r>
            <w:r>
              <w:rPr>
                <w:sz w:val="22"/>
              </w:rPr>
              <w:t>Patient</w:t>
            </w:r>
            <w:r>
              <w:rPr>
                <w:spacing w:val="-13"/>
                <w:sz w:val="22"/>
              </w:rPr>
              <w:t> </w:t>
            </w:r>
            <w:r>
              <w:rPr>
                <w:sz w:val="22"/>
              </w:rPr>
              <w:t>files </w:t>
            </w:r>
            <w:r>
              <w:rPr>
                <w:spacing w:val="-4"/>
                <w:sz w:val="22"/>
              </w:rPr>
              <w:t>were</w:t>
            </w:r>
          </w:p>
          <w:p>
            <w:pPr>
              <w:pStyle w:val="TableParagraph"/>
              <w:spacing w:line="278" w:lineRule="auto" w:before="2"/>
              <w:ind w:left="6"/>
              <w:rPr>
                <w:sz w:val="22"/>
              </w:rPr>
            </w:pPr>
            <w:r>
              <w:rPr>
                <w:sz w:val="22"/>
              </w:rPr>
              <w:t>reviewed,</w:t>
            </w:r>
            <w:r>
              <w:rPr>
                <w:spacing w:val="-13"/>
                <w:sz w:val="22"/>
              </w:rPr>
              <w:t> </w:t>
            </w:r>
            <w:r>
              <w:rPr>
                <w:sz w:val="22"/>
              </w:rPr>
              <w:t>likely from the same hospital, but this is not </w:t>
            </w:r>
            <w:r>
              <w:rPr>
                <w:spacing w:val="-2"/>
                <w:sz w:val="22"/>
              </w:rPr>
              <w:t>explicitly</w:t>
            </w:r>
            <w:r>
              <w:rPr>
                <w:spacing w:val="80"/>
                <w:sz w:val="22"/>
              </w:rPr>
              <w:t> </w:t>
            </w:r>
            <w:r>
              <w:rPr>
                <w:spacing w:val="-2"/>
                <w:sz w:val="22"/>
              </w:rPr>
              <w:t>stated</w:t>
            </w:r>
          </w:p>
        </w:tc>
        <w:tc>
          <w:tcPr>
            <w:tcW w:w="1455" w:type="dxa"/>
          </w:tcPr>
          <w:p>
            <w:pPr>
              <w:pStyle w:val="TableParagraph"/>
              <w:spacing w:before="1"/>
              <w:ind w:left="6"/>
              <w:rPr>
                <w:sz w:val="22"/>
              </w:rPr>
            </w:pPr>
            <w:r>
              <w:rPr>
                <w:sz w:val="22"/>
              </w:rPr>
              <w:t>Definitely</w:t>
            </w:r>
            <w:r>
              <w:rPr>
                <w:spacing w:val="-9"/>
                <w:sz w:val="22"/>
              </w:rPr>
              <w:t> </w:t>
            </w:r>
            <w:r>
              <w:rPr>
                <w:spacing w:val="-5"/>
                <w:sz w:val="22"/>
              </w:rPr>
              <w:t>yes</w:t>
            </w:r>
          </w:p>
          <w:p>
            <w:pPr>
              <w:pStyle w:val="TableParagraph"/>
              <w:rPr>
                <w:sz w:val="22"/>
              </w:rPr>
            </w:pPr>
          </w:p>
          <w:p>
            <w:pPr>
              <w:pStyle w:val="TableParagraph"/>
              <w:spacing w:before="138"/>
              <w:rPr>
                <w:sz w:val="22"/>
              </w:rPr>
            </w:pPr>
          </w:p>
          <w:p>
            <w:pPr>
              <w:pStyle w:val="TableParagraph"/>
              <w:spacing w:line="278" w:lineRule="auto"/>
              <w:ind w:left="6" w:right="34"/>
              <w:rPr>
                <w:sz w:val="22"/>
              </w:rPr>
            </w:pPr>
            <w:r>
              <w:rPr>
                <w:spacing w:val="-2"/>
                <w:sz w:val="22"/>
              </w:rPr>
              <w:t>Reason: </w:t>
            </w:r>
            <w:r>
              <w:rPr>
                <w:sz w:val="22"/>
              </w:rPr>
              <w:t>Treatment</w:t>
            </w:r>
            <w:r>
              <w:rPr>
                <w:spacing w:val="-13"/>
                <w:sz w:val="22"/>
              </w:rPr>
              <w:t> </w:t>
            </w:r>
            <w:r>
              <w:rPr>
                <w:sz w:val="22"/>
              </w:rPr>
              <w:t>with </w:t>
            </w:r>
            <w:r>
              <w:rPr>
                <w:spacing w:val="-2"/>
                <w:sz w:val="22"/>
              </w:rPr>
              <w:t>antiaggregant </w:t>
            </w:r>
            <w:r>
              <w:rPr>
                <w:sz w:val="22"/>
              </w:rPr>
              <w:t>therapy is expected to be </w:t>
            </w:r>
            <w:r>
              <w:rPr>
                <w:spacing w:val="-2"/>
                <w:sz w:val="22"/>
              </w:rPr>
              <w:t>adequately </w:t>
            </w:r>
            <w:r>
              <w:rPr>
                <w:sz w:val="22"/>
              </w:rPr>
              <w:t>documented in the patient</w:t>
            </w:r>
            <w:r>
              <w:rPr>
                <w:spacing w:val="80"/>
                <w:sz w:val="22"/>
              </w:rPr>
              <w:t> </w:t>
            </w:r>
            <w:r>
              <w:rPr>
                <w:spacing w:val="-2"/>
                <w:sz w:val="22"/>
              </w:rPr>
              <w:t>files</w:t>
            </w:r>
          </w:p>
        </w:tc>
        <w:tc>
          <w:tcPr>
            <w:tcW w:w="1211" w:type="dxa"/>
          </w:tcPr>
          <w:p>
            <w:pPr>
              <w:pStyle w:val="TableParagraph"/>
              <w:spacing w:before="1"/>
              <w:ind w:left="5"/>
              <w:rPr>
                <w:sz w:val="22"/>
              </w:rPr>
            </w:pPr>
            <w:r>
              <w:rPr>
                <w:sz w:val="22"/>
              </w:rPr>
              <w:t>Probably</w:t>
            </w:r>
            <w:r>
              <w:rPr>
                <w:spacing w:val="-7"/>
                <w:sz w:val="22"/>
              </w:rPr>
              <w:t> </w:t>
            </w:r>
            <w:r>
              <w:rPr>
                <w:spacing w:val="-5"/>
                <w:sz w:val="22"/>
              </w:rPr>
              <w:t>no</w:t>
            </w:r>
          </w:p>
          <w:p>
            <w:pPr>
              <w:pStyle w:val="TableParagraph"/>
              <w:rPr>
                <w:sz w:val="22"/>
              </w:rPr>
            </w:pPr>
          </w:p>
          <w:p>
            <w:pPr>
              <w:pStyle w:val="TableParagraph"/>
              <w:spacing w:before="138"/>
              <w:rPr>
                <w:sz w:val="22"/>
              </w:rPr>
            </w:pPr>
          </w:p>
          <w:p>
            <w:pPr>
              <w:pStyle w:val="TableParagraph"/>
              <w:ind w:left="5"/>
              <w:rPr>
                <w:sz w:val="22"/>
              </w:rPr>
            </w:pPr>
            <w:r>
              <w:rPr>
                <w:spacing w:val="-2"/>
                <w:sz w:val="22"/>
              </w:rPr>
              <w:t>Reason:</w:t>
            </w:r>
          </w:p>
          <w:p>
            <w:pPr>
              <w:pStyle w:val="TableParagraph"/>
              <w:spacing w:line="278" w:lineRule="auto" w:before="44"/>
              <w:ind w:left="5" w:right="27"/>
              <w:rPr>
                <w:sz w:val="22"/>
              </w:rPr>
            </w:pPr>
            <w:r>
              <w:rPr>
                <w:sz w:val="22"/>
              </w:rPr>
              <w:t>It</w:t>
            </w:r>
            <w:r>
              <w:rPr>
                <w:spacing w:val="-13"/>
                <w:sz w:val="22"/>
              </w:rPr>
              <w:t> </w:t>
            </w:r>
            <w:r>
              <w:rPr>
                <w:sz w:val="22"/>
              </w:rPr>
              <w:t>is</w:t>
            </w:r>
            <w:r>
              <w:rPr>
                <w:spacing w:val="-12"/>
                <w:sz w:val="22"/>
              </w:rPr>
              <w:t> </w:t>
            </w:r>
            <w:r>
              <w:rPr>
                <w:sz w:val="22"/>
              </w:rPr>
              <w:t>assumed that DCM </w:t>
            </w:r>
            <w:r>
              <w:rPr>
                <w:spacing w:val="-2"/>
                <w:sz w:val="22"/>
              </w:rPr>
              <w:t>cases </w:t>
            </w:r>
            <w:r>
              <w:rPr>
                <w:sz w:val="22"/>
              </w:rPr>
              <w:t>without the </w:t>
            </w:r>
            <w:r>
              <w:rPr>
                <w:spacing w:val="-2"/>
                <w:sz w:val="22"/>
              </w:rPr>
              <w:t>outcomes </w:t>
            </w:r>
            <w:r>
              <w:rPr>
                <w:spacing w:val="-4"/>
                <w:sz w:val="22"/>
              </w:rPr>
              <w:t>were </w:t>
            </w:r>
            <w:r>
              <w:rPr>
                <w:sz w:val="22"/>
              </w:rPr>
              <w:t>selected,</w:t>
            </w:r>
            <w:r>
              <w:rPr>
                <w:spacing w:val="-13"/>
                <w:sz w:val="22"/>
              </w:rPr>
              <w:t> </w:t>
            </w:r>
            <w:r>
              <w:rPr>
                <w:sz w:val="22"/>
              </w:rPr>
              <w:t>but this is not clear, as no </w:t>
            </w:r>
            <w:r>
              <w:rPr>
                <w:spacing w:val="-2"/>
                <w:sz w:val="22"/>
              </w:rPr>
              <w:t>exclusion </w:t>
            </w:r>
            <w:r>
              <w:rPr>
                <w:sz w:val="22"/>
              </w:rPr>
              <w:t>criteria are </w:t>
            </w:r>
            <w:r>
              <w:rPr>
                <w:spacing w:val="-2"/>
                <w:sz w:val="22"/>
              </w:rPr>
              <w:t>defined</w:t>
            </w:r>
          </w:p>
        </w:tc>
        <w:tc>
          <w:tcPr>
            <w:tcW w:w="1614" w:type="dxa"/>
          </w:tcPr>
          <w:p>
            <w:pPr>
              <w:pStyle w:val="TableParagraph"/>
              <w:spacing w:before="1"/>
              <w:ind w:left="5"/>
              <w:rPr>
                <w:sz w:val="22"/>
              </w:rPr>
            </w:pPr>
            <w:r>
              <w:rPr>
                <w:sz w:val="22"/>
              </w:rPr>
              <w:t>Definitely</w:t>
            </w:r>
            <w:r>
              <w:rPr>
                <w:spacing w:val="-7"/>
                <w:sz w:val="22"/>
              </w:rPr>
              <w:t> </w:t>
            </w:r>
            <w:r>
              <w:rPr>
                <w:spacing w:val="-5"/>
                <w:sz w:val="22"/>
              </w:rPr>
              <w:t>no</w:t>
            </w:r>
          </w:p>
          <w:p>
            <w:pPr>
              <w:pStyle w:val="TableParagraph"/>
              <w:rPr>
                <w:sz w:val="22"/>
              </w:rPr>
            </w:pPr>
          </w:p>
          <w:p>
            <w:pPr>
              <w:pStyle w:val="TableParagraph"/>
              <w:spacing w:before="138"/>
              <w:rPr>
                <w:sz w:val="22"/>
              </w:rPr>
            </w:pPr>
          </w:p>
          <w:p>
            <w:pPr>
              <w:pStyle w:val="TableParagraph"/>
              <w:ind w:left="5"/>
              <w:rPr>
                <w:sz w:val="22"/>
              </w:rPr>
            </w:pPr>
            <w:r>
              <w:rPr>
                <w:spacing w:val="-2"/>
                <w:sz w:val="22"/>
              </w:rPr>
              <w:t>Reason:</w:t>
            </w:r>
          </w:p>
          <w:p>
            <w:pPr>
              <w:pStyle w:val="TableParagraph"/>
              <w:spacing w:line="278" w:lineRule="auto" w:before="205"/>
              <w:ind w:left="5" w:right="152"/>
              <w:rPr>
                <w:sz w:val="22"/>
              </w:rPr>
            </w:pPr>
            <w:r>
              <w:rPr>
                <w:sz w:val="22"/>
              </w:rPr>
              <w:t>No</w:t>
            </w:r>
            <w:r>
              <w:rPr>
                <w:spacing w:val="-13"/>
                <w:sz w:val="22"/>
              </w:rPr>
              <w:t> </w:t>
            </w:r>
            <w:r>
              <w:rPr>
                <w:sz w:val="22"/>
              </w:rPr>
              <w:t>confounders were assessed and</w:t>
            </w:r>
            <w:r>
              <w:rPr>
                <w:spacing w:val="-9"/>
                <w:sz w:val="22"/>
              </w:rPr>
              <w:t> </w:t>
            </w:r>
            <w:r>
              <w:rPr>
                <w:sz w:val="22"/>
              </w:rPr>
              <w:t>there</w:t>
            </w:r>
            <w:r>
              <w:rPr>
                <w:spacing w:val="-10"/>
                <w:sz w:val="22"/>
              </w:rPr>
              <w:t> </w:t>
            </w:r>
            <w:r>
              <w:rPr>
                <w:sz w:val="22"/>
              </w:rPr>
              <w:t>was</w:t>
            </w:r>
            <w:r>
              <w:rPr>
                <w:spacing w:val="-8"/>
                <w:sz w:val="22"/>
              </w:rPr>
              <w:t> </w:t>
            </w:r>
            <w:r>
              <w:rPr>
                <w:sz w:val="22"/>
              </w:rPr>
              <w:t>a high risk of </w:t>
            </w:r>
            <w:r>
              <w:rPr>
                <w:spacing w:val="-2"/>
                <w:sz w:val="22"/>
              </w:rPr>
              <w:t>confounding</w:t>
            </w:r>
          </w:p>
          <w:p>
            <w:pPr>
              <w:pStyle w:val="TableParagraph"/>
              <w:spacing w:line="278" w:lineRule="auto" w:before="2"/>
              <w:ind w:left="5" w:right="-15"/>
              <w:rPr>
                <w:sz w:val="22"/>
              </w:rPr>
            </w:pPr>
            <w:r>
              <w:rPr>
                <w:sz w:val="22"/>
              </w:rPr>
              <w:t>by</w:t>
            </w:r>
            <w:r>
              <w:rPr>
                <w:spacing w:val="-13"/>
                <w:sz w:val="22"/>
              </w:rPr>
              <w:t> </w:t>
            </w:r>
            <w:r>
              <w:rPr>
                <w:sz w:val="22"/>
              </w:rPr>
              <w:t>indication,</w:t>
            </w:r>
            <w:r>
              <w:rPr>
                <w:spacing w:val="-12"/>
                <w:sz w:val="22"/>
              </w:rPr>
              <w:t> </w:t>
            </w:r>
            <w:r>
              <w:rPr>
                <w:sz w:val="22"/>
              </w:rPr>
              <w:t>due to the fact</w:t>
            </w:r>
          </w:p>
          <w:p>
            <w:pPr>
              <w:pStyle w:val="TableParagraph"/>
              <w:spacing w:line="278" w:lineRule="auto" w:before="1"/>
              <w:ind w:left="5" w:right="7"/>
              <w:rPr>
                <w:sz w:val="22"/>
              </w:rPr>
            </w:pPr>
            <w:r>
              <w:rPr>
                <w:sz w:val="22"/>
              </w:rPr>
              <w:t>that the </w:t>
            </w:r>
            <w:r>
              <w:rPr>
                <w:spacing w:val="-2"/>
                <w:sz w:val="22"/>
              </w:rPr>
              <w:t>intervention </w:t>
            </w:r>
            <w:r>
              <w:rPr>
                <w:sz w:val="22"/>
              </w:rPr>
              <w:t>group consisted of</w:t>
            </w:r>
            <w:r>
              <w:rPr>
                <w:spacing w:val="-13"/>
                <w:sz w:val="22"/>
              </w:rPr>
              <w:t> </w:t>
            </w:r>
            <w:r>
              <w:rPr>
                <w:sz w:val="22"/>
              </w:rPr>
              <w:t>those</w:t>
            </w:r>
            <w:r>
              <w:rPr>
                <w:spacing w:val="-12"/>
                <w:sz w:val="22"/>
              </w:rPr>
              <w:t> </w:t>
            </w:r>
            <w:r>
              <w:rPr>
                <w:sz w:val="22"/>
              </w:rPr>
              <w:t>patients with LVEF ≥ 30% and the control group consisted of patients with LVEF &gt; 30%</w:t>
            </w:r>
          </w:p>
        </w:tc>
        <w:tc>
          <w:tcPr>
            <w:tcW w:w="1357" w:type="dxa"/>
          </w:tcPr>
          <w:p>
            <w:pPr>
              <w:pStyle w:val="TableParagraph"/>
              <w:spacing w:before="1"/>
              <w:ind w:left="3"/>
              <w:rPr>
                <w:sz w:val="22"/>
              </w:rPr>
            </w:pPr>
            <w:r>
              <w:rPr>
                <w:sz w:val="22"/>
              </w:rPr>
              <w:t>Definitely</w:t>
            </w:r>
            <w:r>
              <w:rPr>
                <w:spacing w:val="-7"/>
                <w:sz w:val="22"/>
              </w:rPr>
              <w:t> </w:t>
            </w:r>
            <w:r>
              <w:rPr>
                <w:spacing w:val="-5"/>
                <w:sz w:val="22"/>
              </w:rPr>
              <w:t>no</w:t>
            </w:r>
          </w:p>
          <w:p>
            <w:pPr>
              <w:pStyle w:val="TableParagraph"/>
              <w:rPr>
                <w:sz w:val="22"/>
              </w:rPr>
            </w:pPr>
          </w:p>
          <w:p>
            <w:pPr>
              <w:pStyle w:val="TableParagraph"/>
              <w:spacing w:before="138"/>
              <w:rPr>
                <w:sz w:val="22"/>
              </w:rPr>
            </w:pPr>
          </w:p>
          <w:p>
            <w:pPr>
              <w:pStyle w:val="TableParagraph"/>
              <w:spacing w:line="278" w:lineRule="auto"/>
              <w:ind w:left="3" w:right="112"/>
              <w:rPr>
                <w:sz w:val="22"/>
              </w:rPr>
            </w:pPr>
            <w:r>
              <w:rPr>
                <w:sz w:val="22"/>
              </w:rPr>
              <w:t>Reason: No matching</w:t>
            </w:r>
            <w:r>
              <w:rPr>
                <w:spacing w:val="-13"/>
                <w:sz w:val="22"/>
              </w:rPr>
              <w:t> </w:t>
            </w:r>
            <w:r>
              <w:rPr>
                <w:sz w:val="22"/>
              </w:rPr>
              <w:t>and no statistical </w:t>
            </w:r>
            <w:r>
              <w:rPr>
                <w:spacing w:val="-2"/>
                <w:sz w:val="22"/>
              </w:rPr>
              <w:t>confounder adjustment </w:t>
            </w:r>
            <w:r>
              <w:rPr>
                <w:spacing w:val="-4"/>
                <w:sz w:val="22"/>
              </w:rPr>
              <w:t>were </w:t>
            </w:r>
            <w:r>
              <w:rPr>
                <w:spacing w:val="-2"/>
                <w:sz w:val="22"/>
              </w:rPr>
              <w:t>conducted</w:t>
            </w:r>
          </w:p>
        </w:tc>
        <w:tc>
          <w:tcPr>
            <w:tcW w:w="1420" w:type="dxa"/>
          </w:tcPr>
          <w:p>
            <w:pPr>
              <w:pStyle w:val="TableParagraph"/>
              <w:spacing w:before="1"/>
              <w:ind w:left="2"/>
              <w:rPr>
                <w:sz w:val="22"/>
              </w:rPr>
            </w:pPr>
            <w:r>
              <w:rPr>
                <w:sz w:val="22"/>
              </w:rPr>
              <w:t>Definitely</w:t>
            </w:r>
            <w:r>
              <w:rPr>
                <w:spacing w:val="-9"/>
                <w:sz w:val="22"/>
              </w:rPr>
              <w:t> </w:t>
            </w:r>
            <w:r>
              <w:rPr>
                <w:spacing w:val="-5"/>
                <w:sz w:val="22"/>
              </w:rPr>
              <w:t>yes</w:t>
            </w:r>
          </w:p>
          <w:p>
            <w:pPr>
              <w:pStyle w:val="TableParagraph"/>
              <w:rPr>
                <w:sz w:val="22"/>
              </w:rPr>
            </w:pPr>
          </w:p>
          <w:p>
            <w:pPr>
              <w:pStyle w:val="TableParagraph"/>
              <w:spacing w:before="138"/>
              <w:rPr>
                <w:sz w:val="22"/>
              </w:rPr>
            </w:pPr>
          </w:p>
          <w:p>
            <w:pPr>
              <w:pStyle w:val="TableParagraph"/>
              <w:ind w:left="2"/>
              <w:rPr>
                <w:sz w:val="22"/>
              </w:rPr>
            </w:pPr>
            <w:r>
              <w:rPr>
                <w:spacing w:val="-2"/>
                <w:sz w:val="22"/>
              </w:rPr>
              <w:t>Reason:</w:t>
            </w:r>
          </w:p>
          <w:p>
            <w:pPr>
              <w:pStyle w:val="TableParagraph"/>
              <w:spacing w:line="278" w:lineRule="auto" w:before="44"/>
              <w:ind w:left="2" w:right="85"/>
              <w:rPr>
                <w:sz w:val="22"/>
              </w:rPr>
            </w:pPr>
            <w:r>
              <w:rPr>
                <w:sz w:val="22"/>
              </w:rPr>
              <w:t>It is clearly described</w:t>
            </w:r>
            <w:r>
              <w:rPr>
                <w:spacing w:val="-13"/>
                <w:sz w:val="22"/>
              </w:rPr>
              <w:t> </w:t>
            </w:r>
            <w:r>
              <w:rPr>
                <w:sz w:val="22"/>
              </w:rPr>
              <w:t>how the outcomes </w:t>
            </w:r>
            <w:r>
              <w:rPr>
                <w:spacing w:val="-4"/>
                <w:sz w:val="22"/>
              </w:rPr>
              <w:t>were </w:t>
            </w:r>
            <w:r>
              <w:rPr>
                <w:spacing w:val="-2"/>
                <w:sz w:val="22"/>
              </w:rPr>
              <w:t>diagnosed</w:t>
            </w:r>
          </w:p>
        </w:tc>
        <w:tc>
          <w:tcPr>
            <w:tcW w:w="1420" w:type="dxa"/>
          </w:tcPr>
          <w:p>
            <w:pPr>
              <w:pStyle w:val="TableParagraph"/>
              <w:spacing w:before="1"/>
              <w:ind w:left="1"/>
              <w:rPr>
                <w:sz w:val="22"/>
              </w:rPr>
            </w:pPr>
            <w:r>
              <w:rPr>
                <w:sz w:val="22"/>
              </w:rPr>
              <w:t>Probably</w:t>
            </w:r>
            <w:r>
              <w:rPr>
                <w:spacing w:val="-7"/>
                <w:sz w:val="22"/>
              </w:rPr>
              <w:t> </w:t>
            </w:r>
            <w:r>
              <w:rPr>
                <w:spacing w:val="-4"/>
                <w:sz w:val="22"/>
              </w:rPr>
              <w:t>yes:</w:t>
            </w:r>
          </w:p>
          <w:p>
            <w:pPr>
              <w:pStyle w:val="TableParagraph"/>
              <w:rPr>
                <w:sz w:val="22"/>
              </w:rPr>
            </w:pPr>
          </w:p>
          <w:p>
            <w:pPr>
              <w:pStyle w:val="TableParagraph"/>
              <w:spacing w:before="138"/>
              <w:rPr>
                <w:sz w:val="22"/>
              </w:rPr>
            </w:pPr>
          </w:p>
          <w:p>
            <w:pPr>
              <w:pStyle w:val="TableParagraph"/>
              <w:spacing w:line="278" w:lineRule="auto"/>
              <w:ind w:left="1" w:right="110"/>
              <w:rPr>
                <w:sz w:val="22"/>
              </w:rPr>
            </w:pPr>
            <w:r>
              <w:rPr>
                <w:spacing w:val="-2"/>
                <w:sz w:val="22"/>
              </w:rPr>
              <w:t>Reason: </w:t>
            </w:r>
            <w:r>
              <w:rPr>
                <w:sz w:val="22"/>
              </w:rPr>
              <w:t>Follow-up</w:t>
            </w:r>
            <w:r>
              <w:rPr>
                <w:spacing w:val="-13"/>
                <w:sz w:val="22"/>
              </w:rPr>
              <w:t> </w:t>
            </w:r>
            <w:r>
              <w:rPr>
                <w:sz w:val="22"/>
              </w:rPr>
              <w:t>was adequate and no loss to </w:t>
            </w:r>
            <w:r>
              <w:rPr>
                <w:spacing w:val="-2"/>
                <w:sz w:val="22"/>
              </w:rPr>
              <w:t>follow-up occurred</w:t>
            </w:r>
          </w:p>
        </w:tc>
        <w:tc>
          <w:tcPr>
            <w:tcW w:w="1598" w:type="dxa"/>
          </w:tcPr>
          <w:p>
            <w:pPr>
              <w:pStyle w:val="TableParagraph"/>
              <w:spacing w:line="278" w:lineRule="auto" w:before="1"/>
              <w:ind w:right="145"/>
              <w:rPr>
                <w:sz w:val="22"/>
              </w:rPr>
            </w:pPr>
            <w:r>
              <w:rPr>
                <w:sz w:val="22"/>
              </w:rPr>
              <w:t>Not applicable, no co-</w:t>
            </w:r>
            <w:r>
              <w:rPr>
                <w:spacing w:val="-2"/>
                <w:sz w:val="22"/>
              </w:rPr>
              <w:t>interventions </w:t>
            </w:r>
            <w:r>
              <w:rPr>
                <w:sz w:val="22"/>
              </w:rPr>
              <w:t>were</w:t>
            </w:r>
            <w:r>
              <w:rPr>
                <w:spacing w:val="-13"/>
                <w:sz w:val="22"/>
              </w:rPr>
              <w:t> </w:t>
            </w:r>
            <w:r>
              <w:rPr>
                <w:sz w:val="22"/>
              </w:rPr>
              <w:t>described.</w:t>
            </w:r>
          </w:p>
        </w:tc>
        <w:tc>
          <w:tcPr>
            <w:tcW w:w="1725" w:type="dxa"/>
          </w:tcPr>
          <w:p>
            <w:pPr>
              <w:pStyle w:val="TableParagraph"/>
              <w:spacing w:before="1"/>
              <w:ind w:left="-2"/>
              <w:rPr>
                <w:b/>
                <w:sz w:val="22"/>
              </w:rPr>
            </w:pPr>
            <w:r>
              <w:rPr>
                <w:b/>
                <w:spacing w:val="-4"/>
                <w:sz w:val="22"/>
              </w:rPr>
              <w:t>High</w:t>
            </w:r>
          </w:p>
          <w:p>
            <w:pPr>
              <w:pStyle w:val="TableParagraph"/>
              <w:rPr>
                <w:sz w:val="22"/>
              </w:rPr>
            </w:pPr>
          </w:p>
          <w:p>
            <w:pPr>
              <w:pStyle w:val="TableParagraph"/>
              <w:spacing w:before="138"/>
              <w:rPr>
                <w:sz w:val="22"/>
              </w:rPr>
            </w:pPr>
          </w:p>
          <w:p>
            <w:pPr>
              <w:pStyle w:val="TableParagraph"/>
              <w:spacing w:line="278" w:lineRule="auto"/>
              <w:ind w:left="-2" w:right="149"/>
              <w:rPr>
                <w:b/>
                <w:sz w:val="22"/>
              </w:rPr>
            </w:pPr>
            <w:r>
              <w:rPr>
                <w:b/>
                <w:sz w:val="22"/>
              </w:rPr>
              <w:t>Reason: no exclusion</w:t>
            </w:r>
            <w:r>
              <w:rPr>
                <w:b/>
                <w:spacing w:val="-13"/>
                <w:sz w:val="22"/>
              </w:rPr>
              <w:t> </w:t>
            </w:r>
            <w:r>
              <w:rPr>
                <w:b/>
                <w:sz w:val="22"/>
              </w:rPr>
              <w:t>criteria </w:t>
            </w:r>
            <w:r>
              <w:rPr>
                <w:b/>
                <w:spacing w:val="-4"/>
                <w:sz w:val="22"/>
              </w:rPr>
              <w:t>were</w:t>
            </w:r>
          </w:p>
          <w:p>
            <w:pPr>
              <w:pStyle w:val="TableParagraph"/>
              <w:spacing w:line="278" w:lineRule="auto" w:before="2"/>
              <w:ind w:left="-2" w:right="504"/>
              <w:rPr>
                <w:b/>
                <w:sz w:val="22"/>
              </w:rPr>
            </w:pPr>
            <w:r>
              <w:rPr>
                <w:b/>
                <w:sz w:val="22"/>
              </w:rPr>
              <w:t>defined,</w:t>
            </w:r>
            <w:r>
              <w:rPr>
                <w:b/>
                <w:spacing w:val="-13"/>
                <w:sz w:val="22"/>
              </w:rPr>
              <w:t> </w:t>
            </w:r>
            <w:r>
              <w:rPr>
                <w:b/>
                <w:sz w:val="22"/>
              </w:rPr>
              <w:t>high risk of </w:t>
            </w:r>
            <w:r>
              <w:rPr>
                <w:b/>
                <w:spacing w:val="-2"/>
                <w:sz w:val="22"/>
              </w:rPr>
              <w:t>confounding</w:t>
            </w:r>
          </w:p>
          <w:p>
            <w:pPr>
              <w:pStyle w:val="TableParagraph"/>
              <w:spacing w:line="278" w:lineRule="auto" w:before="4"/>
              <w:ind w:left="-2" w:right="1"/>
              <w:rPr>
                <w:b/>
                <w:sz w:val="22"/>
              </w:rPr>
            </w:pPr>
            <w:r>
              <w:rPr>
                <w:b/>
                <w:sz w:val="22"/>
              </w:rPr>
              <w:t>by indication, and no confounder-</w:t>
            </w:r>
            <w:r>
              <w:rPr>
                <w:b/>
                <w:spacing w:val="-2"/>
                <w:sz w:val="22"/>
              </w:rPr>
              <w:t>adjusted</w:t>
            </w:r>
            <w:r>
              <w:rPr>
                <w:b/>
                <w:spacing w:val="80"/>
                <w:sz w:val="22"/>
              </w:rPr>
              <w:t> </w:t>
            </w:r>
            <w:r>
              <w:rPr>
                <w:b/>
                <w:sz w:val="22"/>
              </w:rPr>
              <w:t>statistical</w:t>
            </w:r>
            <w:r>
              <w:rPr>
                <w:b/>
                <w:spacing w:val="-13"/>
                <w:sz w:val="22"/>
              </w:rPr>
              <w:t> </w:t>
            </w:r>
            <w:r>
              <w:rPr>
                <w:b/>
                <w:sz w:val="22"/>
              </w:rPr>
              <w:t>analyses were conducted</w:t>
            </w:r>
          </w:p>
        </w:tc>
      </w:tr>
    </w:tbl>
    <w:p>
      <w:pPr>
        <w:pStyle w:val="TableParagraph"/>
        <w:spacing w:after="0" w:line="278" w:lineRule="auto"/>
        <w:rPr>
          <w:b/>
          <w:sz w:val="22"/>
        </w:rPr>
        <w:sectPr>
          <w:pgSz w:w="16840" w:h="11910" w:orient="landscape"/>
          <w:pgMar w:top="1340" w:bottom="280" w:left="1417" w:right="992"/>
        </w:sectPr>
      </w:pPr>
    </w:p>
    <w:p>
      <w:pPr>
        <w:pStyle w:val="BodyText"/>
        <w:spacing w:line="278" w:lineRule="auto" w:before="93"/>
        <w:ind w:left="23" w:right="964"/>
      </w:pPr>
      <w:r>
        <w:rPr/>
        <w:t>Table</w:t>
      </w:r>
      <w:r>
        <w:rPr>
          <w:spacing w:val="-2"/>
        </w:rPr>
        <w:t> </w:t>
      </w:r>
      <w:r>
        <w:rPr/>
        <w:t>4.4</w:t>
      </w:r>
      <w:r>
        <w:rPr>
          <w:spacing w:val="-2"/>
        </w:rPr>
        <w:t> </w:t>
      </w:r>
      <w:r>
        <w:rPr/>
        <w:t>Summary</w:t>
      </w:r>
      <w:r>
        <w:rPr>
          <w:spacing w:val="-4"/>
        </w:rPr>
        <w:t> </w:t>
      </w:r>
      <w:r>
        <w:rPr/>
        <w:t>of</w:t>
      </w:r>
      <w:r>
        <w:rPr>
          <w:spacing w:val="-2"/>
        </w:rPr>
        <w:t> </w:t>
      </w:r>
      <w:r>
        <w:rPr/>
        <w:t>findings.</w:t>
      </w:r>
      <w:r>
        <w:rPr>
          <w:spacing w:val="-2"/>
        </w:rPr>
        <w:t> </w:t>
      </w:r>
      <w:r>
        <w:rPr/>
        <w:t>Thromboprophylaxis</w:t>
      </w:r>
      <w:r>
        <w:rPr>
          <w:spacing w:val="-5"/>
        </w:rPr>
        <w:t> </w:t>
      </w:r>
      <w:r>
        <w:rPr/>
        <w:t>A</w:t>
      </w:r>
      <w:r>
        <w:rPr>
          <w:spacing w:val="-2"/>
        </w:rPr>
        <w:t> </w:t>
      </w:r>
      <w:r>
        <w:rPr/>
        <w:t>versus</w:t>
      </w:r>
      <w:r>
        <w:rPr>
          <w:spacing w:val="-5"/>
        </w:rPr>
        <w:t> </w:t>
      </w:r>
      <w:r>
        <w:rPr/>
        <w:t>thromboprophylaxis</w:t>
      </w:r>
      <w:r>
        <w:rPr>
          <w:spacing w:val="-2"/>
        </w:rPr>
        <w:t> </w:t>
      </w:r>
      <w:r>
        <w:rPr/>
        <w:t>B</w:t>
      </w:r>
      <w:r>
        <w:rPr>
          <w:spacing w:val="-2"/>
        </w:rPr>
        <w:t> </w:t>
      </w:r>
      <w:r>
        <w:rPr/>
        <w:t>with</w:t>
      </w:r>
      <w:r>
        <w:rPr>
          <w:spacing w:val="-2"/>
        </w:rPr>
        <w:t> </w:t>
      </w:r>
      <w:r>
        <w:rPr/>
        <w:t>outcomes</w:t>
      </w:r>
      <w:r>
        <w:rPr>
          <w:spacing w:val="-2"/>
        </w:rPr>
        <w:t> </w:t>
      </w:r>
      <w:r>
        <w:rPr/>
        <w:t>thrombotic complications,</w:t>
      </w:r>
      <w:r>
        <w:rPr>
          <w:spacing w:val="-2"/>
        </w:rPr>
        <w:t> </w:t>
      </w:r>
      <w:r>
        <w:rPr/>
        <w:t>ischemic</w:t>
      </w:r>
      <w:r>
        <w:rPr>
          <w:spacing w:val="-2"/>
        </w:rPr>
        <w:t> </w:t>
      </w:r>
      <w:r>
        <w:rPr/>
        <w:t>stroke, hemorrhage, mortality, and quality of life (QOL)</w:t>
      </w:r>
    </w:p>
    <w:p>
      <w:pPr>
        <w:pStyle w:val="BodyText"/>
        <w:spacing w:before="4"/>
        <w:rPr>
          <w:sz w:val="13"/>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403"/>
        <w:gridCol w:w="3829"/>
        <w:gridCol w:w="2199"/>
        <w:gridCol w:w="821"/>
        <w:gridCol w:w="1870"/>
        <w:gridCol w:w="2826"/>
      </w:tblGrid>
      <w:tr>
        <w:trPr>
          <w:trHeight w:val="472" w:hRule="atLeast"/>
        </w:trPr>
        <w:tc>
          <w:tcPr>
            <w:tcW w:w="2403" w:type="dxa"/>
            <w:vMerge w:val="restart"/>
          </w:tcPr>
          <w:p>
            <w:pPr>
              <w:pStyle w:val="TableParagraph"/>
              <w:spacing w:before="42"/>
              <w:rPr>
                <w:sz w:val="22"/>
              </w:rPr>
            </w:pPr>
          </w:p>
          <w:p>
            <w:pPr>
              <w:pStyle w:val="TableParagraph"/>
              <w:ind w:left="6"/>
              <w:rPr>
                <w:b/>
                <w:sz w:val="22"/>
              </w:rPr>
            </w:pPr>
            <w:r>
              <w:rPr>
                <w:b/>
                <w:spacing w:val="-2"/>
                <w:sz w:val="22"/>
              </w:rPr>
              <w:t>Outcome</w:t>
            </w:r>
          </w:p>
        </w:tc>
        <w:tc>
          <w:tcPr>
            <w:tcW w:w="3829" w:type="dxa"/>
            <w:vMerge w:val="restart"/>
          </w:tcPr>
          <w:p>
            <w:pPr>
              <w:pStyle w:val="TableParagraph"/>
              <w:rPr>
                <w:sz w:val="22"/>
              </w:rPr>
            </w:pPr>
          </w:p>
          <w:p>
            <w:pPr>
              <w:pStyle w:val="TableParagraph"/>
              <w:spacing w:before="11"/>
              <w:rPr>
                <w:sz w:val="22"/>
              </w:rPr>
            </w:pPr>
          </w:p>
          <w:p>
            <w:pPr>
              <w:pStyle w:val="TableParagraph"/>
              <w:ind w:left="6"/>
              <w:rPr>
                <w:b/>
                <w:sz w:val="22"/>
              </w:rPr>
            </w:pPr>
            <w:r>
              <w:rPr>
                <w:b/>
                <w:sz w:val="22"/>
              </w:rPr>
              <w:t>Study</w:t>
            </w:r>
            <w:r>
              <w:rPr>
                <w:b/>
                <w:spacing w:val="-4"/>
                <w:sz w:val="22"/>
              </w:rPr>
              <w:t> </w:t>
            </w:r>
            <w:r>
              <w:rPr>
                <w:b/>
                <w:sz w:val="22"/>
              </w:rPr>
              <w:t>results</w:t>
            </w:r>
            <w:r>
              <w:rPr>
                <w:b/>
                <w:spacing w:val="-2"/>
                <w:sz w:val="22"/>
              </w:rPr>
              <w:t> </w:t>
            </w:r>
            <w:r>
              <w:rPr>
                <w:b/>
                <w:sz w:val="22"/>
              </w:rPr>
              <w:t>and</w:t>
            </w:r>
            <w:r>
              <w:rPr>
                <w:b/>
                <w:spacing w:val="-3"/>
                <w:sz w:val="22"/>
              </w:rPr>
              <w:t> </w:t>
            </w:r>
            <w:r>
              <w:rPr>
                <w:b/>
                <w:spacing w:val="-2"/>
                <w:sz w:val="22"/>
              </w:rPr>
              <w:t>measurements</w:t>
            </w:r>
          </w:p>
        </w:tc>
        <w:tc>
          <w:tcPr>
            <w:tcW w:w="3020" w:type="dxa"/>
            <w:gridSpan w:val="2"/>
          </w:tcPr>
          <w:p>
            <w:pPr>
              <w:pStyle w:val="TableParagraph"/>
              <w:spacing w:line="268" w:lineRule="exact"/>
              <w:ind w:left="6"/>
              <w:rPr>
                <w:b/>
                <w:sz w:val="22"/>
              </w:rPr>
            </w:pPr>
            <w:r>
              <w:rPr>
                <w:b/>
                <w:sz w:val="22"/>
              </w:rPr>
              <w:t>Absolute</w:t>
            </w:r>
            <w:r>
              <w:rPr>
                <w:b/>
                <w:spacing w:val="-5"/>
                <w:sz w:val="22"/>
              </w:rPr>
              <w:t> </w:t>
            </w:r>
            <w:r>
              <w:rPr>
                <w:b/>
                <w:sz w:val="22"/>
              </w:rPr>
              <w:t>effect</w:t>
            </w:r>
            <w:r>
              <w:rPr>
                <w:b/>
                <w:spacing w:val="-3"/>
                <w:sz w:val="22"/>
              </w:rPr>
              <w:t> </w:t>
            </w:r>
            <w:r>
              <w:rPr>
                <w:b/>
                <w:spacing w:val="-2"/>
                <w:sz w:val="22"/>
              </w:rPr>
              <w:t>estimates</w:t>
            </w:r>
          </w:p>
        </w:tc>
        <w:tc>
          <w:tcPr>
            <w:tcW w:w="1870" w:type="dxa"/>
            <w:vMerge w:val="restart"/>
          </w:tcPr>
          <w:p>
            <w:pPr>
              <w:pStyle w:val="TableParagraph"/>
              <w:spacing w:line="278" w:lineRule="auto"/>
              <w:ind w:left="5"/>
              <w:rPr>
                <w:b/>
                <w:sz w:val="22"/>
              </w:rPr>
            </w:pPr>
            <w:r>
              <w:rPr>
                <w:b/>
                <w:sz w:val="22"/>
              </w:rPr>
              <w:t>Certainty</w:t>
            </w:r>
            <w:r>
              <w:rPr>
                <w:b/>
                <w:spacing w:val="-13"/>
                <w:sz w:val="22"/>
              </w:rPr>
              <w:t> </w:t>
            </w:r>
            <w:r>
              <w:rPr>
                <w:b/>
                <w:sz w:val="22"/>
              </w:rPr>
              <w:t>of</w:t>
            </w:r>
            <w:r>
              <w:rPr>
                <w:b/>
                <w:spacing w:val="-12"/>
                <w:sz w:val="22"/>
              </w:rPr>
              <w:t> </w:t>
            </w:r>
            <w:r>
              <w:rPr>
                <w:b/>
                <w:sz w:val="22"/>
              </w:rPr>
              <w:t>the </w:t>
            </w:r>
            <w:r>
              <w:rPr>
                <w:b/>
                <w:spacing w:val="-2"/>
                <w:sz w:val="22"/>
              </w:rPr>
              <w:t>Evidence</w:t>
            </w:r>
          </w:p>
          <w:p>
            <w:pPr>
              <w:pStyle w:val="TableParagraph"/>
              <w:spacing w:line="278" w:lineRule="auto" w:before="160"/>
              <w:ind w:left="5" w:right="900"/>
              <w:rPr>
                <w:sz w:val="22"/>
              </w:rPr>
            </w:pPr>
            <w:r>
              <w:rPr>
                <w:sz w:val="22"/>
              </w:rPr>
              <w:t>(Quality</w:t>
            </w:r>
            <w:r>
              <w:rPr>
                <w:spacing w:val="-13"/>
                <w:sz w:val="22"/>
              </w:rPr>
              <w:t> </w:t>
            </w:r>
            <w:r>
              <w:rPr>
                <w:sz w:val="22"/>
              </w:rPr>
              <w:t>of </w:t>
            </w:r>
            <w:r>
              <w:rPr>
                <w:spacing w:val="-2"/>
                <w:sz w:val="22"/>
              </w:rPr>
              <w:t>evidence)</w:t>
            </w:r>
          </w:p>
        </w:tc>
        <w:tc>
          <w:tcPr>
            <w:tcW w:w="2826" w:type="dxa"/>
            <w:vMerge w:val="restart"/>
          </w:tcPr>
          <w:p>
            <w:pPr>
              <w:pStyle w:val="TableParagraph"/>
              <w:rPr>
                <w:sz w:val="22"/>
              </w:rPr>
            </w:pPr>
          </w:p>
          <w:p>
            <w:pPr>
              <w:pStyle w:val="TableParagraph"/>
              <w:spacing w:before="11"/>
              <w:rPr>
                <w:sz w:val="22"/>
              </w:rPr>
            </w:pPr>
          </w:p>
          <w:p>
            <w:pPr>
              <w:pStyle w:val="TableParagraph"/>
              <w:ind w:left="5"/>
              <w:rPr>
                <w:b/>
                <w:sz w:val="22"/>
              </w:rPr>
            </w:pPr>
            <w:r>
              <w:rPr>
                <w:b/>
                <w:spacing w:val="-2"/>
                <w:sz w:val="22"/>
              </w:rPr>
              <w:t>Summary</w:t>
            </w:r>
          </w:p>
        </w:tc>
      </w:tr>
      <w:tr>
        <w:trPr>
          <w:trHeight w:val="1081" w:hRule="atLeast"/>
        </w:trPr>
        <w:tc>
          <w:tcPr>
            <w:tcW w:w="2403" w:type="dxa"/>
            <w:vMerge/>
            <w:tcBorders>
              <w:top w:val="nil"/>
            </w:tcBorders>
          </w:tcPr>
          <w:p>
            <w:pPr>
              <w:rPr>
                <w:sz w:val="2"/>
                <w:szCs w:val="2"/>
              </w:rPr>
            </w:pPr>
          </w:p>
        </w:tc>
        <w:tc>
          <w:tcPr>
            <w:tcW w:w="3829" w:type="dxa"/>
            <w:vMerge/>
            <w:tcBorders>
              <w:top w:val="nil"/>
            </w:tcBorders>
          </w:tcPr>
          <w:p>
            <w:pPr>
              <w:rPr>
                <w:sz w:val="2"/>
                <w:szCs w:val="2"/>
              </w:rPr>
            </w:pPr>
          </w:p>
        </w:tc>
        <w:tc>
          <w:tcPr>
            <w:tcW w:w="2199" w:type="dxa"/>
          </w:tcPr>
          <w:p>
            <w:pPr>
              <w:pStyle w:val="TableParagraph"/>
              <w:spacing w:before="35"/>
              <w:rPr>
                <w:sz w:val="22"/>
              </w:rPr>
            </w:pPr>
          </w:p>
          <w:p>
            <w:pPr>
              <w:pStyle w:val="TableParagraph"/>
              <w:ind w:left="6"/>
              <w:rPr>
                <w:sz w:val="22"/>
              </w:rPr>
            </w:pPr>
            <w:r>
              <w:rPr>
                <w:sz w:val="22"/>
              </w:rPr>
              <w:t>No </w:t>
            </w:r>
            <w:r>
              <w:rPr>
                <w:spacing w:val="-2"/>
                <w:sz w:val="22"/>
              </w:rPr>
              <w:t>thromboprophylaxis</w:t>
            </w:r>
          </w:p>
        </w:tc>
        <w:tc>
          <w:tcPr>
            <w:tcW w:w="821" w:type="dxa"/>
          </w:tcPr>
          <w:p>
            <w:pPr>
              <w:pStyle w:val="TableParagraph"/>
              <w:spacing w:before="35"/>
              <w:rPr>
                <w:sz w:val="22"/>
              </w:rPr>
            </w:pPr>
          </w:p>
          <w:p>
            <w:pPr>
              <w:pStyle w:val="TableParagraph"/>
              <w:ind w:left="6"/>
              <w:rPr>
                <w:sz w:val="22"/>
              </w:rPr>
            </w:pPr>
            <w:r>
              <w:rPr>
                <w:spacing w:val="-2"/>
                <w:sz w:val="22"/>
              </w:rPr>
              <w:t>Aspirin</w:t>
            </w:r>
          </w:p>
        </w:tc>
        <w:tc>
          <w:tcPr>
            <w:tcW w:w="1870" w:type="dxa"/>
            <w:vMerge/>
            <w:tcBorders>
              <w:top w:val="nil"/>
            </w:tcBorders>
          </w:tcPr>
          <w:p>
            <w:pPr>
              <w:rPr>
                <w:sz w:val="2"/>
                <w:szCs w:val="2"/>
              </w:rPr>
            </w:pPr>
          </w:p>
        </w:tc>
        <w:tc>
          <w:tcPr>
            <w:tcW w:w="2826" w:type="dxa"/>
            <w:vMerge/>
            <w:tcBorders>
              <w:top w:val="nil"/>
            </w:tcBorders>
          </w:tcPr>
          <w:p>
            <w:pPr>
              <w:rPr>
                <w:sz w:val="2"/>
                <w:szCs w:val="2"/>
              </w:rPr>
            </w:pPr>
          </w:p>
        </w:tc>
      </w:tr>
      <w:tr>
        <w:trPr>
          <w:trHeight w:val="351" w:hRule="atLeast"/>
        </w:trPr>
        <w:tc>
          <w:tcPr>
            <w:tcW w:w="2403" w:type="dxa"/>
            <w:tcBorders>
              <w:bottom w:val="nil"/>
            </w:tcBorders>
          </w:tcPr>
          <w:p>
            <w:pPr>
              <w:pStyle w:val="TableParagraph"/>
              <w:rPr>
                <w:rFonts w:ascii="Times New Roman"/>
                <w:sz w:val="22"/>
              </w:rPr>
            </w:pPr>
          </w:p>
        </w:tc>
        <w:tc>
          <w:tcPr>
            <w:tcW w:w="3829" w:type="dxa"/>
            <w:tcBorders>
              <w:bottom w:val="nil"/>
            </w:tcBorders>
          </w:tcPr>
          <w:p>
            <w:pPr>
              <w:pStyle w:val="TableParagraph"/>
              <w:rPr>
                <w:rFonts w:ascii="Times New Roman"/>
                <w:sz w:val="22"/>
              </w:rPr>
            </w:pPr>
          </w:p>
        </w:tc>
        <w:tc>
          <w:tcPr>
            <w:tcW w:w="2199" w:type="dxa"/>
            <w:tcBorders>
              <w:bottom w:val="nil"/>
            </w:tcBorders>
          </w:tcPr>
          <w:p>
            <w:pPr>
              <w:pStyle w:val="TableParagraph"/>
              <w:spacing w:line="268" w:lineRule="exact"/>
              <w:ind w:left="6"/>
              <w:rPr>
                <w:b/>
                <w:sz w:val="22"/>
              </w:rPr>
            </w:pPr>
            <w:r>
              <w:rPr>
                <w:b/>
                <w:spacing w:val="-10"/>
                <w:sz w:val="22"/>
              </w:rPr>
              <w:t>9</w:t>
            </w:r>
          </w:p>
        </w:tc>
        <w:tc>
          <w:tcPr>
            <w:tcW w:w="821" w:type="dxa"/>
            <w:tcBorders>
              <w:bottom w:val="nil"/>
            </w:tcBorders>
          </w:tcPr>
          <w:p>
            <w:pPr>
              <w:pStyle w:val="TableParagraph"/>
              <w:spacing w:line="268" w:lineRule="exact"/>
              <w:ind w:left="6"/>
              <w:rPr>
                <w:b/>
                <w:sz w:val="22"/>
              </w:rPr>
            </w:pPr>
            <w:r>
              <w:rPr>
                <w:b/>
                <w:spacing w:val="-10"/>
                <w:sz w:val="22"/>
              </w:rPr>
              <w:t>0</w:t>
            </w:r>
          </w:p>
        </w:tc>
        <w:tc>
          <w:tcPr>
            <w:tcW w:w="1870" w:type="dxa"/>
            <w:tcBorders>
              <w:bottom w:val="nil"/>
            </w:tcBorders>
          </w:tcPr>
          <w:p>
            <w:pPr>
              <w:pStyle w:val="TableParagraph"/>
              <w:rPr>
                <w:rFonts w:ascii="Times New Roman"/>
                <w:sz w:val="22"/>
              </w:rPr>
            </w:pPr>
          </w:p>
        </w:tc>
        <w:tc>
          <w:tcPr>
            <w:tcW w:w="2826" w:type="dxa"/>
            <w:tcBorders>
              <w:bottom w:val="nil"/>
            </w:tcBorders>
          </w:tcPr>
          <w:p>
            <w:pPr>
              <w:pStyle w:val="TableParagraph"/>
              <w:rPr>
                <w:rFonts w:ascii="Times New Roman"/>
                <w:sz w:val="22"/>
              </w:rPr>
            </w:pPr>
          </w:p>
        </w:tc>
      </w:tr>
      <w:tr>
        <w:trPr>
          <w:trHeight w:val="591" w:hRule="atLeast"/>
        </w:trPr>
        <w:tc>
          <w:tcPr>
            <w:tcW w:w="2403" w:type="dxa"/>
            <w:vMerge w:val="restart"/>
            <w:tcBorders>
              <w:top w:val="nil"/>
              <w:bottom w:val="nil"/>
            </w:tcBorders>
          </w:tcPr>
          <w:p>
            <w:pPr>
              <w:pStyle w:val="TableParagraph"/>
              <w:rPr>
                <w:sz w:val="22"/>
              </w:rPr>
            </w:pPr>
          </w:p>
          <w:p>
            <w:pPr>
              <w:pStyle w:val="TableParagraph"/>
              <w:rPr>
                <w:sz w:val="22"/>
              </w:rPr>
            </w:pPr>
          </w:p>
          <w:p>
            <w:pPr>
              <w:pStyle w:val="TableParagraph"/>
              <w:rPr>
                <w:sz w:val="22"/>
              </w:rPr>
            </w:pPr>
          </w:p>
          <w:p>
            <w:pPr>
              <w:pStyle w:val="TableParagraph"/>
              <w:spacing w:before="66"/>
              <w:rPr>
                <w:sz w:val="22"/>
              </w:rPr>
            </w:pPr>
          </w:p>
          <w:p>
            <w:pPr>
              <w:pStyle w:val="TableParagraph"/>
              <w:spacing w:line="278" w:lineRule="auto"/>
              <w:ind w:left="6" w:right="43"/>
              <w:rPr>
                <w:sz w:val="22"/>
              </w:rPr>
            </w:pPr>
            <w:r>
              <w:rPr>
                <w:sz w:val="22"/>
              </w:rPr>
              <w:t>Thrombotic</w:t>
            </w:r>
            <w:r>
              <w:rPr>
                <w:spacing w:val="-13"/>
                <w:sz w:val="22"/>
              </w:rPr>
              <w:t> </w:t>
            </w:r>
            <w:r>
              <w:rPr>
                <w:sz w:val="22"/>
              </w:rPr>
              <w:t>complications </w:t>
            </w:r>
            <w:r>
              <w:rPr>
                <w:spacing w:val="-2"/>
                <w:sz w:val="22"/>
              </w:rPr>
              <w:t>(critical)</w:t>
            </w:r>
          </w:p>
        </w:tc>
        <w:tc>
          <w:tcPr>
            <w:tcW w:w="3829" w:type="dxa"/>
            <w:vMerge w:val="restart"/>
            <w:tcBorders>
              <w:top w:val="nil"/>
              <w:bottom w:val="nil"/>
            </w:tcBorders>
          </w:tcPr>
          <w:p>
            <w:pPr>
              <w:pStyle w:val="TableParagraph"/>
              <w:spacing w:before="120"/>
              <w:ind w:left="6"/>
              <w:rPr>
                <w:b/>
                <w:sz w:val="22"/>
              </w:rPr>
            </w:pPr>
            <w:r>
              <w:rPr>
                <w:sz w:val="22"/>
              </w:rPr>
              <w:t>Relative</w:t>
            </w:r>
            <w:r>
              <w:rPr>
                <w:spacing w:val="-5"/>
                <w:sz w:val="22"/>
              </w:rPr>
              <w:t> </w:t>
            </w:r>
            <w:r>
              <w:rPr>
                <w:sz w:val="22"/>
              </w:rPr>
              <w:t>risk:</w:t>
            </w:r>
            <w:r>
              <w:rPr>
                <w:spacing w:val="-4"/>
                <w:sz w:val="22"/>
              </w:rPr>
              <w:t> </w:t>
            </w:r>
            <w:r>
              <w:rPr>
                <w:b/>
                <w:spacing w:val="-4"/>
                <w:sz w:val="22"/>
              </w:rPr>
              <w:t>0.17</w:t>
            </w:r>
          </w:p>
          <w:p>
            <w:pPr>
              <w:pStyle w:val="TableParagraph"/>
              <w:spacing w:before="202"/>
              <w:ind w:left="6"/>
              <w:rPr>
                <w:sz w:val="22"/>
              </w:rPr>
            </w:pPr>
            <w:r>
              <w:rPr>
                <w:sz w:val="22"/>
              </w:rPr>
              <w:t>(95%</w:t>
            </w:r>
            <w:r>
              <w:rPr>
                <w:spacing w:val="-3"/>
                <w:sz w:val="22"/>
              </w:rPr>
              <w:t> </w:t>
            </w:r>
            <w:r>
              <w:rPr>
                <w:sz w:val="22"/>
              </w:rPr>
              <w:t>CI</w:t>
            </w:r>
            <w:r>
              <w:rPr>
                <w:spacing w:val="-4"/>
                <w:sz w:val="22"/>
              </w:rPr>
              <w:t> </w:t>
            </w:r>
            <w:r>
              <w:rPr>
                <w:sz w:val="22"/>
              </w:rPr>
              <w:t>0.01</w:t>
            </w:r>
            <w:r>
              <w:rPr>
                <w:spacing w:val="-2"/>
                <w:sz w:val="22"/>
              </w:rPr>
              <w:t> </w:t>
            </w:r>
            <w:r>
              <w:rPr>
                <w:sz w:val="22"/>
              </w:rPr>
              <w:t>to</w:t>
            </w:r>
            <w:r>
              <w:rPr>
                <w:spacing w:val="-2"/>
                <w:sz w:val="22"/>
              </w:rPr>
              <w:t> 2.19)</w:t>
            </w:r>
          </w:p>
          <w:p>
            <w:pPr>
              <w:pStyle w:val="TableParagraph"/>
              <w:rPr>
                <w:sz w:val="22"/>
              </w:rPr>
            </w:pPr>
          </w:p>
          <w:p>
            <w:pPr>
              <w:pStyle w:val="TableParagraph"/>
              <w:spacing w:before="140"/>
              <w:rPr>
                <w:sz w:val="22"/>
              </w:rPr>
            </w:pPr>
          </w:p>
          <w:p>
            <w:pPr>
              <w:pStyle w:val="TableParagraph"/>
              <w:spacing w:line="278" w:lineRule="auto"/>
              <w:ind w:left="6"/>
              <w:rPr>
                <w:sz w:val="22"/>
              </w:rPr>
            </w:pPr>
            <w:r>
              <w:rPr>
                <w:sz w:val="22"/>
              </w:rPr>
              <w:t>Based</w:t>
            </w:r>
            <w:r>
              <w:rPr>
                <w:spacing w:val="-8"/>
                <w:sz w:val="22"/>
              </w:rPr>
              <w:t> </w:t>
            </w:r>
            <w:r>
              <w:rPr>
                <w:sz w:val="22"/>
              </w:rPr>
              <w:t>on</w:t>
            </w:r>
            <w:r>
              <w:rPr>
                <w:spacing w:val="-6"/>
                <w:sz w:val="22"/>
              </w:rPr>
              <w:t> </w:t>
            </w:r>
            <w:r>
              <w:rPr>
                <w:sz w:val="22"/>
              </w:rPr>
              <w:t>data</w:t>
            </w:r>
            <w:r>
              <w:rPr>
                <w:spacing w:val="-5"/>
                <w:sz w:val="22"/>
              </w:rPr>
              <w:t> </w:t>
            </w:r>
            <w:r>
              <w:rPr>
                <w:sz w:val="22"/>
              </w:rPr>
              <w:t>from</w:t>
            </w:r>
            <w:r>
              <w:rPr>
                <w:spacing w:val="-6"/>
                <w:sz w:val="22"/>
              </w:rPr>
              <w:t> </w:t>
            </w:r>
            <w:r>
              <w:rPr>
                <w:sz w:val="22"/>
              </w:rPr>
              <w:t>54</w:t>
            </w:r>
            <w:r>
              <w:rPr>
                <w:spacing w:val="-5"/>
                <w:sz w:val="22"/>
              </w:rPr>
              <w:t> </w:t>
            </w:r>
            <w:r>
              <w:rPr>
                <w:sz w:val="22"/>
              </w:rPr>
              <w:t>participants</w:t>
            </w:r>
            <w:r>
              <w:rPr>
                <w:spacing w:val="-4"/>
                <w:sz w:val="22"/>
              </w:rPr>
              <w:t> </w:t>
            </w:r>
            <w:r>
              <w:rPr>
                <w:sz w:val="22"/>
              </w:rPr>
              <w:t>in</w:t>
            </w:r>
            <w:r>
              <w:rPr>
                <w:spacing w:val="-7"/>
                <w:sz w:val="22"/>
              </w:rPr>
              <w:t> </w:t>
            </w:r>
            <w:r>
              <w:rPr>
                <w:sz w:val="22"/>
              </w:rPr>
              <w:t>1 </w:t>
            </w:r>
            <w:r>
              <w:rPr>
                <w:spacing w:val="-2"/>
                <w:sz w:val="22"/>
              </w:rPr>
              <w:t>study</w:t>
            </w:r>
          </w:p>
        </w:tc>
        <w:tc>
          <w:tcPr>
            <w:tcW w:w="2199" w:type="dxa"/>
            <w:tcBorders>
              <w:top w:val="nil"/>
            </w:tcBorders>
          </w:tcPr>
          <w:p>
            <w:pPr>
              <w:pStyle w:val="TableParagraph"/>
              <w:spacing w:before="120"/>
              <w:ind w:left="6"/>
              <w:rPr>
                <w:sz w:val="22"/>
              </w:rPr>
            </w:pPr>
            <w:r>
              <w:rPr>
                <w:sz w:val="22"/>
              </w:rPr>
              <w:t>per</w:t>
            </w:r>
            <w:r>
              <w:rPr>
                <w:spacing w:val="-1"/>
                <w:sz w:val="22"/>
              </w:rPr>
              <w:t> </w:t>
            </w:r>
            <w:r>
              <w:rPr>
                <w:spacing w:val="-5"/>
                <w:sz w:val="22"/>
              </w:rPr>
              <w:t>100</w:t>
            </w:r>
          </w:p>
        </w:tc>
        <w:tc>
          <w:tcPr>
            <w:tcW w:w="821" w:type="dxa"/>
            <w:tcBorders>
              <w:top w:val="nil"/>
            </w:tcBorders>
          </w:tcPr>
          <w:p>
            <w:pPr>
              <w:pStyle w:val="TableParagraph"/>
              <w:spacing w:before="120"/>
              <w:ind w:left="6"/>
              <w:rPr>
                <w:sz w:val="22"/>
              </w:rPr>
            </w:pPr>
            <w:r>
              <w:rPr>
                <w:sz w:val="22"/>
              </w:rPr>
              <w:t>per</w:t>
            </w:r>
            <w:r>
              <w:rPr>
                <w:spacing w:val="-1"/>
                <w:sz w:val="22"/>
              </w:rPr>
              <w:t> </w:t>
            </w:r>
            <w:r>
              <w:rPr>
                <w:spacing w:val="-5"/>
                <w:sz w:val="22"/>
              </w:rPr>
              <w:t>100</w:t>
            </w:r>
          </w:p>
        </w:tc>
        <w:tc>
          <w:tcPr>
            <w:tcW w:w="1870" w:type="dxa"/>
            <w:vMerge w:val="restart"/>
            <w:tcBorders>
              <w:top w:val="nil"/>
              <w:bottom w:val="nil"/>
            </w:tcBorders>
          </w:tcPr>
          <w:p>
            <w:pPr>
              <w:pStyle w:val="TableParagraph"/>
              <w:rPr>
                <w:sz w:val="22"/>
              </w:rPr>
            </w:pPr>
          </w:p>
          <w:p>
            <w:pPr>
              <w:pStyle w:val="TableParagraph"/>
              <w:spacing w:before="135"/>
              <w:rPr>
                <w:sz w:val="22"/>
              </w:rPr>
            </w:pPr>
          </w:p>
          <w:p>
            <w:pPr>
              <w:pStyle w:val="TableParagraph"/>
              <w:ind w:left="5"/>
              <w:rPr>
                <w:b/>
                <w:sz w:val="22"/>
              </w:rPr>
            </w:pPr>
            <w:r>
              <w:rPr>
                <w:b/>
                <w:sz w:val="22"/>
              </w:rPr>
              <w:t>Very</w:t>
            </w:r>
            <w:r>
              <w:rPr>
                <w:b/>
                <w:spacing w:val="-2"/>
                <w:sz w:val="22"/>
              </w:rPr>
              <w:t> </w:t>
            </w:r>
            <w:r>
              <w:rPr>
                <w:b/>
                <w:spacing w:val="-5"/>
                <w:sz w:val="22"/>
              </w:rPr>
              <w:t>low</w:t>
            </w:r>
          </w:p>
          <w:p>
            <w:pPr>
              <w:pStyle w:val="TableParagraph"/>
              <w:spacing w:line="278" w:lineRule="auto" w:before="44"/>
              <w:ind w:left="5" w:right="154"/>
              <w:rPr>
                <w:sz w:val="22"/>
              </w:rPr>
            </w:pPr>
            <w:r>
              <w:rPr>
                <w:sz w:val="22"/>
              </w:rPr>
              <w:t>Due to very</w:t>
            </w:r>
            <w:r>
              <w:rPr>
                <w:spacing w:val="40"/>
                <w:sz w:val="22"/>
              </w:rPr>
              <w:t> </w:t>
            </w:r>
            <w:r>
              <w:rPr>
                <w:sz w:val="22"/>
              </w:rPr>
              <w:t>serious</w:t>
            </w:r>
            <w:r>
              <w:rPr>
                <w:spacing w:val="-10"/>
                <w:sz w:val="22"/>
              </w:rPr>
              <w:t> </w:t>
            </w:r>
            <w:r>
              <w:rPr>
                <w:sz w:val="22"/>
              </w:rPr>
              <w:t>risk</w:t>
            </w:r>
            <w:r>
              <w:rPr>
                <w:spacing w:val="-13"/>
                <w:sz w:val="22"/>
              </w:rPr>
              <w:t> </w:t>
            </w:r>
            <w:r>
              <w:rPr>
                <w:sz w:val="22"/>
              </w:rPr>
              <w:t>of</w:t>
            </w:r>
            <w:r>
              <w:rPr>
                <w:spacing w:val="-11"/>
                <w:sz w:val="22"/>
              </w:rPr>
              <w:t> </w:t>
            </w:r>
            <w:r>
              <w:rPr>
                <w:sz w:val="22"/>
              </w:rPr>
              <w:t>bias, due to very</w:t>
            </w:r>
          </w:p>
          <w:p>
            <w:pPr>
              <w:pStyle w:val="TableParagraph"/>
              <w:spacing w:before="1"/>
              <w:ind w:left="5"/>
              <w:rPr>
                <w:sz w:val="22"/>
              </w:rPr>
            </w:pPr>
            <w:r>
              <w:rPr>
                <w:sz w:val="22"/>
              </w:rPr>
              <w:t>serious</w:t>
            </w:r>
            <w:r>
              <w:rPr>
                <w:spacing w:val="-4"/>
                <w:sz w:val="22"/>
              </w:rPr>
              <w:t> </w:t>
            </w:r>
            <w:r>
              <w:rPr>
                <w:spacing w:val="-2"/>
                <w:sz w:val="22"/>
              </w:rPr>
              <w:t>imprecision</w:t>
            </w:r>
            <w:r>
              <w:rPr>
                <w:spacing w:val="-2"/>
                <w:sz w:val="22"/>
                <w:vertAlign w:val="superscript"/>
              </w:rPr>
              <w:t>1</w:t>
            </w:r>
          </w:p>
        </w:tc>
        <w:tc>
          <w:tcPr>
            <w:tcW w:w="2826" w:type="dxa"/>
            <w:vMerge w:val="restart"/>
            <w:tcBorders>
              <w:top w:val="nil"/>
              <w:bottom w:val="nil"/>
            </w:tcBorders>
          </w:tcPr>
          <w:p>
            <w:pPr>
              <w:pStyle w:val="TableParagraph"/>
              <w:spacing w:line="278" w:lineRule="auto" w:before="43"/>
              <w:ind w:left="5" w:right="67"/>
              <w:rPr>
                <w:sz w:val="22"/>
              </w:rPr>
            </w:pPr>
            <w:r>
              <w:rPr>
                <w:sz w:val="22"/>
              </w:rPr>
              <w:t>The</w:t>
            </w:r>
            <w:r>
              <w:rPr>
                <w:spacing w:val="-9"/>
                <w:sz w:val="22"/>
              </w:rPr>
              <w:t> </w:t>
            </w:r>
            <w:r>
              <w:rPr>
                <w:sz w:val="22"/>
              </w:rPr>
              <w:t>evidence</w:t>
            </w:r>
            <w:r>
              <w:rPr>
                <w:spacing w:val="-11"/>
                <w:sz w:val="22"/>
              </w:rPr>
              <w:t> </w:t>
            </w:r>
            <w:r>
              <w:rPr>
                <w:sz w:val="22"/>
              </w:rPr>
              <w:t>is</w:t>
            </w:r>
            <w:r>
              <w:rPr>
                <w:spacing w:val="-11"/>
                <w:sz w:val="22"/>
              </w:rPr>
              <w:t> </w:t>
            </w:r>
            <w:r>
              <w:rPr>
                <w:sz w:val="22"/>
              </w:rPr>
              <w:t>very</w:t>
            </w:r>
            <w:r>
              <w:rPr>
                <w:spacing w:val="-9"/>
                <w:sz w:val="22"/>
              </w:rPr>
              <w:t> </w:t>
            </w:r>
            <w:r>
              <w:rPr>
                <w:sz w:val="22"/>
              </w:rPr>
              <w:t>uncertain about the effect of aspirin on thrombotic complications when compared with no thromboprophylaxis in children with DCM</w:t>
            </w:r>
          </w:p>
        </w:tc>
      </w:tr>
      <w:tr>
        <w:trPr>
          <w:trHeight w:val="1828" w:hRule="atLeast"/>
        </w:trPr>
        <w:tc>
          <w:tcPr>
            <w:tcW w:w="2403" w:type="dxa"/>
            <w:vMerge/>
            <w:tcBorders>
              <w:top w:val="nil"/>
              <w:bottom w:val="nil"/>
            </w:tcBorders>
          </w:tcPr>
          <w:p>
            <w:pPr>
              <w:rPr>
                <w:sz w:val="2"/>
                <w:szCs w:val="2"/>
              </w:rPr>
            </w:pPr>
          </w:p>
        </w:tc>
        <w:tc>
          <w:tcPr>
            <w:tcW w:w="3829" w:type="dxa"/>
            <w:vMerge/>
            <w:tcBorders>
              <w:top w:val="nil"/>
              <w:bottom w:val="nil"/>
            </w:tcBorders>
          </w:tcPr>
          <w:p>
            <w:pPr>
              <w:rPr>
                <w:sz w:val="2"/>
                <w:szCs w:val="2"/>
              </w:rPr>
            </w:pPr>
          </w:p>
        </w:tc>
        <w:tc>
          <w:tcPr>
            <w:tcW w:w="3020" w:type="dxa"/>
            <w:gridSpan w:val="2"/>
            <w:tcBorders>
              <w:bottom w:val="nil"/>
            </w:tcBorders>
          </w:tcPr>
          <w:p>
            <w:pPr>
              <w:pStyle w:val="TableParagraph"/>
              <w:rPr>
                <w:sz w:val="22"/>
              </w:rPr>
            </w:pPr>
          </w:p>
          <w:p>
            <w:pPr>
              <w:pStyle w:val="TableParagraph"/>
              <w:rPr>
                <w:sz w:val="22"/>
              </w:rPr>
            </w:pPr>
          </w:p>
          <w:p>
            <w:pPr>
              <w:pStyle w:val="TableParagraph"/>
              <w:spacing w:before="126"/>
              <w:rPr>
                <w:sz w:val="22"/>
              </w:rPr>
            </w:pPr>
          </w:p>
          <w:p>
            <w:pPr>
              <w:pStyle w:val="TableParagraph"/>
              <w:spacing w:before="1"/>
              <w:ind w:left="6"/>
              <w:rPr>
                <w:b/>
                <w:sz w:val="22"/>
              </w:rPr>
            </w:pPr>
            <w:r>
              <w:rPr>
                <w:sz w:val="22"/>
              </w:rPr>
              <w:t>Difference:</w:t>
            </w:r>
            <w:r>
              <w:rPr>
                <w:spacing w:val="-5"/>
                <w:sz w:val="22"/>
              </w:rPr>
              <w:t> </w:t>
            </w:r>
            <w:r>
              <w:rPr>
                <w:b/>
                <w:sz w:val="22"/>
              </w:rPr>
              <w:t>9</w:t>
            </w:r>
            <w:r>
              <w:rPr>
                <w:b/>
                <w:spacing w:val="-4"/>
                <w:sz w:val="22"/>
              </w:rPr>
              <w:t> </w:t>
            </w:r>
            <w:r>
              <w:rPr>
                <w:b/>
                <w:sz w:val="22"/>
              </w:rPr>
              <w:t>fewer</w:t>
            </w:r>
            <w:r>
              <w:rPr>
                <w:b/>
                <w:spacing w:val="-5"/>
                <w:sz w:val="22"/>
              </w:rPr>
              <w:t> </w:t>
            </w:r>
            <w:r>
              <w:rPr>
                <w:b/>
                <w:sz w:val="22"/>
              </w:rPr>
              <w:t>per</w:t>
            </w:r>
            <w:r>
              <w:rPr>
                <w:b/>
                <w:spacing w:val="-3"/>
                <w:sz w:val="22"/>
              </w:rPr>
              <w:t> </w:t>
            </w:r>
            <w:r>
              <w:rPr>
                <w:b/>
                <w:spacing w:val="-5"/>
                <w:sz w:val="22"/>
              </w:rPr>
              <w:t>100</w:t>
            </w:r>
          </w:p>
          <w:p>
            <w:pPr>
              <w:pStyle w:val="TableParagraph"/>
              <w:spacing w:before="204"/>
              <w:ind w:left="6"/>
              <w:rPr>
                <w:sz w:val="22"/>
              </w:rPr>
            </w:pPr>
            <w:r>
              <w:rPr>
                <w:sz w:val="22"/>
              </w:rPr>
              <w:t>(95% CI</w:t>
            </w:r>
            <w:r>
              <w:rPr>
                <w:spacing w:val="-4"/>
                <w:sz w:val="22"/>
              </w:rPr>
              <w:t> </w:t>
            </w:r>
            <w:r>
              <w:rPr>
                <w:sz w:val="22"/>
              </w:rPr>
              <w:t>18</w:t>
            </w:r>
            <w:r>
              <w:rPr>
                <w:spacing w:val="-3"/>
                <w:sz w:val="22"/>
              </w:rPr>
              <w:t> </w:t>
            </w:r>
            <w:r>
              <w:rPr>
                <w:sz w:val="22"/>
              </w:rPr>
              <w:t>fewer</w:t>
            </w:r>
            <w:r>
              <w:rPr>
                <w:spacing w:val="-3"/>
                <w:sz w:val="22"/>
              </w:rPr>
              <w:t> </w:t>
            </w:r>
            <w:r>
              <w:rPr>
                <w:sz w:val="22"/>
              </w:rPr>
              <w:t>to</w:t>
            </w:r>
            <w:r>
              <w:rPr>
                <w:spacing w:val="-2"/>
                <w:sz w:val="22"/>
              </w:rPr>
              <w:t> </w:t>
            </w:r>
            <w:r>
              <w:rPr>
                <w:sz w:val="22"/>
              </w:rPr>
              <w:t>0 </w:t>
            </w:r>
            <w:r>
              <w:rPr>
                <w:spacing w:val="-2"/>
                <w:sz w:val="22"/>
              </w:rPr>
              <w:t>fewer)</w:t>
            </w:r>
          </w:p>
        </w:tc>
        <w:tc>
          <w:tcPr>
            <w:tcW w:w="1870" w:type="dxa"/>
            <w:vMerge/>
            <w:tcBorders>
              <w:top w:val="nil"/>
              <w:bottom w:val="nil"/>
            </w:tcBorders>
          </w:tcPr>
          <w:p>
            <w:pPr>
              <w:rPr>
                <w:sz w:val="2"/>
                <w:szCs w:val="2"/>
              </w:rPr>
            </w:pPr>
          </w:p>
        </w:tc>
        <w:tc>
          <w:tcPr>
            <w:tcW w:w="2826" w:type="dxa"/>
            <w:vMerge/>
            <w:tcBorders>
              <w:top w:val="nil"/>
              <w:bottom w:val="nil"/>
            </w:tcBorders>
          </w:tcPr>
          <w:p>
            <w:pPr>
              <w:rPr>
                <w:sz w:val="2"/>
                <w:szCs w:val="2"/>
              </w:rPr>
            </w:pPr>
          </w:p>
        </w:tc>
      </w:tr>
      <w:tr>
        <w:trPr>
          <w:trHeight w:val="983" w:hRule="atLeast"/>
        </w:trPr>
        <w:tc>
          <w:tcPr>
            <w:tcW w:w="2403" w:type="dxa"/>
            <w:tcBorders>
              <w:top w:val="nil"/>
            </w:tcBorders>
          </w:tcPr>
          <w:p>
            <w:pPr>
              <w:pStyle w:val="TableParagraph"/>
              <w:rPr>
                <w:rFonts w:ascii="Times New Roman"/>
                <w:sz w:val="22"/>
              </w:rPr>
            </w:pPr>
          </w:p>
        </w:tc>
        <w:tc>
          <w:tcPr>
            <w:tcW w:w="3829" w:type="dxa"/>
            <w:tcBorders>
              <w:top w:val="nil"/>
            </w:tcBorders>
          </w:tcPr>
          <w:p>
            <w:pPr>
              <w:pStyle w:val="TableParagraph"/>
              <w:spacing w:line="278" w:lineRule="auto" w:before="198"/>
              <w:ind w:left="6"/>
              <w:rPr>
                <w:sz w:val="22"/>
              </w:rPr>
            </w:pPr>
            <w:r>
              <w:rPr>
                <w:sz w:val="22"/>
              </w:rPr>
              <w:t>Follow-up:</w:t>
            </w:r>
            <w:r>
              <w:rPr>
                <w:spacing w:val="-7"/>
                <w:sz w:val="22"/>
              </w:rPr>
              <w:t> </w:t>
            </w:r>
            <w:r>
              <w:rPr>
                <w:sz w:val="22"/>
              </w:rPr>
              <w:t>Mean:</w:t>
            </w:r>
            <w:r>
              <w:rPr>
                <w:spacing w:val="-7"/>
                <w:sz w:val="22"/>
              </w:rPr>
              <w:t> </w:t>
            </w:r>
            <w:r>
              <w:rPr>
                <w:sz w:val="22"/>
              </w:rPr>
              <w:t>33.6</w:t>
            </w:r>
            <w:r>
              <w:rPr>
                <w:spacing w:val="-7"/>
                <w:sz w:val="22"/>
              </w:rPr>
              <w:t> </w:t>
            </w:r>
            <w:r>
              <w:rPr>
                <w:sz w:val="22"/>
              </w:rPr>
              <w:t>±</w:t>
            </w:r>
            <w:r>
              <w:rPr>
                <w:spacing w:val="-7"/>
                <w:sz w:val="22"/>
              </w:rPr>
              <w:t> </w:t>
            </w:r>
            <w:r>
              <w:rPr>
                <w:sz w:val="22"/>
              </w:rPr>
              <w:t>35.6</w:t>
            </w:r>
            <w:r>
              <w:rPr>
                <w:spacing w:val="-5"/>
                <w:sz w:val="22"/>
              </w:rPr>
              <w:t> </w:t>
            </w:r>
            <w:r>
              <w:rPr>
                <w:sz w:val="22"/>
              </w:rPr>
              <w:t>months</w:t>
            </w:r>
            <w:r>
              <w:rPr>
                <w:spacing w:val="-7"/>
                <w:sz w:val="22"/>
              </w:rPr>
              <w:t> </w:t>
            </w:r>
            <w:r>
              <w:rPr>
                <w:sz w:val="22"/>
              </w:rPr>
              <w:t>(3 days – 168 months)</w:t>
            </w:r>
          </w:p>
        </w:tc>
        <w:tc>
          <w:tcPr>
            <w:tcW w:w="3020" w:type="dxa"/>
            <w:gridSpan w:val="2"/>
            <w:tcBorders>
              <w:top w:val="nil"/>
            </w:tcBorders>
          </w:tcPr>
          <w:p>
            <w:pPr>
              <w:pStyle w:val="TableParagraph"/>
              <w:rPr>
                <w:rFonts w:ascii="Times New Roman"/>
                <w:sz w:val="22"/>
              </w:rPr>
            </w:pPr>
          </w:p>
        </w:tc>
        <w:tc>
          <w:tcPr>
            <w:tcW w:w="1870" w:type="dxa"/>
            <w:tcBorders>
              <w:top w:val="nil"/>
            </w:tcBorders>
          </w:tcPr>
          <w:p>
            <w:pPr>
              <w:pStyle w:val="TableParagraph"/>
              <w:rPr>
                <w:rFonts w:ascii="Times New Roman"/>
                <w:sz w:val="22"/>
              </w:rPr>
            </w:pPr>
          </w:p>
        </w:tc>
        <w:tc>
          <w:tcPr>
            <w:tcW w:w="2826" w:type="dxa"/>
            <w:tcBorders>
              <w:top w:val="nil"/>
            </w:tcBorders>
          </w:tcPr>
          <w:p>
            <w:pPr>
              <w:pStyle w:val="TableParagraph"/>
              <w:spacing w:before="114"/>
              <w:ind w:left="5"/>
              <w:rPr>
                <w:sz w:val="22"/>
              </w:rPr>
            </w:pPr>
            <w:r>
              <w:rPr>
                <w:sz w:val="22"/>
              </w:rPr>
              <w:t>(Irdem,</w:t>
            </w:r>
            <w:r>
              <w:rPr>
                <w:spacing w:val="-9"/>
                <w:sz w:val="22"/>
              </w:rPr>
              <w:t> </w:t>
            </w:r>
            <w:r>
              <w:rPr>
                <w:spacing w:val="-2"/>
                <w:sz w:val="22"/>
              </w:rPr>
              <w:t>2014)</w:t>
            </w:r>
          </w:p>
        </w:tc>
      </w:tr>
      <w:tr>
        <w:trPr>
          <w:trHeight w:val="2673" w:hRule="atLeast"/>
        </w:trPr>
        <w:tc>
          <w:tcPr>
            <w:tcW w:w="2403" w:type="dxa"/>
          </w:tcPr>
          <w:p>
            <w:pPr>
              <w:pStyle w:val="TableParagraph"/>
              <w:spacing w:line="278" w:lineRule="auto"/>
              <w:ind w:left="6" w:right="984"/>
              <w:rPr>
                <w:sz w:val="22"/>
              </w:rPr>
            </w:pPr>
            <w:r>
              <w:rPr>
                <w:sz w:val="22"/>
              </w:rPr>
              <w:t>Ischemic</w:t>
            </w:r>
            <w:r>
              <w:rPr>
                <w:spacing w:val="-13"/>
                <w:sz w:val="22"/>
              </w:rPr>
              <w:t> </w:t>
            </w:r>
            <w:r>
              <w:rPr>
                <w:sz w:val="22"/>
              </w:rPr>
              <w:t>stroke </w:t>
            </w:r>
            <w:r>
              <w:rPr>
                <w:spacing w:val="-2"/>
                <w:sz w:val="22"/>
              </w:rPr>
              <w:t>(important)</w:t>
            </w:r>
          </w:p>
          <w:p>
            <w:pPr>
              <w:pStyle w:val="TableParagraph"/>
              <w:rPr>
                <w:sz w:val="22"/>
              </w:rPr>
            </w:pPr>
          </w:p>
          <w:p>
            <w:pPr>
              <w:pStyle w:val="TableParagraph"/>
              <w:spacing w:before="96"/>
              <w:rPr>
                <w:sz w:val="22"/>
              </w:rPr>
            </w:pPr>
          </w:p>
          <w:p>
            <w:pPr>
              <w:pStyle w:val="TableParagraph"/>
              <w:ind w:left="6"/>
              <w:rPr>
                <w:sz w:val="22"/>
              </w:rPr>
            </w:pPr>
            <w:r>
              <w:rPr>
                <w:sz w:val="22"/>
              </w:rPr>
              <w:t>Hemorrhage</w:t>
            </w:r>
            <w:r>
              <w:rPr>
                <w:spacing w:val="-6"/>
                <w:sz w:val="22"/>
              </w:rPr>
              <w:t> </w:t>
            </w:r>
            <w:r>
              <w:rPr>
                <w:spacing w:val="-2"/>
                <w:sz w:val="22"/>
              </w:rPr>
              <w:t>(important)</w:t>
            </w:r>
          </w:p>
          <w:p>
            <w:pPr>
              <w:pStyle w:val="TableParagraph"/>
              <w:rPr>
                <w:sz w:val="22"/>
              </w:rPr>
            </w:pPr>
          </w:p>
          <w:p>
            <w:pPr>
              <w:pStyle w:val="TableParagraph"/>
              <w:spacing w:before="138"/>
              <w:rPr>
                <w:sz w:val="22"/>
              </w:rPr>
            </w:pPr>
          </w:p>
          <w:p>
            <w:pPr>
              <w:pStyle w:val="TableParagraph"/>
              <w:ind w:left="6"/>
              <w:rPr>
                <w:sz w:val="22"/>
              </w:rPr>
            </w:pPr>
            <w:r>
              <w:rPr>
                <w:sz w:val="22"/>
              </w:rPr>
              <w:t>Mortality</w:t>
            </w:r>
            <w:r>
              <w:rPr>
                <w:spacing w:val="-4"/>
                <w:sz w:val="22"/>
              </w:rPr>
              <w:t> </w:t>
            </w:r>
            <w:r>
              <w:rPr>
                <w:spacing w:val="-2"/>
                <w:sz w:val="22"/>
              </w:rPr>
              <w:t>(important)</w:t>
            </w:r>
          </w:p>
        </w:tc>
        <w:tc>
          <w:tcPr>
            <w:tcW w:w="3829" w:type="dxa"/>
          </w:tcPr>
          <w:p>
            <w:pPr>
              <w:pStyle w:val="TableParagraph"/>
              <w:rPr>
                <w:sz w:val="22"/>
              </w:rPr>
            </w:pPr>
          </w:p>
          <w:p>
            <w:pPr>
              <w:pStyle w:val="TableParagraph"/>
              <w:rPr>
                <w:sz w:val="22"/>
              </w:rPr>
            </w:pPr>
          </w:p>
          <w:p>
            <w:pPr>
              <w:pStyle w:val="TableParagraph"/>
              <w:rPr>
                <w:sz w:val="22"/>
              </w:rPr>
            </w:pPr>
          </w:p>
          <w:p>
            <w:pPr>
              <w:pStyle w:val="TableParagraph"/>
              <w:spacing w:before="26"/>
              <w:rPr>
                <w:sz w:val="22"/>
              </w:rPr>
            </w:pPr>
          </w:p>
          <w:p>
            <w:pPr>
              <w:pStyle w:val="TableParagraph"/>
              <w:ind w:left="6"/>
              <w:rPr>
                <w:sz w:val="22"/>
              </w:rPr>
            </w:pPr>
            <w:r>
              <w:rPr>
                <w:spacing w:val="-10"/>
                <w:sz w:val="22"/>
              </w:rPr>
              <w:t>-</w:t>
            </w:r>
          </w:p>
        </w:tc>
        <w:tc>
          <w:tcPr>
            <w:tcW w:w="3020" w:type="dxa"/>
            <w:gridSpan w:val="2"/>
          </w:tcPr>
          <w:p>
            <w:pPr>
              <w:pStyle w:val="TableParagraph"/>
              <w:rPr>
                <w:sz w:val="22"/>
              </w:rPr>
            </w:pPr>
          </w:p>
          <w:p>
            <w:pPr>
              <w:pStyle w:val="TableParagraph"/>
              <w:rPr>
                <w:sz w:val="22"/>
              </w:rPr>
            </w:pPr>
          </w:p>
          <w:p>
            <w:pPr>
              <w:pStyle w:val="TableParagraph"/>
              <w:rPr>
                <w:sz w:val="22"/>
              </w:rPr>
            </w:pPr>
          </w:p>
          <w:p>
            <w:pPr>
              <w:pStyle w:val="TableParagraph"/>
              <w:spacing w:before="26"/>
              <w:rPr>
                <w:sz w:val="22"/>
              </w:rPr>
            </w:pPr>
          </w:p>
          <w:p>
            <w:pPr>
              <w:pStyle w:val="TableParagraph"/>
              <w:ind w:left="6"/>
              <w:rPr>
                <w:sz w:val="22"/>
              </w:rPr>
            </w:pPr>
            <w:r>
              <w:rPr>
                <w:spacing w:val="-10"/>
                <w:sz w:val="22"/>
              </w:rPr>
              <w:t>-</w:t>
            </w:r>
          </w:p>
        </w:tc>
        <w:tc>
          <w:tcPr>
            <w:tcW w:w="1870" w:type="dxa"/>
          </w:tcPr>
          <w:p>
            <w:pPr>
              <w:pStyle w:val="TableParagraph"/>
              <w:rPr>
                <w:sz w:val="22"/>
              </w:rPr>
            </w:pPr>
          </w:p>
          <w:p>
            <w:pPr>
              <w:pStyle w:val="TableParagraph"/>
              <w:spacing w:before="249"/>
              <w:rPr>
                <w:sz w:val="22"/>
              </w:rPr>
            </w:pPr>
          </w:p>
          <w:p>
            <w:pPr>
              <w:pStyle w:val="TableParagraph"/>
              <w:ind w:left="5"/>
              <w:rPr>
                <w:b/>
                <w:sz w:val="22"/>
              </w:rPr>
            </w:pPr>
            <w:r>
              <w:rPr>
                <w:b/>
                <w:sz w:val="22"/>
              </w:rPr>
              <w:t>No</w:t>
            </w:r>
            <w:r>
              <w:rPr>
                <w:b/>
                <w:spacing w:val="-1"/>
                <w:sz w:val="22"/>
              </w:rPr>
              <w:t> </w:t>
            </w:r>
            <w:r>
              <w:rPr>
                <w:b/>
                <w:spacing w:val="-2"/>
                <w:sz w:val="22"/>
              </w:rPr>
              <w:t>GRADE</w:t>
            </w:r>
          </w:p>
          <w:p>
            <w:pPr>
              <w:pStyle w:val="TableParagraph"/>
              <w:spacing w:line="278" w:lineRule="auto" w:before="46"/>
              <w:ind w:left="5"/>
              <w:rPr>
                <w:sz w:val="22"/>
              </w:rPr>
            </w:pPr>
            <w:r>
              <w:rPr>
                <w:sz w:val="22"/>
              </w:rPr>
              <w:t>(No</w:t>
            </w:r>
            <w:r>
              <w:rPr>
                <w:spacing w:val="-13"/>
                <w:sz w:val="22"/>
              </w:rPr>
              <w:t> </w:t>
            </w:r>
            <w:r>
              <w:rPr>
                <w:sz w:val="22"/>
              </w:rPr>
              <w:t>evidence</w:t>
            </w:r>
            <w:r>
              <w:rPr>
                <w:spacing w:val="-12"/>
                <w:sz w:val="22"/>
              </w:rPr>
              <w:t> </w:t>
            </w:r>
            <w:r>
              <w:rPr>
                <w:sz w:val="22"/>
              </w:rPr>
              <w:t>was </w:t>
            </w:r>
            <w:r>
              <w:rPr>
                <w:spacing w:val="-2"/>
                <w:sz w:val="22"/>
              </w:rPr>
              <w:t>found)</w:t>
            </w:r>
          </w:p>
        </w:tc>
        <w:tc>
          <w:tcPr>
            <w:tcW w:w="2826" w:type="dxa"/>
          </w:tcPr>
          <w:p>
            <w:pPr>
              <w:pStyle w:val="TableParagraph"/>
              <w:spacing w:before="88"/>
              <w:ind w:left="5"/>
              <w:rPr>
                <w:sz w:val="22"/>
              </w:rPr>
            </w:pPr>
            <w:r>
              <w:rPr>
                <w:sz w:val="22"/>
              </w:rPr>
              <w:t>No</w:t>
            </w:r>
            <w:r>
              <w:rPr>
                <w:spacing w:val="-3"/>
                <w:sz w:val="22"/>
              </w:rPr>
              <w:t> </w:t>
            </w:r>
            <w:r>
              <w:rPr>
                <w:sz w:val="22"/>
              </w:rPr>
              <w:t>evidence</w:t>
            </w:r>
            <w:r>
              <w:rPr>
                <w:spacing w:val="-4"/>
                <w:sz w:val="22"/>
              </w:rPr>
              <w:t> </w:t>
            </w:r>
            <w:r>
              <w:rPr>
                <w:spacing w:val="-5"/>
                <w:sz w:val="22"/>
              </w:rPr>
              <w:t>was</w:t>
            </w:r>
          </w:p>
          <w:p>
            <w:pPr>
              <w:pStyle w:val="TableParagraph"/>
              <w:spacing w:line="278" w:lineRule="auto" w:before="43"/>
              <w:ind w:left="5"/>
              <w:rPr>
                <w:sz w:val="22"/>
              </w:rPr>
            </w:pPr>
            <w:r>
              <w:rPr>
                <w:sz w:val="22"/>
              </w:rPr>
              <w:t>found regarding the effect of thromboprophylaxis A on ischemic stroke, hemorrhage, mortality, and quality of life (QOL),</w:t>
            </w:r>
            <w:r>
              <w:rPr>
                <w:spacing w:val="-11"/>
                <w:sz w:val="22"/>
              </w:rPr>
              <w:t> </w:t>
            </w:r>
            <w:r>
              <w:rPr>
                <w:sz w:val="22"/>
              </w:rPr>
              <w:t>when</w:t>
            </w:r>
            <w:r>
              <w:rPr>
                <w:spacing w:val="-11"/>
                <w:sz w:val="22"/>
              </w:rPr>
              <w:t> </w:t>
            </w:r>
            <w:r>
              <w:rPr>
                <w:sz w:val="22"/>
              </w:rPr>
              <w:t>compared</w:t>
            </w:r>
            <w:r>
              <w:rPr>
                <w:spacing w:val="-11"/>
                <w:sz w:val="22"/>
              </w:rPr>
              <w:t> </w:t>
            </w:r>
            <w:r>
              <w:rPr>
                <w:sz w:val="22"/>
              </w:rPr>
              <w:t>with</w:t>
            </w:r>
            <w:r>
              <w:rPr>
                <w:spacing w:val="-12"/>
                <w:sz w:val="22"/>
              </w:rPr>
              <w:t> </w:t>
            </w:r>
            <w:r>
              <w:rPr>
                <w:sz w:val="22"/>
              </w:rPr>
              <w:t>no </w:t>
            </w:r>
            <w:r>
              <w:rPr>
                <w:spacing w:val="-2"/>
                <w:sz w:val="22"/>
              </w:rPr>
              <w:t>thromboprophylaxis/thrombo-</w:t>
            </w:r>
            <w:r>
              <w:rPr>
                <w:sz w:val="22"/>
              </w:rPr>
              <w:t>prophylaxis</w:t>
            </w:r>
            <w:r>
              <w:rPr>
                <w:spacing w:val="-7"/>
                <w:sz w:val="22"/>
              </w:rPr>
              <w:t> </w:t>
            </w:r>
            <w:r>
              <w:rPr>
                <w:sz w:val="22"/>
              </w:rPr>
              <w:t>B</w:t>
            </w:r>
            <w:r>
              <w:rPr>
                <w:spacing w:val="-4"/>
                <w:sz w:val="22"/>
              </w:rPr>
              <w:t> </w:t>
            </w:r>
            <w:r>
              <w:rPr>
                <w:sz w:val="22"/>
              </w:rPr>
              <w:t>in</w:t>
            </w:r>
            <w:r>
              <w:rPr>
                <w:spacing w:val="-4"/>
                <w:sz w:val="22"/>
              </w:rPr>
              <w:t> </w:t>
            </w:r>
            <w:r>
              <w:rPr>
                <w:sz w:val="22"/>
              </w:rPr>
              <w:t>children</w:t>
            </w:r>
            <w:r>
              <w:rPr>
                <w:spacing w:val="-7"/>
                <w:sz w:val="22"/>
              </w:rPr>
              <w:t> </w:t>
            </w:r>
            <w:r>
              <w:rPr>
                <w:sz w:val="22"/>
              </w:rPr>
              <w:t>with</w:t>
            </w:r>
            <w:r>
              <w:rPr>
                <w:spacing w:val="-3"/>
                <w:sz w:val="22"/>
              </w:rPr>
              <w:t> </w:t>
            </w:r>
            <w:r>
              <w:rPr>
                <w:spacing w:val="-10"/>
                <w:sz w:val="22"/>
              </w:rPr>
              <w:t>a</w:t>
            </w:r>
          </w:p>
        </w:tc>
      </w:tr>
    </w:tbl>
    <w:p>
      <w:pPr>
        <w:pStyle w:val="TableParagraph"/>
        <w:spacing w:after="0" w:line="278" w:lineRule="auto"/>
        <w:rPr>
          <w:sz w:val="22"/>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403"/>
        <w:gridCol w:w="3829"/>
        <w:gridCol w:w="3020"/>
        <w:gridCol w:w="1870"/>
        <w:gridCol w:w="2826"/>
      </w:tblGrid>
      <w:tr>
        <w:trPr>
          <w:trHeight w:val="1257" w:hRule="atLeast"/>
        </w:trPr>
        <w:tc>
          <w:tcPr>
            <w:tcW w:w="2403" w:type="dxa"/>
          </w:tcPr>
          <w:p>
            <w:pPr>
              <w:pStyle w:val="TableParagraph"/>
              <w:spacing w:before="203"/>
              <w:rPr>
                <w:sz w:val="22"/>
              </w:rPr>
            </w:pPr>
          </w:p>
          <w:p>
            <w:pPr>
              <w:pStyle w:val="TableParagraph"/>
              <w:spacing w:line="278" w:lineRule="auto"/>
              <w:ind w:left="6"/>
              <w:rPr>
                <w:sz w:val="22"/>
              </w:rPr>
            </w:pPr>
            <w:r>
              <w:rPr>
                <w:sz w:val="22"/>
              </w:rPr>
              <w:t>Quality</w:t>
            </w:r>
            <w:r>
              <w:rPr>
                <w:spacing w:val="-13"/>
                <w:sz w:val="22"/>
              </w:rPr>
              <w:t> </w:t>
            </w:r>
            <w:r>
              <w:rPr>
                <w:sz w:val="22"/>
              </w:rPr>
              <w:t>of</w:t>
            </w:r>
            <w:r>
              <w:rPr>
                <w:spacing w:val="-11"/>
                <w:sz w:val="22"/>
              </w:rPr>
              <w:t> </w:t>
            </w:r>
            <w:r>
              <w:rPr>
                <w:sz w:val="22"/>
              </w:rPr>
              <w:t>life</w:t>
            </w:r>
            <w:r>
              <w:rPr>
                <w:spacing w:val="-12"/>
                <w:sz w:val="22"/>
              </w:rPr>
              <w:t> </w:t>
            </w:r>
            <w:r>
              <w:rPr>
                <w:sz w:val="22"/>
              </w:rPr>
              <w:t>(QOL) </w:t>
            </w:r>
            <w:r>
              <w:rPr>
                <w:spacing w:val="-2"/>
                <w:sz w:val="22"/>
              </w:rPr>
              <w:t>(important)</w:t>
            </w:r>
          </w:p>
        </w:tc>
        <w:tc>
          <w:tcPr>
            <w:tcW w:w="3829" w:type="dxa"/>
          </w:tcPr>
          <w:p>
            <w:pPr>
              <w:pStyle w:val="TableParagraph"/>
              <w:rPr>
                <w:rFonts w:ascii="Times New Roman"/>
                <w:sz w:val="22"/>
              </w:rPr>
            </w:pPr>
          </w:p>
        </w:tc>
        <w:tc>
          <w:tcPr>
            <w:tcW w:w="3020" w:type="dxa"/>
          </w:tcPr>
          <w:p>
            <w:pPr>
              <w:pStyle w:val="TableParagraph"/>
              <w:rPr>
                <w:rFonts w:ascii="Times New Roman"/>
                <w:sz w:val="22"/>
              </w:rPr>
            </w:pPr>
          </w:p>
        </w:tc>
        <w:tc>
          <w:tcPr>
            <w:tcW w:w="1870" w:type="dxa"/>
          </w:tcPr>
          <w:p>
            <w:pPr>
              <w:pStyle w:val="TableParagraph"/>
              <w:rPr>
                <w:rFonts w:ascii="Times New Roman"/>
                <w:sz w:val="22"/>
              </w:rPr>
            </w:pPr>
          </w:p>
        </w:tc>
        <w:tc>
          <w:tcPr>
            <w:tcW w:w="2826" w:type="dxa"/>
          </w:tcPr>
          <w:p>
            <w:pPr>
              <w:pStyle w:val="TableParagraph"/>
              <w:spacing w:line="278" w:lineRule="auto"/>
              <w:ind w:left="5"/>
              <w:rPr>
                <w:sz w:val="22"/>
              </w:rPr>
            </w:pPr>
            <w:r>
              <w:rPr>
                <w:sz w:val="22"/>
              </w:rPr>
              <w:t>treatment</w:t>
            </w:r>
            <w:r>
              <w:rPr>
                <w:spacing w:val="-13"/>
                <w:sz w:val="22"/>
              </w:rPr>
              <w:t> </w:t>
            </w:r>
            <w:r>
              <w:rPr>
                <w:sz w:val="22"/>
              </w:rPr>
              <w:t>indication</w:t>
            </w:r>
            <w:r>
              <w:rPr>
                <w:spacing w:val="-12"/>
                <w:sz w:val="22"/>
              </w:rPr>
              <w:t> </w:t>
            </w:r>
            <w:r>
              <w:rPr>
                <w:sz w:val="22"/>
              </w:rPr>
              <w:t>for </w:t>
            </w:r>
            <w:r>
              <w:rPr>
                <w:spacing w:val="-2"/>
                <w:sz w:val="22"/>
              </w:rPr>
              <w:t>cardiomyopathies</w:t>
            </w:r>
          </w:p>
        </w:tc>
      </w:tr>
    </w:tbl>
    <w:p>
      <w:pPr>
        <w:pStyle w:val="TableParagraph"/>
        <w:spacing w:after="0" w:line="278" w:lineRule="auto"/>
        <w:rPr>
          <w:sz w:val="22"/>
        </w:rPr>
        <w:sectPr>
          <w:pgSz w:w="16840" w:h="11910" w:orient="landscape"/>
          <w:pgMar w:top="1340" w:bottom="280" w:left="1417" w:right="992"/>
        </w:sectPr>
      </w:pPr>
    </w:p>
    <w:p>
      <w:pPr>
        <w:pStyle w:val="ListParagraph"/>
        <w:numPr>
          <w:ilvl w:val="0"/>
          <w:numId w:val="1"/>
        </w:numPr>
        <w:tabs>
          <w:tab w:pos="240" w:val="left" w:leader="none"/>
        </w:tabs>
        <w:spacing w:line="276" w:lineRule="auto" w:before="93" w:after="0"/>
        <w:ind w:left="23" w:right="478" w:firstLine="0"/>
        <w:jc w:val="left"/>
        <w:rPr>
          <w:i/>
          <w:sz w:val="22"/>
        </w:rPr>
      </w:pPr>
      <w:r>
        <w:rPr>
          <w:i/>
          <w:sz w:val="22"/>
        </w:rPr>
        <w:t>Clinical</w:t>
      </w:r>
      <w:r>
        <w:rPr>
          <w:i/>
          <w:spacing w:val="-2"/>
          <w:sz w:val="22"/>
        </w:rPr>
        <w:t> </w:t>
      </w:r>
      <w:r>
        <w:rPr>
          <w:i/>
          <w:sz w:val="22"/>
        </w:rPr>
        <w:t>question:</w:t>
      </w:r>
      <w:r>
        <w:rPr>
          <w:i/>
          <w:spacing w:val="-4"/>
          <w:sz w:val="22"/>
        </w:rPr>
        <w:t> </w:t>
      </w:r>
      <w:r>
        <w:rPr>
          <w:i/>
          <w:sz w:val="22"/>
        </w:rPr>
        <w:t>What</w:t>
      </w:r>
      <w:r>
        <w:rPr>
          <w:i/>
          <w:spacing w:val="-2"/>
          <w:sz w:val="22"/>
        </w:rPr>
        <w:t> </w:t>
      </w:r>
      <w:r>
        <w:rPr>
          <w:i/>
          <w:sz w:val="22"/>
        </w:rPr>
        <w:t>is</w:t>
      </w:r>
      <w:r>
        <w:rPr>
          <w:i/>
          <w:spacing w:val="-1"/>
          <w:sz w:val="22"/>
        </w:rPr>
        <w:t> </w:t>
      </w:r>
      <w:r>
        <w:rPr>
          <w:i/>
          <w:sz w:val="22"/>
        </w:rPr>
        <w:t>the</w:t>
      </w:r>
      <w:r>
        <w:rPr>
          <w:i/>
          <w:spacing w:val="-4"/>
          <w:sz w:val="22"/>
        </w:rPr>
        <w:t> </w:t>
      </w:r>
      <w:r>
        <w:rPr>
          <w:i/>
          <w:sz w:val="22"/>
        </w:rPr>
        <w:t>recommended</w:t>
      </w:r>
      <w:r>
        <w:rPr>
          <w:i/>
          <w:spacing w:val="-2"/>
          <w:sz w:val="22"/>
        </w:rPr>
        <w:t> </w:t>
      </w:r>
      <w:r>
        <w:rPr>
          <w:i/>
          <w:sz w:val="22"/>
        </w:rPr>
        <w:t>antithrombotic</w:t>
      </w:r>
      <w:r>
        <w:rPr>
          <w:i/>
          <w:spacing w:val="-2"/>
          <w:sz w:val="22"/>
        </w:rPr>
        <w:t> </w:t>
      </w:r>
      <w:r>
        <w:rPr>
          <w:i/>
          <w:sz w:val="22"/>
        </w:rPr>
        <w:t>strategy</w:t>
      </w:r>
      <w:r>
        <w:rPr>
          <w:i/>
          <w:spacing w:val="-2"/>
          <w:sz w:val="22"/>
        </w:rPr>
        <w:t> </w:t>
      </w:r>
      <w:r>
        <w:rPr>
          <w:i/>
          <w:sz w:val="22"/>
        </w:rPr>
        <w:t>for</w:t>
      </w:r>
      <w:r>
        <w:rPr>
          <w:i/>
          <w:spacing w:val="-1"/>
          <w:sz w:val="22"/>
        </w:rPr>
        <w:t> </w:t>
      </w:r>
      <w:r>
        <w:rPr>
          <w:i/>
          <w:sz w:val="22"/>
        </w:rPr>
        <w:t>primary</w:t>
      </w:r>
      <w:r>
        <w:rPr>
          <w:i/>
          <w:spacing w:val="-2"/>
          <w:sz w:val="22"/>
        </w:rPr>
        <w:t> </w:t>
      </w:r>
      <w:r>
        <w:rPr>
          <w:i/>
          <w:sz w:val="22"/>
        </w:rPr>
        <w:t>thrombosis</w:t>
      </w:r>
      <w:r>
        <w:rPr>
          <w:i/>
          <w:spacing w:val="-4"/>
          <w:sz w:val="22"/>
        </w:rPr>
        <w:t> </w:t>
      </w:r>
      <w:r>
        <w:rPr>
          <w:i/>
          <w:sz w:val="22"/>
        </w:rPr>
        <w:t>prevention</w:t>
      </w:r>
      <w:r>
        <w:rPr>
          <w:i/>
          <w:spacing w:val="-3"/>
          <w:sz w:val="22"/>
        </w:rPr>
        <w:t> </w:t>
      </w:r>
      <w:r>
        <w:rPr>
          <w:i/>
          <w:sz w:val="22"/>
        </w:rPr>
        <w:t>in</w:t>
      </w:r>
      <w:r>
        <w:rPr>
          <w:i/>
          <w:spacing w:val="-5"/>
          <w:sz w:val="22"/>
        </w:rPr>
        <w:t> </w:t>
      </w:r>
      <w:r>
        <w:rPr>
          <w:i/>
          <w:sz w:val="22"/>
        </w:rPr>
        <w:t>children</w:t>
      </w:r>
      <w:r>
        <w:rPr>
          <w:i/>
          <w:spacing w:val="-2"/>
          <w:sz w:val="22"/>
        </w:rPr>
        <w:t> </w:t>
      </w:r>
      <w:r>
        <w:rPr>
          <w:i/>
          <w:sz w:val="22"/>
        </w:rPr>
        <w:t>after</w:t>
      </w:r>
      <w:r>
        <w:rPr>
          <w:i/>
          <w:spacing w:val="-1"/>
          <w:sz w:val="22"/>
        </w:rPr>
        <w:t> </w:t>
      </w:r>
      <w:r>
        <w:rPr>
          <w:i/>
          <w:sz w:val="22"/>
        </w:rPr>
        <w:t>percutaneous</w:t>
      </w:r>
      <w:r>
        <w:rPr>
          <w:i/>
          <w:spacing w:val="-1"/>
          <w:sz w:val="22"/>
        </w:rPr>
        <w:t> </w:t>
      </w:r>
      <w:r>
        <w:rPr>
          <w:i/>
          <w:sz w:val="22"/>
        </w:rPr>
        <w:t>atrial</w:t>
      </w:r>
      <w:r>
        <w:rPr>
          <w:i/>
          <w:spacing w:val="-2"/>
          <w:sz w:val="22"/>
        </w:rPr>
        <w:t> </w:t>
      </w:r>
      <w:r>
        <w:rPr>
          <w:i/>
          <w:sz w:val="22"/>
        </w:rPr>
        <w:t>or</w:t>
      </w:r>
      <w:r>
        <w:rPr>
          <w:i/>
          <w:spacing w:val="-1"/>
          <w:sz w:val="22"/>
        </w:rPr>
        <w:t> </w:t>
      </w:r>
      <w:r>
        <w:rPr>
          <w:i/>
          <w:sz w:val="22"/>
        </w:rPr>
        <w:t>ventricular</w:t>
      </w:r>
      <w:r>
        <w:rPr>
          <w:i/>
          <w:sz w:val="22"/>
        </w:rPr>
        <w:t> septal defect (ASD or VSD) closure?</w:t>
      </w:r>
    </w:p>
    <w:p>
      <w:pPr>
        <w:pStyle w:val="BodyText"/>
        <w:spacing w:before="160"/>
        <w:ind w:left="23"/>
      </w:pPr>
      <w:r>
        <w:rPr/>
        <w:t>A</w:t>
      </w:r>
      <w:r>
        <w:rPr>
          <w:spacing w:val="-5"/>
        </w:rPr>
        <w:t> </w:t>
      </w:r>
      <w:r>
        <w:rPr/>
        <w:t>systematic</w:t>
      </w:r>
      <w:r>
        <w:rPr>
          <w:spacing w:val="-3"/>
        </w:rPr>
        <w:t> </w:t>
      </w:r>
      <w:r>
        <w:rPr/>
        <w:t>review</w:t>
      </w:r>
      <w:r>
        <w:rPr>
          <w:spacing w:val="-5"/>
        </w:rPr>
        <w:t> </w:t>
      </w:r>
      <w:r>
        <w:rPr/>
        <w:t>of</w:t>
      </w:r>
      <w:r>
        <w:rPr>
          <w:spacing w:val="-5"/>
        </w:rPr>
        <w:t> </w:t>
      </w:r>
      <w:r>
        <w:rPr/>
        <w:t>the</w:t>
      </w:r>
      <w:r>
        <w:rPr>
          <w:spacing w:val="-5"/>
        </w:rPr>
        <w:t> </w:t>
      </w:r>
      <w:r>
        <w:rPr/>
        <w:t>literature</w:t>
      </w:r>
      <w:r>
        <w:rPr>
          <w:spacing w:val="-5"/>
        </w:rPr>
        <w:t> </w:t>
      </w:r>
      <w:r>
        <w:rPr/>
        <w:t>was</w:t>
      </w:r>
      <w:r>
        <w:rPr>
          <w:spacing w:val="-6"/>
        </w:rPr>
        <w:t> </w:t>
      </w:r>
      <w:r>
        <w:rPr/>
        <w:t>performed</w:t>
      </w:r>
      <w:r>
        <w:rPr>
          <w:spacing w:val="-3"/>
        </w:rPr>
        <w:t> </w:t>
      </w:r>
      <w:r>
        <w:rPr/>
        <w:t>to</w:t>
      </w:r>
      <w:r>
        <w:rPr>
          <w:spacing w:val="-2"/>
        </w:rPr>
        <w:t> </w:t>
      </w:r>
      <w:r>
        <w:rPr/>
        <w:t>answer</w:t>
      </w:r>
      <w:r>
        <w:rPr>
          <w:spacing w:val="-3"/>
        </w:rPr>
        <w:t> </w:t>
      </w:r>
      <w:r>
        <w:rPr/>
        <w:t>the</w:t>
      </w:r>
      <w:r>
        <w:rPr>
          <w:spacing w:val="-3"/>
        </w:rPr>
        <w:t> </w:t>
      </w:r>
      <w:r>
        <w:rPr/>
        <w:t>following</w:t>
      </w:r>
      <w:r>
        <w:rPr>
          <w:spacing w:val="-4"/>
        </w:rPr>
        <w:t> </w:t>
      </w:r>
      <w:r>
        <w:rPr>
          <w:spacing w:val="-2"/>
        </w:rPr>
        <w:t>question:</w:t>
      </w:r>
    </w:p>
    <w:p>
      <w:pPr>
        <w:pStyle w:val="BodyText"/>
        <w:spacing w:line="278" w:lineRule="auto" w:before="43"/>
        <w:ind w:left="23"/>
      </w:pPr>
      <w:r>
        <w:rPr/>
        <w:t>What</w:t>
      </w:r>
      <w:r>
        <w:rPr>
          <w:spacing w:val="-1"/>
        </w:rPr>
        <w:t> </w:t>
      </w:r>
      <w:r>
        <w:rPr/>
        <w:t>are</w:t>
      </w:r>
      <w:r>
        <w:rPr>
          <w:spacing w:val="-3"/>
        </w:rPr>
        <w:t> </w:t>
      </w:r>
      <w:r>
        <w:rPr/>
        <w:t>the</w:t>
      </w:r>
      <w:r>
        <w:rPr>
          <w:spacing w:val="-3"/>
        </w:rPr>
        <w:t> </w:t>
      </w:r>
      <w:r>
        <w:rPr/>
        <w:t>favorable</w:t>
      </w:r>
      <w:r>
        <w:rPr>
          <w:spacing w:val="-3"/>
        </w:rPr>
        <w:t> </w:t>
      </w:r>
      <w:r>
        <w:rPr/>
        <w:t>and</w:t>
      </w:r>
      <w:r>
        <w:rPr>
          <w:spacing w:val="-2"/>
        </w:rPr>
        <w:t> </w:t>
      </w:r>
      <w:r>
        <w:rPr/>
        <w:t>unfavorable</w:t>
      </w:r>
      <w:r>
        <w:rPr>
          <w:spacing w:val="-4"/>
        </w:rPr>
        <w:t> </w:t>
      </w:r>
      <w:r>
        <w:rPr/>
        <w:t>effects</w:t>
      </w:r>
      <w:r>
        <w:rPr>
          <w:spacing w:val="-3"/>
        </w:rPr>
        <w:t> </w:t>
      </w:r>
      <w:r>
        <w:rPr/>
        <w:t>of</w:t>
      </w:r>
      <w:r>
        <w:rPr>
          <w:spacing w:val="-3"/>
        </w:rPr>
        <w:t> </w:t>
      </w:r>
      <w:r>
        <w:rPr/>
        <w:t>the</w:t>
      </w:r>
      <w:r>
        <w:rPr>
          <w:spacing w:val="-1"/>
        </w:rPr>
        <w:t> </w:t>
      </w:r>
      <w:r>
        <w:rPr/>
        <w:t>use</w:t>
      </w:r>
      <w:r>
        <w:rPr>
          <w:spacing w:val="-3"/>
        </w:rPr>
        <w:t> </w:t>
      </w:r>
      <w:r>
        <w:rPr/>
        <w:t>of</w:t>
      </w:r>
      <w:r>
        <w:rPr>
          <w:spacing w:val="-3"/>
        </w:rPr>
        <w:t> </w:t>
      </w:r>
      <w:r>
        <w:rPr/>
        <w:t>thromboprophylaxis</w:t>
      </w:r>
      <w:r>
        <w:rPr>
          <w:spacing w:val="-1"/>
        </w:rPr>
        <w:t> </w:t>
      </w:r>
      <w:r>
        <w:rPr/>
        <w:t>A</w:t>
      </w:r>
      <w:r>
        <w:rPr>
          <w:spacing w:val="-1"/>
        </w:rPr>
        <w:t> </w:t>
      </w:r>
      <w:r>
        <w:rPr/>
        <w:t>compared</w:t>
      </w:r>
      <w:r>
        <w:rPr>
          <w:spacing w:val="-1"/>
        </w:rPr>
        <w:t> </w:t>
      </w:r>
      <w:r>
        <w:rPr/>
        <w:t>with</w:t>
      </w:r>
      <w:r>
        <w:rPr>
          <w:spacing w:val="-5"/>
        </w:rPr>
        <w:t> </w:t>
      </w:r>
      <w:r>
        <w:rPr/>
        <w:t>the</w:t>
      </w:r>
      <w:r>
        <w:rPr>
          <w:spacing w:val="-1"/>
        </w:rPr>
        <w:t> </w:t>
      </w:r>
      <w:r>
        <w:rPr/>
        <w:t>use</w:t>
      </w:r>
      <w:r>
        <w:rPr>
          <w:spacing w:val="-3"/>
        </w:rPr>
        <w:t> </w:t>
      </w:r>
      <w:r>
        <w:rPr/>
        <w:t>of</w:t>
      </w:r>
      <w:r>
        <w:rPr>
          <w:spacing w:val="-3"/>
        </w:rPr>
        <w:t> </w:t>
      </w:r>
      <w:r>
        <w:rPr/>
        <w:t>thromboprophylaxis B</w:t>
      </w:r>
      <w:r>
        <w:rPr>
          <w:spacing w:val="-1"/>
        </w:rPr>
        <w:t> </w:t>
      </w:r>
      <w:r>
        <w:rPr/>
        <w:t>for</w:t>
      </w:r>
      <w:r>
        <w:rPr>
          <w:spacing w:val="-1"/>
        </w:rPr>
        <w:t> </w:t>
      </w:r>
      <w:r>
        <w:rPr/>
        <w:t>children</w:t>
      </w:r>
      <w:r>
        <w:rPr>
          <w:spacing w:val="-4"/>
        </w:rPr>
        <w:t> </w:t>
      </w:r>
      <w:r>
        <w:rPr/>
        <w:t>with</w:t>
      </w:r>
      <w:r>
        <w:rPr>
          <w:spacing w:val="-1"/>
        </w:rPr>
        <w:t> </w:t>
      </w:r>
      <w:r>
        <w:rPr/>
        <w:t>an indication for post-device closures (ASD/VSD)?</w:t>
      </w:r>
    </w:p>
    <w:p>
      <w:pPr>
        <w:pStyle w:val="BodyText"/>
        <w:spacing w:before="203"/>
      </w:pPr>
    </w:p>
    <w:p>
      <w:pPr>
        <w:pStyle w:val="BodyText"/>
        <w:ind w:left="23"/>
      </w:pPr>
      <w:r>
        <w:rPr/>
        <w:t>PICO</w:t>
      </w:r>
      <w:r>
        <w:rPr>
          <w:spacing w:val="-3"/>
        </w:rPr>
        <w:t> </w:t>
      </w:r>
      <w:r>
        <w:rPr/>
        <w:t>used</w:t>
      </w:r>
      <w:r>
        <w:rPr>
          <w:spacing w:val="-2"/>
        </w:rPr>
        <w:t> </w:t>
      </w:r>
      <w:r>
        <w:rPr/>
        <w:t>for</w:t>
      </w:r>
      <w:r>
        <w:rPr>
          <w:spacing w:val="-5"/>
        </w:rPr>
        <w:t> </w:t>
      </w:r>
      <w:r>
        <w:rPr/>
        <w:t>this</w:t>
      </w:r>
      <w:r>
        <w:rPr>
          <w:spacing w:val="-2"/>
        </w:rPr>
        <w:t> question:</w:t>
      </w:r>
    </w:p>
    <w:p>
      <w:pPr>
        <w:pStyle w:val="BodyText"/>
        <w:spacing w:before="6"/>
        <w:rPr>
          <w:sz w:val="14"/>
        </w:rPr>
      </w:pPr>
      <w:r>
        <w:rPr>
          <w:sz w:val="14"/>
        </w:rPr>
        <mc:AlternateContent>
          <mc:Choice Requires="wps">
            <w:drawing>
              <wp:anchor distT="0" distB="0" distL="0" distR="0" allowOverlap="1" layoutInCell="1" locked="0" behindDoc="1" simplePos="0" relativeHeight="487600640">
                <wp:simplePos x="0" y="0"/>
                <wp:positionH relativeFrom="page">
                  <wp:posOffset>914400</wp:posOffset>
                </wp:positionH>
                <wp:positionV relativeFrom="paragraph">
                  <wp:posOffset>127770</wp:posOffset>
                </wp:positionV>
                <wp:extent cx="5648960" cy="9525"/>
                <wp:effectExtent l="0" t="0" r="0" b="0"/>
                <wp:wrapTopAndBottom/>
                <wp:docPr id="34" name="Graphic 34"/>
                <wp:cNvGraphicFramePr>
                  <a:graphicFrameLocks/>
                </wp:cNvGraphicFramePr>
                <a:graphic>
                  <a:graphicData uri="http://schemas.microsoft.com/office/word/2010/wordprocessingShape">
                    <wps:wsp>
                      <wps:cNvPr id="34" name="Graphic 34"/>
                      <wps:cNvSpPr/>
                      <wps:spPr>
                        <a:xfrm>
                          <a:off x="0" y="0"/>
                          <a:ext cx="5648960" cy="9525"/>
                        </a:xfrm>
                        <a:custGeom>
                          <a:avLst/>
                          <a:gdLst/>
                          <a:ahLst/>
                          <a:cxnLst/>
                          <a:rect l="l" t="t" r="r" b="b"/>
                          <a:pathLst>
                            <a:path w="5648960" h="9525">
                              <a:moveTo>
                                <a:pt x="5648820" y="0"/>
                              </a:moveTo>
                              <a:lnTo>
                                <a:pt x="1694942" y="0"/>
                              </a:lnTo>
                              <a:lnTo>
                                <a:pt x="1685798" y="0"/>
                              </a:lnTo>
                              <a:lnTo>
                                <a:pt x="0" y="0"/>
                              </a:lnTo>
                              <a:lnTo>
                                <a:pt x="0" y="9144"/>
                              </a:lnTo>
                              <a:lnTo>
                                <a:pt x="1685798" y="9144"/>
                              </a:lnTo>
                              <a:lnTo>
                                <a:pt x="1694942" y="9144"/>
                              </a:lnTo>
                              <a:lnTo>
                                <a:pt x="5648820" y="9144"/>
                              </a:lnTo>
                              <a:lnTo>
                                <a:pt x="5648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060645pt;width:444.8pt;height:.75pt;mso-position-horizontal-relative:page;mso-position-vertical-relative:paragraph;z-index:-15715840;mso-wrap-distance-left:0;mso-wrap-distance-right:0" id="docshape34" coordorigin="1440,201" coordsize="8896,15" path="m10336,201l4109,201,4095,201,1440,201,1440,216,4095,216,4109,216,10336,216,10336,201xe" filled="true" fillcolor="#000000" stroked="false">
                <v:path arrowok="t"/>
                <v:fill type="solid"/>
                <w10:wrap type="topAndBottom"/>
              </v:shape>
            </w:pict>
          </mc:Fallback>
        </mc:AlternateContent>
      </w:r>
    </w:p>
    <w:p>
      <w:pPr>
        <w:pStyle w:val="BodyText"/>
        <w:tabs>
          <w:tab w:pos="2783" w:val="left" w:leader="none"/>
        </w:tabs>
        <w:ind w:left="128"/>
      </w:pPr>
      <w:r>
        <w:rPr>
          <w:spacing w:val="-2"/>
        </w:rPr>
        <w:t>Patients</w:t>
      </w:r>
      <w:r>
        <w:rPr/>
        <w:tab/>
        <w:t>Children</w:t>
      </w:r>
      <w:r>
        <w:rPr>
          <w:spacing w:val="-5"/>
        </w:rPr>
        <w:t> </w:t>
      </w:r>
      <w:r>
        <w:rPr/>
        <w:t>with</w:t>
      </w:r>
      <w:r>
        <w:rPr>
          <w:spacing w:val="-4"/>
        </w:rPr>
        <w:t> </w:t>
      </w:r>
      <w:r>
        <w:rPr/>
        <w:t>indication</w:t>
      </w:r>
      <w:r>
        <w:rPr>
          <w:spacing w:val="-6"/>
        </w:rPr>
        <w:t> </w:t>
      </w:r>
      <w:r>
        <w:rPr/>
        <w:t>for</w:t>
      </w:r>
      <w:r>
        <w:rPr>
          <w:spacing w:val="-7"/>
        </w:rPr>
        <w:t> </w:t>
      </w:r>
      <w:r>
        <w:rPr/>
        <w:t>post-device</w:t>
      </w:r>
      <w:r>
        <w:rPr>
          <w:spacing w:val="-5"/>
        </w:rPr>
        <w:t> </w:t>
      </w:r>
      <w:r>
        <w:rPr/>
        <w:t>closures</w:t>
      </w:r>
      <w:r>
        <w:rPr>
          <w:spacing w:val="-6"/>
        </w:rPr>
        <w:t> </w:t>
      </w:r>
      <w:r>
        <w:rPr>
          <w:spacing w:val="-2"/>
        </w:rPr>
        <w:t>(ASD/VSD)</w:t>
      </w:r>
    </w:p>
    <w:p>
      <w:pPr>
        <w:pStyle w:val="BodyText"/>
        <w:spacing w:before="6"/>
        <w:rPr>
          <w:sz w:val="14"/>
        </w:rPr>
      </w:pPr>
      <w:r>
        <w:rPr>
          <w:sz w:val="14"/>
        </w:rPr>
        <mc:AlternateContent>
          <mc:Choice Requires="wps">
            <w:drawing>
              <wp:anchor distT="0" distB="0" distL="0" distR="0" allowOverlap="1" layoutInCell="1" locked="0" behindDoc="1" simplePos="0" relativeHeight="487601152">
                <wp:simplePos x="0" y="0"/>
                <wp:positionH relativeFrom="page">
                  <wp:posOffset>914400</wp:posOffset>
                </wp:positionH>
                <wp:positionV relativeFrom="paragraph">
                  <wp:posOffset>128171</wp:posOffset>
                </wp:positionV>
                <wp:extent cx="5648960" cy="9525"/>
                <wp:effectExtent l="0" t="0" r="0" b="0"/>
                <wp:wrapTopAndBottom/>
                <wp:docPr id="35" name="Graphic 35"/>
                <wp:cNvGraphicFramePr>
                  <a:graphicFrameLocks/>
                </wp:cNvGraphicFramePr>
                <a:graphic>
                  <a:graphicData uri="http://schemas.microsoft.com/office/word/2010/wordprocessingShape">
                    <wps:wsp>
                      <wps:cNvPr id="35" name="Graphic 35"/>
                      <wps:cNvSpPr/>
                      <wps:spPr>
                        <a:xfrm>
                          <a:off x="0" y="0"/>
                          <a:ext cx="5648960" cy="9525"/>
                        </a:xfrm>
                        <a:custGeom>
                          <a:avLst/>
                          <a:gdLst/>
                          <a:ahLst/>
                          <a:cxnLst/>
                          <a:rect l="l" t="t" r="r" b="b"/>
                          <a:pathLst>
                            <a:path w="5648960" h="9525">
                              <a:moveTo>
                                <a:pt x="5648820" y="0"/>
                              </a:moveTo>
                              <a:lnTo>
                                <a:pt x="1694942" y="0"/>
                              </a:lnTo>
                              <a:lnTo>
                                <a:pt x="1685798" y="0"/>
                              </a:lnTo>
                              <a:lnTo>
                                <a:pt x="0" y="0"/>
                              </a:lnTo>
                              <a:lnTo>
                                <a:pt x="0" y="9144"/>
                              </a:lnTo>
                              <a:lnTo>
                                <a:pt x="1685798" y="9144"/>
                              </a:lnTo>
                              <a:lnTo>
                                <a:pt x="1694942" y="9144"/>
                              </a:lnTo>
                              <a:lnTo>
                                <a:pt x="5648820" y="9144"/>
                              </a:lnTo>
                              <a:lnTo>
                                <a:pt x="5648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092248pt;width:444.8pt;height:.75pt;mso-position-horizontal-relative:page;mso-position-vertical-relative:paragraph;z-index:-15715328;mso-wrap-distance-left:0;mso-wrap-distance-right:0" id="docshape35" coordorigin="1440,202" coordsize="8896,15" path="m10336,202l4109,202,4095,202,1440,202,1440,216,4095,216,4109,216,10336,216,10336,202xe" filled="true" fillcolor="#000000" stroked="false">
                <v:path arrowok="t"/>
                <v:fill type="solid"/>
                <w10:wrap type="topAndBottom"/>
              </v:shape>
            </w:pict>
          </mc:Fallback>
        </mc:AlternateContent>
      </w:r>
    </w:p>
    <w:p>
      <w:pPr>
        <w:pStyle w:val="BodyText"/>
        <w:tabs>
          <w:tab w:pos="2783" w:val="left" w:leader="none"/>
        </w:tabs>
        <w:ind w:left="128"/>
      </w:pPr>
      <w:r>
        <w:rPr>
          <w:spacing w:val="-2"/>
        </w:rPr>
        <w:t>Intervention</w:t>
      </w:r>
      <w:r>
        <w:rPr/>
        <w:tab/>
      </w:r>
      <w:r>
        <w:rPr>
          <w:spacing w:val="-2"/>
        </w:rPr>
        <w:t>Thromboprophylaxis</w:t>
      </w:r>
      <w:r>
        <w:rPr>
          <w:spacing w:val="17"/>
        </w:rPr>
        <w:t> </w:t>
      </w:r>
      <w:r>
        <w:rPr>
          <w:spacing w:val="-5"/>
        </w:rPr>
        <w:t>A:</w:t>
      </w:r>
    </w:p>
    <w:p>
      <w:pPr>
        <w:pStyle w:val="ListParagraph"/>
        <w:numPr>
          <w:ilvl w:val="1"/>
          <w:numId w:val="1"/>
        </w:numPr>
        <w:tabs>
          <w:tab w:pos="3287" w:val="left" w:leader="none"/>
        </w:tabs>
        <w:spacing w:line="240" w:lineRule="auto" w:before="199" w:after="0"/>
        <w:ind w:left="3287" w:right="0" w:hanging="425"/>
        <w:jc w:val="left"/>
        <w:rPr>
          <w:rFonts w:ascii="Symbol" w:hAnsi="Symbol"/>
          <w:sz w:val="22"/>
        </w:rPr>
      </w:pPr>
      <w:r>
        <w:rPr>
          <w:sz w:val="22"/>
        </w:rPr>
        <w:t>DOACs</w:t>
      </w:r>
      <w:r>
        <w:rPr>
          <w:spacing w:val="-11"/>
          <w:sz w:val="22"/>
        </w:rPr>
        <w:t> </w:t>
      </w:r>
      <w:r>
        <w:rPr>
          <w:sz w:val="22"/>
        </w:rPr>
        <w:t>(apixaban,</w:t>
      </w:r>
      <w:r>
        <w:rPr>
          <w:spacing w:val="-8"/>
          <w:sz w:val="22"/>
        </w:rPr>
        <w:t> </w:t>
      </w:r>
      <w:r>
        <w:rPr>
          <w:sz w:val="22"/>
        </w:rPr>
        <w:t>rivaroxaban,</w:t>
      </w:r>
      <w:r>
        <w:rPr>
          <w:spacing w:val="-7"/>
          <w:sz w:val="22"/>
        </w:rPr>
        <w:t> </w:t>
      </w:r>
      <w:r>
        <w:rPr>
          <w:spacing w:val="-2"/>
          <w:sz w:val="22"/>
        </w:rPr>
        <w:t>edoxaban)</w:t>
      </w:r>
    </w:p>
    <w:p>
      <w:pPr>
        <w:pStyle w:val="ListParagraph"/>
        <w:numPr>
          <w:ilvl w:val="1"/>
          <w:numId w:val="1"/>
        </w:numPr>
        <w:tabs>
          <w:tab w:pos="3287" w:val="left" w:leader="none"/>
        </w:tabs>
        <w:spacing w:line="273" w:lineRule="auto" w:before="101" w:after="0"/>
        <w:ind w:left="3287" w:right="6679" w:hanging="425"/>
        <w:jc w:val="left"/>
        <w:rPr>
          <w:rFonts w:ascii="Symbol" w:hAnsi="Symbol"/>
          <w:sz w:val="22"/>
        </w:rPr>
      </w:pPr>
      <w:r>
        <w:rPr>
          <w:sz w:val="22"/>
        </w:rPr>
        <w:t>Platelet</w:t>
      </w:r>
      <w:r>
        <w:rPr>
          <w:spacing w:val="-9"/>
          <w:sz w:val="22"/>
        </w:rPr>
        <w:t> </w:t>
      </w:r>
      <w:r>
        <w:rPr>
          <w:sz w:val="22"/>
        </w:rPr>
        <w:t>aggregation</w:t>
      </w:r>
      <w:r>
        <w:rPr>
          <w:spacing w:val="-9"/>
          <w:sz w:val="22"/>
        </w:rPr>
        <w:t> </w:t>
      </w:r>
      <w:r>
        <w:rPr>
          <w:sz w:val="22"/>
        </w:rPr>
        <w:t>inibitors</w:t>
      </w:r>
      <w:r>
        <w:rPr>
          <w:spacing w:val="-9"/>
          <w:sz w:val="22"/>
        </w:rPr>
        <w:t> </w:t>
      </w:r>
      <w:r>
        <w:rPr>
          <w:sz w:val="22"/>
        </w:rPr>
        <w:t>(aspirin,</w:t>
      </w:r>
      <w:r>
        <w:rPr>
          <w:spacing w:val="-9"/>
          <w:sz w:val="22"/>
        </w:rPr>
        <w:t> </w:t>
      </w:r>
      <w:r>
        <w:rPr>
          <w:sz w:val="22"/>
        </w:rPr>
        <w:t>clopidogrel, carbasalate calcium)</w:t>
      </w:r>
    </w:p>
    <w:p>
      <w:pPr>
        <w:pStyle w:val="ListParagraph"/>
        <w:numPr>
          <w:ilvl w:val="1"/>
          <w:numId w:val="1"/>
        </w:numPr>
        <w:tabs>
          <w:tab w:pos="3287" w:val="left" w:leader="none"/>
        </w:tabs>
        <w:spacing w:line="276" w:lineRule="auto" w:before="65" w:after="0"/>
        <w:ind w:left="3287" w:right="6777" w:hanging="425"/>
        <w:jc w:val="left"/>
        <w:rPr>
          <w:rFonts w:ascii="Symbol" w:hAnsi="Symbol"/>
          <w:sz w:val="22"/>
        </w:rPr>
      </w:pPr>
      <w:r>
        <w:rPr>
          <w:sz w:val="22"/>
        </w:rPr>
        <w:t>Vitamin</w:t>
      </w:r>
      <w:r>
        <w:rPr>
          <w:spacing w:val="-11"/>
          <w:sz w:val="22"/>
        </w:rPr>
        <w:t> </w:t>
      </w:r>
      <w:r>
        <w:rPr>
          <w:sz w:val="22"/>
        </w:rPr>
        <w:t>K</w:t>
      </w:r>
      <w:r>
        <w:rPr>
          <w:spacing w:val="-8"/>
          <w:sz w:val="22"/>
        </w:rPr>
        <w:t> </w:t>
      </w:r>
      <w:r>
        <w:rPr>
          <w:sz w:val="22"/>
        </w:rPr>
        <w:t>antagonists</w:t>
      </w:r>
      <w:r>
        <w:rPr>
          <w:spacing w:val="-8"/>
          <w:sz w:val="22"/>
        </w:rPr>
        <w:t> </w:t>
      </w:r>
      <w:r>
        <w:rPr>
          <w:sz w:val="22"/>
        </w:rPr>
        <w:t>(warfarin,</w:t>
      </w:r>
      <w:r>
        <w:rPr>
          <w:spacing w:val="-8"/>
          <w:sz w:val="22"/>
        </w:rPr>
        <w:t> </w:t>
      </w:r>
      <w:r>
        <w:rPr>
          <w:sz w:val="22"/>
        </w:rPr>
        <w:t>acenocoumarol, </w:t>
      </w:r>
      <w:r>
        <w:rPr>
          <w:spacing w:val="-2"/>
          <w:sz w:val="22"/>
        </w:rPr>
        <w:t>fenprocoumon)</w:t>
      </w:r>
    </w:p>
    <w:p>
      <w:pPr>
        <w:pStyle w:val="ListParagraph"/>
        <w:numPr>
          <w:ilvl w:val="1"/>
          <w:numId w:val="1"/>
        </w:numPr>
        <w:tabs>
          <w:tab w:pos="3287" w:val="left" w:leader="none"/>
        </w:tabs>
        <w:spacing w:line="276" w:lineRule="auto" w:before="59" w:after="0"/>
        <w:ind w:left="3287" w:right="6402" w:hanging="425"/>
        <w:jc w:val="left"/>
        <w:rPr>
          <w:rFonts w:ascii="Symbol" w:hAnsi="Symbol"/>
          <w:sz w:val="22"/>
        </w:rPr>
      </w:pPr>
      <w:r>
        <w:rPr>
          <w:rFonts w:ascii="Symbol" w:hAnsi="Symbol"/>
          <w:sz w:val="22"/>
        </w:rPr>
        <mc:AlternateContent>
          <mc:Choice Requires="wps">
            <w:drawing>
              <wp:anchor distT="0" distB="0" distL="0" distR="0" allowOverlap="1" layoutInCell="1" locked="0" behindDoc="1" simplePos="0" relativeHeight="487601664">
                <wp:simplePos x="0" y="0"/>
                <wp:positionH relativeFrom="page">
                  <wp:posOffset>914400</wp:posOffset>
                </wp:positionH>
                <wp:positionV relativeFrom="paragraph">
                  <wp:posOffset>475553</wp:posOffset>
                </wp:positionV>
                <wp:extent cx="5648960" cy="9525"/>
                <wp:effectExtent l="0" t="0" r="0" b="0"/>
                <wp:wrapTopAndBottom/>
                <wp:docPr id="36" name="Graphic 36"/>
                <wp:cNvGraphicFramePr>
                  <a:graphicFrameLocks/>
                </wp:cNvGraphicFramePr>
                <a:graphic>
                  <a:graphicData uri="http://schemas.microsoft.com/office/word/2010/wordprocessingShape">
                    <wps:wsp>
                      <wps:cNvPr id="36" name="Graphic 36"/>
                      <wps:cNvSpPr/>
                      <wps:spPr>
                        <a:xfrm>
                          <a:off x="0" y="0"/>
                          <a:ext cx="5648960" cy="9525"/>
                        </a:xfrm>
                        <a:custGeom>
                          <a:avLst/>
                          <a:gdLst/>
                          <a:ahLst/>
                          <a:cxnLst/>
                          <a:rect l="l" t="t" r="r" b="b"/>
                          <a:pathLst>
                            <a:path w="5648960" h="9525">
                              <a:moveTo>
                                <a:pt x="5648820" y="0"/>
                              </a:moveTo>
                              <a:lnTo>
                                <a:pt x="1694942" y="0"/>
                              </a:lnTo>
                              <a:lnTo>
                                <a:pt x="1685798" y="0"/>
                              </a:lnTo>
                              <a:lnTo>
                                <a:pt x="0" y="0"/>
                              </a:lnTo>
                              <a:lnTo>
                                <a:pt x="0" y="9144"/>
                              </a:lnTo>
                              <a:lnTo>
                                <a:pt x="1685798" y="9144"/>
                              </a:lnTo>
                              <a:lnTo>
                                <a:pt x="1694942" y="9144"/>
                              </a:lnTo>
                              <a:lnTo>
                                <a:pt x="5648820" y="9144"/>
                              </a:lnTo>
                              <a:lnTo>
                                <a:pt x="5648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37.445129pt;width:444.8pt;height:.75pt;mso-position-horizontal-relative:page;mso-position-vertical-relative:paragraph;z-index:-15714816;mso-wrap-distance-left:0;mso-wrap-distance-right:0" id="docshape36" coordorigin="1440,749" coordsize="8896,15" path="m10336,749l4109,749,4095,749,1440,749,1440,763,4095,763,4109,763,10336,763,10336,749xe" filled="true" fillcolor="#000000" stroked="false">
                <v:path arrowok="t"/>
                <v:fill type="solid"/>
                <w10:wrap type="topAndBottom"/>
              </v:shape>
            </w:pict>
          </mc:Fallback>
        </mc:AlternateContent>
      </w:r>
      <w:r>
        <w:rPr>
          <w:sz w:val="22"/>
        </w:rPr>
        <w:t>Low</w:t>
      </w:r>
      <w:r>
        <w:rPr>
          <w:spacing w:val="-8"/>
          <w:sz w:val="22"/>
        </w:rPr>
        <w:t> </w:t>
      </w:r>
      <w:r>
        <w:rPr>
          <w:sz w:val="22"/>
        </w:rPr>
        <w:t>molecular</w:t>
      </w:r>
      <w:r>
        <w:rPr>
          <w:spacing w:val="-9"/>
          <w:sz w:val="22"/>
        </w:rPr>
        <w:t> </w:t>
      </w:r>
      <w:r>
        <w:rPr>
          <w:sz w:val="22"/>
        </w:rPr>
        <w:t>weight</w:t>
      </w:r>
      <w:r>
        <w:rPr>
          <w:spacing w:val="-7"/>
          <w:sz w:val="22"/>
        </w:rPr>
        <w:t> </w:t>
      </w:r>
      <w:r>
        <w:rPr>
          <w:sz w:val="22"/>
        </w:rPr>
        <w:t>heparin</w:t>
      </w:r>
      <w:r>
        <w:rPr>
          <w:spacing w:val="-7"/>
          <w:sz w:val="22"/>
        </w:rPr>
        <w:t> </w:t>
      </w:r>
      <w:r>
        <w:rPr>
          <w:sz w:val="22"/>
        </w:rPr>
        <w:t>(fraxiparin,</w:t>
      </w:r>
      <w:r>
        <w:rPr>
          <w:spacing w:val="-7"/>
          <w:sz w:val="22"/>
        </w:rPr>
        <w:t> </w:t>
      </w:r>
      <w:r>
        <w:rPr>
          <w:sz w:val="22"/>
        </w:rPr>
        <w:t>tinzaparin, enoxaparin, dalteparin)</w:t>
      </w:r>
    </w:p>
    <w:p>
      <w:pPr>
        <w:pStyle w:val="BodyText"/>
        <w:tabs>
          <w:tab w:pos="2783" w:val="left" w:leader="none"/>
        </w:tabs>
        <w:spacing w:before="1"/>
        <w:ind w:left="128"/>
      </w:pPr>
      <w:r>
        <w:rPr>
          <w:spacing w:val="-2"/>
        </w:rPr>
        <w:t>Control</w:t>
      </w:r>
      <w:r>
        <w:rPr/>
        <w:tab/>
      </w:r>
      <w:r>
        <w:rPr>
          <w:spacing w:val="-2"/>
        </w:rPr>
        <w:t>Thromboprophylaxis</w:t>
      </w:r>
      <w:r>
        <w:rPr>
          <w:spacing w:val="17"/>
        </w:rPr>
        <w:t> </w:t>
      </w:r>
      <w:r>
        <w:rPr>
          <w:spacing w:val="-10"/>
        </w:rPr>
        <w:t>B</w:t>
      </w:r>
    </w:p>
    <w:p>
      <w:pPr>
        <w:pStyle w:val="BodyText"/>
        <w:spacing w:before="5"/>
        <w:rPr>
          <w:sz w:val="14"/>
        </w:rPr>
      </w:pPr>
      <w:r>
        <w:rPr>
          <w:sz w:val="14"/>
        </w:rPr>
        <mc:AlternateContent>
          <mc:Choice Requires="wps">
            <w:drawing>
              <wp:anchor distT="0" distB="0" distL="0" distR="0" allowOverlap="1" layoutInCell="1" locked="0" behindDoc="1" simplePos="0" relativeHeight="487602176">
                <wp:simplePos x="0" y="0"/>
                <wp:positionH relativeFrom="page">
                  <wp:posOffset>914400</wp:posOffset>
                </wp:positionH>
                <wp:positionV relativeFrom="paragraph">
                  <wp:posOffset>127536</wp:posOffset>
                </wp:positionV>
                <wp:extent cx="5648960" cy="9525"/>
                <wp:effectExtent l="0" t="0" r="0" b="0"/>
                <wp:wrapTopAndBottom/>
                <wp:docPr id="37" name="Graphic 37"/>
                <wp:cNvGraphicFramePr>
                  <a:graphicFrameLocks/>
                </wp:cNvGraphicFramePr>
                <a:graphic>
                  <a:graphicData uri="http://schemas.microsoft.com/office/word/2010/wordprocessingShape">
                    <wps:wsp>
                      <wps:cNvPr id="37" name="Graphic 37"/>
                      <wps:cNvSpPr/>
                      <wps:spPr>
                        <a:xfrm>
                          <a:off x="0" y="0"/>
                          <a:ext cx="5648960" cy="9525"/>
                        </a:xfrm>
                        <a:custGeom>
                          <a:avLst/>
                          <a:gdLst/>
                          <a:ahLst/>
                          <a:cxnLst/>
                          <a:rect l="l" t="t" r="r" b="b"/>
                          <a:pathLst>
                            <a:path w="5648960" h="9525">
                              <a:moveTo>
                                <a:pt x="5648820" y="0"/>
                              </a:moveTo>
                              <a:lnTo>
                                <a:pt x="1694942" y="0"/>
                              </a:lnTo>
                              <a:lnTo>
                                <a:pt x="1685798" y="0"/>
                              </a:lnTo>
                              <a:lnTo>
                                <a:pt x="0" y="0"/>
                              </a:lnTo>
                              <a:lnTo>
                                <a:pt x="0" y="9144"/>
                              </a:lnTo>
                              <a:lnTo>
                                <a:pt x="1685798" y="9144"/>
                              </a:lnTo>
                              <a:lnTo>
                                <a:pt x="1694942" y="9144"/>
                              </a:lnTo>
                              <a:lnTo>
                                <a:pt x="5648820" y="9144"/>
                              </a:lnTo>
                              <a:lnTo>
                                <a:pt x="5648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042256pt;width:444.8pt;height:.75pt;mso-position-horizontal-relative:page;mso-position-vertical-relative:paragraph;z-index:-15714304;mso-wrap-distance-left:0;mso-wrap-distance-right:0" id="docshape37" coordorigin="1440,201" coordsize="8896,15" path="m10336,201l4109,201,4095,201,1440,201,1440,215,4095,215,4109,215,10336,215,10336,201xe" filled="true" fillcolor="#000000" stroked="false">
                <v:path arrowok="t"/>
                <v:fill type="solid"/>
                <w10:wrap type="topAndBottom"/>
              </v:shape>
            </w:pict>
          </mc:Fallback>
        </mc:AlternateContent>
      </w:r>
    </w:p>
    <w:p>
      <w:pPr>
        <w:pStyle w:val="BodyText"/>
        <w:tabs>
          <w:tab w:pos="2783" w:val="left" w:leader="none"/>
        </w:tabs>
        <w:spacing w:line="276" w:lineRule="auto"/>
        <w:ind w:left="2783" w:right="5786" w:hanging="2655"/>
      </w:pPr>
      <w:r>
        <w:rPr>
          <w:spacing w:val="-2"/>
        </w:rPr>
        <w:t>Outcomes</w:t>
      </w:r>
      <w:r>
        <w:rPr/>
        <w:tab/>
        <w:t>Ischemic stroke, thrombotic complication (including pulmonary embolism),</w:t>
      </w:r>
      <w:r>
        <w:rPr>
          <w:spacing w:val="-7"/>
        </w:rPr>
        <w:t> </w:t>
      </w:r>
      <w:r>
        <w:rPr/>
        <w:t>hemorrhage</w:t>
      </w:r>
      <w:r>
        <w:rPr>
          <w:spacing w:val="-7"/>
        </w:rPr>
        <w:t> </w:t>
      </w:r>
      <w:r>
        <w:rPr/>
        <w:t>(including</w:t>
      </w:r>
      <w:r>
        <w:rPr>
          <w:spacing w:val="-8"/>
        </w:rPr>
        <w:t> </w:t>
      </w:r>
      <w:r>
        <w:rPr/>
        <w:t>intracranial),</w:t>
      </w:r>
      <w:r>
        <w:rPr>
          <w:spacing w:val="-9"/>
        </w:rPr>
        <w:t> </w:t>
      </w:r>
      <w:r>
        <w:rPr/>
        <w:t>mortality,</w:t>
      </w:r>
      <w:r>
        <w:rPr>
          <w:spacing w:val="-7"/>
        </w:rPr>
        <w:t> </w:t>
      </w:r>
      <w:r>
        <w:rPr/>
        <w:t>quality of life (QOL), adverse effects (including pain post injection).</w:t>
      </w:r>
    </w:p>
    <w:p>
      <w:pPr>
        <w:pStyle w:val="BodyText"/>
        <w:spacing w:before="2"/>
        <w:rPr>
          <w:sz w:val="11"/>
        </w:rPr>
      </w:pPr>
      <w:r>
        <w:rPr>
          <w:sz w:val="11"/>
        </w:rPr>
        <mc:AlternateContent>
          <mc:Choice Requires="wps">
            <w:drawing>
              <wp:anchor distT="0" distB="0" distL="0" distR="0" allowOverlap="1" layoutInCell="1" locked="0" behindDoc="1" simplePos="0" relativeHeight="487602688">
                <wp:simplePos x="0" y="0"/>
                <wp:positionH relativeFrom="page">
                  <wp:posOffset>905256</wp:posOffset>
                </wp:positionH>
                <wp:positionV relativeFrom="paragraph">
                  <wp:posOffset>102035</wp:posOffset>
                </wp:positionV>
                <wp:extent cx="5658485" cy="9525"/>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5658485" cy="9525"/>
                        </a:xfrm>
                        <a:custGeom>
                          <a:avLst/>
                          <a:gdLst/>
                          <a:ahLst/>
                          <a:cxnLst/>
                          <a:rect l="l" t="t" r="r" b="b"/>
                          <a:pathLst>
                            <a:path w="5658485" h="9525">
                              <a:moveTo>
                                <a:pt x="5657964" y="0"/>
                              </a:moveTo>
                              <a:lnTo>
                                <a:pt x="1694942" y="0"/>
                              </a:lnTo>
                              <a:lnTo>
                                <a:pt x="1685798" y="0"/>
                              </a:lnTo>
                              <a:lnTo>
                                <a:pt x="0" y="0"/>
                              </a:lnTo>
                              <a:lnTo>
                                <a:pt x="0" y="9144"/>
                              </a:lnTo>
                              <a:lnTo>
                                <a:pt x="1685798" y="9144"/>
                              </a:lnTo>
                              <a:lnTo>
                                <a:pt x="1694942" y="9144"/>
                              </a:lnTo>
                              <a:lnTo>
                                <a:pt x="5657964" y="9144"/>
                              </a:lnTo>
                              <a:lnTo>
                                <a:pt x="56579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1.280006pt;margin-top:8.034309pt;width:445.55pt;height:.75pt;mso-position-horizontal-relative:page;mso-position-vertical-relative:paragraph;z-index:-15713792;mso-wrap-distance-left:0;mso-wrap-distance-right:0" id="docshape38" coordorigin="1426,161" coordsize="8911,15" path="m10336,161l4095,161,4080,161,1426,161,1426,175,4080,175,4095,175,10336,175,10336,161xe" filled="true" fillcolor="#000000" stroked="false">
                <v:path arrowok="t"/>
                <v:fill type="solid"/>
                <w10:wrap type="topAndBottom"/>
              </v:shape>
            </w:pict>
          </mc:Fallback>
        </mc:AlternateContent>
      </w:r>
    </w:p>
    <w:p>
      <w:pPr>
        <w:pStyle w:val="BodyText"/>
        <w:spacing w:before="232"/>
      </w:pPr>
    </w:p>
    <w:p>
      <w:pPr>
        <w:pStyle w:val="BodyText"/>
        <w:spacing w:before="1"/>
        <w:ind w:left="23"/>
      </w:pPr>
      <w:r>
        <w:rPr>
          <w:u w:val="single"/>
        </w:rPr>
        <w:t>Relevant</w:t>
      </w:r>
      <w:r>
        <w:rPr>
          <w:spacing w:val="-6"/>
          <w:u w:val="single"/>
        </w:rPr>
        <w:t> </w:t>
      </w:r>
      <w:r>
        <w:rPr>
          <w:u w:val="single"/>
        </w:rPr>
        <w:t>outcome</w:t>
      </w:r>
      <w:r>
        <w:rPr>
          <w:spacing w:val="-5"/>
          <w:u w:val="single"/>
        </w:rPr>
        <w:t> </w:t>
      </w:r>
      <w:r>
        <w:rPr>
          <w:spacing w:val="-2"/>
          <w:u w:val="single"/>
        </w:rPr>
        <w:t>measures</w:t>
      </w:r>
    </w:p>
    <w:p>
      <w:pPr>
        <w:pStyle w:val="BodyText"/>
        <w:spacing w:before="38"/>
        <w:ind w:left="23"/>
      </w:pPr>
      <w:r>
        <w:rPr/>
        <w:t>The</w:t>
      </w:r>
      <w:r>
        <w:rPr>
          <w:spacing w:val="-1"/>
        </w:rPr>
        <w:t> </w:t>
      </w:r>
      <w:r>
        <w:rPr/>
        <w:t>guideline</w:t>
      </w:r>
      <w:r>
        <w:rPr>
          <w:spacing w:val="-1"/>
        </w:rPr>
        <w:t> </w:t>
      </w:r>
      <w:r>
        <w:rPr/>
        <w:t>panel</w:t>
      </w:r>
      <w:r>
        <w:rPr>
          <w:spacing w:val="-3"/>
        </w:rPr>
        <w:t> </w:t>
      </w:r>
      <w:r>
        <w:rPr/>
        <w:t>considered</w:t>
      </w:r>
      <w:r>
        <w:rPr>
          <w:spacing w:val="-1"/>
        </w:rPr>
        <w:t> </w:t>
      </w:r>
      <w:r>
        <w:rPr/>
        <w:t>ischemic</w:t>
      </w:r>
      <w:r>
        <w:rPr>
          <w:spacing w:val="-4"/>
        </w:rPr>
        <w:t> </w:t>
      </w:r>
      <w:r>
        <w:rPr/>
        <w:t>stroke</w:t>
      </w:r>
      <w:r>
        <w:rPr>
          <w:spacing w:val="-1"/>
        </w:rPr>
        <w:t> </w:t>
      </w:r>
      <w:r>
        <w:rPr/>
        <w:t>and</w:t>
      </w:r>
      <w:r>
        <w:rPr>
          <w:spacing w:val="-2"/>
        </w:rPr>
        <w:t> </w:t>
      </w:r>
      <w:r>
        <w:rPr/>
        <w:t>thrombotic</w:t>
      </w:r>
      <w:r>
        <w:rPr>
          <w:spacing w:val="-4"/>
        </w:rPr>
        <w:t> </w:t>
      </w:r>
      <w:r>
        <w:rPr/>
        <w:t>complications as</w:t>
      </w:r>
      <w:r>
        <w:rPr>
          <w:spacing w:val="-1"/>
        </w:rPr>
        <w:t> </w:t>
      </w:r>
      <w:r>
        <w:rPr/>
        <w:t>critical</w:t>
      </w:r>
      <w:r>
        <w:rPr>
          <w:spacing w:val="-4"/>
        </w:rPr>
        <w:t> </w:t>
      </w:r>
      <w:r>
        <w:rPr/>
        <w:t>outcome</w:t>
      </w:r>
      <w:r>
        <w:rPr>
          <w:spacing w:val="-3"/>
        </w:rPr>
        <w:t> </w:t>
      </w:r>
      <w:r>
        <w:rPr/>
        <w:t>measures</w:t>
      </w:r>
      <w:r>
        <w:rPr>
          <w:spacing w:val="-1"/>
        </w:rPr>
        <w:t> </w:t>
      </w:r>
      <w:r>
        <w:rPr/>
        <w:t>for</w:t>
      </w:r>
      <w:r>
        <w:rPr>
          <w:spacing w:val="-1"/>
        </w:rPr>
        <w:t> </w:t>
      </w:r>
      <w:r>
        <w:rPr/>
        <w:t>decision</w:t>
      </w:r>
      <w:r>
        <w:rPr>
          <w:spacing w:val="-2"/>
        </w:rPr>
        <w:t> </w:t>
      </w:r>
      <w:r>
        <w:rPr/>
        <w:t>making;</w:t>
      </w:r>
      <w:r>
        <w:rPr>
          <w:spacing w:val="-1"/>
        </w:rPr>
        <w:t> </w:t>
      </w:r>
      <w:r>
        <w:rPr/>
        <w:t>and</w:t>
      </w:r>
      <w:r>
        <w:rPr>
          <w:spacing w:val="-5"/>
        </w:rPr>
        <w:t> </w:t>
      </w:r>
      <w:r>
        <w:rPr/>
        <w:t>the</w:t>
      </w:r>
      <w:r>
        <w:rPr>
          <w:spacing w:val="-1"/>
        </w:rPr>
        <w:t> </w:t>
      </w:r>
      <w:r>
        <w:rPr/>
        <w:t>other</w:t>
      </w:r>
      <w:r>
        <w:rPr>
          <w:spacing w:val="-3"/>
        </w:rPr>
        <w:t> </w:t>
      </w:r>
      <w:r>
        <w:rPr/>
        <w:t>outcomes (hemorrhage, mortality, QOL, adverse effects) as important outcome measures for decision making. A priori, the guideline panel did not define the</w:t>
      </w:r>
    </w:p>
    <w:p>
      <w:pPr>
        <w:pStyle w:val="BodyText"/>
        <w:spacing w:after="0"/>
        <w:sectPr>
          <w:pgSz w:w="16840" w:h="11910" w:orient="landscape"/>
          <w:pgMar w:top="1340" w:bottom="280" w:left="1417" w:right="992"/>
        </w:sectPr>
      </w:pPr>
    </w:p>
    <w:p>
      <w:pPr>
        <w:pStyle w:val="BodyText"/>
        <w:spacing w:before="93"/>
        <w:ind w:left="23"/>
      </w:pPr>
      <w:r>
        <w:rPr/>
        <w:t>outcome</w:t>
      </w:r>
      <w:r>
        <w:rPr>
          <w:spacing w:val="-5"/>
        </w:rPr>
        <w:t> </w:t>
      </w:r>
      <w:r>
        <w:rPr/>
        <w:t>measures</w:t>
      </w:r>
      <w:r>
        <w:rPr>
          <w:spacing w:val="-1"/>
        </w:rPr>
        <w:t> </w:t>
      </w:r>
      <w:r>
        <w:rPr/>
        <w:t>listed</w:t>
      </w:r>
      <w:r>
        <w:rPr>
          <w:spacing w:val="-4"/>
        </w:rPr>
        <w:t> </w:t>
      </w:r>
      <w:r>
        <w:rPr/>
        <w:t>above</w:t>
      </w:r>
      <w:r>
        <w:rPr>
          <w:spacing w:val="-4"/>
        </w:rPr>
        <w:t> </w:t>
      </w:r>
      <w:r>
        <w:rPr/>
        <w:t>but</w:t>
      </w:r>
      <w:r>
        <w:rPr>
          <w:spacing w:val="-2"/>
        </w:rPr>
        <w:t> </w:t>
      </w:r>
      <w:r>
        <w:rPr/>
        <w:t>used</w:t>
      </w:r>
      <w:r>
        <w:rPr>
          <w:spacing w:val="-6"/>
        </w:rPr>
        <w:t> </w:t>
      </w:r>
      <w:r>
        <w:rPr/>
        <w:t>the</w:t>
      </w:r>
      <w:r>
        <w:rPr>
          <w:spacing w:val="-2"/>
        </w:rPr>
        <w:t> </w:t>
      </w:r>
      <w:r>
        <w:rPr/>
        <w:t>definitions</w:t>
      </w:r>
      <w:r>
        <w:rPr>
          <w:spacing w:val="-2"/>
        </w:rPr>
        <w:t> </w:t>
      </w:r>
      <w:r>
        <w:rPr/>
        <w:t>used</w:t>
      </w:r>
      <w:r>
        <w:rPr>
          <w:spacing w:val="-3"/>
        </w:rPr>
        <w:t> </w:t>
      </w:r>
      <w:r>
        <w:rPr/>
        <w:t>in</w:t>
      </w:r>
      <w:r>
        <w:rPr>
          <w:spacing w:val="-3"/>
        </w:rPr>
        <w:t> </w:t>
      </w:r>
      <w:r>
        <w:rPr/>
        <w:t>the</w:t>
      </w:r>
      <w:r>
        <w:rPr>
          <w:spacing w:val="-4"/>
        </w:rPr>
        <w:t> </w:t>
      </w:r>
      <w:r>
        <w:rPr/>
        <w:t>studies.</w:t>
      </w:r>
      <w:r>
        <w:rPr>
          <w:spacing w:val="-6"/>
        </w:rPr>
        <w:t> </w:t>
      </w:r>
      <w:r>
        <w:rPr/>
        <w:t>The</w:t>
      </w:r>
      <w:r>
        <w:rPr>
          <w:spacing w:val="-4"/>
        </w:rPr>
        <w:t> </w:t>
      </w:r>
      <w:r>
        <w:rPr/>
        <w:t>guideline</w:t>
      </w:r>
      <w:r>
        <w:rPr>
          <w:spacing w:val="-2"/>
        </w:rPr>
        <w:t> </w:t>
      </w:r>
      <w:r>
        <w:rPr/>
        <w:t>panel</w:t>
      </w:r>
      <w:r>
        <w:rPr>
          <w:spacing w:val="-3"/>
        </w:rPr>
        <w:t> </w:t>
      </w:r>
      <w:r>
        <w:rPr/>
        <w:t>defined</w:t>
      </w:r>
      <w:r>
        <w:rPr>
          <w:spacing w:val="-2"/>
        </w:rPr>
        <w:t> </w:t>
      </w:r>
      <w:r>
        <w:rPr/>
        <w:t>a</w:t>
      </w:r>
      <w:r>
        <w:rPr>
          <w:spacing w:val="-5"/>
        </w:rPr>
        <w:t> </w:t>
      </w:r>
      <w:r>
        <w:rPr/>
        <w:t>difference</w:t>
      </w:r>
      <w:r>
        <w:rPr>
          <w:spacing w:val="-5"/>
        </w:rPr>
        <w:t> </w:t>
      </w:r>
      <w:r>
        <w:rPr/>
        <w:t>of</w:t>
      </w:r>
      <w:r>
        <w:rPr>
          <w:spacing w:val="-5"/>
        </w:rPr>
        <w:t> </w:t>
      </w:r>
      <w:r>
        <w:rPr/>
        <w:t>25%</w:t>
      </w:r>
      <w:r>
        <w:rPr>
          <w:spacing w:val="-4"/>
        </w:rPr>
        <w:t> </w:t>
      </w:r>
      <w:r>
        <w:rPr/>
        <w:t>(0.8</w:t>
      </w:r>
      <w:r>
        <w:rPr>
          <w:spacing w:val="-5"/>
        </w:rPr>
        <w:t> </w:t>
      </w:r>
      <w:r>
        <w:rPr/>
        <w:t>≥</w:t>
      </w:r>
      <w:r>
        <w:rPr>
          <w:spacing w:val="-4"/>
        </w:rPr>
        <w:t> </w:t>
      </w:r>
      <w:r>
        <w:rPr/>
        <w:t>RR</w:t>
      </w:r>
      <w:r>
        <w:rPr>
          <w:spacing w:val="-4"/>
        </w:rPr>
        <w:t> </w:t>
      </w:r>
      <w:r>
        <w:rPr/>
        <w:t>≥</w:t>
      </w:r>
      <w:r>
        <w:rPr>
          <w:spacing w:val="-3"/>
        </w:rPr>
        <w:t> </w:t>
      </w:r>
      <w:r>
        <w:rPr/>
        <w:t>1.25)</w:t>
      </w:r>
      <w:r>
        <w:rPr>
          <w:spacing w:val="-5"/>
        </w:rPr>
        <w:t> </w:t>
      </w:r>
      <w:r>
        <w:rPr/>
        <w:t>as</w:t>
      </w:r>
      <w:r>
        <w:rPr>
          <w:spacing w:val="-2"/>
        </w:rPr>
        <w:t> </w:t>
      </w:r>
      <w:r>
        <w:rPr/>
        <w:t>a</w:t>
      </w:r>
      <w:r>
        <w:rPr>
          <w:spacing w:val="-4"/>
        </w:rPr>
        <w:t> </w:t>
      </w:r>
      <w:r>
        <w:rPr>
          <w:spacing w:val="-2"/>
        </w:rPr>
        <w:t>minimal</w:t>
      </w:r>
    </w:p>
    <w:p>
      <w:pPr>
        <w:pStyle w:val="BodyText"/>
        <w:ind w:left="23"/>
      </w:pPr>
      <w:r>
        <w:rPr/>
        <w:t>clinically</w:t>
      </w:r>
      <w:r>
        <w:rPr>
          <w:spacing w:val="-10"/>
        </w:rPr>
        <w:t> </w:t>
      </w:r>
      <w:r>
        <w:rPr/>
        <w:t>(patient)</w:t>
      </w:r>
      <w:r>
        <w:rPr>
          <w:spacing w:val="-7"/>
        </w:rPr>
        <w:t> </w:t>
      </w:r>
      <w:r>
        <w:rPr/>
        <w:t>important</w:t>
      </w:r>
      <w:r>
        <w:rPr>
          <w:spacing w:val="-7"/>
        </w:rPr>
        <w:t> </w:t>
      </w:r>
      <w:r>
        <w:rPr>
          <w:spacing w:val="-2"/>
        </w:rPr>
        <w:t>difference.</w:t>
      </w:r>
    </w:p>
    <w:p>
      <w:pPr>
        <w:pStyle w:val="BodyText"/>
        <w:spacing w:before="39"/>
      </w:pPr>
    </w:p>
    <w:p>
      <w:pPr>
        <w:pStyle w:val="BodyText"/>
        <w:ind w:left="23"/>
      </w:pPr>
      <w:r>
        <w:rPr>
          <w:u w:val="single"/>
        </w:rPr>
        <w:t>Search</w:t>
      </w:r>
      <w:r>
        <w:rPr>
          <w:spacing w:val="-6"/>
          <w:u w:val="single"/>
        </w:rPr>
        <w:t> </w:t>
      </w:r>
      <w:r>
        <w:rPr>
          <w:u w:val="single"/>
        </w:rPr>
        <w:t>and</w:t>
      </w:r>
      <w:r>
        <w:rPr>
          <w:spacing w:val="-5"/>
          <w:u w:val="single"/>
        </w:rPr>
        <w:t> </w:t>
      </w:r>
      <w:r>
        <w:rPr>
          <w:spacing w:val="-2"/>
          <w:u w:val="single"/>
        </w:rPr>
        <w:t>selection</w:t>
      </w:r>
    </w:p>
    <w:p>
      <w:pPr>
        <w:pStyle w:val="BodyText"/>
        <w:spacing w:line="278" w:lineRule="auto" w:before="41"/>
        <w:ind w:left="23" w:right="466"/>
      </w:pPr>
      <w:r>
        <w:rPr/>
        <w:t>The</w:t>
      </w:r>
      <w:r>
        <w:rPr>
          <w:spacing w:val="-1"/>
        </w:rPr>
        <w:t> </w:t>
      </w:r>
      <w:r>
        <w:rPr/>
        <w:t>systematic</w:t>
      </w:r>
      <w:r>
        <w:rPr>
          <w:spacing w:val="-1"/>
        </w:rPr>
        <w:t> </w:t>
      </w:r>
      <w:r>
        <w:rPr/>
        <w:t>literature</w:t>
      </w:r>
      <w:r>
        <w:rPr>
          <w:spacing w:val="-3"/>
        </w:rPr>
        <w:t> </w:t>
      </w:r>
      <w:r>
        <w:rPr/>
        <w:t>search</w:t>
      </w:r>
      <w:r>
        <w:rPr>
          <w:spacing w:val="-1"/>
        </w:rPr>
        <w:t> </w:t>
      </w:r>
      <w:r>
        <w:rPr/>
        <w:t>resulted</w:t>
      </w:r>
      <w:r>
        <w:rPr>
          <w:spacing w:val="-2"/>
        </w:rPr>
        <w:t> </w:t>
      </w:r>
      <w:r>
        <w:rPr/>
        <w:t>in</w:t>
      </w:r>
      <w:r>
        <w:rPr>
          <w:spacing w:val="-4"/>
        </w:rPr>
        <w:t> </w:t>
      </w:r>
      <w:r>
        <w:rPr/>
        <w:t>326</w:t>
      </w:r>
      <w:r>
        <w:rPr>
          <w:spacing w:val="-1"/>
        </w:rPr>
        <w:t> </w:t>
      </w:r>
      <w:r>
        <w:rPr/>
        <w:t>hits.</w:t>
      </w:r>
      <w:r>
        <w:rPr>
          <w:spacing w:val="-1"/>
        </w:rPr>
        <w:t> </w:t>
      </w:r>
      <w:r>
        <w:rPr/>
        <w:t>Initially,</w:t>
      </w:r>
      <w:r>
        <w:rPr>
          <w:spacing w:val="-1"/>
        </w:rPr>
        <w:t> </w:t>
      </w:r>
      <w:r>
        <w:rPr/>
        <w:t>two</w:t>
      </w:r>
      <w:r>
        <w:rPr>
          <w:spacing w:val="-1"/>
        </w:rPr>
        <w:t> </w:t>
      </w:r>
      <w:r>
        <w:rPr/>
        <w:t>studies</w:t>
      </w:r>
      <w:r>
        <w:rPr>
          <w:spacing w:val="-4"/>
        </w:rPr>
        <w:t> </w:t>
      </w:r>
      <w:r>
        <w:rPr/>
        <w:t>were</w:t>
      </w:r>
      <w:r>
        <w:rPr>
          <w:spacing w:val="-1"/>
        </w:rPr>
        <w:t> </w:t>
      </w:r>
      <w:r>
        <w:rPr/>
        <w:t>selected</w:t>
      </w:r>
      <w:r>
        <w:rPr>
          <w:spacing w:val="-1"/>
        </w:rPr>
        <w:t> </w:t>
      </w:r>
      <w:r>
        <w:rPr/>
        <w:t>based</w:t>
      </w:r>
      <w:r>
        <w:rPr>
          <w:spacing w:val="-4"/>
        </w:rPr>
        <w:t> </w:t>
      </w:r>
      <w:r>
        <w:rPr/>
        <w:t>on</w:t>
      </w:r>
      <w:r>
        <w:rPr>
          <w:spacing w:val="-2"/>
        </w:rPr>
        <w:t> </w:t>
      </w:r>
      <w:r>
        <w:rPr/>
        <w:t>title</w:t>
      </w:r>
      <w:r>
        <w:rPr>
          <w:spacing w:val="-1"/>
        </w:rPr>
        <w:t> </w:t>
      </w:r>
      <w:r>
        <w:rPr/>
        <w:t>and</w:t>
      </w:r>
      <w:r>
        <w:rPr>
          <w:spacing w:val="-4"/>
        </w:rPr>
        <w:t> </w:t>
      </w:r>
      <w:r>
        <w:rPr/>
        <w:t>abstract</w:t>
      </w:r>
      <w:r>
        <w:rPr>
          <w:spacing w:val="-1"/>
        </w:rPr>
        <w:t> </w:t>
      </w:r>
      <w:r>
        <w:rPr/>
        <w:t>screening.</w:t>
      </w:r>
      <w:r>
        <w:rPr>
          <w:spacing w:val="-1"/>
        </w:rPr>
        <w:t> </w:t>
      </w:r>
      <w:r>
        <w:rPr/>
        <w:t>After</w:t>
      </w:r>
      <w:r>
        <w:rPr>
          <w:spacing w:val="-1"/>
        </w:rPr>
        <w:t> </w:t>
      </w:r>
      <w:r>
        <w:rPr/>
        <w:t>reading</w:t>
      </w:r>
      <w:r>
        <w:rPr>
          <w:spacing w:val="-2"/>
        </w:rPr>
        <w:t> </w:t>
      </w:r>
      <w:r>
        <w:rPr/>
        <w:t>the</w:t>
      </w:r>
      <w:r>
        <w:rPr>
          <w:spacing w:val="-1"/>
        </w:rPr>
        <w:t> </w:t>
      </w:r>
      <w:r>
        <w:rPr/>
        <w:t>full</w:t>
      </w:r>
      <w:r>
        <w:rPr>
          <w:spacing w:val="-2"/>
        </w:rPr>
        <w:t> </w:t>
      </w:r>
      <w:r>
        <w:rPr/>
        <w:t>text, both studies were excluded. (Table 5.1)</w:t>
      </w:r>
    </w:p>
    <w:p>
      <w:pPr>
        <w:pStyle w:val="BodyText"/>
        <w:spacing w:before="162"/>
        <w:ind w:left="23"/>
      </w:pPr>
      <w:r>
        <w:rPr>
          <w:u w:val="single"/>
        </w:rPr>
        <w:t>Summary</w:t>
      </w:r>
      <w:r>
        <w:rPr>
          <w:spacing w:val="-5"/>
          <w:u w:val="single"/>
        </w:rPr>
        <w:t> </w:t>
      </w:r>
      <w:r>
        <w:rPr>
          <w:u w:val="single"/>
        </w:rPr>
        <w:t>of</w:t>
      </w:r>
      <w:r>
        <w:rPr>
          <w:spacing w:val="-2"/>
          <w:u w:val="single"/>
        </w:rPr>
        <w:t> literature</w:t>
      </w:r>
    </w:p>
    <w:p>
      <w:pPr>
        <w:spacing w:before="43"/>
        <w:ind w:left="23" w:right="0" w:firstLine="0"/>
        <w:jc w:val="left"/>
        <w:rPr>
          <w:i/>
          <w:sz w:val="22"/>
        </w:rPr>
      </w:pPr>
      <w:r>
        <w:rPr>
          <w:i/>
          <w:sz w:val="22"/>
        </w:rPr>
        <w:t>Description</w:t>
      </w:r>
      <w:r>
        <w:rPr>
          <w:i/>
          <w:spacing w:val="-6"/>
          <w:sz w:val="22"/>
        </w:rPr>
        <w:t> </w:t>
      </w:r>
      <w:r>
        <w:rPr>
          <w:i/>
          <w:sz w:val="22"/>
        </w:rPr>
        <w:t>of</w:t>
      </w:r>
      <w:r>
        <w:rPr>
          <w:i/>
          <w:spacing w:val="-5"/>
          <w:sz w:val="22"/>
        </w:rPr>
        <w:t> </w:t>
      </w:r>
      <w:r>
        <w:rPr>
          <w:i/>
          <w:spacing w:val="-2"/>
          <w:sz w:val="22"/>
        </w:rPr>
        <w:t>studies</w:t>
      </w:r>
    </w:p>
    <w:p>
      <w:pPr>
        <w:pStyle w:val="BodyText"/>
        <w:spacing w:before="205"/>
        <w:ind w:left="23"/>
      </w:pPr>
      <w:r>
        <w:rPr/>
        <w:t>No</w:t>
      </w:r>
      <w:r>
        <w:rPr>
          <w:spacing w:val="-2"/>
        </w:rPr>
        <w:t> </w:t>
      </w:r>
      <w:r>
        <w:rPr/>
        <w:t>studies</w:t>
      </w:r>
      <w:r>
        <w:rPr>
          <w:spacing w:val="-6"/>
        </w:rPr>
        <w:t> </w:t>
      </w:r>
      <w:r>
        <w:rPr/>
        <w:t>were</w:t>
      </w:r>
      <w:r>
        <w:rPr>
          <w:spacing w:val="-3"/>
        </w:rPr>
        <w:t> </w:t>
      </w:r>
      <w:r>
        <w:rPr/>
        <w:t>included</w:t>
      </w:r>
      <w:r>
        <w:rPr>
          <w:spacing w:val="-3"/>
        </w:rPr>
        <w:t> </w:t>
      </w:r>
      <w:r>
        <w:rPr/>
        <w:t>in</w:t>
      </w:r>
      <w:r>
        <w:rPr>
          <w:spacing w:val="-4"/>
        </w:rPr>
        <w:t> </w:t>
      </w:r>
      <w:r>
        <w:rPr/>
        <w:t>the</w:t>
      </w:r>
      <w:r>
        <w:rPr>
          <w:spacing w:val="-3"/>
        </w:rPr>
        <w:t> </w:t>
      </w:r>
      <w:r>
        <w:rPr/>
        <w:t>analysis</w:t>
      </w:r>
      <w:r>
        <w:rPr>
          <w:spacing w:val="-6"/>
        </w:rPr>
        <w:t> </w:t>
      </w:r>
      <w:r>
        <w:rPr/>
        <w:t>of</w:t>
      </w:r>
      <w:r>
        <w:rPr>
          <w:spacing w:val="-3"/>
        </w:rPr>
        <w:t> </w:t>
      </w:r>
      <w:r>
        <w:rPr/>
        <w:t>the</w:t>
      </w:r>
      <w:r>
        <w:rPr>
          <w:spacing w:val="-4"/>
        </w:rPr>
        <w:t> </w:t>
      </w:r>
      <w:r>
        <w:rPr>
          <w:spacing w:val="-2"/>
        </w:rPr>
        <w:t>literature.</w:t>
      </w:r>
    </w:p>
    <w:p>
      <w:pPr>
        <w:spacing w:before="204"/>
        <w:ind w:left="23" w:right="0" w:firstLine="0"/>
        <w:jc w:val="left"/>
        <w:rPr>
          <w:i/>
          <w:sz w:val="22"/>
        </w:rPr>
      </w:pPr>
      <w:r>
        <w:rPr>
          <w:i/>
          <w:spacing w:val="-2"/>
          <w:sz w:val="22"/>
        </w:rPr>
        <w:t>Results</w:t>
      </w:r>
    </w:p>
    <w:p>
      <w:pPr>
        <w:pStyle w:val="BodyText"/>
        <w:spacing w:line="422" w:lineRule="auto" w:before="202"/>
        <w:ind w:left="23" w:right="5723"/>
      </w:pPr>
      <w:r>
        <w:rPr/>
        <w:t>As</w:t>
      </w:r>
      <w:r>
        <w:rPr>
          <w:spacing w:val="-2"/>
        </w:rPr>
        <w:t> </w:t>
      </w:r>
      <w:r>
        <w:rPr/>
        <w:t>no</w:t>
      </w:r>
      <w:r>
        <w:rPr>
          <w:spacing w:val="-1"/>
        </w:rPr>
        <w:t> </w:t>
      </w:r>
      <w:r>
        <w:rPr/>
        <w:t>studies</w:t>
      </w:r>
      <w:r>
        <w:rPr>
          <w:spacing w:val="-2"/>
        </w:rPr>
        <w:t> </w:t>
      </w:r>
      <w:r>
        <w:rPr/>
        <w:t>could</w:t>
      </w:r>
      <w:r>
        <w:rPr>
          <w:spacing w:val="-4"/>
        </w:rPr>
        <w:t> </w:t>
      </w:r>
      <w:r>
        <w:rPr/>
        <w:t>be</w:t>
      </w:r>
      <w:r>
        <w:rPr>
          <w:spacing w:val="-2"/>
        </w:rPr>
        <w:t> </w:t>
      </w:r>
      <w:r>
        <w:rPr/>
        <w:t>included</w:t>
      </w:r>
      <w:r>
        <w:rPr>
          <w:spacing w:val="-2"/>
        </w:rPr>
        <w:t> </w:t>
      </w:r>
      <w:r>
        <w:rPr/>
        <w:t>in</w:t>
      </w:r>
      <w:r>
        <w:rPr>
          <w:spacing w:val="-3"/>
        </w:rPr>
        <w:t> </w:t>
      </w:r>
      <w:r>
        <w:rPr/>
        <w:t>this</w:t>
      </w:r>
      <w:r>
        <w:rPr>
          <w:spacing w:val="-2"/>
        </w:rPr>
        <w:t> </w:t>
      </w:r>
      <w:r>
        <w:rPr/>
        <w:t>literature</w:t>
      </w:r>
      <w:r>
        <w:rPr>
          <w:spacing w:val="-2"/>
        </w:rPr>
        <w:t> </w:t>
      </w:r>
      <w:r>
        <w:rPr/>
        <w:t>summary,</w:t>
      </w:r>
      <w:r>
        <w:rPr>
          <w:spacing w:val="-2"/>
        </w:rPr>
        <w:t> </w:t>
      </w:r>
      <w:r>
        <w:rPr/>
        <w:t>no</w:t>
      </w:r>
      <w:r>
        <w:rPr>
          <w:spacing w:val="-4"/>
        </w:rPr>
        <w:t> </w:t>
      </w:r>
      <w:r>
        <w:rPr/>
        <w:t>study</w:t>
      </w:r>
      <w:r>
        <w:rPr>
          <w:spacing w:val="-2"/>
        </w:rPr>
        <w:t> </w:t>
      </w:r>
      <w:r>
        <w:rPr/>
        <w:t>results</w:t>
      </w:r>
      <w:r>
        <w:rPr>
          <w:spacing w:val="-5"/>
        </w:rPr>
        <w:t> </w:t>
      </w:r>
      <w:r>
        <w:rPr/>
        <w:t>are</w:t>
      </w:r>
      <w:r>
        <w:rPr>
          <w:spacing w:val="-4"/>
        </w:rPr>
        <w:t> </w:t>
      </w:r>
      <w:r>
        <w:rPr/>
        <w:t>described</w:t>
      </w:r>
      <w:r>
        <w:rPr>
          <w:spacing w:val="-2"/>
        </w:rPr>
        <w:t> </w:t>
      </w:r>
      <w:r>
        <w:rPr/>
        <w:t>here. Table 5.1. Excluded studies</w:t>
      </w: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958"/>
        <w:gridCol w:w="4964"/>
      </w:tblGrid>
      <w:tr>
        <w:trPr>
          <w:trHeight w:val="414" w:hRule="atLeast"/>
        </w:trPr>
        <w:tc>
          <w:tcPr>
            <w:tcW w:w="8958" w:type="dxa"/>
            <w:shd w:val="clear" w:color="auto" w:fill="D9D9D9"/>
          </w:tcPr>
          <w:p>
            <w:pPr>
              <w:pStyle w:val="TableParagraph"/>
              <w:spacing w:line="218" w:lineRule="exact"/>
              <w:ind w:left="105"/>
              <w:rPr>
                <w:b/>
                <w:sz w:val="18"/>
              </w:rPr>
            </w:pPr>
            <w:r>
              <w:rPr>
                <w:b/>
                <w:spacing w:val="-2"/>
                <w:sz w:val="18"/>
              </w:rPr>
              <w:t>Reference</w:t>
            </w:r>
          </w:p>
        </w:tc>
        <w:tc>
          <w:tcPr>
            <w:tcW w:w="4964" w:type="dxa"/>
            <w:shd w:val="clear" w:color="auto" w:fill="D9D9D9"/>
          </w:tcPr>
          <w:p>
            <w:pPr>
              <w:pStyle w:val="TableParagraph"/>
              <w:spacing w:line="218" w:lineRule="exact"/>
              <w:ind w:left="103"/>
              <w:rPr>
                <w:b/>
                <w:sz w:val="18"/>
              </w:rPr>
            </w:pPr>
            <w:r>
              <w:rPr>
                <w:b/>
                <w:sz w:val="18"/>
              </w:rPr>
              <w:t>Reason</w:t>
            </w:r>
            <w:r>
              <w:rPr>
                <w:b/>
                <w:spacing w:val="-3"/>
                <w:sz w:val="18"/>
              </w:rPr>
              <w:t> </w:t>
            </w:r>
            <w:r>
              <w:rPr>
                <w:b/>
                <w:sz w:val="18"/>
              </w:rPr>
              <w:t>for</w:t>
            </w:r>
            <w:r>
              <w:rPr>
                <w:b/>
                <w:spacing w:val="-1"/>
                <w:sz w:val="18"/>
              </w:rPr>
              <w:t> </w:t>
            </w:r>
            <w:r>
              <w:rPr>
                <w:b/>
                <w:spacing w:val="-2"/>
                <w:sz w:val="18"/>
              </w:rPr>
              <w:t>exclusion</w:t>
            </w:r>
          </w:p>
        </w:tc>
      </w:tr>
      <w:tr>
        <w:trPr>
          <w:trHeight w:val="926" w:hRule="atLeast"/>
        </w:trPr>
        <w:tc>
          <w:tcPr>
            <w:tcW w:w="8958" w:type="dxa"/>
            <w:shd w:val="clear" w:color="auto" w:fill="D9D9D9"/>
          </w:tcPr>
          <w:p>
            <w:pPr>
              <w:pStyle w:val="TableParagraph"/>
              <w:spacing w:line="278" w:lineRule="auto"/>
              <w:ind w:left="105"/>
              <w:rPr>
                <w:sz w:val="18"/>
              </w:rPr>
            </w:pPr>
            <w:r>
              <w:rPr>
                <w:sz w:val="18"/>
              </w:rPr>
              <w:t>Aarnink EW, Huijboom MFM, Bor WL, Maarse M, Zheng KL, Ten Cate H, Ten Berg JM, Boersma LVA. Hemostatic biomarkers</w:t>
            </w:r>
            <w:r>
              <w:rPr>
                <w:spacing w:val="-5"/>
                <w:sz w:val="18"/>
              </w:rPr>
              <w:t> </w:t>
            </w:r>
            <w:r>
              <w:rPr>
                <w:sz w:val="18"/>
              </w:rPr>
              <w:t>and</w:t>
            </w:r>
            <w:r>
              <w:rPr>
                <w:spacing w:val="-4"/>
                <w:sz w:val="18"/>
              </w:rPr>
              <w:t> </w:t>
            </w:r>
            <w:r>
              <w:rPr>
                <w:sz w:val="18"/>
              </w:rPr>
              <w:t>antithrombotic</w:t>
            </w:r>
            <w:r>
              <w:rPr>
                <w:spacing w:val="-3"/>
                <w:sz w:val="18"/>
              </w:rPr>
              <w:t> </w:t>
            </w:r>
            <w:r>
              <w:rPr>
                <w:sz w:val="18"/>
              </w:rPr>
              <w:t>strategy</w:t>
            </w:r>
            <w:r>
              <w:rPr>
                <w:spacing w:val="-3"/>
                <w:sz w:val="18"/>
              </w:rPr>
              <w:t> </w:t>
            </w:r>
            <w:r>
              <w:rPr>
                <w:sz w:val="18"/>
              </w:rPr>
              <w:t>in</w:t>
            </w:r>
            <w:r>
              <w:rPr>
                <w:spacing w:val="-2"/>
                <w:sz w:val="18"/>
              </w:rPr>
              <w:t> </w:t>
            </w:r>
            <w:r>
              <w:rPr>
                <w:sz w:val="18"/>
              </w:rPr>
              <w:t>percutaneous</w:t>
            </w:r>
            <w:r>
              <w:rPr>
                <w:spacing w:val="-4"/>
                <w:sz w:val="18"/>
              </w:rPr>
              <w:t> </w:t>
            </w:r>
            <w:r>
              <w:rPr>
                <w:sz w:val="18"/>
              </w:rPr>
              <w:t>left</w:t>
            </w:r>
            <w:r>
              <w:rPr>
                <w:spacing w:val="-3"/>
                <w:sz w:val="18"/>
              </w:rPr>
              <w:t> </w:t>
            </w:r>
            <w:r>
              <w:rPr>
                <w:sz w:val="18"/>
              </w:rPr>
              <w:t>atrial</w:t>
            </w:r>
            <w:r>
              <w:rPr>
                <w:spacing w:val="-4"/>
                <w:sz w:val="18"/>
              </w:rPr>
              <w:t> </w:t>
            </w:r>
            <w:r>
              <w:rPr>
                <w:sz w:val="18"/>
              </w:rPr>
              <w:t>interventions:</w:t>
            </w:r>
            <w:r>
              <w:rPr>
                <w:spacing w:val="-3"/>
                <w:sz w:val="18"/>
              </w:rPr>
              <w:t> </w:t>
            </w:r>
            <w:r>
              <w:rPr>
                <w:sz w:val="18"/>
              </w:rPr>
              <w:t>State-of-the-art</w:t>
            </w:r>
            <w:r>
              <w:rPr>
                <w:spacing w:val="-4"/>
                <w:sz w:val="18"/>
              </w:rPr>
              <w:t> </w:t>
            </w:r>
            <w:r>
              <w:rPr>
                <w:sz w:val="18"/>
              </w:rPr>
              <w:t>review.</w:t>
            </w:r>
            <w:r>
              <w:rPr>
                <w:spacing w:val="-4"/>
                <w:sz w:val="18"/>
              </w:rPr>
              <w:t> </w:t>
            </w:r>
            <w:r>
              <w:rPr>
                <w:sz w:val="18"/>
              </w:rPr>
              <w:t>Thromb</w:t>
            </w:r>
            <w:r>
              <w:rPr>
                <w:spacing w:val="-4"/>
                <w:sz w:val="18"/>
              </w:rPr>
              <w:t> </w:t>
            </w:r>
            <w:r>
              <w:rPr>
                <w:sz w:val="18"/>
              </w:rPr>
              <w:t>Res. 2022 Jul;215:41-51. doi: 10.1016/j.thromres.2022.05.009. Epub 2022 May 20. PMID: 35640513.</w:t>
            </w:r>
          </w:p>
        </w:tc>
        <w:tc>
          <w:tcPr>
            <w:tcW w:w="4964" w:type="dxa"/>
          </w:tcPr>
          <w:p>
            <w:pPr>
              <w:pStyle w:val="TableParagraph"/>
              <w:spacing w:line="219" w:lineRule="exact"/>
              <w:ind w:left="103"/>
              <w:rPr>
                <w:sz w:val="18"/>
              </w:rPr>
            </w:pPr>
            <w:r>
              <w:rPr>
                <w:sz w:val="18"/>
              </w:rPr>
              <w:t>No</w:t>
            </w:r>
            <w:r>
              <w:rPr>
                <w:spacing w:val="-3"/>
                <w:sz w:val="18"/>
              </w:rPr>
              <w:t> </w:t>
            </w:r>
            <w:r>
              <w:rPr>
                <w:sz w:val="18"/>
              </w:rPr>
              <w:t>comparison</w:t>
            </w:r>
            <w:r>
              <w:rPr>
                <w:spacing w:val="-3"/>
                <w:sz w:val="18"/>
              </w:rPr>
              <w:t> </w:t>
            </w:r>
            <w:r>
              <w:rPr>
                <w:sz w:val="18"/>
              </w:rPr>
              <w:t>between</w:t>
            </w:r>
            <w:r>
              <w:rPr>
                <w:spacing w:val="-3"/>
                <w:sz w:val="18"/>
              </w:rPr>
              <w:t> </w:t>
            </w:r>
            <w:r>
              <w:rPr>
                <w:spacing w:val="-2"/>
                <w:sz w:val="18"/>
              </w:rPr>
              <w:t>anticoagulants</w:t>
            </w:r>
          </w:p>
        </w:tc>
      </w:tr>
      <w:tr>
        <w:trPr>
          <w:trHeight w:val="1182" w:hRule="atLeast"/>
        </w:trPr>
        <w:tc>
          <w:tcPr>
            <w:tcW w:w="8958" w:type="dxa"/>
            <w:shd w:val="clear" w:color="auto" w:fill="D9D9D9"/>
          </w:tcPr>
          <w:p>
            <w:pPr>
              <w:pStyle w:val="TableParagraph"/>
              <w:spacing w:line="278" w:lineRule="auto" w:before="1"/>
              <w:ind w:left="105" w:right="193"/>
              <w:rPr>
                <w:sz w:val="18"/>
              </w:rPr>
            </w:pPr>
            <w:r>
              <w:rPr>
                <w:sz w:val="18"/>
              </w:rPr>
              <w:t>Miton N, Godart F, Milani G, Jalal Z, Karsenty C, Baruteau AE, Gronier C, Aldebert P, Douchin S, Lucron H, Chalard A, Houeijeh A, Petit J, Hascoet S, Thambo JB, Dauphin C. Patent foramen ovale closure in children without cardiopathy: Child-PFO</w:t>
            </w:r>
            <w:r>
              <w:rPr>
                <w:spacing w:val="-5"/>
                <w:sz w:val="18"/>
              </w:rPr>
              <w:t> </w:t>
            </w:r>
            <w:r>
              <w:rPr>
                <w:sz w:val="18"/>
              </w:rPr>
              <w:t>study.</w:t>
            </w:r>
            <w:r>
              <w:rPr>
                <w:spacing w:val="-2"/>
                <w:sz w:val="18"/>
              </w:rPr>
              <w:t> </w:t>
            </w:r>
            <w:r>
              <w:rPr>
                <w:sz w:val="18"/>
              </w:rPr>
              <w:t>Arch</w:t>
            </w:r>
            <w:r>
              <w:rPr>
                <w:spacing w:val="-5"/>
                <w:sz w:val="18"/>
              </w:rPr>
              <w:t> </w:t>
            </w:r>
            <w:r>
              <w:rPr>
                <w:sz w:val="18"/>
              </w:rPr>
              <w:t>Cardiovasc</w:t>
            </w:r>
            <w:r>
              <w:rPr>
                <w:spacing w:val="-2"/>
                <w:sz w:val="18"/>
              </w:rPr>
              <w:t> </w:t>
            </w:r>
            <w:r>
              <w:rPr>
                <w:sz w:val="18"/>
              </w:rPr>
              <w:t>Dis.</w:t>
            </w:r>
            <w:r>
              <w:rPr>
                <w:spacing w:val="-5"/>
                <w:sz w:val="18"/>
              </w:rPr>
              <w:t> </w:t>
            </w:r>
            <w:r>
              <w:rPr>
                <w:sz w:val="18"/>
              </w:rPr>
              <w:t>2020</w:t>
            </w:r>
            <w:r>
              <w:rPr>
                <w:spacing w:val="-4"/>
                <w:sz w:val="18"/>
              </w:rPr>
              <w:t> </w:t>
            </w:r>
            <w:r>
              <w:rPr>
                <w:sz w:val="18"/>
              </w:rPr>
              <w:t>Aug-Sep;113(8-9):513-524.</w:t>
            </w:r>
            <w:r>
              <w:rPr>
                <w:spacing w:val="-5"/>
                <w:sz w:val="18"/>
              </w:rPr>
              <w:t> </w:t>
            </w:r>
            <w:r>
              <w:rPr>
                <w:sz w:val="18"/>
              </w:rPr>
              <w:t>doi:</w:t>
            </w:r>
            <w:r>
              <w:rPr>
                <w:spacing w:val="-4"/>
                <w:sz w:val="18"/>
              </w:rPr>
              <w:t> </w:t>
            </w:r>
            <w:r>
              <w:rPr>
                <w:sz w:val="18"/>
              </w:rPr>
              <w:t>10.1016/j.acvd.2020.03.021.</w:t>
            </w:r>
            <w:r>
              <w:rPr>
                <w:spacing w:val="-5"/>
                <w:sz w:val="18"/>
              </w:rPr>
              <w:t> </w:t>
            </w:r>
            <w:r>
              <w:rPr>
                <w:sz w:val="18"/>
              </w:rPr>
              <w:t>Epub</w:t>
            </w:r>
            <w:r>
              <w:rPr>
                <w:spacing w:val="-5"/>
                <w:sz w:val="18"/>
              </w:rPr>
              <w:t> </w:t>
            </w:r>
            <w:r>
              <w:rPr>
                <w:sz w:val="18"/>
              </w:rPr>
              <w:t>2020</w:t>
            </w:r>
            <w:r>
              <w:rPr>
                <w:spacing w:val="-4"/>
                <w:sz w:val="18"/>
              </w:rPr>
              <w:t> </w:t>
            </w:r>
            <w:r>
              <w:rPr>
                <w:sz w:val="18"/>
              </w:rPr>
              <w:t>Jul</w:t>
            </w:r>
          </w:p>
          <w:p>
            <w:pPr>
              <w:pStyle w:val="TableParagraph"/>
              <w:spacing w:before="1"/>
              <w:ind w:left="105"/>
              <w:rPr>
                <w:sz w:val="18"/>
              </w:rPr>
            </w:pPr>
            <w:r>
              <w:rPr>
                <w:sz w:val="18"/>
              </w:rPr>
              <w:t>15.</w:t>
            </w:r>
            <w:r>
              <w:rPr>
                <w:spacing w:val="-2"/>
                <w:sz w:val="18"/>
              </w:rPr>
              <w:t> </w:t>
            </w:r>
            <w:r>
              <w:rPr>
                <w:sz w:val="18"/>
              </w:rPr>
              <w:t>PMID:</w:t>
            </w:r>
            <w:r>
              <w:rPr>
                <w:spacing w:val="-2"/>
                <w:sz w:val="18"/>
              </w:rPr>
              <w:t> 32680737.</w:t>
            </w:r>
          </w:p>
        </w:tc>
        <w:tc>
          <w:tcPr>
            <w:tcW w:w="4964" w:type="dxa"/>
          </w:tcPr>
          <w:p>
            <w:pPr>
              <w:pStyle w:val="TableParagraph"/>
              <w:spacing w:before="1"/>
              <w:ind w:left="103"/>
              <w:rPr>
                <w:sz w:val="18"/>
              </w:rPr>
            </w:pPr>
            <w:r>
              <w:rPr>
                <w:sz w:val="18"/>
              </w:rPr>
              <w:t>No</w:t>
            </w:r>
            <w:r>
              <w:rPr>
                <w:spacing w:val="-3"/>
                <w:sz w:val="18"/>
              </w:rPr>
              <w:t> </w:t>
            </w:r>
            <w:r>
              <w:rPr>
                <w:sz w:val="18"/>
              </w:rPr>
              <w:t>comparison</w:t>
            </w:r>
            <w:r>
              <w:rPr>
                <w:spacing w:val="-3"/>
                <w:sz w:val="18"/>
              </w:rPr>
              <w:t> </w:t>
            </w:r>
            <w:r>
              <w:rPr>
                <w:sz w:val="18"/>
              </w:rPr>
              <w:t>between</w:t>
            </w:r>
            <w:r>
              <w:rPr>
                <w:spacing w:val="-3"/>
                <w:sz w:val="18"/>
              </w:rPr>
              <w:t> </w:t>
            </w:r>
            <w:r>
              <w:rPr>
                <w:spacing w:val="-2"/>
                <w:sz w:val="18"/>
              </w:rPr>
              <w:t>anticoagulants</w:t>
            </w:r>
          </w:p>
        </w:tc>
      </w:tr>
    </w:tbl>
    <w:p>
      <w:pPr>
        <w:pStyle w:val="TableParagraph"/>
        <w:spacing w:after="0"/>
        <w:rPr>
          <w:sz w:val="18"/>
        </w:rPr>
        <w:sectPr>
          <w:pgSz w:w="16840" w:h="11910" w:orient="landscape"/>
          <w:pgMar w:top="1340" w:bottom="280" w:left="1417" w:right="992"/>
        </w:sectPr>
      </w:pPr>
    </w:p>
    <w:p>
      <w:pPr>
        <w:pStyle w:val="ListParagraph"/>
        <w:numPr>
          <w:ilvl w:val="0"/>
          <w:numId w:val="1"/>
        </w:numPr>
        <w:tabs>
          <w:tab w:pos="240" w:val="left" w:leader="none"/>
        </w:tabs>
        <w:spacing w:line="276" w:lineRule="auto" w:before="93" w:after="0"/>
        <w:ind w:left="23" w:right="1294" w:firstLine="0"/>
        <w:jc w:val="left"/>
        <w:rPr>
          <w:i/>
          <w:sz w:val="22"/>
        </w:rPr>
      </w:pPr>
      <w:r>
        <w:rPr>
          <w:i/>
          <w:sz w:val="22"/>
        </w:rPr>
        <w:t>Clinical</w:t>
      </w:r>
      <w:r>
        <w:rPr>
          <w:i/>
          <w:spacing w:val="-2"/>
          <w:sz w:val="22"/>
        </w:rPr>
        <w:t> </w:t>
      </w:r>
      <w:r>
        <w:rPr>
          <w:i/>
          <w:sz w:val="22"/>
        </w:rPr>
        <w:t>question:</w:t>
      </w:r>
      <w:r>
        <w:rPr>
          <w:i/>
          <w:spacing w:val="-4"/>
          <w:sz w:val="22"/>
        </w:rPr>
        <w:t> </w:t>
      </w:r>
      <w:r>
        <w:rPr>
          <w:i/>
          <w:sz w:val="22"/>
        </w:rPr>
        <w:t>What</w:t>
      </w:r>
      <w:r>
        <w:rPr>
          <w:i/>
          <w:spacing w:val="-2"/>
          <w:sz w:val="22"/>
        </w:rPr>
        <w:t> </w:t>
      </w:r>
      <w:r>
        <w:rPr>
          <w:i/>
          <w:sz w:val="22"/>
        </w:rPr>
        <w:t>is</w:t>
      </w:r>
      <w:r>
        <w:rPr>
          <w:i/>
          <w:spacing w:val="-1"/>
          <w:sz w:val="22"/>
        </w:rPr>
        <w:t> </w:t>
      </w:r>
      <w:r>
        <w:rPr>
          <w:i/>
          <w:sz w:val="22"/>
        </w:rPr>
        <w:t>the</w:t>
      </w:r>
      <w:r>
        <w:rPr>
          <w:i/>
          <w:spacing w:val="-4"/>
          <w:sz w:val="22"/>
        </w:rPr>
        <w:t> </w:t>
      </w:r>
      <w:r>
        <w:rPr>
          <w:i/>
          <w:sz w:val="22"/>
        </w:rPr>
        <w:t>recommended</w:t>
      </w:r>
      <w:r>
        <w:rPr>
          <w:i/>
          <w:spacing w:val="-2"/>
          <w:sz w:val="22"/>
        </w:rPr>
        <w:t> </w:t>
      </w:r>
      <w:r>
        <w:rPr>
          <w:i/>
          <w:sz w:val="22"/>
        </w:rPr>
        <w:t>antithrombotic</w:t>
      </w:r>
      <w:r>
        <w:rPr>
          <w:i/>
          <w:spacing w:val="-2"/>
          <w:sz w:val="22"/>
        </w:rPr>
        <w:t> </w:t>
      </w:r>
      <w:r>
        <w:rPr>
          <w:i/>
          <w:sz w:val="22"/>
        </w:rPr>
        <w:t>strategy</w:t>
      </w:r>
      <w:r>
        <w:rPr>
          <w:i/>
          <w:spacing w:val="-2"/>
          <w:sz w:val="22"/>
        </w:rPr>
        <w:t> </w:t>
      </w:r>
      <w:r>
        <w:rPr>
          <w:i/>
          <w:sz w:val="22"/>
        </w:rPr>
        <w:t>for</w:t>
      </w:r>
      <w:r>
        <w:rPr>
          <w:i/>
          <w:spacing w:val="-1"/>
          <w:sz w:val="22"/>
        </w:rPr>
        <w:t> </w:t>
      </w:r>
      <w:r>
        <w:rPr>
          <w:i/>
          <w:sz w:val="22"/>
        </w:rPr>
        <w:t>primary</w:t>
      </w:r>
      <w:r>
        <w:rPr>
          <w:i/>
          <w:spacing w:val="-2"/>
          <w:sz w:val="22"/>
        </w:rPr>
        <w:t> </w:t>
      </w:r>
      <w:r>
        <w:rPr>
          <w:i/>
          <w:sz w:val="22"/>
        </w:rPr>
        <w:t>thrombosis</w:t>
      </w:r>
      <w:r>
        <w:rPr>
          <w:i/>
          <w:spacing w:val="-4"/>
          <w:sz w:val="22"/>
        </w:rPr>
        <w:t> </w:t>
      </w:r>
      <w:r>
        <w:rPr>
          <w:i/>
          <w:sz w:val="22"/>
        </w:rPr>
        <w:t>prevention</w:t>
      </w:r>
      <w:r>
        <w:rPr>
          <w:i/>
          <w:spacing w:val="-3"/>
          <w:sz w:val="22"/>
        </w:rPr>
        <w:t> </w:t>
      </w:r>
      <w:r>
        <w:rPr>
          <w:i/>
          <w:sz w:val="22"/>
        </w:rPr>
        <w:t>in</w:t>
      </w:r>
      <w:r>
        <w:rPr>
          <w:i/>
          <w:spacing w:val="-5"/>
          <w:sz w:val="22"/>
        </w:rPr>
        <w:t> </w:t>
      </w:r>
      <w:r>
        <w:rPr>
          <w:i/>
          <w:sz w:val="22"/>
        </w:rPr>
        <w:t>children</w:t>
      </w:r>
      <w:r>
        <w:rPr>
          <w:i/>
          <w:spacing w:val="-2"/>
          <w:sz w:val="22"/>
        </w:rPr>
        <w:t> </w:t>
      </w:r>
      <w:r>
        <w:rPr>
          <w:i/>
          <w:sz w:val="22"/>
        </w:rPr>
        <w:t>after</w:t>
      </w:r>
      <w:r>
        <w:rPr>
          <w:i/>
          <w:spacing w:val="-1"/>
          <w:sz w:val="22"/>
        </w:rPr>
        <w:t> </w:t>
      </w:r>
      <w:r>
        <w:rPr>
          <w:i/>
          <w:sz w:val="22"/>
        </w:rPr>
        <w:t>the</w:t>
      </w:r>
      <w:r>
        <w:rPr>
          <w:i/>
          <w:spacing w:val="-5"/>
          <w:sz w:val="22"/>
        </w:rPr>
        <w:t> </w:t>
      </w:r>
      <w:r>
        <w:rPr>
          <w:i/>
          <w:sz w:val="22"/>
        </w:rPr>
        <w:t>placement</w:t>
      </w:r>
      <w:r>
        <w:rPr>
          <w:i/>
          <w:spacing w:val="-2"/>
          <w:sz w:val="22"/>
        </w:rPr>
        <w:t> </w:t>
      </w:r>
      <w:r>
        <w:rPr>
          <w:i/>
          <w:sz w:val="22"/>
        </w:rPr>
        <w:t>of</w:t>
      </w:r>
      <w:r>
        <w:rPr>
          <w:i/>
          <w:spacing w:val="-2"/>
          <w:sz w:val="22"/>
        </w:rPr>
        <w:t> </w:t>
      </w:r>
      <w:r>
        <w:rPr>
          <w:i/>
          <w:sz w:val="22"/>
        </w:rPr>
        <w:t>a</w:t>
      </w:r>
      <w:r>
        <w:rPr>
          <w:i/>
          <w:spacing w:val="-3"/>
          <w:sz w:val="22"/>
        </w:rPr>
        <w:t> </w:t>
      </w:r>
      <w:r>
        <w:rPr>
          <w:i/>
          <w:sz w:val="22"/>
        </w:rPr>
        <w:t>stent</w:t>
      </w:r>
      <w:r>
        <w:rPr>
          <w:i/>
          <w:sz w:val="22"/>
        </w:rPr>
        <w:t> (systemic venous/systemic arterial/pulmonary venous/pulmonary arterial)?</w:t>
      </w:r>
    </w:p>
    <w:p>
      <w:pPr>
        <w:pStyle w:val="BodyText"/>
        <w:spacing w:before="160"/>
        <w:ind w:left="23"/>
      </w:pPr>
      <w:r>
        <w:rPr/>
        <w:t>A</w:t>
      </w:r>
      <w:r>
        <w:rPr>
          <w:spacing w:val="-5"/>
        </w:rPr>
        <w:t> </w:t>
      </w:r>
      <w:r>
        <w:rPr/>
        <w:t>systematic</w:t>
      </w:r>
      <w:r>
        <w:rPr>
          <w:spacing w:val="-3"/>
        </w:rPr>
        <w:t> </w:t>
      </w:r>
      <w:r>
        <w:rPr/>
        <w:t>review</w:t>
      </w:r>
      <w:r>
        <w:rPr>
          <w:spacing w:val="-5"/>
        </w:rPr>
        <w:t> </w:t>
      </w:r>
      <w:r>
        <w:rPr/>
        <w:t>of</w:t>
      </w:r>
      <w:r>
        <w:rPr>
          <w:spacing w:val="-5"/>
        </w:rPr>
        <w:t> </w:t>
      </w:r>
      <w:r>
        <w:rPr/>
        <w:t>the</w:t>
      </w:r>
      <w:r>
        <w:rPr>
          <w:spacing w:val="-5"/>
        </w:rPr>
        <w:t> </w:t>
      </w:r>
      <w:r>
        <w:rPr/>
        <w:t>literature</w:t>
      </w:r>
      <w:r>
        <w:rPr>
          <w:spacing w:val="-5"/>
        </w:rPr>
        <w:t> </w:t>
      </w:r>
      <w:r>
        <w:rPr/>
        <w:t>was</w:t>
      </w:r>
      <w:r>
        <w:rPr>
          <w:spacing w:val="-6"/>
        </w:rPr>
        <w:t> </w:t>
      </w:r>
      <w:r>
        <w:rPr/>
        <w:t>performed</w:t>
      </w:r>
      <w:r>
        <w:rPr>
          <w:spacing w:val="-3"/>
        </w:rPr>
        <w:t> </w:t>
      </w:r>
      <w:r>
        <w:rPr/>
        <w:t>to</w:t>
      </w:r>
      <w:r>
        <w:rPr>
          <w:spacing w:val="-2"/>
        </w:rPr>
        <w:t> </w:t>
      </w:r>
      <w:r>
        <w:rPr/>
        <w:t>answer</w:t>
      </w:r>
      <w:r>
        <w:rPr>
          <w:spacing w:val="-3"/>
        </w:rPr>
        <w:t> </w:t>
      </w:r>
      <w:r>
        <w:rPr/>
        <w:t>the</w:t>
      </w:r>
      <w:r>
        <w:rPr>
          <w:spacing w:val="-3"/>
        </w:rPr>
        <w:t> </w:t>
      </w:r>
      <w:r>
        <w:rPr/>
        <w:t>following</w:t>
      </w:r>
      <w:r>
        <w:rPr>
          <w:spacing w:val="-4"/>
        </w:rPr>
        <w:t> </w:t>
      </w:r>
      <w:r>
        <w:rPr>
          <w:spacing w:val="-2"/>
        </w:rPr>
        <w:t>question:</w:t>
      </w:r>
    </w:p>
    <w:p>
      <w:pPr>
        <w:pStyle w:val="BodyText"/>
        <w:spacing w:line="278" w:lineRule="auto" w:before="43"/>
        <w:ind w:left="23" w:right="466"/>
      </w:pPr>
      <w:r>
        <w:rPr/>
        <w:t>What</w:t>
      </w:r>
      <w:r>
        <w:rPr>
          <w:spacing w:val="-1"/>
        </w:rPr>
        <w:t> </w:t>
      </w:r>
      <w:r>
        <w:rPr/>
        <w:t>are</w:t>
      </w:r>
      <w:r>
        <w:rPr>
          <w:spacing w:val="-3"/>
        </w:rPr>
        <w:t> </w:t>
      </w:r>
      <w:r>
        <w:rPr/>
        <w:t>the</w:t>
      </w:r>
      <w:r>
        <w:rPr>
          <w:spacing w:val="-3"/>
        </w:rPr>
        <w:t> </w:t>
      </w:r>
      <w:r>
        <w:rPr/>
        <w:t>favorable</w:t>
      </w:r>
      <w:r>
        <w:rPr>
          <w:spacing w:val="-3"/>
        </w:rPr>
        <w:t> </w:t>
      </w:r>
      <w:r>
        <w:rPr/>
        <w:t>and</w:t>
      </w:r>
      <w:r>
        <w:rPr>
          <w:spacing w:val="-2"/>
        </w:rPr>
        <w:t> </w:t>
      </w:r>
      <w:r>
        <w:rPr/>
        <w:t>unfavorable</w:t>
      </w:r>
      <w:r>
        <w:rPr>
          <w:spacing w:val="-4"/>
        </w:rPr>
        <w:t> </w:t>
      </w:r>
      <w:r>
        <w:rPr/>
        <w:t>effects</w:t>
      </w:r>
      <w:r>
        <w:rPr>
          <w:spacing w:val="-3"/>
        </w:rPr>
        <w:t> </w:t>
      </w:r>
      <w:r>
        <w:rPr/>
        <w:t>of</w:t>
      </w:r>
      <w:r>
        <w:rPr>
          <w:spacing w:val="-3"/>
        </w:rPr>
        <w:t> </w:t>
      </w:r>
      <w:r>
        <w:rPr/>
        <w:t>the</w:t>
      </w:r>
      <w:r>
        <w:rPr>
          <w:spacing w:val="-1"/>
        </w:rPr>
        <w:t> </w:t>
      </w:r>
      <w:r>
        <w:rPr/>
        <w:t>use</w:t>
      </w:r>
      <w:r>
        <w:rPr>
          <w:spacing w:val="-3"/>
        </w:rPr>
        <w:t> </w:t>
      </w:r>
      <w:r>
        <w:rPr/>
        <w:t>of</w:t>
      </w:r>
      <w:r>
        <w:rPr>
          <w:spacing w:val="-1"/>
        </w:rPr>
        <w:t> </w:t>
      </w:r>
      <w:r>
        <w:rPr/>
        <w:t>thromboprophylaxis compared</w:t>
      </w:r>
      <w:r>
        <w:rPr>
          <w:spacing w:val="-5"/>
        </w:rPr>
        <w:t> </w:t>
      </w:r>
      <w:r>
        <w:rPr/>
        <w:t>with</w:t>
      </w:r>
      <w:r>
        <w:rPr>
          <w:spacing w:val="-4"/>
        </w:rPr>
        <w:t> </w:t>
      </w:r>
      <w:r>
        <w:rPr/>
        <w:t>the</w:t>
      </w:r>
      <w:r>
        <w:rPr>
          <w:spacing w:val="-1"/>
        </w:rPr>
        <w:t> </w:t>
      </w:r>
      <w:r>
        <w:rPr/>
        <w:t>use</w:t>
      </w:r>
      <w:r>
        <w:rPr>
          <w:spacing w:val="-3"/>
        </w:rPr>
        <w:t> </w:t>
      </w:r>
      <w:r>
        <w:rPr/>
        <w:t>of</w:t>
      </w:r>
      <w:r>
        <w:rPr>
          <w:spacing w:val="-1"/>
        </w:rPr>
        <w:t> </w:t>
      </w:r>
      <w:r>
        <w:rPr/>
        <w:t>no thromboprophylaxis</w:t>
      </w:r>
      <w:r>
        <w:rPr>
          <w:spacing w:val="-3"/>
        </w:rPr>
        <w:t> </w:t>
      </w:r>
      <w:r>
        <w:rPr/>
        <w:t>for</w:t>
      </w:r>
      <w:r>
        <w:rPr>
          <w:spacing w:val="-1"/>
        </w:rPr>
        <w:t> </w:t>
      </w:r>
      <w:r>
        <w:rPr/>
        <w:t>children</w:t>
      </w:r>
      <w:r>
        <w:rPr>
          <w:spacing w:val="-1"/>
        </w:rPr>
        <w:t> </w:t>
      </w:r>
      <w:r>
        <w:rPr/>
        <w:t>with</w:t>
      </w:r>
      <w:r>
        <w:rPr>
          <w:spacing w:val="-3"/>
        </w:rPr>
        <w:t> </w:t>
      </w:r>
      <w:r>
        <w:rPr/>
        <w:t>an indication for stent placement?</w:t>
      </w:r>
    </w:p>
    <w:p>
      <w:pPr>
        <w:pStyle w:val="BodyText"/>
      </w:pPr>
    </w:p>
    <w:p>
      <w:pPr>
        <w:pStyle w:val="BodyText"/>
        <w:spacing w:before="93"/>
      </w:pPr>
    </w:p>
    <w:p>
      <w:pPr>
        <w:pStyle w:val="BodyText"/>
        <w:spacing w:before="1"/>
        <w:ind w:left="23"/>
      </w:pPr>
      <w:r>
        <w:rPr/>
        <w:t>PICO</w:t>
      </w:r>
      <w:r>
        <w:rPr>
          <w:spacing w:val="-3"/>
        </w:rPr>
        <w:t> </w:t>
      </w:r>
      <w:r>
        <w:rPr/>
        <w:t>used</w:t>
      </w:r>
      <w:r>
        <w:rPr>
          <w:spacing w:val="-2"/>
        </w:rPr>
        <w:t> </w:t>
      </w:r>
      <w:r>
        <w:rPr/>
        <w:t>for</w:t>
      </w:r>
      <w:r>
        <w:rPr>
          <w:spacing w:val="-5"/>
        </w:rPr>
        <w:t> </w:t>
      </w:r>
      <w:r>
        <w:rPr/>
        <w:t>this</w:t>
      </w:r>
      <w:r>
        <w:rPr>
          <w:spacing w:val="-2"/>
        </w:rPr>
        <w:t> question:</w:t>
      </w:r>
    </w:p>
    <w:p>
      <w:pPr>
        <w:pStyle w:val="BodyText"/>
        <w:spacing w:before="7"/>
        <w:rPr>
          <w:sz w:val="14"/>
        </w:rPr>
      </w:pPr>
      <w:r>
        <w:rPr>
          <w:sz w:val="14"/>
        </w:rPr>
        <mc:AlternateContent>
          <mc:Choice Requires="wps">
            <w:drawing>
              <wp:anchor distT="0" distB="0" distL="0" distR="0" allowOverlap="1" layoutInCell="1" locked="0" behindDoc="1" simplePos="0" relativeHeight="487603200">
                <wp:simplePos x="0" y="0"/>
                <wp:positionH relativeFrom="page">
                  <wp:posOffset>914400</wp:posOffset>
                </wp:positionH>
                <wp:positionV relativeFrom="paragraph">
                  <wp:posOffset>128560</wp:posOffset>
                </wp:positionV>
                <wp:extent cx="5267960" cy="9525"/>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5267960" cy="9525"/>
                        </a:xfrm>
                        <a:custGeom>
                          <a:avLst/>
                          <a:gdLst/>
                          <a:ahLst/>
                          <a:cxnLst/>
                          <a:rect l="l" t="t" r="r" b="b"/>
                          <a:pathLst>
                            <a:path w="5267960" h="9525">
                              <a:moveTo>
                                <a:pt x="5267820" y="0"/>
                              </a:moveTo>
                              <a:lnTo>
                                <a:pt x="1504442" y="0"/>
                              </a:lnTo>
                              <a:lnTo>
                                <a:pt x="1495298" y="0"/>
                              </a:lnTo>
                              <a:lnTo>
                                <a:pt x="0" y="0"/>
                              </a:lnTo>
                              <a:lnTo>
                                <a:pt x="0" y="9144"/>
                              </a:lnTo>
                              <a:lnTo>
                                <a:pt x="1495298" y="9144"/>
                              </a:lnTo>
                              <a:lnTo>
                                <a:pt x="1504442" y="9144"/>
                              </a:lnTo>
                              <a:lnTo>
                                <a:pt x="5267820" y="9144"/>
                              </a:lnTo>
                              <a:lnTo>
                                <a:pt x="5267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122911pt;width:414.8pt;height:.75pt;mso-position-horizontal-relative:page;mso-position-vertical-relative:paragraph;z-index:-15713280;mso-wrap-distance-left:0;mso-wrap-distance-right:0" id="docshape39" coordorigin="1440,202" coordsize="8296,15" path="m9736,202l3809,202,3795,202,1440,202,1440,217,3795,217,3809,217,9736,217,9736,202xe" filled="true" fillcolor="#000000" stroked="false">
                <v:path arrowok="t"/>
                <v:fill type="solid"/>
                <w10:wrap type="topAndBottom"/>
              </v:shape>
            </w:pict>
          </mc:Fallback>
        </mc:AlternateContent>
      </w:r>
    </w:p>
    <w:p>
      <w:pPr>
        <w:pStyle w:val="BodyText"/>
        <w:tabs>
          <w:tab w:pos="2377" w:val="left" w:leader="none"/>
        </w:tabs>
        <w:ind w:left="23"/>
      </w:pPr>
      <w:r>
        <w:rPr>
          <w:spacing w:val="-2"/>
        </w:rPr>
        <w:t>Patients</w:t>
      </w:r>
      <w:r>
        <w:rPr/>
        <w:tab/>
        <w:t>Children</w:t>
      </w:r>
      <w:r>
        <w:rPr>
          <w:spacing w:val="-8"/>
        </w:rPr>
        <w:t> </w:t>
      </w:r>
      <w:r>
        <w:rPr/>
        <w:t>with</w:t>
      </w:r>
      <w:r>
        <w:rPr>
          <w:spacing w:val="-6"/>
        </w:rPr>
        <w:t> </w:t>
      </w:r>
      <w:r>
        <w:rPr/>
        <w:t>indication</w:t>
      </w:r>
      <w:r>
        <w:rPr>
          <w:spacing w:val="-7"/>
        </w:rPr>
        <w:t> </w:t>
      </w:r>
      <w:r>
        <w:rPr/>
        <w:t>for</w:t>
      </w:r>
      <w:r>
        <w:rPr>
          <w:spacing w:val="-9"/>
        </w:rPr>
        <w:t> </w:t>
      </w:r>
      <w:r>
        <w:rPr/>
        <w:t>thromboprophylaxis</w:t>
      </w:r>
      <w:r>
        <w:rPr>
          <w:spacing w:val="-7"/>
        </w:rPr>
        <w:t> </w:t>
      </w:r>
      <w:r>
        <w:rPr/>
        <w:t>post-</w:t>
      </w:r>
      <w:r>
        <w:rPr>
          <w:spacing w:val="-2"/>
        </w:rPr>
        <w:t>stenting</w:t>
      </w:r>
    </w:p>
    <w:p>
      <w:pPr>
        <w:pStyle w:val="BodyText"/>
        <w:spacing w:before="9"/>
        <w:rPr>
          <w:sz w:val="14"/>
        </w:rPr>
      </w:pPr>
      <w:r>
        <w:rPr>
          <w:sz w:val="14"/>
        </w:rPr>
        <mc:AlternateContent>
          <mc:Choice Requires="wps">
            <w:drawing>
              <wp:anchor distT="0" distB="0" distL="0" distR="0" allowOverlap="1" layoutInCell="1" locked="0" behindDoc="1" simplePos="0" relativeHeight="487603712">
                <wp:simplePos x="0" y="0"/>
                <wp:positionH relativeFrom="page">
                  <wp:posOffset>914400</wp:posOffset>
                </wp:positionH>
                <wp:positionV relativeFrom="paragraph">
                  <wp:posOffset>129695</wp:posOffset>
                </wp:positionV>
                <wp:extent cx="5267960" cy="9525"/>
                <wp:effectExtent l="0" t="0" r="0" b="0"/>
                <wp:wrapTopAndBottom/>
                <wp:docPr id="40" name="Graphic 40"/>
                <wp:cNvGraphicFramePr>
                  <a:graphicFrameLocks/>
                </wp:cNvGraphicFramePr>
                <a:graphic>
                  <a:graphicData uri="http://schemas.microsoft.com/office/word/2010/wordprocessingShape">
                    <wps:wsp>
                      <wps:cNvPr id="40" name="Graphic 40"/>
                      <wps:cNvSpPr/>
                      <wps:spPr>
                        <a:xfrm>
                          <a:off x="0" y="0"/>
                          <a:ext cx="5267960" cy="9525"/>
                        </a:xfrm>
                        <a:custGeom>
                          <a:avLst/>
                          <a:gdLst/>
                          <a:ahLst/>
                          <a:cxnLst/>
                          <a:rect l="l" t="t" r="r" b="b"/>
                          <a:pathLst>
                            <a:path w="5267960" h="9525">
                              <a:moveTo>
                                <a:pt x="5267820" y="0"/>
                              </a:moveTo>
                              <a:lnTo>
                                <a:pt x="1504442" y="0"/>
                              </a:lnTo>
                              <a:lnTo>
                                <a:pt x="1495298" y="0"/>
                              </a:lnTo>
                              <a:lnTo>
                                <a:pt x="0" y="0"/>
                              </a:lnTo>
                              <a:lnTo>
                                <a:pt x="0" y="9144"/>
                              </a:lnTo>
                              <a:lnTo>
                                <a:pt x="1495298" y="9144"/>
                              </a:lnTo>
                              <a:lnTo>
                                <a:pt x="1504442" y="9144"/>
                              </a:lnTo>
                              <a:lnTo>
                                <a:pt x="5267820" y="9144"/>
                              </a:lnTo>
                              <a:lnTo>
                                <a:pt x="5267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212249pt;width:414.8pt;height:.75pt;mso-position-horizontal-relative:page;mso-position-vertical-relative:paragraph;z-index:-15712768;mso-wrap-distance-left:0;mso-wrap-distance-right:0" id="docshape40" coordorigin="1440,204" coordsize="8296,15" path="m9736,204l3809,204,3795,204,1440,204,1440,219,3795,219,3809,219,9736,219,9736,204xe" filled="true" fillcolor="#000000" stroked="false">
                <v:path arrowok="t"/>
                <v:fill type="solid"/>
                <w10:wrap type="topAndBottom"/>
              </v:shape>
            </w:pict>
          </mc:Fallback>
        </mc:AlternateContent>
      </w:r>
    </w:p>
    <w:p>
      <w:pPr>
        <w:pStyle w:val="BodyText"/>
        <w:tabs>
          <w:tab w:pos="2377" w:val="left" w:leader="none"/>
        </w:tabs>
        <w:ind w:left="23"/>
      </w:pPr>
      <w:r>
        <w:rPr>
          <w:spacing w:val="-2"/>
        </w:rPr>
        <w:t>Intervention</w:t>
      </w:r>
      <w:r>
        <w:rPr/>
        <w:tab/>
      </w:r>
      <w:r>
        <w:rPr>
          <w:spacing w:val="-2"/>
        </w:rPr>
        <w:t>Thromboprophylaxis:</w:t>
      </w:r>
    </w:p>
    <w:p>
      <w:pPr>
        <w:pStyle w:val="ListParagraph"/>
        <w:numPr>
          <w:ilvl w:val="1"/>
          <w:numId w:val="1"/>
        </w:numPr>
        <w:tabs>
          <w:tab w:pos="3097" w:val="left" w:leader="none"/>
        </w:tabs>
        <w:spacing w:line="278" w:lineRule="auto" w:before="203" w:after="0"/>
        <w:ind w:left="3097" w:right="7971" w:hanging="360"/>
        <w:jc w:val="left"/>
        <w:rPr>
          <w:rFonts w:ascii="Symbol" w:hAnsi="Symbol"/>
          <w:sz w:val="20"/>
        </w:rPr>
      </w:pPr>
      <w:r>
        <w:rPr>
          <w:sz w:val="22"/>
        </w:rPr>
        <w:t>Platelet</w:t>
      </w:r>
      <w:r>
        <w:rPr>
          <w:spacing w:val="-12"/>
          <w:sz w:val="22"/>
        </w:rPr>
        <w:t> </w:t>
      </w:r>
      <w:r>
        <w:rPr>
          <w:sz w:val="22"/>
        </w:rPr>
        <w:t>aggregation</w:t>
      </w:r>
      <w:r>
        <w:rPr>
          <w:spacing w:val="-11"/>
          <w:sz w:val="22"/>
        </w:rPr>
        <w:t> </w:t>
      </w:r>
      <w:r>
        <w:rPr>
          <w:sz w:val="22"/>
        </w:rPr>
        <w:t>inibitors</w:t>
      </w:r>
      <w:r>
        <w:rPr>
          <w:spacing w:val="-11"/>
          <w:sz w:val="22"/>
        </w:rPr>
        <w:t> </w:t>
      </w:r>
      <w:r>
        <w:rPr>
          <w:sz w:val="22"/>
        </w:rPr>
        <w:t>(aspirin, clopidogrel, carbasalate calcium)</w:t>
      </w:r>
    </w:p>
    <w:p>
      <w:pPr>
        <w:pStyle w:val="ListParagraph"/>
        <w:numPr>
          <w:ilvl w:val="1"/>
          <w:numId w:val="1"/>
        </w:numPr>
        <w:tabs>
          <w:tab w:pos="3097" w:val="left" w:leader="none"/>
        </w:tabs>
        <w:spacing w:line="240" w:lineRule="auto" w:before="160" w:after="0"/>
        <w:ind w:left="3097" w:right="0" w:hanging="360"/>
        <w:jc w:val="left"/>
        <w:rPr>
          <w:rFonts w:ascii="Symbol" w:hAnsi="Symbol"/>
          <w:sz w:val="20"/>
        </w:rPr>
      </w:pPr>
      <w:r>
        <w:rPr>
          <w:sz w:val="22"/>
        </w:rPr>
        <w:t>Vitamin</w:t>
      </w:r>
      <w:r>
        <w:rPr>
          <w:spacing w:val="-5"/>
          <w:sz w:val="22"/>
        </w:rPr>
        <w:t> </w:t>
      </w:r>
      <w:r>
        <w:rPr>
          <w:sz w:val="22"/>
        </w:rPr>
        <w:t>K</w:t>
      </w:r>
      <w:r>
        <w:rPr>
          <w:spacing w:val="1"/>
          <w:sz w:val="22"/>
        </w:rPr>
        <w:t> </w:t>
      </w:r>
      <w:r>
        <w:rPr>
          <w:spacing w:val="-2"/>
          <w:sz w:val="22"/>
        </w:rPr>
        <w:t>antagonists</w:t>
      </w:r>
    </w:p>
    <w:p>
      <w:pPr>
        <w:pStyle w:val="BodyText"/>
        <w:spacing w:before="45"/>
        <w:ind w:left="3097"/>
      </w:pPr>
      <w:r>
        <w:rPr/>
        <w:t>(warfarin,</w:t>
      </w:r>
      <w:r>
        <w:rPr>
          <w:spacing w:val="-9"/>
        </w:rPr>
        <w:t> </w:t>
      </w:r>
      <w:r>
        <w:rPr/>
        <w:t>acenocoumarol,</w:t>
      </w:r>
      <w:r>
        <w:rPr>
          <w:spacing w:val="-9"/>
        </w:rPr>
        <w:t> </w:t>
      </w:r>
      <w:r>
        <w:rPr>
          <w:spacing w:val="-2"/>
        </w:rPr>
        <w:t>fenprocoumon)</w:t>
      </w:r>
    </w:p>
    <w:p>
      <w:pPr>
        <w:pStyle w:val="ListParagraph"/>
        <w:numPr>
          <w:ilvl w:val="1"/>
          <w:numId w:val="1"/>
        </w:numPr>
        <w:tabs>
          <w:tab w:pos="3097" w:val="left" w:leader="none"/>
        </w:tabs>
        <w:spacing w:line="278" w:lineRule="auto" w:before="203" w:after="0"/>
        <w:ind w:left="3097" w:right="6591" w:hanging="360"/>
        <w:jc w:val="left"/>
        <w:rPr>
          <w:rFonts w:ascii="Symbol" w:hAnsi="Symbol"/>
          <w:sz w:val="20"/>
        </w:rPr>
      </w:pPr>
      <w:r>
        <w:rPr>
          <w:sz w:val="22"/>
        </w:rPr>
        <w:t>Low</w:t>
      </w:r>
      <w:r>
        <w:rPr>
          <w:spacing w:val="-8"/>
          <w:sz w:val="22"/>
        </w:rPr>
        <w:t> </w:t>
      </w:r>
      <w:r>
        <w:rPr>
          <w:sz w:val="22"/>
        </w:rPr>
        <w:t>molecular</w:t>
      </w:r>
      <w:r>
        <w:rPr>
          <w:spacing w:val="-9"/>
          <w:sz w:val="22"/>
        </w:rPr>
        <w:t> </w:t>
      </w:r>
      <w:r>
        <w:rPr>
          <w:sz w:val="22"/>
        </w:rPr>
        <w:t>weight</w:t>
      </w:r>
      <w:r>
        <w:rPr>
          <w:spacing w:val="-6"/>
          <w:sz w:val="22"/>
        </w:rPr>
        <w:t> </w:t>
      </w:r>
      <w:r>
        <w:rPr>
          <w:sz w:val="22"/>
        </w:rPr>
        <w:t>heparin</w:t>
      </w:r>
      <w:r>
        <w:rPr>
          <w:spacing w:val="-7"/>
          <w:sz w:val="22"/>
        </w:rPr>
        <w:t> </w:t>
      </w:r>
      <w:r>
        <w:rPr>
          <w:sz w:val="22"/>
        </w:rPr>
        <w:t>(fraxiparin,</w:t>
      </w:r>
      <w:r>
        <w:rPr>
          <w:spacing w:val="-6"/>
          <w:sz w:val="22"/>
        </w:rPr>
        <w:t> </w:t>
      </w:r>
      <w:r>
        <w:rPr>
          <w:sz w:val="22"/>
        </w:rPr>
        <w:t>tinzaparin, enoxaparin, dalteparin)</w:t>
      </w:r>
    </w:p>
    <w:p>
      <w:pPr>
        <w:pStyle w:val="ListParagraph"/>
        <w:numPr>
          <w:ilvl w:val="1"/>
          <w:numId w:val="1"/>
        </w:numPr>
        <w:tabs>
          <w:tab w:pos="3097" w:val="left" w:leader="none"/>
        </w:tabs>
        <w:spacing w:line="240" w:lineRule="auto" w:before="161" w:after="0"/>
        <w:ind w:left="3097" w:right="0" w:hanging="360"/>
        <w:jc w:val="left"/>
        <w:rPr>
          <w:rFonts w:ascii="Symbol" w:hAnsi="Symbol"/>
          <w:sz w:val="20"/>
        </w:rPr>
      </w:pPr>
      <w:r>
        <w:rPr>
          <w:sz w:val="22"/>
        </w:rPr>
        <w:t>DOACs</w:t>
      </w:r>
      <w:r>
        <w:rPr>
          <w:spacing w:val="-11"/>
          <w:sz w:val="22"/>
        </w:rPr>
        <w:t> </w:t>
      </w:r>
      <w:r>
        <w:rPr>
          <w:sz w:val="22"/>
        </w:rPr>
        <w:t>(apixaban,</w:t>
      </w:r>
      <w:r>
        <w:rPr>
          <w:spacing w:val="-8"/>
          <w:sz w:val="22"/>
        </w:rPr>
        <w:t> </w:t>
      </w:r>
      <w:r>
        <w:rPr>
          <w:sz w:val="22"/>
        </w:rPr>
        <w:t>rivaroxaban,</w:t>
      </w:r>
      <w:r>
        <w:rPr>
          <w:spacing w:val="-6"/>
          <w:sz w:val="22"/>
        </w:rPr>
        <w:t> </w:t>
      </w:r>
      <w:r>
        <w:rPr>
          <w:spacing w:val="-2"/>
          <w:sz w:val="22"/>
        </w:rPr>
        <w:t>edoxaban)</w:t>
      </w:r>
    </w:p>
    <w:p>
      <w:pPr>
        <w:pStyle w:val="BodyText"/>
        <w:spacing w:before="10"/>
        <w:rPr>
          <w:sz w:val="14"/>
        </w:rPr>
      </w:pPr>
      <w:r>
        <w:rPr>
          <w:sz w:val="14"/>
        </w:rPr>
        <mc:AlternateContent>
          <mc:Choice Requires="wps">
            <w:drawing>
              <wp:anchor distT="0" distB="0" distL="0" distR="0" allowOverlap="1" layoutInCell="1" locked="0" behindDoc="1" simplePos="0" relativeHeight="487604224">
                <wp:simplePos x="0" y="0"/>
                <wp:positionH relativeFrom="page">
                  <wp:posOffset>914400</wp:posOffset>
                </wp:positionH>
                <wp:positionV relativeFrom="paragraph">
                  <wp:posOffset>130611</wp:posOffset>
                </wp:positionV>
                <wp:extent cx="5267960" cy="9525"/>
                <wp:effectExtent l="0" t="0" r="0" b="0"/>
                <wp:wrapTopAndBottom/>
                <wp:docPr id="41" name="Graphic 41"/>
                <wp:cNvGraphicFramePr>
                  <a:graphicFrameLocks/>
                </wp:cNvGraphicFramePr>
                <a:graphic>
                  <a:graphicData uri="http://schemas.microsoft.com/office/word/2010/wordprocessingShape">
                    <wps:wsp>
                      <wps:cNvPr id="41" name="Graphic 41"/>
                      <wps:cNvSpPr/>
                      <wps:spPr>
                        <a:xfrm>
                          <a:off x="0" y="0"/>
                          <a:ext cx="5267960" cy="9525"/>
                        </a:xfrm>
                        <a:custGeom>
                          <a:avLst/>
                          <a:gdLst/>
                          <a:ahLst/>
                          <a:cxnLst/>
                          <a:rect l="l" t="t" r="r" b="b"/>
                          <a:pathLst>
                            <a:path w="5267960" h="9525">
                              <a:moveTo>
                                <a:pt x="5267820" y="0"/>
                              </a:moveTo>
                              <a:lnTo>
                                <a:pt x="1504442" y="0"/>
                              </a:lnTo>
                              <a:lnTo>
                                <a:pt x="1495298" y="0"/>
                              </a:lnTo>
                              <a:lnTo>
                                <a:pt x="0" y="0"/>
                              </a:lnTo>
                              <a:lnTo>
                                <a:pt x="0" y="9144"/>
                              </a:lnTo>
                              <a:lnTo>
                                <a:pt x="1495298" y="9144"/>
                              </a:lnTo>
                              <a:lnTo>
                                <a:pt x="1504442" y="9144"/>
                              </a:lnTo>
                              <a:lnTo>
                                <a:pt x="5267820" y="9144"/>
                              </a:lnTo>
                              <a:lnTo>
                                <a:pt x="5267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284366pt;width:414.8pt;height:.75pt;mso-position-horizontal-relative:page;mso-position-vertical-relative:paragraph;z-index:-15712256;mso-wrap-distance-left:0;mso-wrap-distance-right:0" id="docshape41" coordorigin="1440,206" coordsize="8296,15" path="m9736,206l3809,206,3795,206,1440,206,1440,220,3795,220,3809,220,9736,220,9736,206xe" filled="true" fillcolor="#000000" stroked="false">
                <v:path arrowok="t"/>
                <v:fill type="solid"/>
                <w10:wrap type="topAndBottom"/>
              </v:shape>
            </w:pict>
          </mc:Fallback>
        </mc:AlternateContent>
      </w:r>
    </w:p>
    <w:p>
      <w:pPr>
        <w:pStyle w:val="BodyText"/>
        <w:tabs>
          <w:tab w:pos="2377" w:val="left" w:leader="none"/>
        </w:tabs>
        <w:ind w:left="23"/>
      </w:pPr>
      <w:r>
        <w:rPr>
          <w:spacing w:val="-2"/>
        </w:rPr>
        <w:t>Control</w:t>
      </w:r>
      <w:r>
        <w:rPr/>
        <w:tab/>
        <w:t>No </w:t>
      </w:r>
      <w:r>
        <w:rPr>
          <w:spacing w:val="-2"/>
        </w:rPr>
        <w:t>thromboprophylaxis</w:t>
      </w:r>
    </w:p>
    <w:p>
      <w:pPr>
        <w:pStyle w:val="BodyText"/>
        <w:spacing w:before="9"/>
        <w:rPr>
          <w:sz w:val="14"/>
        </w:rPr>
      </w:pPr>
      <w:r>
        <w:rPr>
          <w:sz w:val="14"/>
        </w:rPr>
        <mc:AlternateContent>
          <mc:Choice Requires="wps">
            <w:drawing>
              <wp:anchor distT="0" distB="0" distL="0" distR="0" allowOverlap="1" layoutInCell="1" locked="0" behindDoc="1" simplePos="0" relativeHeight="487604736">
                <wp:simplePos x="0" y="0"/>
                <wp:positionH relativeFrom="page">
                  <wp:posOffset>914400</wp:posOffset>
                </wp:positionH>
                <wp:positionV relativeFrom="paragraph">
                  <wp:posOffset>129695</wp:posOffset>
                </wp:positionV>
                <wp:extent cx="5267960" cy="9525"/>
                <wp:effectExtent l="0" t="0" r="0" b="0"/>
                <wp:wrapTopAndBottom/>
                <wp:docPr id="42" name="Graphic 42"/>
                <wp:cNvGraphicFramePr>
                  <a:graphicFrameLocks/>
                </wp:cNvGraphicFramePr>
                <a:graphic>
                  <a:graphicData uri="http://schemas.microsoft.com/office/word/2010/wordprocessingShape">
                    <wps:wsp>
                      <wps:cNvPr id="42" name="Graphic 42"/>
                      <wps:cNvSpPr/>
                      <wps:spPr>
                        <a:xfrm>
                          <a:off x="0" y="0"/>
                          <a:ext cx="5267960" cy="9525"/>
                        </a:xfrm>
                        <a:custGeom>
                          <a:avLst/>
                          <a:gdLst/>
                          <a:ahLst/>
                          <a:cxnLst/>
                          <a:rect l="l" t="t" r="r" b="b"/>
                          <a:pathLst>
                            <a:path w="5267960" h="9525">
                              <a:moveTo>
                                <a:pt x="5267820" y="0"/>
                              </a:moveTo>
                              <a:lnTo>
                                <a:pt x="1504442" y="0"/>
                              </a:lnTo>
                              <a:lnTo>
                                <a:pt x="1495298" y="0"/>
                              </a:lnTo>
                              <a:lnTo>
                                <a:pt x="0" y="0"/>
                              </a:lnTo>
                              <a:lnTo>
                                <a:pt x="0" y="9144"/>
                              </a:lnTo>
                              <a:lnTo>
                                <a:pt x="1495298" y="9144"/>
                              </a:lnTo>
                              <a:lnTo>
                                <a:pt x="1504442" y="9144"/>
                              </a:lnTo>
                              <a:lnTo>
                                <a:pt x="5267820" y="9144"/>
                              </a:lnTo>
                              <a:lnTo>
                                <a:pt x="5267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212257pt;width:414.8pt;height:.75pt;mso-position-horizontal-relative:page;mso-position-vertical-relative:paragraph;z-index:-15711744;mso-wrap-distance-left:0;mso-wrap-distance-right:0" id="docshape42" coordorigin="1440,204" coordsize="8296,15" path="m9736,204l3809,204,3795,204,1440,204,1440,219,3795,219,3809,219,9736,219,9736,204xe" filled="true" fillcolor="#000000" stroked="false">
                <v:path arrowok="t"/>
                <v:fill type="solid"/>
                <w10:wrap type="topAndBottom"/>
              </v:shape>
            </w:pict>
          </mc:Fallback>
        </mc:AlternateContent>
      </w:r>
    </w:p>
    <w:p>
      <w:pPr>
        <w:pStyle w:val="BodyText"/>
        <w:tabs>
          <w:tab w:pos="2377" w:val="left" w:leader="none"/>
        </w:tabs>
        <w:spacing w:line="278" w:lineRule="auto"/>
        <w:ind w:left="2377" w:right="6191" w:hanging="2355"/>
      </w:pPr>
      <w:r>
        <w:rPr>
          <w:spacing w:val="-2"/>
        </w:rPr>
        <w:t>Outcomes</w:t>
      </w:r>
      <w:r>
        <w:rPr/>
        <w:tab/>
        <w:t>Stent occlusion, vessel occlusion, intima proliferation, ischemic stroke, thrombotic complications (including pulmonary embolism),</w:t>
      </w:r>
      <w:r>
        <w:rPr>
          <w:spacing w:val="-7"/>
        </w:rPr>
        <w:t> </w:t>
      </w:r>
      <w:r>
        <w:rPr/>
        <w:t>hemorrhage</w:t>
      </w:r>
      <w:r>
        <w:rPr>
          <w:spacing w:val="-7"/>
        </w:rPr>
        <w:t> </w:t>
      </w:r>
      <w:r>
        <w:rPr/>
        <w:t>(including</w:t>
      </w:r>
      <w:r>
        <w:rPr>
          <w:spacing w:val="-8"/>
        </w:rPr>
        <w:t> </w:t>
      </w:r>
      <w:r>
        <w:rPr/>
        <w:t>intracranial),</w:t>
      </w:r>
      <w:r>
        <w:rPr>
          <w:spacing w:val="-9"/>
        </w:rPr>
        <w:t> </w:t>
      </w:r>
      <w:r>
        <w:rPr/>
        <w:t>mortality,</w:t>
      </w:r>
      <w:r>
        <w:rPr>
          <w:spacing w:val="-7"/>
        </w:rPr>
        <w:t> </w:t>
      </w:r>
      <w:r>
        <w:rPr/>
        <w:t>quality of life (QOL), adverse effects (including pain post injection)</w:t>
      </w:r>
    </w:p>
    <w:p>
      <w:pPr>
        <w:pStyle w:val="BodyText"/>
        <w:spacing w:before="4"/>
        <w:rPr>
          <w:sz w:val="11"/>
        </w:rPr>
      </w:pPr>
      <w:r>
        <w:rPr>
          <w:sz w:val="11"/>
        </w:rPr>
        <mc:AlternateContent>
          <mc:Choice Requires="wps">
            <w:drawing>
              <wp:anchor distT="0" distB="0" distL="0" distR="0" allowOverlap="1" layoutInCell="1" locked="0" behindDoc="1" simplePos="0" relativeHeight="487605248">
                <wp:simplePos x="0" y="0"/>
                <wp:positionH relativeFrom="page">
                  <wp:posOffset>905256</wp:posOffset>
                </wp:positionH>
                <wp:positionV relativeFrom="paragraph">
                  <wp:posOffset>103046</wp:posOffset>
                </wp:positionV>
                <wp:extent cx="5277485" cy="9525"/>
                <wp:effectExtent l="0" t="0" r="0" b="0"/>
                <wp:wrapTopAndBottom/>
                <wp:docPr id="43" name="Graphic 43"/>
                <wp:cNvGraphicFramePr>
                  <a:graphicFrameLocks/>
                </wp:cNvGraphicFramePr>
                <a:graphic>
                  <a:graphicData uri="http://schemas.microsoft.com/office/word/2010/wordprocessingShape">
                    <wps:wsp>
                      <wps:cNvPr id="43" name="Graphic 43"/>
                      <wps:cNvSpPr/>
                      <wps:spPr>
                        <a:xfrm>
                          <a:off x="0" y="0"/>
                          <a:ext cx="5277485" cy="9525"/>
                        </a:xfrm>
                        <a:custGeom>
                          <a:avLst/>
                          <a:gdLst/>
                          <a:ahLst/>
                          <a:cxnLst/>
                          <a:rect l="l" t="t" r="r" b="b"/>
                          <a:pathLst>
                            <a:path w="5277485" h="9525">
                              <a:moveTo>
                                <a:pt x="5276977" y="0"/>
                              </a:moveTo>
                              <a:lnTo>
                                <a:pt x="1504442" y="0"/>
                              </a:lnTo>
                              <a:lnTo>
                                <a:pt x="1495298" y="0"/>
                              </a:lnTo>
                              <a:lnTo>
                                <a:pt x="0" y="0"/>
                              </a:lnTo>
                              <a:lnTo>
                                <a:pt x="0" y="9144"/>
                              </a:lnTo>
                              <a:lnTo>
                                <a:pt x="1495298" y="9144"/>
                              </a:lnTo>
                              <a:lnTo>
                                <a:pt x="1504442" y="9144"/>
                              </a:lnTo>
                              <a:lnTo>
                                <a:pt x="5276977" y="9144"/>
                              </a:lnTo>
                              <a:lnTo>
                                <a:pt x="52769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1.280006pt;margin-top:8.113863pt;width:415.55pt;height:.75pt;mso-position-horizontal-relative:page;mso-position-vertical-relative:paragraph;z-index:-15711232;mso-wrap-distance-left:0;mso-wrap-distance-right:0" id="docshape43" coordorigin="1426,162" coordsize="8311,15" path="m9736,162l3795,162,3780,162,1426,162,1426,177,3780,177,3795,177,9736,177,9736,162xe" filled="true" fillcolor="#000000" stroked="false">
                <v:path arrowok="t"/>
                <v:fill type="solid"/>
                <w10:wrap type="topAndBottom"/>
              </v:shape>
            </w:pict>
          </mc:Fallback>
        </mc:AlternateContent>
      </w:r>
    </w:p>
    <w:p>
      <w:pPr>
        <w:pStyle w:val="BodyText"/>
        <w:spacing w:after="0"/>
        <w:rPr>
          <w:sz w:val="11"/>
        </w:rPr>
        <w:sectPr>
          <w:pgSz w:w="16840" w:h="11910" w:orient="landscape"/>
          <w:pgMar w:top="1340" w:bottom="280" w:left="1417" w:right="992"/>
        </w:sectPr>
      </w:pPr>
    </w:p>
    <w:p>
      <w:pPr>
        <w:pStyle w:val="BodyText"/>
        <w:spacing w:before="93"/>
        <w:ind w:left="23"/>
      </w:pPr>
      <w:r>
        <w:rPr>
          <w:u w:val="single"/>
        </w:rPr>
        <w:t>Relevant</w:t>
      </w:r>
      <w:r>
        <w:rPr>
          <w:spacing w:val="-6"/>
          <w:u w:val="single"/>
        </w:rPr>
        <w:t> </w:t>
      </w:r>
      <w:r>
        <w:rPr>
          <w:u w:val="single"/>
        </w:rPr>
        <w:t>outcome</w:t>
      </w:r>
      <w:r>
        <w:rPr>
          <w:spacing w:val="-5"/>
          <w:u w:val="single"/>
        </w:rPr>
        <w:t> </w:t>
      </w:r>
      <w:r>
        <w:rPr>
          <w:spacing w:val="-2"/>
          <w:u w:val="single"/>
        </w:rPr>
        <w:t>measures</w:t>
      </w:r>
    </w:p>
    <w:p>
      <w:pPr>
        <w:pStyle w:val="BodyText"/>
        <w:spacing w:line="273" w:lineRule="auto" w:before="41"/>
        <w:ind w:left="23" w:right="964"/>
      </w:pPr>
      <w:r>
        <w:rPr/>
        <w:t>The guideline panel considered stent occlusion and thrombotic complications as a critical outcome measure for decision making; and the other outcomes (vessel</w:t>
      </w:r>
      <w:r>
        <w:rPr>
          <w:spacing w:val="-3"/>
        </w:rPr>
        <w:t> </w:t>
      </w:r>
      <w:r>
        <w:rPr/>
        <w:t>occlusion,</w:t>
      </w:r>
      <w:r>
        <w:rPr>
          <w:spacing w:val="-1"/>
        </w:rPr>
        <w:t> </w:t>
      </w:r>
      <w:r>
        <w:rPr/>
        <w:t>intima</w:t>
      </w:r>
      <w:r>
        <w:rPr>
          <w:spacing w:val="-3"/>
        </w:rPr>
        <w:t> </w:t>
      </w:r>
      <w:r>
        <w:rPr/>
        <w:t>proliferation,</w:t>
      </w:r>
      <w:r>
        <w:rPr>
          <w:spacing w:val="-4"/>
        </w:rPr>
        <w:t> </w:t>
      </w:r>
      <w:r>
        <w:rPr/>
        <w:t>ischemic</w:t>
      </w:r>
      <w:r>
        <w:rPr>
          <w:spacing w:val="-1"/>
        </w:rPr>
        <w:t> </w:t>
      </w:r>
      <w:r>
        <w:rPr/>
        <w:t>stroke,</w:t>
      </w:r>
      <w:r>
        <w:rPr>
          <w:spacing w:val="-1"/>
        </w:rPr>
        <w:t> </w:t>
      </w:r>
      <w:r>
        <w:rPr/>
        <w:t>hemorrhage,</w:t>
      </w:r>
      <w:r>
        <w:rPr>
          <w:spacing w:val="-5"/>
        </w:rPr>
        <w:t> </w:t>
      </w:r>
      <w:r>
        <w:rPr/>
        <w:t>mortality,</w:t>
      </w:r>
      <w:r>
        <w:rPr>
          <w:spacing w:val="-3"/>
        </w:rPr>
        <w:t> </w:t>
      </w:r>
      <w:r>
        <w:rPr/>
        <w:t>QOL,</w:t>
      </w:r>
      <w:r>
        <w:rPr>
          <w:spacing w:val="-4"/>
        </w:rPr>
        <w:t> </w:t>
      </w:r>
      <w:r>
        <w:rPr/>
        <w:t>adverse</w:t>
      </w:r>
      <w:r>
        <w:rPr>
          <w:spacing w:val="-3"/>
        </w:rPr>
        <w:t> </w:t>
      </w:r>
      <w:r>
        <w:rPr/>
        <w:t>effects) as</w:t>
      </w:r>
      <w:r>
        <w:rPr>
          <w:spacing w:val="-3"/>
        </w:rPr>
        <w:t> </w:t>
      </w:r>
      <w:r>
        <w:rPr/>
        <w:t>an</w:t>
      </w:r>
      <w:r>
        <w:rPr>
          <w:spacing w:val="-2"/>
        </w:rPr>
        <w:t> </w:t>
      </w:r>
      <w:r>
        <w:rPr/>
        <w:t>important</w:t>
      </w:r>
      <w:r>
        <w:rPr>
          <w:spacing w:val="-2"/>
        </w:rPr>
        <w:t> </w:t>
      </w:r>
      <w:r>
        <w:rPr/>
        <w:t>outcome</w:t>
      </w:r>
      <w:r>
        <w:rPr>
          <w:spacing w:val="-1"/>
        </w:rPr>
        <w:t> </w:t>
      </w:r>
      <w:r>
        <w:rPr/>
        <w:t>measure</w:t>
      </w:r>
      <w:r>
        <w:rPr>
          <w:spacing w:val="-4"/>
        </w:rPr>
        <w:t> </w:t>
      </w:r>
      <w:r>
        <w:rPr/>
        <w:t>for</w:t>
      </w:r>
    </w:p>
    <w:p>
      <w:pPr>
        <w:pStyle w:val="BodyText"/>
        <w:spacing w:before="5"/>
        <w:ind w:left="23"/>
      </w:pPr>
      <w:r>
        <w:rPr/>
        <w:t>decision</w:t>
      </w:r>
      <w:r>
        <w:rPr>
          <w:spacing w:val="-9"/>
        </w:rPr>
        <w:t> </w:t>
      </w:r>
      <w:r>
        <w:rPr/>
        <w:t>making.</w:t>
      </w:r>
      <w:r>
        <w:rPr>
          <w:spacing w:val="-2"/>
        </w:rPr>
        <w:t> </w:t>
      </w:r>
      <w:r>
        <w:rPr/>
        <w:t>A</w:t>
      </w:r>
      <w:r>
        <w:rPr>
          <w:spacing w:val="-4"/>
        </w:rPr>
        <w:t> </w:t>
      </w:r>
      <w:r>
        <w:rPr/>
        <w:t>priori,</w:t>
      </w:r>
      <w:r>
        <w:rPr>
          <w:spacing w:val="-6"/>
        </w:rPr>
        <w:t> </w:t>
      </w:r>
      <w:r>
        <w:rPr/>
        <w:t>the</w:t>
      </w:r>
      <w:r>
        <w:rPr>
          <w:spacing w:val="-4"/>
        </w:rPr>
        <w:t> </w:t>
      </w:r>
      <w:r>
        <w:rPr/>
        <w:t>guideline</w:t>
      </w:r>
      <w:r>
        <w:rPr>
          <w:spacing w:val="-4"/>
        </w:rPr>
        <w:t> </w:t>
      </w:r>
      <w:r>
        <w:rPr/>
        <w:t>panel</w:t>
      </w:r>
      <w:r>
        <w:rPr>
          <w:spacing w:val="-4"/>
        </w:rPr>
        <w:t> </w:t>
      </w:r>
      <w:r>
        <w:rPr/>
        <w:t>did</w:t>
      </w:r>
      <w:r>
        <w:rPr>
          <w:spacing w:val="-5"/>
        </w:rPr>
        <w:t> </w:t>
      </w:r>
      <w:r>
        <w:rPr/>
        <w:t>not</w:t>
      </w:r>
      <w:r>
        <w:rPr>
          <w:spacing w:val="-6"/>
        </w:rPr>
        <w:t> </w:t>
      </w:r>
      <w:r>
        <w:rPr/>
        <w:t>define</w:t>
      </w:r>
      <w:r>
        <w:rPr>
          <w:spacing w:val="-4"/>
        </w:rPr>
        <w:t> </w:t>
      </w:r>
      <w:r>
        <w:rPr/>
        <w:t>the</w:t>
      </w:r>
      <w:r>
        <w:rPr>
          <w:spacing w:val="-6"/>
        </w:rPr>
        <w:t> </w:t>
      </w:r>
      <w:r>
        <w:rPr/>
        <w:t>outcome</w:t>
      </w:r>
      <w:r>
        <w:rPr>
          <w:spacing w:val="-5"/>
        </w:rPr>
        <w:t> </w:t>
      </w:r>
      <w:r>
        <w:rPr/>
        <w:t>measures</w:t>
      </w:r>
      <w:r>
        <w:rPr>
          <w:spacing w:val="-4"/>
        </w:rPr>
        <w:t> </w:t>
      </w:r>
      <w:r>
        <w:rPr/>
        <w:t>listed</w:t>
      </w:r>
      <w:r>
        <w:rPr>
          <w:spacing w:val="-4"/>
        </w:rPr>
        <w:t> </w:t>
      </w:r>
      <w:r>
        <w:rPr/>
        <w:t>above</w:t>
      </w:r>
      <w:r>
        <w:rPr>
          <w:spacing w:val="-5"/>
        </w:rPr>
        <w:t> </w:t>
      </w:r>
      <w:r>
        <w:rPr/>
        <w:t>but</w:t>
      </w:r>
      <w:r>
        <w:rPr>
          <w:spacing w:val="-4"/>
        </w:rPr>
        <w:t> </w:t>
      </w:r>
      <w:r>
        <w:rPr/>
        <w:t>used</w:t>
      </w:r>
      <w:r>
        <w:rPr>
          <w:spacing w:val="-7"/>
        </w:rPr>
        <w:t> </w:t>
      </w:r>
      <w:r>
        <w:rPr/>
        <w:t>the</w:t>
      </w:r>
      <w:r>
        <w:rPr>
          <w:spacing w:val="-4"/>
        </w:rPr>
        <w:t> </w:t>
      </w:r>
      <w:r>
        <w:rPr/>
        <w:t>definitions</w:t>
      </w:r>
      <w:r>
        <w:rPr>
          <w:spacing w:val="-6"/>
        </w:rPr>
        <w:t> </w:t>
      </w:r>
      <w:r>
        <w:rPr/>
        <w:t>used</w:t>
      </w:r>
      <w:r>
        <w:rPr>
          <w:spacing w:val="-4"/>
        </w:rPr>
        <w:t> </w:t>
      </w:r>
      <w:r>
        <w:rPr/>
        <w:t>in</w:t>
      </w:r>
      <w:r>
        <w:rPr>
          <w:spacing w:val="-7"/>
        </w:rPr>
        <w:t> </w:t>
      </w:r>
      <w:r>
        <w:rPr/>
        <w:t>the</w:t>
      </w:r>
      <w:r>
        <w:rPr>
          <w:spacing w:val="-4"/>
        </w:rPr>
        <w:t> </w:t>
      </w:r>
      <w:r>
        <w:rPr/>
        <w:t>studies.</w:t>
      </w:r>
      <w:r>
        <w:rPr>
          <w:spacing w:val="4"/>
        </w:rPr>
        <w:t> </w:t>
      </w:r>
      <w:r>
        <w:rPr/>
        <w:t>The</w:t>
      </w:r>
      <w:r>
        <w:rPr>
          <w:spacing w:val="-3"/>
        </w:rPr>
        <w:t> </w:t>
      </w:r>
      <w:r>
        <w:rPr>
          <w:spacing w:val="-2"/>
        </w:rPr>
        <w:t>guideline</w:t>
      </w:r>
    </w:p>
    <w:p>
      <w:pPr>
        <w:pStyle w:val="BodyText"/>
        <w:spacing w:before="41"/>
        <w:ind w:left="23"/>
      </w:pPr>
      <w:r>
        <w:rPr/>
        <w:t>panel</w:t>
      </w:r>
      <w:r>
        <w:rPr>
          <w:spacing w:val="-5"/>
        </w:rPr>
        <w:t> </w:t>
      </w:r>
      <w:r>
        <w:rPr/>
        <w:t>defined</w:t>
      </w:r>
      <w:r>
        <w:rPr>
          <w:spacing w:val="-3"/>
        </w:rPr>
        <w:t> </w:t>
      </w:r>
      <w:r>
        <w:rPr/>
        <w:t>a</w:t>
      </w:r>
      <w:r>
        <w:rPr>
          <w:spacing w:val="-2"/>
        </w:rPr>
        <w:t> </w:t>
      </w:r>
      <w:r>
        <w:rPr/>
        <w:t>difference</w:t>
      </w:r>
      <w:r>
        <w:rPr>
          <w:spacing w:val="-7"/>
        </w:rPr>
        <w:t> </w:t>
      </w:r>
      <w:r>
        <w:rPr/>
        <w:t>of</w:t>
      </w:r>
      <w:r>
        <w:rPr>
          <w:spacing w:val="-3"/>
        </w:rPr>
        <w:t> </w:t>
      </w:r>
      <w:r>
        <w:rPr/>
        <w:t>25%</w:t>
      </w:r>
      <w:r>
        <w:rPr>
          <w:spacing w:val="-4"/>
        </w:rPr>
        <w:t> </w:t>
      </w:r>
      <w:r>
        <w:rPr/>
        <w:t>(0.8</w:t>
      </w:r>
      <w:r>
        <w:rPr>
          <w:spacing w:val="-5"/>
        </w:rPr>
        <w:t> </w:t>
      </w:r>
      <w:r>
        <w:rPr/>
        <w:t>≥</w:t>
      </w:r>
      <w:r>
        <w:rPr>
          <w:spacing w:val="-2"/>
        </w:rPr>
        <w:t> </w:t>
      </w:r>
      <w:r>
        <w:rPr/>
        <w:t>RR</w:t>
      </w:r>
      <w:r>
        <w:rPr>
          <w:spacing w:val="-6"/>
        </w:rPr>
        <w:t> </w:t>
      </w:r>
      <w:r>
        <w:rPr/>
        <w:t>≥</w:t>
      </w:r>
      <w:r>
        <w:rPr>
          <w:spacing w:val="-4"/>
        </w:rPr>
        <w:t> </w:t>
      </w:r>
      <w:r>
        <w:rPr/>
        <w:t>1.25)</w:t>
      </w:r>
      <w:r>
        <w:rPr>
          <w:spacing w:val="-3"/>
        </w:rPr>
        <w:t> </w:t>
      </w:r>
      <w:r>
        <w:rPr/>
        <w:t>as</w:t>
      </w:r>
      <w:r>
        <w:rPr>
          <w:spacing w:val="-7"/>
        </w:rPr>
        <w:t> </w:t>
      </w:r>
      <w:r>
        <w:rPr/>
        <w:t>a</w:t>
      </w:r>
      <w:r>
        <w:rPr>
          <w:spacing w:val="-3"/>
        </w:rPr>
        <w:t> </w:t>
      </w:r>
      <w:r>
        <w:rPr/>
        <w:t>minimal</w:t>
      </w:r>
      <w:r>
        <w:rPr>
          <w:spacing w:val="-3"/>
        </w:rPr>
        <w:t> </w:t>
      </w:r>
      <w:r>
        <w:rPr/>
        <w:t>clinically</w:t>
      </w:r>
      <w:r>
        <w:rPr>
          <w:spacing w:val="-2"/>
        </w:rPr>
        <w:t> </w:t>
      </w:r>
      <w:r>
        <w:rPr/>
        <w:t>(patient)</w:t>
      </w:r>
      <w:r>
        <w:rPr>
          <w:spacing w:val="-3"/>
        </w:rPr>
        <w:t> </w:t>
      </w:r>
      <w:r>
        <w:rPr/>
        <w:t>important</w:t>
      </w:r>
      <w:r>
        <w:rPr>
          <w:spacing w:val="-4"/>
        </w:rPr>
        <w:t> </w:t>
      </w:r>
      <w:r>
        <w:rPr>
          <w:spacing w:val="-2"/>
        </w:rPr>
        <w:t>difference.</w:t>
      </w:r>
    </w:p>
    <w:p>
      <w:pPr>
        <w:pStyle w:val="BodyText"/>
        <w:spacing w:before="79"/>
      </w:pPr>
    </w:p>
    <w:p>
      <w:pPr>
        <w:pStyle w:val="BodyText"/>
        <w:ind w:left="23"/>
      </w:pPr>
      <w:r>
        <w:rPr>
          <w:u w:val="single"/>
        </w:rPr>
        <w:t>Search</w:t>
      </w:r>
      <w:r>
        <w:rPr>
          <w:spacing w:val="-6"/>
          <w:u w:val="single"/>
        </w:rPr>
        <w:t> </w:t>
      </w:r>
      <w:r>
        <w:rPr>
          <w:u w:val="single"/>
        </w:rPr>
        <w:t>and</w:t>
      </w:r>
      <w:r>
        <w:rPr>
          <w:spacing w:val="-5"/>
          <w:u w:val="single"/>
        </w:rPr>
        <w:t> </w:t>
      </w:r>
      <w:r>
        <w:rPr>
          <w:spacing w:val="-2"/>
          <w:u w:val="single"/>
        </w:rPr>
        <w:t>selection</w:t>
      </w:r>
    </w:p>
    <w:p>
      <w:pPr>
        <w:pStyle w:val="BodyText"/>
        <w:spacing w:line="278" w:lineRule="auto" w:before="41"/>
        <w:ind w:left="23" w:right="466"/>
      </w:pPr>
      <w:r>
        <w:rPr/>
        <w:t>The</w:t>
      </w:r>
      <w:r>
        <w:rPr>
          <w:spacing w:val="-1"/>
        </w:rPr>
        <w:t> </w:t>
      </w:r>
      <w:r>
        <w:rPr/>
        <w:t>systematic</w:t>
      </w:r>
      <w:r>
        <w:rPr>
          <w:spacing w:val="-1"/>
        </w:rPr>
        <w:t> </w:t>
      </w:r>
      <w:r>
        <w:rPr/>
        <w:t>literature</w:t>
      </w:r>
      <w:r>
        <w:rPr>
          <w:spacing w:val="-3"/>
        </w:rPr>
        <w:t> </w:t>
      </w:r>
      <w:r>
        <w:rPr/>
        <w:t>search</w:t>
      </w:r>
      <w:r>
        <w:rPr>
          <w:spacing w:val="-1"/>
        </w:rPr>
        <w:t> </w:t>
      </w:r>
      <w:r>
        <w:rPr/>
        <w:t>resulted</w:t>
      </w:r>
      <w:r>
        <w:rPr>
          <w:spacing w:val="-2"/>
        </w:rPr>
        <w:t> </w:t>
      </w:r>
      <w:r>
        <w:rPr/>
        <w:t>in</w:t>
      </w:r>
      <w:r>
        <w:rPr>
          <w:spacing w:val="-4"/>
        </w:rPr>
        <w:t> </w:t>
      </w:r>
      <w:r>
        <w:rPr/>
        <w:t>344 hits.</w:t>
      </w:r>
      <w:r>
        <w:rPr>
          <w:spacing w:val="-1"/>
        </w:rPr>
        <w:t> </w:t>
      </w:r>
      <w:r>
        <w:rPr/>
        <w:t>Initially,</w:t>
      </w:r>
      <w:r>
        <w:rPr>
          <w:spacing w:val="-3"/>
        </w:rPr>
        <w:t> </w:t>
      </w:r>
      <w:r>
        <w:rPr/>
        <w:t>one study was</w:t>
      </w:r>
      <w:r>
        <w:rPr>
          <w:spacing w:val="-1"/>
        </w:rPr>
        <w:t> </w:t>
      </w:r>
      <w:r>
        <w:rPr/>
        <w:t>selected</w:t>
      </w:r>
      <w:r>
        <w:rPr>
          <w:spacing w:val="-2"/>
        </w:rPr>
        <w:t> </w:t>
      </w:r>
      <w:r>
        <w:rPr/>
        <w:t>based</w:t>
      </w:r>
      <w:r>
        <w:rPr>
          <w:spacing w:val="-5"/>
        </w:rPr>
        <w:t> </w:t>
      </w:r>
      <w:r>
        <w:rPr/>
        <w:t>on</w:t>
      </w:r>
      <w:r>
        <w:rPr>
          <w:spacing w:val="-4"/>
        </w:rPr>
        <w:t> </w:t>
      </w:r>
      <w:r>
        <w:rPr/>
        <w:t>title</w:t>
      </w:r>
      <w:r>
        <w:rPr>
          <w:spacing w:val="-3"/>
        </w:rPr>
        <w:t> </w:t>
      </w:r>
      <w:r>
        <w:rPr/>
        <w:t>and</w:t>
      </w:r>
      <w:r>
        <w:rPr>
          <w:spacing w:val="-3"/>
        </w:rPr>
        <w:t> </w:t>
      </w:r>
      <w:r>
        <w:rPr/>
        <w:t>abstract screening.</w:t>
      </w:r>
      <w:r>
        <w:rPr>
          <w:spacing w:val="-1"/>
        </w:rPr>
        <w:t> </w:t>
      </w:r>
      <w:r>
        <w:rPr/>
        <w:t>After</w:t>
      </w:r>
      <w:r>
        <w:rPr>
          <w:spacing w:val="-1"/>
        </w:rPr>
        <w:t> </w:t>
      </w:r>
      <w:r>
        <w:rPr/>
        <w:t>reading</w:t>
      </w:r>
      <w:r>
        <w:rPr>
          <w:spacing w:val="-2"/>
        </w:rPr>
        <w:t> </w:t>
      </w:r>
      <w:r>
        <w:rPr/>
        <w:t>the</w:t>
      </w:r>
      <w:r>
        <w:rPr>
          <w:spacing w:val="-1"/>
        </w:rPr>
        <w:t> </w:t>
      </w:r>
      <w:r>
        <w:rPr/>
        <w:t>full</w:t>
      </w:r>
      <w:r>
        <w:rPr>
          <w:spacing w:val="-2"/>
        </w:rPr>
        <w:t> </w:t>
      </w:r>
      <w:r>
        <w:rPr/>
        <w:t>text, one study was excluded. (Table 6.1)</w:t>
      </w:r>
    </w:p>
    <w:p>
      <w:pPr>
        <w:pStyle w:val="BodyText"/>
        <w:spacing w:before="163"/>
        <w:ind w:left="23"/>
      </w:pPr>
      <w:r>
        <w:rPr>
          <w:u w:val="single"/>
        </w:rPr>
        <w:t>Summary</w:t>
      </w:r>
      <w:r>
        <w:rPr>
          <w:spacing w:val="-5"/>
          <w:u w:val="single"/>
        </w:rPr>
        <w:t> </w:t>
      </w:r>
      <w:r>
        <w:rPr>
          <w:u w:val="single"/>
        </w:rPr>
        <w:t>of</w:t>
      </w:r>
      <w:r>
        <w:rPr>
          <w:spacing w:val="-2"/>
          <w:u w:val="single"/>
        </w:rPr>
        <w:t> literature</w:t>
      </w:r>
    </w:p>
    <w:p>
      <w:pPr>
        <w:spacing w:before="43"/>
        <w:ind w:left="23" w:right="0" w:firstLine="0"/>
        <w:jc w:val="left"/>
        <w:rPr>
          <w:i/>
          <w:sz w:val="22"/>
        </w:rPr>
      </w:pPr>
      <w:r>
        <w:rPr>
          <w:i/>
          <w:sz w:val="22"/>
        </w:rPr>
        <w:t>Description</w:t>
      </w:r>
      <w:r>
        <w:rPr>
          <w:i/>
          <w:spacing w:val="-6"/>
          <w:sz w:val="22"/>
        </w:rPr>
        <w:t> </w:t>
      </w:r>
      <w:r>
        <w:rPr>
          <w:i/>
          <w:sz w:val="22"/>
        </w:rPr>
        <w:t>of</w:t>
      </w:r>
      <w:r>
        <w:rPr>
          <w:i/>
          <w:spacing w:val="-5"/>
          <w:sz w:val="22"/>
        </w:rPr>
        <w:t> </w:t>
      </w:r>
      <w:r>
        <w:rPr>
          <w:i/>
          <w:spacing w:val="-2"/>
          <w:sz w:val="22"/>
        </w:rPr>
        <w:t>studies</w:t>
      </w:r>
    </w:p>
    <w:p>
      <w:pPr>
        <w:pStyle w:val="BodyText"/>
        <w:spacing w:before="202"/>
        <w:ind w:left="23"/>
      </w:pPr>
      <w:r>
        <w:rPr/>
        <w:t>No</w:t>
      </w:r>
      <w:r>
        <w:rPr>
          <w:spacing w:val="-2"/>
        </w:rPr>
        <w:t> </w:t>
      </w:r>
      <w:r>
        <w:rPr/>
        <w:t>studies</w:t>
      </w:r>
      <w:r>
        <w:rPr>
          <w:spacing w:val="-6"/>
        </w:rPr>
        <w:t> </w:t>
      </w:r>
      <w:r>
        <w:rPr/>
        <w:t>were</w:t>
      </w:r>
      <w:r>
        <w:rPr>
          <w:spacing w:val="-3"/>
        </w:rPr>
        <w:t> </w:t>
      </w:r>
      <w:r>
        <w:rPr/>
        <w:t>included</w:t>
      </w:r>
      <w:r>
        <w:rPr>
          <w:spacing w:val="-3"/>
        </w:rPr>
        <w:t> </w:t>
      </w:r>
      <w:r>
        <w:rPr/>
        <w:t>in</w:t>
      </w:r>
      <w:r>
        <w:rPr>
          <w:spacing w:val="-4"/>
        </w:rPr>
        <w:t> </w:t>
      </w:r>
      <w:r>
        <w:rPr/>
        <w:t>the</w:t>
      </w:r>
      <w:r>
        <w:rPr>
          <w:spacing w:val="-3"/>
        </w:rPr>
        <w:t> </w:t>
      </w:r>
      <w:r>
        <w:rPr/>
        <w:t>analysis</w:t>
      </w:r>
      <w:r>
        <w:rPr>
          <w:spacing w:val="-6"/>
        </w:rPr>
        <w:t> </w:t>
      </w:r>
      <w:r>
        <w:rPr/>
        <w:t>of</w:t>
      </w:r>
      <w:r>
        <w:rPr>
          <w:spacing w:val="-3"/>
        </w:rPr>
        <w:t> </w:t>
      </w:r>
      <w:r>
        <w:rPr/>
        <w:t>the</w:t>
      </w:r>
      <w:r>
        <w:rPr>
          <w:spacing w:val="-4"/>
        </w:rPr>
        <w:t> </w:t>
      </w:r>
      <w:r>
        <w:rPr>
          <w:spacing w:val="-2"/>
        </w:rPr>
        <w:t>literature.</w:t>
      </w:r>
    </w:p>
    <w:p>
      <w:pPr>
        <w:spacing w:before="204"/>
        <w:ind w:left="23" w:right="0" w:firstLine="0"/>
        <w:jc w:val="left"/>
        <w:rPr>
          <w:i/>
          <w:sz w:val="22"/>
        </w:rPr>
      </w:pPr>
      <w:r>
        <w:rPr>
          <w:i/>
          <w:spacing w:val="-2"/>
          <w:sz w:val="22"/>
        </w:rPr>
        <w:t>Results</w:t>
      </w:r>
    </w:p>
    <w:p>
      <w:pPr>
        <w:pStyle w:val="BodyText"/>
        <w:spacing w:line="422" w:lineRule="auto" w:before="204"/>
        <w:ind w:left="23" w:right="5723"/>
      </w:pPr>
      <w:r>
        <w:rPr/>
        <w:t>As</w:t>
      </w:r>
      <w:r>
        <w:rPr>
          <w:spacing w:val="-2"/>
        </w:rPr>
        <w:t> </w:t>
      </w:r>
      <w:r>
        <w:rPr/>
        <w:t>no</w:t>
      </w:r>
      <w:r>
        <w:rPr>
          <w:spacing w:val="-1"/>
        </w:rPr>
        <w:t> </w:t>
      </w:r>
      <w:r>
        <w:rPr/>
        <w:t>studies</w:t>
      </w:r>
      <w:r>
        <w:rPr>
          <w:spacing w:val="-2"/>
        </w:rPr>
        <w:t> </w:t>
      </w:r>
      <w:r>
        <w:rPr/>
        <w:t>could</w:t>
      </w:r>
      <w:r>
        <w:rPr>
          <w:spacing w:val="-4"/>
        </w:rPr>
        <w:t> </w:t>
      </w:r>
      <w:r>
        <w:rPr/>
        <w:t>be</w:t>
      </w:r>
      <w:r>
        <w:rPr>
          <w:spacing w:val="-2"/>
        </w:rPr>
        <w:t> </w:t>
      </w:r>
      <w:r>
        <w:rPr/>
        <w:t>included</w:t>
      </w:r>
      <w:r>
        <w:rPr>
          <w:spacing w:val="-2"/>
        </w:rPr>
        <w:t> </w:t>
      </w:r>
      <w:r>
        <w:rPr/>
        <w:t>in</w:t>
      </w:r>
      <w:r>
        <w:rPr>
          <w:spacing w:val="-3"/>
        </w:rPr>
        <w:t> </w:t>
      </w:r>
      <w:r>
        <w:rPr/>
        <w:t>this</w:t>
      </w:r>
      <w:r>
        <w:rPr>
          <w:spacing w:val="-2"/>
        </w:rPr>
        <w:t> </w:t>
      </w:r>
      <w:r>
        <w:rPr/>
        <w:t>literature</w:t>
      </w:r>
      <w:r>
        <w:rPr>
          <w:spacing w:val="-2"/>
        </w:rPr>
        <w:t> </w:t>
      </w:r>
      <w:r>
        <w:rPr/>
        <w:t>summary,</w:t>
      </w:r>
      <w:r>
        <w:rPr>
          <w:spacing w:val="-2"/>
        </w:rPr>
        <w:t> </w:t>
      </w:r>
      <w:r>
        <w:rPr/>
        <w:t>no</w:t>
      </w:r>
      <w:r>
        <w:rPr>
          <w:spacing w:val="-4"/>
        </w:rPr>
        <w:t> </w:t>
      </w:r>
      <w:r>
        <w:rPr/>
        <w:t>study</w:t>
      </w:r>
      <w:r>
        <w:rPr>
          <w:spacing w:val="-2"/>
        </w:rPr>
        <w:t> </w:t>
      </w:r>
      <w:r>
        <w:rPr/>
        <w:t>results</w:t>
      </w:r>
      <w:r>
        <w:rPr>
          <w:spacing w:val="-5"/>
        </w:rPr>
        <w:t> </w:t>
      </w:r>
      <w:r>
        <w:rPr/>
        <w:t>are</w:t>
      </w:r>
      <w:r>
        <w:rPr>
          <w:spacing w:val="-4"/>
        </w:rPr>
        <w:t> </w:t>
      </w:r>
      <w:r>
        <w:rPr/>
        <w:t>described</w:t>
      </w:r>
      <w:r>
        <w:rPr>
          <w:spacing w:val="-2"/>
        </w:rPr>
        <w:t> </w:t>
      </w:r>
      <w:r>
        <w:rPr/>
        <w:t>here. Table 6.1. Excluded studies</w:t>
      </w: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925"/>
        <w:gridCol w:w="4962"/>
      </w:tblGrid>
      <w:tr>
        <w:trPr>
          <w:trHeight w:val="472" w:hRule="atLeast"/>
        </w:trPr>
        <w:tc>
          <w:tcPr>
            <w:tcW w:w="8925" w:type="dxa"/>
            <w:shd w:val="clear" w:color="auto" w:fill="D9D9D9"/>
          </w:tcPr>
          <w:p>
            <w:pPr>
              <w:pStyle w:val="TableParagraph"/>
              <w:spacing w:before="1"/>
              <w:ind w:left="6"/>
              <w:rPr>
                <w:b/>
                <w:sz w:val="22"/>
              </w:rPr>
            </w:pPr>
            <w:r>
              <w:rPr>
                <w:b/>
                <w:spacing w:val="-2"/>
                <w:sz w:val="22"/>
              </w:rPr>
              <w:t>Reference</w:t>
            </w:r>
          </w:p>
        </w:tc>
        <w:tc>
          <w:tcPr>
            <w:tcW w:w="4962" w:type="dxa"/>
            <w:shd w:val="clear" w:color="auto" w:fill="D9D9D9"/>
          </w:tcPr>
          <w:p>
            <w:pPr>
              <w:pStyle w:val="TableParagraph"/>
              <w:spacing w:before="1"/>
              <w:ind w:left="6"/>
              <w:rPr>
                <w:b/>
                <w:sz w:val="22"/>
              </w:rPr>
            </w:pPr>
            <w:r>
              <w:rPr>
                <w:b/>
                <w:sz w:val="22"/>
              </w:rPr>
              <w:t>Reason</w:t>
            </w:r>
            <w:r>
              <w:rPr>
                <w:b/>
                <w:spacing w:val="-4"/>
                <w:sz w:val="22"/>
              </w:rPr>
              <w:t> </w:t>
            </w:r>
            <w:r>
              <w:rPr>
                <w:b/>
                <w:sz w:val="22"/>
              </w:rPr>
              <w:t>for</w:t>
            </w:r>
            <w:r>
              <w:rPr>
                <w:b/>
                <w:spacing w:val="-2"/>
                <w:sz w:val="22"/>
              </w:rPr>
              <w:t> exclusion</w:t>
            </w:r>
          </w:p>
        </w:tc>
      </w:tr>
      <w:tr>
        <w:trPr>
          <w:trHeight w:val="1410" w:hRule="atLeast"/>
        </w:trPr>
        <w:tc>
          <w:tcPr>
            <w:tcW w:w="8925" w:type="dxa"/>
            <w:shd w:val="clear" w:color="auto" w:fill="D9D9D9"/>
          </w:tcPr>
          <w:p>
            <w:pPr>
              <w:pStyle w:val="TableParagraph"/>
              <w:spacing w:line="278" w:lineRule="auto" w:before="1"/>
              <w:ind w:left="6" w:right="-6"/>
              <w:rPr>
                <w:sz w:val="22"/>
              </w:rPr>
            </w:pPr>
            <w:r>
              <w:rPr>
                <w:sz w:val="22"/>
              </w:rPr>
              <w:t>Ooi YK, Ligon RA, Kelleman M, Vincent RN, Bauser-Heaton HD, Kim DW, Petit CJ. Thromboprophylaxis</w:t>
            </w:r>
            <w:r>
              <w:rPr>
                <w:spacing w:val="-5"/>
                <w:sz w:val="22"/>
              </w:rPr>
              <w:t> </w:t>
            </w:r>
            <w:r>
              <w:rPr>
                <w:sz w:val="22"/>
              </w:rPr>
              <w:t>strategies</w:t>
            </w:r>
            <w:r>
              <w:rPr>
                <w:spacing w:val="-2"/>
                <w:sz w:val="22"/>
              </w:rPr>
              <w:t> </w:t>
            </w:r>
            <w:r>
              <w:rPr>
                <w:sz w:val="22"/>
              </w:rPr>
              <w:t>for</w:t>
            </w:r>
            <w:r>
              <w:rPr>
                <w:spacing w:val="-5"/>
                <w:sz w:val="22"/>
              </w:rPr>
              <w:t> </w:t>
            </w:r>
            <w:r>
              <w:rPr>
                <w:sz w:val="22"/>
              </w:rPr>
              <w:t>children</w:t>
            </w:r>
            <w:r>
              <w:rPr>
                <w:spacing w:val="-2"/>
                <w:sz w:val="22"/>
              </w:rPr>
              <w:t> </w:t>
            </w:r>
            <w:r>
              <w:rPr>
                <w:sz w:val="22"/>
              </w:rPr>
              <w:t>with</w:t>
            </w:r>
            <w:r>
              <w:rPr>
                <w:spacing w:val="-2"/>
                <w:sz w:val="22"/>
              </w:rPr>
              <w:t> </w:t>
            </w:r>
            <w:r>
              <w:rPr>
                <w:sz w:val="22"/>
              </w:rPr>
              <w:t>single-ventricle</w:t>
            </w:r>
            <w:r>
              <w:rPr>
                <w:spacing w:val="-2"/>
                <w:sz w:val="22"/>
              </w:rPr>
              <w:t> </w:t>
            </w:r>
            <w:r>
              <w:rPr>
                <w:sz w:val="22"/>
              </w:rPr>
              <w:t>circulations</w:t>
            </w:r>
            <w:r>
              <w:rPr>
                <w:spacing w:val="-3"/>
                <w:sz w:val="22"/>
              </w:rPr>
              <w:t> </w:t>
            </w:r>
            <w:r>
              <w:rPr>
                <w:sz w:val="22"/>
              </w:rPr>
              <w:t>(superior</w:t>
            </w:r>
            <w:r>
              <w:rPr>
                <w:spacing w:val="-4"/>
                <w:sz w:val="22"/>
              </w:rPr>
              <w:t> </w:t>
            </w:r>
            <w:r>
              <w:rPr>
                <w:sz w:val="22"/>
              </w:rPr>
              <w:t>or</w:t>
            </w:r>
            <w:r>
              <w:rPr>
                <w:spacing w:val="-4"/>
                <w:sz w:val="22"/>
              </w:rPr>
              <w:t> </w:t>
            </w:r>
            <w:r>
              <w:rPr>
                <w:sz w:val="22"/>
              </w:rPr>
              <w:t>total</w:t>
            </w:r>
            <w:r>
              <w:rPr>
                <w:spacing w:val="-1"/>
                <w:sz w:val="22"/>
              </w:rPr>
              <w:t> </w:t>
            </w:r>
            <w:r>
              <w:rPr>
                <w:sz w:val="22"/>
              </w:rPr>
              <w:t>cavo-pulmonary connections) after stent implantation. Cardiol Young. 2019 Jul;29(7):877-884. doi: 10.1017/S1047951119000969. Epub 2019 Jun 18. PMID: 31208476.</w:t>
            </w:r>
          </w:p>
        </w:tc>
        <w:tc>
          <w:tcPr>
            <w:tcW w:w="4962" w:type="dxa"/>
          </w:tcPr>
          <w:p>
            <w:pPr>
              <w:pStyle w:val="TableParagraph"/>
              <w:spacing w:line="278" w:lineRule="auto" w:before="1"/>
              <w:ind w:left="6" w:right="-14"/>
              <w:rPr>
                <w:sz w:val="22"/>
              </w:rPr>
            </w:pPr>
            <w:r>
              <w:rPr>
                <w:sz w:val="22"/>
              </w:rPr>
              <w:t>Wrong</w:t>
            </w:r>
            <w:r>
              <w:rPr>
                <w:spacing w:val="-5"/>
                <w:sz w:val="22"/>
              </w:rPr>
              <w:t> </w:t>
            </w:r>
            <w:r>
              <w:rPr>
                <w:sz w:val="22"/>
              </w:rPr>
              <w:t>population</w:t>
            </w:r>
            <w:r>
              <w:rPr>
                <w:spacing w:val="-5"/>
                <w:sz w:val="22"/>
              </w:rPr>
              <w:t> </w:t>
            </w:r>
            <w:r>
              <w:rPr>
                <w:sz w:val="22"/>
              </w:rPr>
              <w:t>and</w:t>
            </w:r>
            <w:r>
              <w:rPr>
                <w:spacing w:val="-6"/>
                <w:sz w:val="22"/>
              </w:rPr>
              <w:t> </w:t>
            </w:r>
            <w:r>
              <w:rPr>
                <w:sz w:val="22"/>
              </w:rPr>
              <w:t>intervention</w:t>
            </w:r>
            <w:r>
              <w:rPr>
                <w:spacing w:val="-5"/>
                <w:sz w:val="22"/>
              </w:rPr>
              <w:t> </w:t>
            </w:r>
            <w:r>
              <w:rPr>
                <w:sz w:val="22"/>
              </w:rPr>
              <w:t>(some</w:t>
            </w:r>
            <w:r>
              <w:rPr>
                <w:spacing w:val="-4"/>
                <w:sz w:val="22"/>
              </w:rPr>
              <w:t> </w:t>
            </w:r>
            <w:r>
              <w:rPr>
                <w:sz w:val="22"/>
              </w:rPr>
              <w:t>patients</w:t>
            </w:r>
            <w:r>
              <w:rPr>
                <w:spacing w:val="-4"/>
                <w:sz w:val="22"/>
              </w:rPr>
              <w:t> </w:t>
            </w:r>
            <w:r>
              <w:rPr>
                <w:sz w:val="22"/>
              </w:rPr>
              <w:t>had existing thrombus before stenting)</w:t>
            </w:r>
          </w:p>
        </w:tc>
      </w:tr>
    </w:tbl>
    <w:p>
      <w:pPr>
        <w:pStyle w:val="TableParagraph"/>
        <w:spacing w:after="0" w:line="278" w:lineRule="auto"/>
        <w:rPr>
          <w:sz w:val="22"/>
        </w:rPr>
        <w:sectPr>
          <w:pgSz w:w="16840" w:h="11910" w:orient="landscape"/>
          <w:pgMar w:top="1340" w:bottom="280" w:left="1417" w:right="992"/>
        </w:sectPr>
      </w:pPr>
    </w:p>
    <w:p>
      <w:pPr>
        <w:pStyle w:val="ListParagraph"/>
        <w:numPr>
          <w:ilvl w:val="0"/>
          <w:numId w:val="1"/>
        </w:numPr>
        <w:tabs>
          <w:tab w:pos="240" w:val="left" w:leader="none"/>
        </w:tabs>
        <w:spacing w:line="240" w:lineRule="auto" w:before="93" w:after="0"/>
        <w:ind w:left="240" w:right="0" w:hanging="217"/>
        <w:jc w:val="left"/>
        <w:rPr>
          <w:i/>
          <w:sz w:val="22"/>
        </w:rPr>
      </w:pPr>
      <w:r>
        <w:rPr>
          <w:i/>
          <w:sz w:val="22"/>
        </w:rPr>
        <w:t>Clinical</w:t>
      </w:r>
      <w:r>
        <w:rPr>
          <w:i/>
          <w:spacing w:val="-9"/>
          <w:sz w:val="22"/>
        </w:rPr>
        <w:t> </w:t>
      </w:r>
      <w:r>
        <w:rPr>
          <w:i/>
          <w:sz w:val="22"/>
        </w:rPr>
        <w:t>question:</w:t>
      </w:r>
      <w:r>
        <w:rPr>
          <w:i/>
          <w:spacing w:val="-3"/>
          <w:sz w:val="22"/>
        </w:rPr>
        <w:t> </w:t>
      </w:r>
      <w:r>
        <w:rPr>
          <w:i/>
          <w:sz w:val="22"/>
        </w:rPr>
        <w:t>What</w:t>
      </w:r>
      <w:r>
        <w:rPr>
          <w:i/>
          <w:spacing w:val="-6"/>
          <w:sz w:val="22"/>
        </w:rPr>
        <w:t> </w:t>
      </w:r>
      <w:r>
        <w:rPr>
          <w:i/>
          <w:sz w:val="22"/>
        </w:rPr>
        <w:t>is</w:t>
      </w:r>
      <w:r>
        <w:rPr>
          <w:i/>
          <w:spacing w:val="-5"/>
          <w:sz w:val="22"/>
        </w:rPr>
        <w:t> </w:t>
      </w:r>
      <w:r>
        <w:rPr>
          <w:i/>
          <w:sz w:val="22"/>
        </w:rPr>
        <w:t>the</w:t>
      </w:r>
      <w:r>
        <w:rPr>
          <w:i/>
          <w:spacing w:val="-8"/>
          <w:sz w:val="22"/>
        </w:rPr>
        <w:t> </w:t>
      </w:r>
      <w:r>
        <w:rPr>
          <w:i/>
          <w:sz w:val="22"/>
        </w:rPr>
        <w:t>recommended</w:t>
      </w:r>
      <w:r>
        <w:rPr>
          <w:i/>
          <w:spacing w:val="-6"/>
          <w:sz w:val="22"/>
        </w:rPr>
        <w:t> </w:t>
      </w:r>
      <w:r>
        <w:rPr>
          <w:i/>
          <w:sz w:val="22"/>
        </w:rPr>
        <w:t>antithrombotic</w:t>
      </w:r>
      <w:r>
        <w:rPr>
          <w:i/>
          <w:spacing w:val="-6"/>
          <w:sz w:val="22"/>
        </w:rPr>
        <w:t> </w:t>
      </w:r>
      <w:r>
        <w:rPr>
          <w:i/>
          <w:sz w:val="22"/>
        </w:rPr>
        <w:t>strategy</w:t>
      </w:r>
      <w:r>
        <w:rPr>
          <w:i/>
          <w:spacing w:val="-6"/>
          <w:sz w:val="22"/>
        </w:rPr>
        <w:t> </w:t>
      </w:r>
      <w:r>
        <w:rPr>
          <w:i/>
          <w:sz w:val="22"/>
        </w:rPr>
        <w:t>for</w:t>
      </w:r>
      <w:r>
        <w:rPr>
          <w:i/>
          <w:spacing w:val="-5"/>
          <w:sz w:val="22"/>
        </w:rPr>
        <w:t> </w:t>
      </w:r>
      <w:r>
        <w:rPr>
          <w:i/>
          <w:sz w:val="22"/>
        </w:rPr>
        <w:t>primary</w:t>
      </w:r>
      <w:r>
        <w:rPr>
          <w:i/>
          <w:spacing w:val="-6"/>
          <w:sz w:val="22"/>
        </w:rPr>
        <w:t> </w:t>
      </w:r>
      <w:r>
        <w:rPr>
          <w:i/>
          <w:sz w:val="22"/>
        </w:rPr>
        <w:t>thrombosis</w:t>
      </w:r>
      <w:r>
        <w:rPr>
          <w:i/>
          <w:spacing w:val="-4"/>
          <w:sz w:val="22"/>
        </w:rPr>
        <w:t> </w:t>
      </w:r>
      <w:r>
        <w:rPr>
          <w:i/>
          <w:sz w:val="22"/>
        </w:rPr>
        <w:t>prevention</w:t>
      </w:r>
      <w:r>
        <w:rPr>
          <w:i/>
          <w:spacing w:val="-7"/>
          <w:sz w:val="22"/>
        </w:rPr>
        <w:t> </w:t>
      </w:r>
      <w:r>
        <w:rPr>
          <w:i/>
          <w:sz w:val="22"/>
        </w:rPr>
        <w:t>in</w:t>
      </w:r>
      <w:r>
        <w:rPr>
          <w:i/>
          <w:spacing w:val="-8"/>
          <w:sz w:val="22"/>
        </w:rPr>
        <w:t> </w:t>
      </w:r>
      <w:r>
        <w:rPr>
          <w:i/>
          <w:sz w:val="22"/>
        </w:rPr>
        <w:t>children</w:t>
      </w:r>
      <w:r>
        <w:rPr>
          <w:i/>
          <w:spacing w:val="-6"/>
          <w:sz w:val="22"/>
        </w:rPr>
        <w:t> </w:t>
      </w:r>
      <w:r>
        <w:rPr>
          <w:i/>
          <w:sz w:val="22"/>
        </w:rPr>
        <w:t>after</w:t>
      </w:r>
      <w:r>
        <w:rPr>
          <w:i/>
          <w:spacing w:val="-6"/>
          <w:sz w:val="22"/>
        </w:rPr>
        <w:t> </w:t>
      </w:r>
      <w:r>
        <w:rPr>
          <w:i/>
          <w:sz w:val="22"/>
        </w:rPr>
        <w:t>surgical</w:t>
      </w:r>
      <w:r>
        <w:rPr>
          <w:i/>
          <w:spacing w:val="-6"/>
          <w:sz w:val="22"/>
        </w:rPr>
        <w:t> </w:t>
      </w:r>
      <w:r>
        <w:rPr>
          <w:i/>
          <w:sz w:val="22"/>
        </w:rPr>
        <w:t>heart</w:t>
      </w:r>
      <w:r>
        <w:rPr>
          <w:i/>
          <w:spacing w:val="-6"/>
          <w:sz w:val="22"/>
        </w:rPr>
        <w:t> </w:t>
      </w:r>
      <w:r>
        <w:rPr>
          <w:i/>
          <w:sz w:val="22"/>
        </w:rPr>
        <w:t>valve</w:t>
      </w:r>
      <w:r>
        <w:rPr>
          <w:i/>
          <w:spacing w:val="-7"/>
          <w:sz w:val="22"/>
        </w:rPr>
        <w:t> </w:t>
      </w:r>
      <w:r>
        <w:rPr>
          <w:i/>
          <w:spacing w:val="-2"/>
          <w:sz w:val="22"/>
        </w:rPr>
        <w:t>replacement?</w:t>
      </w:r>
    </w:p>
    <w:p>
      <w:pPr>
        <w:pStyle w:val="BodyText"/>
        <w:spacing w:before="240"/>
        <w:rPr>
          <w:i/>
        </w:rPr>
      </w:pPr>
    </w:p>
    <w:p>
      <w:pPr>
        <w:pStyle w:val="BodyText"/>
        <w:spacing w:line="276" w:lineRule="auto" w:before="1"/>
        <w:ind w:left="23"/>
      </w:pPr>
      <w:r>
        <w:rPr/>
        <w:t>A</w:t>
      </w:r>
      <w:r>
        <w:rPr>
          <w:spacing w:val="-1"/>
        </w:rPr>
        <w:t> </w:t>
      </w:r>
      <w:r>
        <w:rPr/>
        <w:t>systematic</w:t>
      </w:r>
      <w:r>
        <w:rPr>
          <w:spacing w:val="-1"/>
        </w:rPr>
        <w:t> </w:t>
      </w:r>
      <w:r>
        <w:rPr/>
        <w:t>review</w:t>
      </w:r>
      <w:r>
        <w:rPr>
          <w:spacing w:val="-3"/>
        </w:rPr>
        <w:t> </w:t>
      </w:r>
      <w:r>
        <w:rPr/>
        <w:t>of</w:t>
      </w:r>
      <w:r>
        <w:rPr>
          <w:spacing w:val="-3"/>
        </w:rPr>
        <w:t> </w:t>
      </w:r>
      <w:r>
        <w:rPr/>
        <w:t>the</w:t>
      </w:r>
      <w:r>
        <w:rPr>
          <w:spacing w:val="-3"/>
        </w:rPr>
        <w:t> </w:t>
      </w:r>
      <w:r>
        <w:rPr/>
        <w:t>literature</w:t>
      </w:r>
      <w:r>
        <w:rPr>
          <w:spacing w:val="-3"/>
        </w:rPr>
        <w:t> </w:t>
      </w:r>
      <w:r>
        <w:rPr/>
        <w:t>was</w:t>
      </w:r>
      <w:r>
        <w:rPr>
          <w:spacing w:val="-4"/>
        </w:rPr>
        <w:t> </w:t>
      </w:r>
      <w:r>
        <w:rPr/>
        <w:t>performed</w:t>
      </w:r>
      <w:r>
        <w:rPr>
          <w:spacing w:val="-1"/>
        </w:rPr>
        <w:t> </w:t>
      </w:r>
      <w:r>
        <w:rPr/>
        <w:t>to answer</w:t>
      </w:r>
      <w:r>
        <w:rPr>
          <w:spacing w:val="-1"/>
        </w:rPr>
        <w:t> </w:t>
      </w:r>
      <w:r>
        <w:rPr/>
        <w:t>the</w:t>
      </w:r>
      <w:r>
        <w:rPr>
          <w:spacing w:val="-1"/>
        </w:rPr>
        <w:t> </w:t>
      </w:r>
      <w:r>
        <w:rPr/>
        <w:t>following</w:t>
      </w:r>
      <w:r>
        <w:rPr>
          <w:spacing w:val="-3"/>
        </w:rPr>
        <w:t> </w:t>
      </w:r>
      <w:r>
        <w:rPr/>
        <w:t>question: What</w:t>
      </w:r>
      <w:r>
        <w:rPr>
          <w:spacing w:val="-4"/>
        </w:rPr>
        <w:t> </w:t>
      </w:r>
      <w:r>
        <w:rPr/>
        <w:t>are</w:t>
      </w:r>
      <w:r>
        <w:rPr>
          <w:spacing w:val="-3"/>
        </w:rPr>
        <w:t> </w:t>
      </w:r>
      <w:r>
        <w:rPr/>
        <w:t>the</w:t>
      </w:r>
      <w:r>
        <w:rPr>
          <w:spacing w:val="-1"/>
        </w:rPr>
        <w:t> </w:t>
      </w:r>
      <w:r>
        <w:rPr/>
        <w:t>favorable</w:t>
      </w:r>
      <w:r>
        <w:rPr>
          <w:spacing w:val="-1"/>
        </w:rPr>
        <w:t> </w:t>
      </w:r>
      <w:r>
        <w:rPr/>
        <w:t>and</w:t>
      </w:r>
      <w:r>
        <w:rPr>
          <w:spacing w:val="-3"/>
        </w:rPr>
        <w:t> </w:t>
      </w:r>
      <w:r>
        <w:rPr/>
        <w:t>unfavorable</w:t>
      </w:r>
      <w:r>
        <w:rPr>
          <w:spacing w:val="-1"/>
        </w:rPr>
        <w:t> </w:t>
      </w:r>
      <w:r>
        <w:rPr/>
        <w:t>effects</w:t>
      </w:r>
      <w:r>
        <w:rPr>
          <w:spacing w:val="-4"/>
        </w:rPr>
        <w:t> </w:t>
      </w:r>
      <w:r>
        <w:rPr/>
        <w:t>of</w:t>
      </w:r>
      <w:r>
        <w:rPr>
          <w:spacing w:val="-3"/>
        </w:rPr>
        <w:t> </w:t>
      </w:r>
      <w:r>
        <w:rPr/>
        <w:t>the</w:t>
      </w:r>
      <w:r>
        <w:rPr>
          <w:spacing w:val="-1"/>
        </w:rPr>
        <w:t> </w:t>
      </w:r>
      <w:r>
        <w:rPr/>
        <w:t>use</w:t>
      </w:r>
      <w:r>
        <w:rPr>
          <w:spacing w:val="-3"/>
        </w:rPr>
        <w:t> </w:t>
      </w:r>
      <w:r>
        <w:rPr/>
        <w:t>of thromboprophylaxis A compared with the use of thromboprophylaxis B for children with an indication for artificial heart valves?</w:t>
      </w:r>
    </w:p>
    <w:p>
      <w:pPr>
        <w:pStyle w:val="BodyText"/>
        <w:spacing w:before="159"/>
        <w:ind w:left="23"/>
      </w:pPr>
      <w:r>
        <w:rPr/>
        <w:t>PICO</w:t>
      </w:r>
      <w:r>
        <w:rPr>
          <w:spacing w:val="-3"/>
        </w:rPr>
        <w:t> </w:t>
      </w:r>
      <w:r>
        <w:rPr/>
        <w:t>used</w:t>
      </w:r>
      <w:r>
        <w:rPr>
          <w:spacing w:val="-2"/>
        </w:rPr>
        <w:t> </w:t>
      </w:r>
      <w:r>
        <w:rPr/>
        <w:t>for</w:t>
      </w:r>
      <w:r>
        <w:rPr>
          <w:spacing w:val="-5"/>
        </w:rPr>
        <w:t> </w:t>
      </w:r>
      <w:r>
        <w:rPr/>
        <w:t>this</w:t>
      </w:r>
      <w:r>
        <w:rPr>
          <w:spacing w:val="-2"/>
        </w:rPr>
        <w:t> question:</w:t>
      </w:r>
    </w:p>
    <w:p>
      <w:pPr>
        <w:pStyle w:val="BodyText"/>
        <w:spacing w:before="5"/>
        <w:rPr>
          <w:sz w:val="14"/>
        </w:rPr>
      </w:pPr>
      <w:r>
        <w:rPr>
          <w:sz w:val="14"/>
        </w:rPr>
        <mc:AlternateContent>
          <mc:Choice Requires="wps">
            <w:drawing>
              <wp:anchor distT="0" distB="0" distL="0" distR="0" allowOverlap="1" layoutInCell="1" locked="0" behindDoc="1" simplePos="0" relativeHeight="487605760">
                <wp:simplePos x="0" y="0"/>
                <wp:positionH relativeFrom="page">
                  <wp:posOffset>914400</wp:posOffset>
                </wp:positionH>
                <wp:positionV relativeFrom="paragraph">
                  <wp:posOffset>127545</wp:posOffset>
                </wp:positionV>
                <wp:extent cx="5267960" cy="9525"/>
                <wp:effectExtent l="0" t="0" r="0" b="0"/>
                <wp:wrapTopAndBottom/>
                <wp:docPr id="44" name="Graphic 44"/>
                <wp:cNvGraphicFramePr>
                  <a:graphicFrameLocks/>
                </wp:cNvGraphicFramePr>
                <a:graphic>
                  <a:graphicData uri="http://schemas.microsoft.com/office/word/2010/wordprocessingShape">
                    <wps:wsp>
                      <wps:cNvPr id="44" name="Graphic 44"/>
                      <wps:cNvSpPr/>
                      <wps:spPr>
                        <a:xfrm>
                          <a:off x="0" y="0"/>
                          <a:ext cx="5267960" cy="9525"/>
                        </a:xfrm>
                        <a:custGeom>
                          <a:avLst/>
                          <a:gdLst/>
                          <a:ahLst/>
                          <a:cxnLst/>
                          <a:rect l="l" t="t" r="r" b="b"/>
                          <a:pathLst>
                            <a:path w="5267960" h="9525">
                              <a:moveTo>
                                <a:pt x="5267820" y="0"/>
                              </a:moveTo>
                              <a:lnTo>
                                <a:pt x="1504442" y="0"/>
                              </a:lnTo>
                              <a:lnTo>
                                <a:pt x="1495298" y="0"/>
                              </a:lnTo>
                              <a:lnTo>
                                <a:pt x="0" y="0"/>
                              </a:lnTo>
                              <a:lnTo>
                                <a:pt x="0" y="9144"/>
                              </a:lnTo>
                              <a:lnTo>
                                <a:pt x="1495298" y="9144"/>
                              </a:lnTo>
                              <a:lnTo>
                                <a:pt x="1504442" y="9144"/>
                              </a:lnTo>
                              <a:lnTo>
                                <a:pt x="5267820" y="9144"/>
                              </a:lnTo>
                              <a:lnTo>
                                <a:pt x="5267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042988pt;width:414.8pt;height:.75pt;mso-position-horizontal-relative:page;mso-position-vertical-relative:paragraph;z-index:-15710720;mso-wrap-distance-left:0;mso-wrap-distance-right:0" id="docshape44" coordorigin="1440,201" coordsize="8296,15" path="m9736,201l3809,201,3795,201,1440,201,1440,215,3795,215,3809,215,9736,215,9736,201xe" filled="true" fillcolor="#000000" stroked="false">
                <v:path arrowok="t"/>
                <v:fill type="solid"/>
                <w10:wrap type="topAndBottom"/>
              </v:shape>
            </w:pict>
          </mc:Fallback>
        </mc:AlternateContent>
      </w:r>
    </w:p>
    <w:p>
      <w:pPr>
        <w:pStyle w:val="BodyText"/>
        <w:tabs>
          <w:tab w:pos="2377" w:val="left" w:leader="none"/>
        </w:tabs>
        <w:spacing w:before="1"/>
        <w:ind w:left="23"/>
      </w:pPr>
      <w:r>
        <w:rPr>
          <w:spacing w:val="-2"/>
        </w:rPr>
        <w:t>Patients</w:t>
      </w:r>
      <w:r>
        <w:rPr/>
        <w:tab/>
        <w:t>Children</w:t>
      </w:r>
      <w:r>
        <w:rPr>
          <w:spacing w:val="-6"/>
        </w:rPr>
        <w:t> </w:t>
      </w:r>
      <w:r>
        <w:rPr/>
        <w:t>with</w:t>
      </w:r>
      <w:r>
        <w:rPr>
          <w:spacing w:val="-2"/>
        </w:rPr>
        <w:t> </w:t>
      </w:r>
      <w:r>
        <w:rPr/>
        <w:t>an</w:t>
      </w:r>
      <w:r>
        <w:rPr>
          <w:spacing w:val="-4"/>
        </w:rPr>
        <w:t> </w:t>
      </w:r>
      <w:r>
        <w:rPr/>
        <w:t>indication</w:t>
      </w:r>
      <w:r>
        <w:rPr>
          <w:spacing w:val="-6"/>
        </w:rPr>
        <w:t> </w:t>
      </w:r>
      <w:r>
        <w:rPr/>
        <w:t>for</w:t>
      </w:r>
      <w:r>
        <w:rPr>
          <w:spacing w:val="-3"/>
        </w:rPr>
        <w:t> </w:t>
      </w:r>
      <w:r>
        <w:rPr/>
        <w:t>artificial</w:t>
      </w:r>
      <w:r>
        <w:rPr>
          <w:spacing w:val="-4"/>
        </w:rPr>
        <w:t> </w:t>
      </w:r>
      <w:r>
        <w:rPr/>
        <w:t>heart</w:t>
      </w:r>
      <w:r>
        <w:rPr>
          <w:spacing w:val="-3"/>
        </w:rPr>
        <w:t> </w:t>
      </w:r>
      <w:r>
        <w:rPr>
          <w:spacing w:val="-2"/>
        </w:rPr>
        <w:t>valves</w:t>
      </w:r>
    </w:p>
    <w:p>
      <w:pPr>
        <w:pStyle w:val="BodyText"/>
        <w:spacing w:before="8"/>
        <w:rPr>
          <w:sz w:val="14"/>
        </w:rPr>
      </w:pPr>
      <w:r>
        <w:rPr>
          <w:sz w:val="14"/>
        </w:rPr>
        <mc:AlternateContent>
          <mc:Choice Requires="wps">
            <w:drawing>
              <wp:anchor distT="0" distB="0" distL="0" distR="0" allowOverlap="1" layoutInCell="1" locked="0" behindDoc="1" simplePos="0" relativeHeight="487606272">
                <wp:simplePos x="0" y="0"/>
                <wp:positionH relativeFrom="page">
                  <wp:posOffset>914400</wp:posOffset>
                </wp:positionH>
                <wp:positionV relativeFrom="paragraph">
                  <wp:posOffset>129454</wp:posOffset>
                </wp:positionV>
                <wp:extent cx="5267960" cy="9525"/>
                <wp:effectExtent l="0" t="0" r="0" b="0"/>
                <wp:wrapTopAndBottom/>
                <wp:docPr id="45" name="Graphic 45"/>
                <wp:cNvGraphicFramePr>
                  <a:graphicFrameLocks/>
                </wp:cNvGraphicFramePr>
                <a:graphic>
                  <a:graphicData uri="http://schemas.microsoft.com/office/word/2010/wordprocessingShape">
                    <wps:wsp>
                      <wps:cNvPr id="45" name="Graphic 45"/>
                      <wps:cNvSpPr/>
                      <wps:spPr>
                        <a:xfrm>
                          <a:off x="0" y="0"/>
                          <a:ext cx="5267960" cy="9525"/>
                        </a:xfrm>
                        <a:custGeom>
                          <a:avLst/>
                          <a:gdLst/>
                          <a:ahLst/>
                          <a:cxnLst/>
                          <a:rect l="l" t="t" r="r" b="b"/>
                          <a:pathLst>
                            <a:path w="5267960" h="9525">
                              <a:moveTo>
                                <a:pt x="5267820" y="0"/>
                              </a:moveTo>
                              <a:lnTo>
                                <a:pt x="1504442" y="0"/>
                              </a:lnTo>
                              <a:lnTo>
                                <a:pt x="1495298" y="0"/>
                              </a:lnTo>
                              <a:lnTo>
                                <a:pt x="0" y="0"/>
                              </a:lnTo>
                              <a:lnTo>
                                <a:pt x="0" y="9131"/>
                              </a:lnTo>
                              <a:lnTo>
                                <a:pt x="1495298" y="9131"/>
                              </a:lnTo>
                              <a:lnTo>
                                <a:pt x="1504442" y="9131"/>
                              </a:lnTo>
                              <a:lnTo>
                                <a:pt x="5267820" y="9131"/>
                              </a:lnTo>
                              <a:lnTo>
                                <a:pt x="5267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193247pt;width:414.8pt;height:.75pt;mso-position-horizontal-relative:page;mso-position-vertical-relative:paragraph;z-index:-15710208;mso-wrap-distance-left:0;mso-wrap-distance-right:0" id="docshape45" coordorigin="1440,204" coordsize="8296,15" path="m9736,204l3809,204,3795,204,1440,204,1440,218,3795,218,3809,218,9736,218,9736,204xe" filled="true" fillcolor="#000000" stroked="false">
                <v:path arrowok="t"/>
                <v:fill type="solid"/>
                <w10:wrap type="topAndBottom"/>
              </v:shape>
            </w:pict>
          </mc:Fallback>
        </mc:AlternateContent>
      </w:r>
    </w:p>
    <w:p>
      <w:pPr>
        <w:pStyle w:val="BodyText"/>
        <w:tabs>
          <w:tab w:pos="2377" w:val="left" w:leader="none"/>
        </w:tabs>
        <w:spacing w:before="1"/>
        <w:ind w:left="23"/>
      </w:pPr>
      <w:r>
        <w:rPr>
          <w:spacing w:val="-2"/>
        </w:rPr>
        <w:t>Intervention</w:t>
      </w:r>
      <w:r>
        <w:rPr/>
        <w:tab/>
      </w:r>
      <w:r>
        <w:rPr>
          <w:spacing w:val="-2"/>
        </w:rPr>
        <w:t>Thromboprophylaxis</w:t>
      </w:r>
      <w:r>
        <w:rPr>
          <w:spacing w:val="17"/>
        </w:rPr>
        <w:t> </w:t>
      </w:r>
      <w:r>
        <w:rPr>
          <w:spacing w:val="-5"/>
        </w:rPr>
        <w:t>A:</w:t>
      </w:r>
    </w:p>
    <w:p>
      <w:pPr>
        <w:pStyle w:val="ListParagraph"/>
        <w:numPr>
          <w:ilvl w:val="1"/>
          <w:numId w:val="1"/>
        </w:numPr>
        <w:tabs>
          <w:tab w:pos="3097" w:val="left" w:leader="none"/>
        </w:tabs>
        <w:spacing w:line="240" w:lineRule="auto" w:before="202" w:after="0"/>
        <w:ind w:left="3097" w:right="0" w:hanging="360"/>
        <w:jc w:val="left"/>
        <w:rPr>
          <w:rFonts w:ascii="Symbol" w:hAnsi="Symbol"/>
          <w:sz w:val="20"/>
        </w:rPr>
      </w:pPr>
      <w:r>
        <w:rPr>
          <w:sz w:val="22"/>
        </w:rPr>
        <w:t>DOACs</w:t>
      </w:r>
      <w:r>
        <w:rPr>
          <w:spacing w:val="-11"/>
          <w:sz w:val="22"/>
        </w:rPr>
        <w:t> </w:t>
      </w:r>
      <w:r>
        <w:rPr>
          <w:sz w:val="22"/>
        </w:rPr>
        <w:t>(apixaban,</w:t>
      </w:r>
      <w:r>
        <w:rPr>
          <w:spacing w:val="-7"/>
          <w:sz w:val="22"/>
        </w:rPr>
        <w:t> </w:t>
      </w:r>
      <w:r>
        <w:rPr>
          <w:sz w:val="22"/>
        </w:rPr>
        <w:t>rivaroxaban,</w:t>
      </w:r>
      <w:r>
        <w:rPr>
          <w:spacing w:val="-6"/>
          <w:sz w:val="22"/>
        </w:rPr>
        <w:t> </w:t>
      </w:r>
      <w:r>
        <w:rPr>
          <w:spacing w:val="-2"/>
          <w:sz w:val="22"/>
        </w:rPr>
        <w:t>edoxaban)</w:t>
      </w:r>
    </w:p>
    <w:p>
      <w:pPr>
        <w:pStyle w:val="ListParagraph"/>
        <w:numPr>
          <w:ilvl w:val="1"/>
          <w:numId w:val="1"/>
        </w:numPr>
        <w:tabs>
          <w:tab w:pos="3097" w:val="left" w:leader="none"/>
        </w:tabs>
        <w:spacing w:line="278" w:lineRule="auto" w:before="205" w:after="0"/>
        <w:ind w:left="3097" w:right="7971" w:hanging="360"/>
        <w:jc w:val="left"/>
        <w:rPr>
          <w:rFonts w:ascii="Symbol" w:hAnsi="Symbol"/>
          <w:sz w:val="20"/>
        </w:rPr>
      </w:pPr>
      <w:r>
        <w:rPr>
          <w:sz w:val="22"/>
        </w:rPr>
        <w:t>Platelet</w:t>
      </w:r>
      <w:r>
        <w:rPr>
          <w:spacing w:val="-12"/>
          <w:sz w:val="22"/>
        </w:rPr>
        <w:t> </w:t>
      </w:r>
      <w:r>
        <w:rPr>
          <w:sz w:val="22"/>
        </w:rPr>
        <w:t>aggregation</w:t>
      </w:r>
      <w:r>
        <w:rPr>
          <w:spacing w:val="-11"/>
          <w:sz w:val="22"/>
        </w:rPr>
        <w:t> </w:t>
      </w:r>
      <w:r>
        <w:rPr>
          <w:sz w:val="22"/>
        </w:rPr>
        <w:t>inibitors</w:t>
      </w:r>
      <w:r>
        <w:rPr>
          <w:spacing w:val="-11"/>
          <w:sz w:val="22"/>
        </w:rPr>
        <w:t> </w:t>
      </w:r>
      <w:r>
        <w:rPr>
          <w:sz w:val="22"/>
        </w:rPr>
        <w:t>(aspirin, clopidogrel, carbasalate calcium)</w:t>
      </w:r>
    </w:p>
    <w:p>
      <w:pPr>
        <w:pStyle w:val="ListParagraph"/>
        <w:numPr>
          <w:ilvl w:val="1"/>
          <w:numId w:val="1"/>
        </w:numPr>
        <w:tabs>
          <w:tab w:pos="3097" w:val="left" w:leader="none"/>
        </w:tabs>
        <w:spacing w:line="240" w:lineRule="auto" w:before="161" w:after="0"/>
        <w:ind w:left="3097" w:right="0" w:hanging="360"/>
        <w:jc w:val="left"/>
        <w:rPr>
          <w:rFonts w:ascii="Symbol" w:hAnsi="Symbol"/>
          <w:sz w:val="20"/>
        </w:rPr>
      </w:pPr>
      <w:r>
        <w:rPr>
          <w:sz w:val="22"/>
        </w:rPr>
        <w:t>Vitamin</w:t>
      </w:r>
      <w:r>
        <w:rPr>
          <w:spacing w:val="-5"/>
          <w:sz w:val="22"/>
        </w:rPr>
        <w:t> </w:t>
      </w:r>
      <w:r>
        <w:rPr>
          <w:sz w:val="22"/>
        </w:rPr>
        <w:t>K </w:t>
      </w:r>
      <w:r>
        <w:rPr>
          <w:spacing w:val="-2"/>
          <w:sz w:val="22"/>
        </w:rPr>
        <w:t>antagonists</w:t>
      </w:r>
    </w:p>
    <w:p>
      <w:pPr>
        <w:pStyle w:val="BodyText"/>
        <w:spacing w:before="44"/>
        <w:ind w:left="3097"/>
      </w:pPr>
      <w:r>
        <w:rPr/>
        <w:t>(warfarin,</w:t>
      </w:r>
      <w:r>
        <w:rPr>
          <w:spacing w:val="-9"/>
        </w:rPr>
        <w:t> </w:t>
      </w:r>
      <w:r>
        <w:rPr/>
        <w:t>acenocoumarol,</w:t>
      </w:r>
      <w:r>
        <w:rPr>
          <w:spacing w:val="-9"/>
        </w:rPr>
        <w:t> </w:t>
      </w:r>
      <w:r>
        <w:rPr>
          <w:spacing w:val="-2"/>
        </w:rPr>
        <w:t>fenprocoumon)</w:t>
      </w:r>
    </w:p>
    <w:p>
      <w:pPr>
        <w:pStyle w:val="ListParagraph"/>
        <w:numPr>
          <w:ilvl w:val="1"/>
          <w:numId w:val="1"/>
        </w:numPr>
        <w:tabs>
          <w:tab w:pos="3097" w:val="left" w:leader="none"/>
        </w:tabs>
        <w:spacing w:line="278" w:lineRule="auto" w:before="204" w:after="0"/>
        <w:ind w:left="3097" w:right="6591" w:hanging="360"/>
        <w:jc w:val="left"/>
        <w:rPr>
          <w:rFonts w:ascii="Symbol" w:hAnsi="Symbol"/>
          <w:sz w:val="20"/>
        </w:rPr>
      </w:pPr>
      <w:r>
        <w:rPr>
          <w:sz w:val="22"/>
        </w:rPr>
        <w:t>Low</w:t>
      </w:r>
      <w:r>
        <w:rPr>
          <w:spacing w:val="-8"/>
          <w:sz w:val="22"/>
        </w:rPr>
        <w:t> </w:t>
      </w:r>
      <w:r>
        <w:rPr>
          <w:sz w:val="22"/>
        </w:rPr>
        <w:t>molecular</w:t>
      </w:r>
      <w:r>
        <w:rPr>
          <w:spacing w:val="-9"/>
          <w:sz w:val="22"/>
        </w:rPr>
        <w:t> </w:t>
      </w:r>
      <w:r>
        <w:rPr>
          <w:sz w:val="22"/>
        </w:rPr>
        <w:t>weight</w:t>
      </w:r>
      <w:r>
        <w:rPr>
          <w:spacing w:val="-6"/>
          <w:sz w:val="22"/>
        </w:rPr>
        <w:t> </w:t>
      </w:r>
      <w:r>
        <w:rPr>
          <w:sz w:val="22"/>
        </w:rPr>
        <w:t>heparin</w:t>
      </w:r>
      <w:r>
        <w:rPr>
          <w:spacing w:val="-7"/>
          <w:sz w:val="22"/>
        </w:rPr>
        <w:t> </w:t>
      </w:r>
      <w:r>
        <w:rPr>
          <w:sz w:val="22"/>
        </w:rPr>
        <w:t>(fraxiparin,</w:t>
      </w:r>
      <w:r>
        <w:rPr>
          <w:spacing w:val="-6"/>
          <w:sz w:val="22"/>
        </w:rPr>
        <w:t> </w:t>
      </w:r>
      <w:r>
        <w:rPr>
          <w:sz w:val="22"/>
        </w:rPr>
        <w:t>tinzaparin, enoxaparin, dalteparin)</w:t>
      </w:r>
    </w:p>
    <w:p>
      <w:pPr>
        <w:pStyle w:val="BodyText"/>
        <w:spacing w:before="4"/>
        <w:rPr>
          <w:sz w:val="11"/>
        </w:rPr>
      </w:pPr>
      <w:r>
        <w:rPr>
          <w:sz w:val="11"/>
        </w:rPr>
        <mc:AlternateContent>
          <mc:Choice Requires="wps">
            <w:drawing>
              <wp:anchor distT="0" distB="0" distL="0" distR="0" allowOverlap="1" layoutInCell="1" locked="0" behindDoc="1" simplePos="0" relativeHeight="487606784">
                <wp:simplePos x="0" y="0"/>
                <wp:positionH relativeFrom="page">
                  <wp:posOffset>914400</wp:posOffset>
                </wp:positionH>
                <wp:positionV relativeFrom="paragraph">
                  <wp:posOffset>103560</wp:posOffset>
                </wp:positionV>
                <wp:extent cx="5267960" cy="9525"/>
                <wp:effectExtent l="0" t="0" r="0" b="0"/>
                <wp:wrapTopAndBottom/>
                <wp:docPr id="46" name="Graphic 46"/>
                <wp:cNvGraphicFramePr>
                  <a:graphicFrameLocks/>
                </wp:cNvGraphicFramePr>
                <a:graphic>
                  <a:graphicData uri="http://schemas.microsoft.com/office/word/2010/wordprocessingShape">
                    <wps:wsp>
                      <wps:cNvPr id="46" name="Graphic 46"/>
                      <wps:cNvSpPr/>
                      <wps:spPr>
                        <a:xfrm>
                          <a:off x="0" y="0"/>
                          <a:ext cx="5267960" cy="9525"/>
                        </a:xfrm>
                        <a:custGeom>
                          <a:avLst/>
                          <a:gdLst/>
                          <a:ahLst/>
                          <a:cxnLst/>
                          <a:rect l="l" t="t" r="r" b="b"/>
                          <a:pathLst>
                            <a:path w="5267960" h="9525">
                              <a:moveTo>
                                <a:pt x="5267820" y="0"/>
                              </a:moveTo>
                              <a:lnTo>
                                <a:pt x="1504442" y="0"/>
                              </a:lnTo>
                              <a:lnTo>
                                <a:pt x="1495298" y="0"/>
                              </a:lnTo>
                              <a:lnTo>
                                <a:pt x="0" y="0"/>
                              </a:lnTo>
                              <a:lnTo>
                                <a:pt x="0" y="9144"/>
                              </a:lnTo>
                              <a:lnTo>
                                <a:pt x="1495298" y="9144"/>
                              </a:lnTo>
                              <a:lnTo>
                                <a:pt x="1504442" y="9144"/>
                              </a:lnTo>
                              <a:lnTo>
                                <a:pt x="5267820" y="9144"/>
                              </a:lnTo>
                              <a:lnTo>
                                <a:pt x="5267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8.154364pt;width:414.8pt;height:.75pt;mso-position-horizontal-relative:page;mso-position-vertical-relative:paragraph;z-index:-15709696;mso-wrap-distance-left:0;mso-wrap-distance-right:0" id="docshape46" coordorigin="1440,163" coordsize="8296,15" path="m9736,163l3809,163,3795,163,1440,163,1440,177,3795,177,3809,177,9736,177,9736,163xe" filled="true" fillcolor="#000000" stroked="false">
                <v:path arrowok="t"/>
                <v:fill type="solid"/>
                <w10:wrap type="topAndBottom"/>
              </v:shape>
            </w:pict>
          </mc:Fallback>
        </mc:AlternateContent>
      </w:r>
    </w:p>
    <w:p>
      <w:pPr>
        <w:pStyle w:val="BodyText"/>
        <w:tabs>
          <w:tab w:pos="2377" w:val="left" w:leader="none"/>
        </w:tabs>
        <w:ind w:left="23"/>
      </w:pPr>
      <w:r>
        <w:rPr>
          <w:spacing w:val="-2"/>
        </w:rPr>
        <w:t>Control</w:t>
      </w:r>
      <w:r>
        <w:rPr/>
        <w:tab/>
      </w:r>
      <w:r>
        <w:rPr>
          <w:spacing w:val="-2"/>
        </w:rPr>
        <w:t>Thromboprophylaxis</w:t>
      </w:r>
      <w:r>
        <w:rPr>
          <w:spacing w:val="17"/>
        </w:rPr>
        <w:t> </w:t>
      </w:r>
      <w:r>
        <w:rPr>
          <w:spacing w:val="-10"/>
        </w:rPr>
        <w:t>B</w:t>
      </w:r>
    </w:p>
    <w:p>
      <w:pPr>
        <w:pStyle w:val="BodyText"/>
        <w:spacing w:before="9"/>
        <w:rPr>
          <w:sz w:val="14"/>
        </w:rPr>
      </w:pPr>
      <w:r>
        <w:rPr>
          <w:sz w:val="14"/>
        </w:rPr>
        <mc:AlternateContent>
          <mc:Choice Requires="wps">
            <w:drawing>
              <wp:anchor distT="0" distB="0" distL="0" distR="0" allowOverlap="1" layoutInCell="1" locked="0" behindDoc="1" simplePos="0" relativeHeight="487607296">
                <wp:simplePos x="0" y="0"/>
                <wp:positionH relativeFrom="page">
                  <wp:posOffset>914400</wp:posOffset>
                </wp:positionH>
                <wp:positionV relativeFrom="paragraph">
                  <wp:posOffset>129695</wp:posOffset>
                </wp:positionV>
                <wp:extent cx="5267960" cy="9525"/>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5267960" cy="9525"/>
                        </a:xfrm>
                        <a:custGeom>
                          <a:avLst/>
                          <a:gdLst/>
                          <a:ahLst/>
                          <a:cxnLst/>
                          <a:rect l="l" t="t" r="r" b="b"/>
                          <a:pathLst>
                            <a:path w="5267960" h="9525">
                              <a:moveTo>
                                <a:pt x="5267820" y="0"/>
                              </a:moveTo>
                              <a:lnTo>
                                <a:pt x="1504442" y="0"/>
                              </a:lnTo>
                              <a:lnTo>
                                <a:pt x="1495298" y="0"/>
                              </a:lnTo>
                              <a:lnTo>
                                <a:pt x="0" y="0"/>
                              </a:lnTo>
                              <a:lnTo>
                                <a:pt x="0" y="9144"/>
                              </a:lnTo>
                              <a:lnTo>
                                <a:pt x="1495298" y="9144"/>
                              </a:lnTo>
                              <a:lnTo>
                                <a:pt x="1504442" y="9144"/>
                              </a:lnTo>
                              <a:lnTo>
                                <a:pt x="5267820" y="9144"/>
                              </a:lnTo>
                              <a:lnTo>
                                <a:pt x="52678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pt;margin-top:10.212255pt;width:414.8pt;height:.75pt;mso-position-horizontal-relative:page;mso-position-vertical-relative:paragraph;z-index:-15709184;mso-wrap-distance-left:0;mso-wrap-distance-right:0" id="docshape47" coordorigin="1440,204" coordsize="8296,15" path="m9736,204l3809,204,3795,204,1440,204,1440,219,3795,219,3809,219,9736,219,9736,204xe" filled="true" fillcolor="#000000" stroked="false">
                <v:path arrowok="t"/>
                <v:fill type="solid"/>
                <w10:wrap type="topAndBottom"/>
              </v:shape>
            </w:pict>
          </mc:Fallback>
        </mc:AlternateContent>
      </w:r>
    </w:p>
    <w:p>
      <w:pPr>
        <w:pStyle w:val="BodyText"/>
        <w:tabs>
          <w:tab w:pos="2377" w:val="left" w:leader="none"/>
        </w:tabs>
        <w:ind w:left="23"/>
      </w:pPr>
      <w:r>
        <w:rPr>
          <w:spacing w:val="-2"/>
        </w:rPr>
        <w:t>Outcomes</w:t>
      </w:r>
      <w:r>
        <w:rPr/>
        <w:tab/>
        <w:t>Thrombotic</w:t>
      </w:r>
      <w:r>
        <w:rPr>
          <w:spacing w:val="-11"/>
        </w:rPr>
        <w:t> </w:t>
      </w:r>
      <w:r>
        <w:rPr/>
        <w:t>complications</w:t>
      </w:r>
      <w:r>
        <w:rPr>
          <w:spacing w:val="-8"/>
        </w:rPr>
        <w:t> </w:t>
      </w:r>
      <w:r>
        <w:rPr/>
        <w:t>(including</w:t>
      </w:r>
      <w:r>
        <w:rPr>
          <w:spacing w:val="-9"/>
        </w:rPr>
        <w:t> </w:t>
      </w:r>
      <w:r>
        <w:rPr/>
        <w:t>pulmonary</w:t>
      </w:r>
      <w:r>
        <w:rPr>
          <w:spacing w:val="-9"/>
        </w:rPr>
        <w:t> </w:t>
      </w:r>
      <w:r>
        <w:rPr>
          <w:spacing w:val="-2"/>
        </w:rPr>
        <w:t>embolism),</w:t>
      </w:r>
    </w:p>
    <w:p>
      <w:pPr>
        <w:pStyle w:val="BodyText"/>
        <w:spacing w:line="278" w:lineRule="auto" w:before="42"/>
        <w:ind w:left="2377" w:right="5959"/>
      </w:pPr>
      <w:r>
        <w:rPr/>
        <w:t>ischemic</w:t>
      </w:r>
      <w:r>
        <w:rPr>
          <w:spacing w:val="-7"/>
        </w:rPr>
        <w:t> </w:t>
      </w:r>
      <w:r>
        <w:rPr/>
        <w:t>stroke,</w:t>
      </w:r>
      <w:r>
        <w:rPr>
          <w:spacing w:val="-7"/>
        </w:rPr>
        <w:t> </w:t>
      </w:r>
      <w:r>
        <w:rPr/>
        <w:t>hemorrhage</w:t>
      </w:r>
      <w:r>
        <w:rPr>
          <w:spacing w:val="-7"/>
        </w:rPr>
        <w:t> </w:t>
      </w:r>
      <w:r>
        <w:rPr/>
        <w:t>(including</w:t>
      </w:r>
      <w:r>
        <w:rPr>
          <w:spacing w:val="-8"/>
        </w:rPr>
        <w:t> </w:t>
      </w:r>
      <w:r>
        <w:rPr/>
        <w:t>intracranial),</w:t>
      </w:r>
      <w:r>
        <w:rPr>
          <w:spacing w:val="-9"/>
        </w:rPr>
        <w:t> </w:t>
      </w:r>
      <w:r>
        <w:rPr/>
        <w:t>mortality, quality of life (QOL), adverse events</w:t>
      </w:r>
    </w:p>
    <w:p>
      <w:pPr>
        <w:pStyle w:val="BodyText"/>
        <w:spacing w:before="4"/>
        <w:rPr>
          <w:sz w:val="11"/>
        </w:rPr>
      </w:pPr>
      <w:r>
        <w:rPr>
          <w:sz w:val="11"/>
        </w:rPr>
        <mc:AlternateContent>
          <mc:Choice Requires="wps">
            <w:drawing>
              <wp:anchor distT="0" distB="0" distL="0" distR="0" allowOverlap="1" layoutInCell="1" locked="0" behindDoc="1" simplePos="0" relativeHeight="487607808">
                <wp:simplePos x="0" y="0"/>
                <wp:positionH relativeFrom="page">
                  <wp:posOffset>905256</wp:posOffset>
                </wp:positionH>
                <wp:positionV relativeFrom="paragraph">
                  <wp:posOffset>103630</wp:posOffset>
                </wp:positionV>
                <wp:extent cx="5277485" cy="9525"/>
                <wp:effectExtent l="0" t="0" r="0" b="0"/>
                <wp:wrapTopAndBottom/>
                <wp:docPr id="48" name="Graphic 48"/>
                <wp:cNvGraphicFramePr>
                  <a:graphicFrameLocks/>
                </wp:cNvGraphicFramePr>
                <a:graphic>
                  <a:graphicData uri="http://schemas.microsoft.com/office/word/2010/wordprocessingShape">
                    <wps:wsp>
                      <wps:cNvPr id="48" name="Graphic 48"/>
                      <wps:cNvSpPr/>
                      <wps:spPr>
                        <a:xfrm>
                          <a:off x="0" y="0"/>
                          <a:ext cx="5277485" cy="9525"/>
                        </a:xfrm>
                        <a:custGeom>
                          <a:avLst/>
                          <a:gdLst/>
                          <a:ahLst/>
                          <a:cxnLst/>
                          <a:rect l="l" t="t" r="r" b="b"/>
                          <a:pathLst>
                            <a:path w="5277485" h="9525">
                              <a:moveTo>
                                <a:pt x="5276977" y="0"/>
                              </a:moveTo>
                              <a:lnTo>
                                <a:pt x="1504442" y="0"/>
                              </a:lnTo>
                              <a:lnTo>
                                <a:pt x="1495298" y="0"/>
                              </a:lnTo>
                              <a:lnTo>
                                <a:pt x="0" y="0"/>
                              </a:lnTo>
                              <a:lnTo>
                                <a:pt x="0" y="9144"/>
                              </a:lnTo>
                              <a:lnTo>
                                <a:pt x="1495298" y="9144"/>
                              </a:lnTo>
                              <a:lnTo>
                                <a:pt x="1504442" y="9144"/>
                              </a:lnTo>
                              <a:lnTo>
                                <a:pt x="5276977" y="9144"/>
                              </a:lnTo>
                              <a:lnTo>
                                <a:pt x="52769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1.280006pt;margin-top:8.159915pt;width:415.55pt;height:.75pt;mso-position-horizontal-relative:page;mso-position-vertical-relative:paragraph;z-index:-15708672;mso-wrap-distance-left:0;mso-wrap-distance-right:0" id="docshape48" coordorigin="1426,163" coordsize="8311,15" path="m9736,163l3795,163,3780,163,1426,163,1426,178,3780,178,3795,178,9736,178,9736,163xe" filled="true" fillcolor="#000000" stroked="false">
                <v:path arrowok="t"/>
                <v:fill type="solid"/>
                <w10:wrap type="topAndBottom"/>
              </v:shape>
            </w:pict>
          </mc:Fallback>
        </mc:AlternateContent>
      </w:r>
    </w:p>
    <w:p>
      <w:pPr>
        <w:pStyle w:val="BodyText"/>
        <w:spacing w:before="204"/>
      </w:pPr>
    </w:p>
    <w:p>
      <w:pPr>
        <w:pStyle w:val="BodyText"/>
        <w:ind w:left="23"/>
      </w:pPr>
      <w:r>
        <w:rPr>
          <w:u w:val="single"/>
        </w:rPr>
        <w:t>Relevant</w:t>
      </w:r>
      <w:r>
        <w:rPr>
          <w:spacing w:val="-6"/>
          <w:u w:val="single"/>
        </w:rPr>
        <w:t> </w:t>
      </w:r>
      <w:r>
        <w:rPr>
          <w:u w:val="single"/>
        </w:rPr>
        <w:t>outcome</w:t>
      </w:r>
      <w:r>
        <w:rPr>
          <w:spacing w:val="-5"/>
          <w:u w:val="single"/>
        </w:rPr>
        <w:t> </w:t>
      </w:r>
      <w:r>
        <w:rPr>
          <w:spacing w:val="-2"/>
          <w:u w:val="single"/>
        </w:rPr>
        <w:t>measures</w:t>
      </w:r>
    </w:p>
    <w:p>
      <w:pPr>
        <w:pStyle w:val="BodyText"/>
        <w:spacing w:after="0"/>
        <w:sectPr>
          <w:pgSz w:w="16840" w:h="11910" w:orient="landscape"/>
          <w:pgMar w:top="1340" w:bottom="280" w:left="1417" w:right="992"/>
        </w:sectPr>
      </w:pPr>
    </w:p>
    <w:p>
      <w:pPr>
        <w:pStyle w:val="BodyText"/>
        <w:spacing w:line="276" w:lineRule="auto" w:before="93"/>
        <w:ind w:left="23" w:right="475"/>
      </w:pPr>
      <w:r>
        <w:rPr/>
        <w:t>The</w:t>
      </w:r>
      <w:r>
        <w:rPr>
          <w:spacing w:val="-1"/>
        </w:rPr>
        <w:t> </w:t>
      </w:r>
      <w:r>
        <w:rPr/>
        <w:t>guideline</w:t>
      </w:r>
      <w:r>
        <w:rPr>
          <w:spacing w:val="-1"/>
        </w:rPr>
        <w:t> </w:t>
      </w:r>
      <w:r>
        <w:rPr/>
        <w:t>panel</w:t>
      </w:r>
      <w:r>
        <w:rPr>
          <w:spacing w:val="-2"/>
        </w:rPr>
        <w:t> </w:t>
      </w:r>
      <w:r>
        <w:rPr/>
        <w:t>considered</w:t>
      </w:r>
      <w:r>
        <w:rPr>
          <w:spacing w:val="-1"/>
        </w:rPr>
        <w:t> </w:t>
      </w:r>
      <w:r>
        <w:rPr/>
        <w:t>stent</w:t>
      </w:r>
      <w:r>
        <w:rPr>
          <w:spacing w:val="-3"/>
        </w:rPr>
        <w:t> </w:t>
      </w:r>
      <w:r>
        <w:rPr/>
        <w:t>occlusion</w:t>
      </w:r>
      <w:r>
        <w:rPr>
          <w:spacing w:val="-2"/>
        </w:rPr>
        <w:t> </w:t>
      </w:r>
      <w:r>
        <w:rPr/>
        <w:t>and</w:t>
      </w:r>
      <w:r>
        <w:rPr>
          <w:spacing w:val="-3"/>
        </w:rPr>
        <w:t> </w:t>
      </w:r>
      <w:r>
        <w:rPr/>
        <w:t>thrombotic</w:t>
      </w:r>
      <w:r>
        <w:rPr>
          <w:spacing w:val="-4"/>
        </w:rPr>
        <w:t> </w:t>
      </w:r>
      <w:r>
        <w:rPr/>
        <w:t>complications as</w:t>
      </w:r>
      <w:r>
        <w:rPr>
          <w:spacing w:val="-3"/>
        </w:rPr>
        <w:t> </w:t>
      </w:r>
      <w:r>
        <w:rPr/>
        <w:t>a</w:t>
      </w:r>
      <w:r>
        <w:rPr>
          <w:spacing w:val="-1"/>
        </w:rPr>
        <w:t> </w:t>
      </w:r>
      <w:r>
        <w:rPr/>
        <w:t>critical</w:t>
      </w:r>
      <w:r>
        <w:rPr>
          <w:spacing w:val="-4"/>
        </w:rPr>
        <w:t> </w:t>
      </w:r>
      <w:r>
        <w:rPr/>
        <w:t>outcome</w:t>
      </w:r>
      <w:r>
        <w:rPr>
          <w:spacing w:val="-3"/>
        </w:rPr>
        <w:t> </w:t>
      </w:r>
      <w:r>
        <w:rPr/>
        <w:t>measure</w:t>
      </w:r>
      <w:r>
        <w:rPr>
          <w:spacing w:val="-4"/>
        </w:rPr>
        <w:t> </w:t>
      </w:r>
      <w:r>
        <w:rPr/>
        <w:t>for</w:t>
      </w:r>
      <w:r>
        <w:rPr>
          <w:spacing w:val="-1"/>
        </w:rPr>
        <w:t> </w:t>
      </w:r>
      <w:r>
        <w:rPr/>
        <w:t>decision</w:t>
      </w:r>
      <w:r>
        <w:rPr>
          <w:spacing w:val="-5"/>
        </w:rPr>
        <w:t> </w:t>
      </w:r>
      <w:r>
        <w:rPr/>
        <w:t>making;</w:t>
      </w:r>
      <w:r>
        <w:rPr>
          <w:spacing w:val="-1"/>
        </w:rPr>
        <w:t> </w:t>
      </w:r>
      <w:r>
        <w:rPr/>
        <w:t>and</w:t>
      </w:r>
      <w:r>
        <w:rPr>
          <w:spacing w:val="-3"/>
        </w:rPr>
        <w:t> </w:t>
      </w:r>
      <w:r>
        <w:rPr/>
        <w:t>the</w:t>
      </w:r>
      <w:r>
        <w:rPr>
          <w:spacing w:val="-1"/>
        </w:rPr>
        <w:t> </w:t>
      </w:r>
      <w:r>
        <w:rPr/>
        <w:t>other</w:t>
      </w:r>
      <w:r>
        <w:rPr>
          <w:spacing w:val="-3"/>
        </w:rPr>
        <w:t> </w:t>
      </w:r>
      <w:r>
        <w:rPr/>
        <w:t>outcomes as an important outcome measure for decision making. A priori, the guideline panel did not define the outcome measures listed above but used the</w:t>
      </w:r>
      <w:r>
        <w:rPr>
          <w:spacing w:val="40"/>
        </w:rPr>
        <w:t> </w:t>
      </w:r>
      <w:r>
        <w:rPr/>
        <w:t>definitions used in the studies. The guideline panel defined a difference of 25% (0.8 ≥ RR ≥ 1.25) as a minimal clinically (patient) important difference.</w:t>
      </w:r>
    </w:p>
    <w:p>
      <w:pPr>
        <w:pStyle w:val="BodyText"/>
        <w:spacing w:before="41"/>
      </w:pPr>
    </w:p>
    <w:p>
      <w:pPr>
        <w:pStyle w:val="BodyText"/>
        <w:ind w:left="23"/>
      </w:pPr>
      <w:r>
        <w:rPr>
          <w:u w:val="single"/>
        </w:rPr>
        <w:t>Search</w:t>
      </w:r>
      <w:r>
        <w:rPr>
          <w:spacing w:val="-6"/>
          <w:u w:val="single"/>
        </w:rPr>
        <w:t> </w:t>
      </w:r>
      <w:r>
        <w:rPr>
          <w:u w:val="single"/>
        </w:rPr>
        <w:t>and</w:t>
      </w:r>
      <w:r>
        <w:rPr>
          <w:spacing w:val="-5"/>
          <w:u w:val="single"/>
        </w:rPr>
        <w:t> </w:t>
      </w:r>
      <w:r>
        <w:rPr>
          <w:spacing w:val="-2"/>
          <w:u w:val="single"/>
        </w:rPr>
        <w:t>selection</w:t>
      </w:r>
    </w:p>
    <w:p>
      <w:pPr>
        <w:pStyle w:val="BodyText"/>
        <w:spacing w:line="283" w:lineRule="auto" w:before="39"/>
        <w:ind w:left="23" w:right="466"/>
      </w:pPr>
      <w:r>
        <w:rPr>
          <w:w w:val="105"/>
        </w:rPr>
        <w:t>The</w:t>
      </w:r>
      <w:r>
        <w:rPr>
          <w:spacing w:val="-13"/>
          <w:w w:val="105"/>
        </w:rPr>
        <w:t> </w:t>
      </w:r>
      <w:r>
        <w:rPr>
          <w:w w:val="105"/>
        </w:rPr>
        <w:t>systematic</w:t>
      </w:r>
      <w:r>
        <w:rPr>
          <w:spacing w:val="-9"/>
          <w:w w:val="105"/>
        </w:rPr>
        <w:t> </w:t>
      </w:r>
      <w:r>
        <w:rPr>
          <w:w w:val="105"/>
        </w:rPr>
        <w:t>literature</w:t>
      </w:r>
      <w:r>
        <w:rPr>
          <w:spacing w:val="-11"/>
          <w:w w:val="105"/>
        </w:rPr>
        <w:t> </w:t>
      </w:r>
      <w:r>
        <w:rPr>
          <w:w w:val="105"/>
        </w:rPr>
        <w:t>search</w:t>
      </w:r>
      <w:r>
        <w:rPr>
          <w:spacing w:val="-9"/>
          <w:w w:val="105"/>
        </w:rPr>
        <w:t> </w:t>
      </w:r>
      <w:r>
        <w:rPr>
          <w:w w:val="105"/>
        </w:rPr>
        <w:t>resulted</w:t>
      </w:r>
      <w:r>
        <w:rPr>
          <w:spacing w:val="-10"/>
          <w:w w:val="105"/>
        </w:rPr>
        <w:t> </w:t>
      </w:r>
      <w:r>
        <w:rPr>
          <w:w w:val="105"/>
        </w:rPr>
        <w:t>in</w:t>
      </w:r>
      <w:r>
        <w:rPr>
          <w:spacing w:val="-11"/>
          <w:w w:val="105"/>
        </w:rPr>
        <w:t> </w:t>
      </w:r>
      <w:r>
        <w:rPr>
          <w:w w:val="105"/>
        </w:rPr>
        <w:t>191</w:t>
      </w:r>
      <w:r>
        <w:rPr>
          <w:spacing w:val="-7"/>
          <w:w w:val="105"/>
        </w:rPr>
        <w:t> </w:t>
      </w:r>
      <w:r>
        <w:rPr>
          <w:w w:val="105"/>
        </w:rPr>
        <w:t>hits.</w:t>
      </w:r>
      <w:r>
        <w:rPr>
          <w:spacing w:val="-9"/>
          <w:w w:val="105"/>
        </w:rPr>
        <w:t> </w:t>
      </w:r>
      <w:r>
        <w:rPr>
          <w:w w:val="105"/>
        </w:rPr>
        <w:t>Initially,</w:t>
      </w:r>
      <w:r>
        <w:rPr>
          <w:spacing w:val="-14"/>
          <w:w w:val="105"/>
        </w:rPr>
        <w:t> </w:t>
      </w:r>
      <w:r>
        <w:rPr>
          <w:w w:val="105"/>
        </w:rPr>
        <w:t>eight</w:t>
      </w:r>
      <w:r>
        <w:rPr>
          <w:spacing w:val="-10"/>
          <w:w w:val="105"/>
        </w:rPr>
        <w:t> </w:t>
      </w:r>
      <w:r>
        <w:rPr>
          <w:w w:val="105"/>
        </w:rPr>
        <w:t>studies</w:t>
      </w:r>
      <w:r>
        <w:rPr>
          <w:spacing w:val="-13"/>
          <w:w w:val="105"/>
        </w:rPr>
        <w:t> </w:t>
      </w:r>
      <w:r>
        <w:rPr>
          <w:w w:val="105"/>
        </w:rPr>
        <w:t>were</w:t>
      </w:r>
      <w:r>
        <w:rPr>
          <w:spacing w:val="-14"/>
          <w:w w:val="105"/>
        </w:rPr>
        <w:t> </w:t>
      </w:r>
      <w:r>
        <w:rPr>
          <w:w w:val="105"/>
        </w:rPr>
        <w:t>selected</w:t>
      </w:r>
      <w:r>
        <w:rPr>
          <w:spacing w:val="-12"/>
          <w:w w:val="105"/>
        </w:rPr>
        <w:t> </w:t>
      </w:r>
      <w:r>
        <w:rPr>
          <w:w w:val="105"/>
        </w:rPr>
        <w:t>based</w:t>
      </w:r>
      <w:r>
        <w:rPr>
          <w:spacing w:val="-14"/>
          <w:w w:val="105"/>
        </w:rPr>
        <w:t> </w:t>
      </w:r>
      <w:r>
        <w:rPr>
          <w:w w:val="105"/>
        </w:rPr>
        <w:t>on</w:t>
      </w:r>
      <w:r>
        <w:rPr>
          <w:spacing w:val="-13"/>
          <w:w w:val="105"/>
        </w:rPr>
        <w:t> </w:t>
      </w:r>
      <w:r>
        <w:rPr>
          <w:w w:val="105"/>
        </w:rPr>
        <w:t>title</w:t>
      </w:r>
      <w:r>
        <w:rPr>
          <w:spacing w:val="-12"/>
          <w:w w:val="105"/>
        </w:rPr>
        <w:t> </w:t>
      </w:r>
      <w:r>
        <w:rPr>
          <w:w w:val="105"/>
        </w:rPr>
        <w:t>and</w:t>
      </w:r>
      <w:r>
        <w:rPr>
          <w:spacing w:val="-14"/>
          <w:w w:val="105"/>
        </w:rPr>
        <w:t> </w:t>
      </w:r>
      <w:r>
        <w:rPr>
          <w:w w:val="105"/>
        </w:rPr>
        <w:t>abstract</w:t>
      </w:r>
      <w:r>
        <w:rPr>
          <w:spacing w:val="-13"/>
          <w:w w:val="105"/>
        </w:rPr>
        <w:t> </w:t>
      </w:r>
      <w:r>
        <w:rPr>
          <w:w w:val="105"/>
        </w:rPr>
        <w:t>screening.</w:t>
      </w:r>
      <w:r>
        <w:rPr>
          <w:spacing w:val="-11"/>
          <w:w w:val="105"/>
        </w:rPr>
        <w:t> </w:t>
      </w:r>
      <w:r>
        <w:rPr>
          <w:w w:val="105"/>
        </w:rPr>
        <w:t>After</w:t>
      </w:r>
      <w:r>
        <w:rPr>
          <w:spacing w:val="-14"/>
          <w:w w:val="105"/>
        </w:rPr>
        <w:t> </w:t>
      </w:r>
      <w:r>
        <w:rPr>
          <w:w w:val="105"/>
        </w:rPr>
        <w:t>reading</w:t>
      </w:r>
      <w:r>
        <w:rPr>
          <w:spacing w:val="-11"/>
          <w:w w:val="105"/>
        </w:rPr>
        <w:t> </w:t>
      </w:r>
      <w:r>
        <w:rPr>
          <w:w w:val="105"/>
        </w:rPr>
        <w:t>the</w:t>
      </w:r>
      <w:r>
        <w:rPr>
          <w:spacing w:val="-13"/>
          <w:w w:val="105"/>
        </w:rPr>
        <w:t> </w:t>
      </w:r>
      <w:r>
        <w:rPr>
          <w:w w:val="105"/>
        </w:rPr>
        <w:t>full text, eight studies were excluded. (Table 7.1)</w:t>
      </w:r>
    </w:p>
    <w:p>
      <w:pPr>
        <w:pStyle w:val="BodyText"/>
        <w:spacing w:before="158"/>
        <w:ind w:left="23"/>
      </w:pPr>
      <w:r>
        <w:rPr>
          <w:u w:val="single"/>
        </w:rPr>
        <w:t>Summary</w:t>
      </w:r>
      <w:r>
        <w:rPr>
          <w:spacing w:val="-5"/>
          <w:u w:val="single"/>
        </w:rPr>
        <w:t> </w:t>
      </w:r>
      <w:r>
        <w:rPr>
          <w:u w:val="single"/>
        </w:rPr>
        <w:t>of</w:t>
      </w:r>
      <w:r>
        <w:rPr>
          <w:spacing w:val="-2"/>
          <w:u w:val="single"/>
        </w:rPr>
        <w:t> literature</w:t>
      </w:r>
    </w:p>
    <w:p>
      <w:pPr>
        <w:spacing w:before="44"/>
        <w:ind w:left="23" w:right="0" w:firstLine="0"/>
        <w:jc w:val="left"/>
        <w:rPr>
          <w:i/>
          <w:sz w:val="22"/>
        </w:rPr>
      </w:pPr>
      <w:r>
        <w:rPr>
          <w:i/>
          <w:sz w:val="22"/>
        </w:rPr>
        <w:t>Description</w:t>
      </w:r>
      <w:r>
        <w:rPr>
          <w:i/>
          <w:spacing w:val="-6"/>
          <w:sz w:val="22"/>
        </w:rPr>
        <w:t> </w:t>
      </w:r>
      <w:r>
        <w:rPr>
          <w:i/>
          <w:sz w:val="22"/>
        </w:rPr>
        <w:t>of</w:t>
      </w:r>
      <w:r>
        <w:rPr>
          <w:i/>
          <w:spacing w:val="-5"/>
          <w:sz w:val="22"/>
        </w:rPr>
        <w:t> </w:t>
      </w:r>
      <w:r>
        <w:rPr>
          <w:i/>
          <w:spacing w:val="-2"/>
          <w:sz w:val="22"/>
        </w:rPr>
        <w:t>studies</w:t>
      </w:r>
    </w:p>
    <w:p>
      <w:pPr>
        <w:pStyle w:val="BodyText"/>
        <w:spacing w:before="202"/>
        <w:ind w:left="23"/>
      </w:pPr>
      <w:r>
        <w:rPr/>
        <w:t>No</w:t>
      </w:r>
      <w:r>
        <w:rPr>
          <w:spacing w:val="-2"/>
        </w:rPr>
        <w:t> </w:t>
      </w:r>
      <w:r>
        <w:rPr/>
        <w:t>studies</w:t>
      </w:r>
      <w:r>
        <w:rPr>
          <w:spacing w:val="-6"/>
        </w:rPr>
        <w:t> </w:t>
      </w:r>
      <w:r>
        <w:rPr/>
        <w:t>were</w:t>
      </w:r>
      <w:r>
        <w:rPr>
          <w:spacing w:val="-3"/>
        </w:rPr>
        <w:t> </w:t>
      </w:r>
      <w:r>
        <w:rPr/>
        <w:t>included</w:t>
      </w:r>
      <w:r>
        <w:rPr>
          <w:spacing w:val="-3"/>
        </w:rPr>
        <w:t> </w:t>
      </w:r>
      <w:r>
        <w:rPr/>
        <w:t>in</w:t>
      </w:r>
      <w:r>
        <w:rPr>
          <w:spacing w:val="-4"/>
        </w:rPr>
        <w:t> </w:t>
      </w:r>
      <w:r>
        <w:rPr/>
        <w:t>the</w:t>
      </w:r>
      <w:r>
        <w:rPr>
          <w:spacing w:val="-3"/>
        </w:rPr>
        <w:t> </w:t>
      </w:r>
      <w:r>
        <w:rPr/>
        <w:t>analysis</w:t>
      </w:r>
      <w:r>
        <w:rPr>
          <w:spacing w:val="-6"/>
        </w:rPr>
        <w:t> </w:t>
      </w:r>
      <w:r>
        <w:rPr/>
        <w:t>of</w:t>
      </w:r>
      <w:r>
        <w:rPr>
          <w:spacing w:val="-3"/>
        </w:rPr>
        <w:t> </w:t>
      </w:r>
      <w:r>
        <w:rPr/>
        <w:t>the</w:t>
      </w:r>
      <w:r>
        <w:rPr>
          <w:spacing w:val="-4"/>
        </w:rPr>
        <w:t> </w:t>
      </w:r>
      <w:r>
        <w:rPr>
          <w:spacing w:val="-2"/>
        </w:rPr>
        <w:t>literature.</w:t>
      </w:r>
    </w:p>
    <w:p>
      <w:pPr>
        <w:spacing w:before="204"/>
        <w:ind w:left="23" w:right="0" w:firstLine="0"/>
        <w:jc w:val="left"/>
        <w:rPr>
          <w:i/>
          <w:sz w:val="22"/>
        </w:rPr>
      </w:pPr>
      <w:r>
        <w:rPr>
          <w:i/>
          <w:spacing w:val="-2"/>
          <w:sz w:val="22"/>
        </w:rPr>
        <w:t>Results</w:t>
      </w:r>
    </w:p>
    <w:p>
      <w:pPr>
        <w:pStyle w:val="BodyText"/>
        <w:spacing w:line="422" w:lineRule="auto" w:before="204"/>
        <w:ind w:left="23" w:right="5723"/>
      </w:pPr>
      <w:r>
        <w:rPr/>
        <w:t>As</w:t>
      </w:r>
      <w:r>
        <w:rPr>
          <w:spacing w:val="-2"/>
        </w:rPr>
        <w:t> </w:t>
      </w:r>
      <w:r>
        <w:rPr/>
        <w:t>no</w:t>
      </w:r>
      <w:r>
        <w:rPr>
          <w:spacing w:val="-1"/>
        </w:rPr>
        <w:t> </w:t>
      </w:r>
      <w:r>
        <w:rPr/>
        <w:t>studies</w:t>
      </w:r>
      <w:r>
        <w:rPr>
          <w:spacing w:val="-2"/>
        </w:rPr>
        <w:t> </w:t>
      </w:r>
      <w:r>
        <w:rPr/>
        <w:t>could</w:t>
      </w:r>
      <w:r>
        <w:rPr>
          <w:spacing w:val="-4"/>
        </w:rPr>
        <w:t> </w:t>
      </w:r>
      <w:r>
        <w:rPr/>
        <w:t>be</w:t>
      </w:r>
      <w:r>
        <w:rPr>
          <w:spacing w:val="-2"/>
        </w:rPr>
        <w:t> </w:t>
      </w:r>
      <w:r>
        <w:rPr/>
        <w:t>included</w:t>
      </w:r>
      <w:r>
        <w:rPr>
          <w:spacing w:val="-2"/>
        </w:rPr>
        <w:t> </w:t>
      </w:r>
      <w:r>
        <w:rPr/>
        <w:t>in</w:t>
      </w:r>
      <w:r>
        <w:rPr>
          <w:spacing w:val="-3"/>
        </w:rPr>
        <w:t> </w:t>
      </w:r>
      <w:r>
        <w:rPr/>
        <w:t>this</w:t>
      </w:r>
      <w:r>
        <w:rPr>
          <w:spacing w:val="-2"/>
        </w:rPr>
        <w:t> </w:t>
      </w:r>
      <w:r>
        <w:rPr/>
        <w:t>literature</w:t>
      </w:r>
      <w:r>
        <w:rPr>
          <w:spacing w:val="-2"/>
        </w:rPr>
        <w:t> </w:t>
      </w:r>
      <w:r>
        <w:rPr/>
        <w:t>summary,</w:t>
      </w:r>
      <w:r>
        <w:rPr>
          <w:spacing w:val="-2"/>
        </w:rPr>
        <w:t> </w:t>
      </w:r>
      <w:r>
        <w:rPr/>
        <w:t>no</w:t>
      </w:r>
      <w:r>
        <w:rPr>
          <w:spacing w:val="-4"/>
        </w:rPr>
        <w:t> </w:t>
      </w:r>
      <w:r>
        <w:rPr/>
        <w:t>study</w:t>
      </w:r>
      <w:r>
        <w:rPr>
          <w:spacing w:val="-2"/>
        </w:rPr>
        <w:t> </w:t>
      </w:r>
      <w:r>
        <w:rPr/>
        <w:t>results</w:t>
      </w:r>
      <w:r>
        <w:rPr>
          <w:spacing w:val="-5"/>
        </w:rPr>
        <w:t> </w:t>
      </w:r>
      <w:r>
        <w:rPr/>
        <w:t>are</w:t>
      </w:r>
      <w:r>
        <w:rPr>
          <w:spacing w:val="-4"/>
        </w:rPr>
        <w:t> </w:t>
      </w:r>
      <w:r>
        <w:rPr/>
        <w:t>described</w:t>
      </w:r>
      <w:r>
        <w:rPr>
          <w:spacing w:val="-2"/>
        </w:rPr>
        <w:t> </w:t>
      </w:r>
      <w:r>
        <w:rPr/>
        <w:t>here. Table 7.1. Excluded studies</w:t>
      </w: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925"/>
        <w:gridCol w:w="5387"/>
      </w:tblGrid>
      <w:tr>
        <w:trPr>
          <w:trHeight w:val="472" w:hRule="atLeast"/>
        </w:trPr>
        <w:tc>
          <w:tcPr>
            <w:tcW w:w="8925" w:type="dxa"/>
            <w:shd w:val="clear" w:color="auto" w:fill="D9D9D9"/>
          </w:tcPr>
          <w:p>
            <w:pPr>
              <w:pStyle w:val="TableParagraph"/>
              <w:spacing w:before="2"/>
              <w:ind w:left="6"/>
              <w:rPr>
                <w:b/>
                <w:sz w:val="22"/>
              </w:rPr>
            </w:pPr>
            <w:r>
              <w:rPr>
                <w:b/>
                <w:spacing w:val="-2"/>
                <w:sz w:val="22"/>
              </w:rPr>
              <w:t>Reference</w:t>
            </w:r>
          </w:p>
        </w:tc>
        <w:tc>
          <w:tcPr>
            <w:tcW w:w="5387" w:type="dxa"/>
            <w:shd w:val="clear" w:color="auto" w:fill="D9D9D9"/>
          </w:tcPr>
          <w:p>
            <w:pPr>
              <w:pStyle w:val="TableParagraph"/>
              <w:spacing w:before="2"/>
              <w:ind w:left="6"/>
              <w:rPr>
                <w:b/>
                <w:sz w:val="22"/>
              </w:rPr>
            </w:pPr>
            <w:r>
              <w:rPr>
                <w:b/>
                <w:sz w:val="22"/>
              </w:rPr>
              <w:t>Reason</w:t>
            </w:r>
            <w:r>
              <w:rPr>
                <w:b/>
                <w:spacing w:val="-4"/>
                <w:sz w:val="22"/>
              </w:rPr>
              <w:t> </w:t>
            </w:r>
            <w:r>
              <w:rPr>
                <w:b/>
                <w:sz w:val="22"/>
              </w:rPr>
              <w:t>for</w:t>
            </w:r>
            <w:r>
              <w:rPr>
                <w:b/>
                <w:spacing w:val="-2"/>
                <w:sz w:val="22"/>
              </w:rPr>
              <w:t> exclusion</w:t>
            </w:r>
          </w:p>
        </w:tc>
      </w:tr>
      <w:tr>
        <w:trPr>
          <w:trHeight w:val="1410" w:hRule="atLeast"/>
        </w:trPr>
        <w:tc>
          <w:tcPr>
            <w:tcW w:w="8925" w:type="dxa"/>
            <w:shd w:val="clear" w:color="auto" w:fill="D9D9D9"/>
          </w:tcPr>
          <w:p>
            <w:pPr>
              <w:pStyle w:val="TableParagraph"/>
              <w:spacing w:line="278" w:lineRule="auto" w:before="1"/>
              <w:ind w:left="6"/>
              <w:rPr>
                <w:sz w:val="22"/>
              </w:rPr>
            </w:pPr>
            <w:r>
              <w:rPr>
                <w:sz w:val="22"/>
              </w:rPr>
              <w:t>Amedro P, Bajolle F, Bertet H, Cheurfi R, Lasne D, Nogue E, Auquier P, Picot MC,</w:t>
            </w:r>
            <w:r>
              <w:rPr>
                <w:spacing w:val="-2"/>
                <w:sz w:val="22"/>
              </w:rPr>
              <w:t> </w:t>
            </w:r>
            <w:r>
              <w:rPr>
                <w:sz w:val="22"/>
              </w:rPr>
              <w:t>Bonnet D. Quality of life in children participating in a non-selective INR self-monitoring VKA-education programme. Arch</w:t>
            </w:r>
            <w:r>
              <w:rPr>
                <w:spacing w:val="-2"/>
                <w:sz w:val="22"/>
              </w:rPr>
              <w:t> </w:t>
            </w:r>
            <w:r>
              <w:rPr>
                <w:sz w:val="22"/>
              </w:rPr>
              <w:t>Cardiovasc</w:t>
            </w:r>
            <w:r>
              <w:rPr>
                <w:spacing w:val="-4"/>
                <w:sz w:val="22"/>
              </w:rPr>
              <w:t> </w:t>
            </w:r>
            <w:r>
              <w:rPr>
                <w:sz w:val="22"/>
              </w:rPr>
              <w:t>Dis.</w:t>
            </w:r>
            <w:r>
              <w:rPr>
                <w:spacing w:val="-5"/>
                <w:sz w:val="22"/>
              </w:rPr>
              <w:t> </w:t>
            </w:r>
            <w:r>
              <w:rPr>
                <w:sz w:val="22"/>
              </w:rPr>
              <w:t>2018</w:t>
            </w:r>
            <w:r>
              <w:rPr>
                <w:spacing w:val="-6"/>
                <w:sz w:val="22"/>
              </w:rPr>
              <w:t> </w:t>
            </w:r>
            <w:r>
              <w:rPr>
                <w:sz w:val="22"/>
              </w:rPr>
              <w:t>Mar;111(3):180-188.</w:t>
            </w:r>
            <w:r>
              <w:rPr>
                <w:spacing w:val="-4"/>
                <w:sz w:val="22"/>
              </w:rPr>
              <w:t> </w:t>
            </w:r>
            <w:r>
              <w:rPr>
                <w:sz w:val="22"/>
              </w:rPr>
              <w:t>doi:</w:t>
            </w:r>
            <w:r>
              <w:rPr>
                <w:spacing w:val="-4"/>
                <w:sz w:val="22"/>
              </w:rPr>
              <w:t> </w:t>
            </w:r>
            <w:r>
              <w:rPr>
                <w:sz w:val="22"/>
              </w:rPr>
              <w:t>10.1016/j.acvd.2017.05.013.</w:t>
            </w:r>
            <w:r>
              <w:rPr>
                <w:spacing w:val="-4"/>
                <w:sz w:val="22"/>
              </w:rPr>
              <w:t> </w:t>
            </w:r>
            <w:r>
              <w:rPr>
                <w:sz w:val="22"/>
              </w:rPr>
              <w:t>Epub</w:t>
            </w:r>
            <w:r>
              <w:rPr>
                <w:spacing w:val="-3"/>
                <w:sz w:val="22"/>
              </w:rPr>
              <w:t> </w:t>
            </w:r>
            <w:r>
              <w:rPr>
                <w:sz w:val="22"/>
              </w:rPr>
              <w:t>2017</w:t>
            </w:r>
            <w:r>
              <w:rPr>
                <w:spacing w:val="-4"/>
                <w:sz w:val="22"/>
              </w:rPr>
              <w:t> </w:t>
            </w:r>
            <w:r>
              <w:rPr>
                <w:sz w:val="22"/>
              </w:rPr>
              <w:t>Nov</w:t>
            </w:r>
            <w:r>
              <w:rPr>
                <w:spacing w:val="-3"/>
                <w:sz w:val="22"/>
              </w:rPr>
              <w:t> </w:t>
            </w:r>
            <w:r>
              <w:rPr>
                <w:sz w:val="22"/>
              </w:rPr>
              <w:t>1. PMID: 29100908.</w:t>
            </w:r>
          </w:p>
        </w:tc>
        <w:tc>
          <w:tcPr>
            <w:tcW w:w="5387" w:type="dxa"/>
          </w:tcPr>
          <w:p>
            <w:pPr>
              <w:pStyle w:val="TableParagraph"/>
              <w:spacing w:before="1"/>
              <w:ind w:left="6"/>
              <w:rPr>
                <w:sz w:val="22"/>
              </w:rPr>
            </w:pPr>
            <w:r>
              <w:rPr>
                <w:sz w:val="22"/>
              </w:rPr>
              <w:t>No</w:t>
            </w:r>
            <w:r>
              <w:rPr>
                <w:spacing w:val="-5"/>
                <w:sz w:val="22"/>
              </w:rPr>
              <w:t> </w:t>
            </w:r>
            <w:r>
              <w:rPr>
                <w:sz w:val="22"/>
              </w:rPr>
              <w:t>comparison</w:t>
            </w:r>
            <w:r>
              <w:rPr>
                <w:spacing w:val="-7"/>
                <w:sz w:val="22"/>
              </w:rPr>
              <w:t> </w:t>
            </w:r>
            <w:r>
              <w:rPr>
                <w:sz w:val="22"/>
              </w:rPr>
              <w:t>between</w:t>
            </w:r>
            <w:r>
              <w:rPr>
                <w:spacing w:val="-7"/>
                <w:sz w:val="22"/>
              </w:rPr>
              <w:t> </w:t>
            </w:r>
            <w:r>
              <w:rPr>
                <w:sz w:val="22"/>
              </w:rPr>
              <w:t>anticoagulants;</w:t>
            </w:r>
            <w:r>
              <w:rPr>
                <w:spacing w:val="-6"/>
                <w:sz w:val="22"/>
              </w:rPr>
              <w:t> </w:t>
            </w:r>
            <w:r>
              <w:rPr>
                <w:sz w:val="22"/>
              </w:rPr>
              <w:t>wrong</w:t>
            </w:r>
            <w:r>
              <w:rPr>
                <w:spacing w:val="-6"/>
                <w:sz w:val="22"/>
              </w:rPr>
              <w:t> </w:t>
            </w:r>
            <w:r>
              <w:rPr>
                <w:spacing w:val="-2"/>
                <w:sz w:val="22"/>
              </w:rPr>
              <w:t>population</w:t>
            </w:r>
          </w:p>
        </w:tc>
      </w:tr>
      <w:tr>
        <w:trPr>
          <w:trHeight w:val="1408" w:hRule="atLeast"/>
        </w:trPr>
        <w:tc>
          <w:tcPr>
            <w:tcW w:w="8925" w:type="dxa"/>
            <w:shd w:val="clear" w:color="auto" w:fill="D9D9D9"/>
          </w:tcPr>
          <w:p>
            <w:pPr>
              <w:pStyle w:val="TableParagraph"/>
              <w:spacing w:line="268" w:lineRule="exact"/>
              <w:ind w:left="6"/>
              <w:rPr>
                <w:sz w:val="22"/>
              </w:rPr>
            </w:pPr>
            <w:r>
              <w:rPr>
                <w:sz w:val="22"/>
              </w:rPr>
              <w:t>Ankola</w:t>
            </w:r>
            <w:r>
              <w:rPr>
                <w:spacing w:val="-5"/>
                <w:sz w:val="22"/>
              </w:rPr>
              <w:t> </w:t>
            </w:r>
            <w:r>
              <w:rPr>
                <w:sz w:val="22"/>
              </w:rPr>
              <w:t>AA,</w:t>
            </w:r>
            <w:r>
              <w:rPr>
                <w:spacing w:val="-4"/>
                <w:sz w:val="22"/>
              </w:rPr>
              <w:t> </w:t>
            </w:r>
            <w:r>
              <w:rPr>
                <w:sz w:val="22"/>
              </w:rPr>
              <w:t>Ghbeis</w:t>
            </w:r>
            <w:r>
              <w:rPr>
                <w:spacing w:val="-5"/>
                <w:sz w:val="22"/>
              </w:rPr>
              <w:t> </w:t>
            </w:r>
            <w:r>
              <w:rPr>
                <w:sz w:val="22"/>
              </w:rPr>
              <w:t>MB,</w:t>
            </w:r>
            <w:r>
              <w:rPr>
                <w:spacing w:val="-2"/>
                <w:sz w:val="22"/>
              </w:rPr>
              <w:t> </w:t>
            </w:r>
            <w:r>
              <w:rPr>
                <w:sz w:val="22"/>
              </w:rPr>
              <w:t>Bailey</w:t>
            </w:r>
            <w:r>
              <w:rPr>
                <w:spacing w:val="-2"/>
                <w:sz w:val="22"/>
              </w:rPr>
              <w:t> </w:t>
            </w:r>
            <w:r>
              <w:rPr>
                <w:sz w:val="22"/>
              </w:rPr>
              <w:t>B,</w:t>
            </w:r>
            <w:r>
              <w:rPr>
                <w:spacing w:val="-4"/>
                <w:sz w:val="22"/>
              </w:rPr>
              <w:t> </w:t>
            </w:r>
            <w:r>
              <w:rPr>
                <w:sz w:val="22"/>
              </w:rPr>
              <w:t>Sahakian</w:t>
            </w:r>
            <w:r>
              <w:rPr>
                <w:spacing w:val="-7"/>
                <w:sz w:val="22"/>
              </w:rPr>
              <w:t> </w:t>
            </w:r>
            <w:r>
              <w:rPr>
                <w:sz w:val="22"/>
              </w:rPr>
              <w:t>L,</w:t>
            </w:r>
            <w:r>
              <w:rPr>
                <w:spacing w:val="-2"/>
                <w:sz w:val="22"/>
              </w:rPr>
              <w:t> </w:t>
            </w:r>
            <w:r>
              <w:rPr>
                <w:sz w:val="22"/>
              </w:rPr>
              <w:t>Hellinger</w:t>
            </w:r>
            <w:r>
              <w:rPr>
                <w:spacing w:val="-5"/>
                <w:sz w:val="22"/>
              </w:rPr>
              <w:t> </w:t>
            </w:r>
            <w:r>
              <w:rPr>
                <w:sz w:val="22"/>
              </w:rPr>
              <w:t>A,</w:t>
            </w:r>
            <w:r>
              <w:rPr>
                <w:spacing w:val="-2"/>
                <w:sz w:val="22"/>
              </w:rPr>
              <w:t> </w:t>
            </w:r>
            <w:r>
              <w:rPr>
                <w:sz w:val="22"/>
              </w:rPr>
              <w:t>Hawkins</w:t>
            </w:r>
            <w:r>
              <w:rPr>
                <w:spacing w:val="-3"/>
                <w:sz w:val="22"/>
              </w:rPr>
              <w:t> </w:t>
            </w:r>
            <w:r>
              <w:rPr>
                <w:sz w:val="22"/>
              </w:rPr>
              <w:t>B,</w:t>
            </w:r>
            <w:r>
              <w:rPr>
                <w:spacing w:val="-2"/>
                <w:sz w:val="22"/>
              </w:rPr>
              <w:t> </w:t>
            </w:r>
            <w:r>
              <w:rPr>
                <w:sz w:val="22"/>
              </w:rPr>
              <w:t>Ventresco</w:t>
            </w:r>
            <w:r>
              <w:rPr>
                <w:spacing w:val="-2"/>
                <w:sz w:val="22"/>
              </w:rPr>
              <w:t> </w:t>
            </w:r>
            <w:r>
              <w:rPr>
                <w:sz w:val="22"/>
              </w:rPr>
              <w:t>C,</w:t>
            </w:r>
            <w:r>
              <w:rPr>
                <w:spacing w:val="-6"/>
                <w:sz w:val="22"/>
              </w:rPr>
              <w:t> </w:t>
            </w:r>
            <w:r>
              <w:rPr>
                <w:sz w:val="22"/>
              </w:rPr>
              <w:t>Blume</w:t>
            </w:r>
            <w:r>
              <w:rPr>
                <w:spacing w:val="-4"/>
                <w:sz w:val="22"/>
              </w:rPr>
              <w:t> </w:t>
            </w:r>
            <w:r>
              <w:rPr>
                <w:spacing w:val="-5"/>
                <w:sz w:val="22"/>
              </w:rPr>
              <w:t>ED,</w:t>
            </w:r>
          </w:p>
          <w:p>
            <w:pPr>
              <w:pStyle w:val="TableParagraph"/>
              <w:spacing w:before="43"/>
              <w:ind w:left="6"/>
              <w:rPr>
                <w:sz w:val="22"/>
              </w:rPr>
            </w:pPr>
            <w:r>
              <w:rPr>
                <w:sz w:val="22"/>
              </w:rPr>
              <w:t>VanderPluym</w:t>
            </w:r>
            <w:r>
              <w:rPr>
                <w:spacing w:val="-4"/>
                <w:sz w:val="22"/>
              </w:rPr>
              <w:t> </w:t>
            </w:r>
            <w:r>
              <w:rPr>
                <w:sz w:val="22"/>
              </w:rPr>
              <w:t>CJ.</w:t>
            </w:r>
            <w:r>
              <w:rPr>
                <w:spacing w:val="-5"/>
                <w:sz w:val="22"/>
              </w:rPr>
              <w:t> </w:t>
            </w:r>
            <w:r>
              <w:rPr>
                <w:sz w:val="22"/>
              </w:rPr>
              <w:t>Utilization</w:t>
            </w:r>
            <w:r>
              <w:rPr>
                <w:spacing w:val="-5"/>
                <w:sz w:val="22"/>
              </w:rPr>
              <w:t> </w:t>
            </w:r>
            <w:r>
              <w:rPr>
                <w:sz w:val="22"/>
              </w:rPr>
              <w:t>practices</w:t>
            </w:r>
            <w:r>
              <w:rPr>
                <w:spacing w:val="-6"/>
                <w:sz w:val="22"/>
              </w:rPr>
              <w:t> </w:t>
            </w:r>
            <w:r>
              <w:rPr>
                <w:sz w:val="22"/>
              </w:rPr>
              <w:t>of</w:t>
            </w:r>
            <w:r>
              <w:rPr>
                <w:spacing w:val="-8"/>
                <w:sz w:val="22"/>
              </w:rPr>
              <w:t> </w:t>
            </w:r>
            <w:r>
              <w:rPr>
                <w:sz w:val="22"/>
              </w:rPr>
              <w:t>low</w:t>
            </w:r>
            <w:r>
              <w:rPr>
                <w:spacing w:val="-6"/>
                <w:sz w:val="22"/>
              </w:rPr>
              <w:t> </w:t>
            </w:r>
            <w:r>
              <w:rPr>
                <w:sz w:val="22"/>
              </w:rPr>
              <w:t>molecular</w:t>
            </w:r>
            <w:r>
              <w:rPr>
                <w:spacing w:val="-5"/>
                <w:sz w:val="22"/>
              </w:rPr>
              <w:t> </w:t>
            </w:r>
            <w:r>
              <w:rPr>
                <w:sz w:val="22"/>
              </w:rPr>
              <w:t>weight</w:t>
            </w:r>
            <w:r>
              <w:rPr>
                <w:spacing w:val="-2"/>
                <w:sz w:val="22"/>
              </w:rPr>
              <w:t> </w:t>
            </w:r>
            <w:r>
              <w:rPr>
                <w:sz w:val="22"/>
              </w:rPr>
              <w:t>heparin</w:t>
            </w:r>
            <w:r>
              <w:rPr>
                <w:spacing w:val="-6"/>
                <w:sz w:val="22"/>
              </w:rPr>
              <w:t> </w:t>
            </w:r>
            <w:r>
              <w:rPr>
                <w:sz w:val="22"/>
              </w:rPr>
              <w:t>in</w:t>
            </w:r>
            <w:r>
              <w:rPr>
                <w:spacing w:val="-5"/>
                <w:sz w:val="22"/>
              </w:rPr>
              <w:t> </w:t>
            </w:r>
            <w:r>
              <w:rPr>
                <w:sz w:val="22"/>
              </w:rPr>
              <w:t>pediatric</w:t>
            </w:r>
            <w:r>
              <w:rPr>
                <w:spacing w:val="-4"/>
                <w:sz w:val="22"/>
              </w:rPr>
              <w:t> </w:t>
            </w:r>
            <w:r>
              <w:rPr>
                <w:spacing w:val="-2"/>
                <w:sz w:val="22"/>
              </w:rPr>
              <w:t>patients</w:t>
            </w:r>
          </w:p>
          <w:p>
            <w:pPr>
              <w:pStyle w:val="TableParagraph"/>
              <w:spacing w:line="278" w:lineRule="auto" w:before="44"/>
              <w:ind w:left="6"/>
              <w:rPr>
                <w:sz w:val="22"/>
              </w:rPr>
            </w:pPr>
            <w:r>
              <w:rPr>
                <w:sz w:val="22"/>
              </w:rPr>
              <w:t>with</w:t>
            </w:r>
            <w:r>
              <w:rPr>
                <w:spacing w:val="-2"/>
                <w:sz w:val="22"/>
              </w:rPr>
              <w:t> </w:t>
            </w:r>
            <w:r>
              <w:rPr>
                <w:sz w:val="22"/>
              </w:rPr>
              <w:t>acquired</w:t>
            </w:r>
            <w:r>
              <w:rPr>
                <w:spacing w:val="-3"/>
                <w:sz w:val="22"/>
              </w:rPr>
              <w:t> </w:t>
            </w:r>
            <w:r>
              <w:rPr>
                <w:sz w:val="22"/>
              </w:rPr>
              <w:t>and</w:t>
            </w:r>
            <w:r>
              <w:rPr>
                <w:spacing w:val="-6"/>
                <w:sz w:val="22"/>
              </w:rPr>
              <w:t> </w:t>
            </w:r>
            <w:r>
              <w:rPr>
                <w:sz w:val="22"/>
              </w:rPr>
              <w:t>congenital</w:t>
            </w:r>
            <w:r>
              <w:rPr>
                <w:spacing w:val="-3"/>
                <w:sz w:val="22"/>
              </w:rPr>
              <w:t> </w:t>
            </w:r>
            <w:r>
              <w:rPr>
                <w:sz w:val="22"/>
              </w:rPr>
              <w:t>heart</w:t>
            </w:r>
            <w:r>
              <w:rPr>
                <w:spacing w:val="-3"/>
                <w:sz w:val="22"/>
              </w:rPr>
              <w:t> </w:t>
            </w:r>
            <w:r>
              <w:rPr>
                <w:sz w:val="22"/>
              </w:rPr>
              <w:t>disease.</w:t>
            </w:r>
            <w:r>
              <w:rPr>
                <w:spacing w:val="-6"/>
                <w:sz w:val="22"/>
              </w:rPr>
              <w:t> </w:t>
            </w:r>
            <w:r>
              <w:rPr>
                <w:sz w:val="22"/>
              </w:rPr>
              <w:t>Progress</w:t>
            </w:r>
            <w:r>
              <w:rPr>
                <w:spacing w:val="-5"/>
                <w:sz w:val="22"/>
              </w:rPr>
              <w:t> </w:t>
            </w:r>
            <w:r>
              <w:rPr>
                <w:sz w:val="22"/>
              </w:rPr>
              <w:t>in</w:t>
            </w:r>
            <w:r>
              <w:rPr>
                <w:spacing w:val="-3"/>
                <w:sz w:val="22"/>
              </w:rPr>
              <w:t> </w:t>
            </w:r>
            <w:r>
              <w:rPr>
                <w:sz w:val="22"/>
              </w:rPr>
              <w:t>Pediatric</w:t>
            </w:r>
            <w:r>
              <w:rPr>
                <w:spacing w:val="-3"/>
                <w:sz w:val="22"/>
              </w:rPr>
              <w:t> </w:t>
            </w:r>
            <w:r>
              <w:rPr>
                <w:sz w:val="22"/>
              </w:rPr>
              <w:t>Cardiology.</w:t>
            </w:r>
            <w:r>
              <w:rPr>
                <w:spacing w:val="-3"/>
                <w:sz w:val="22"/>
              </w:rPr>
              <w:t> </w:t>
            </w:r>
            <w:r>
              <w:rPr>
                <w:sz w:val="22"/>
              </w:rPr>
              <w:t>2021;61:101346.</w:t>
            </w:r>
            <w:r>
              <w:rPr>
                <w:spacing w:val="-2"/>
                <w:sz w:val="22"/>
              </w:rPr>
              <w:t> </w:t>
            </w:r>
            <w:r>
              <w:rPr>
                <w:sz w:val="22"/>
              </w:rPr>
              <w:t>doi: </w:t>
            </w:r>
            <w:r>
              <w:rPr>
                <w:spacing w:val="-2"/>
                <w:sz w:val="22"/>
              </w:rPr>
              <w:t>10.1016/j.ppedcard.2021.101346.</w:t>
            </w:r>
          </w:p>
        </w:tc>
        <w:tc>
          <w:tcPr>
            <w:tcW w:w="5387" w:type="dxa"/>
          </w:tcPr>
          <w:p>
            <w:pPr>
              <w:pStyle w:val="TableParagraph"/>
              <w:spacing w:line="278" w:lineRule="auto"/>
              <w:ind w:left="6"/>
              <w:rPr>
                <w:sz w:val="22"/>
              </w:rPr>
            </w:pPr>
            <w:r>
              <w:rPr>
                <w:sz w:val="22"/>
              </w:rPr>
              <w:t>Wrong</w:t>
            </w:r>
            <w:r>
              <w:rPr>
                <w:spacing w:val="-5"/>
                <w:sz w:val="22"/>
              </w:rPr>
              <w:t> </w:t>
            </w:r>
            <w:r>
              <w:rPr>
                <w:sz w:val="22"/>
              </w:rPr>
              <w:t>comparison,</w:t>
            </w:r>
            <w:r>
              <w:rPr>
                <w:spacing w:val="-7"/>
                <w:sz w:val="22"/>
              </w:rPr>
              <w:t> </w:t>
            </w:r>
            <w:r>
              <w:rPr>
                <w:sz w:val="22"/>
              </w:rPr>
              <w:t>wrong</w:t>
            </w:r>
            <w:r>
              <w:rPr>
                <w:spacing w:val="-7"/>
                <w:sz w:val="22"/>
              </w:rPr>
              <w:t> </w:t>
            </w:r>
            <w:r>
              <w:rPr>
                <w:sz w:val="22"/>
              </w:rPr>
              <w:t>population</w:t>
            </w:r>
            <w:r>
              <w:rPr>
                <w:spacing w:val="-5"/>
                <w:sz w:val="22"/>
              </w:rPr>
              <w:t> </w:t>
            </w:r>
            <w:r>
              <w:rPr>
                <w:sz w:val="22"/>
              </w:rPr>
              <w:t>(not</w:t>
            </w:r>
            <w:r>
              <w:rPr>
                <w:spacing w:val="-4"/>
                <w:sz w:val="22"/>
              </w:rPr>
              <w:t> </w:t>
            </w:r>
            <w:r>
              <w:rPr>
                <w:sz w:val="22"/>
              </w:rPr>
              <w:t>in</w:t>
            </w:r>
            <w:r>
              <w:rPr>
                <w:spacing w:val="-8"/>
                <w:sz w:val="22"/>
              </w:rPr>
              <w:t> </w:t>
            </w:r>
            <w:r>
              <w:rPr>
                <w:sz w:val="22"/>
              </w:rPr>
              <w:t>children</w:t>
            </w:r>
            <w:r>
              <w:rPr>
                <w:spacing w:val="-7"/>
                <w:sz w:val="22"/>
              </w:rPr>
              <w:t> </w:t>
            </w:r>
            <w:r>
              <w:rPr>
                <w:sz w:val="22"/>
              </w:rPr>
              <w:t>with artificial valves)</w:t>
            </w:r>
          </w:p>
        </w:tc>
      </w:tr>
      <w:tr>
        <w:trPr>
          <w:trHeight w:val="625" w:hRule="atLeast"/>
        </w:trPr>
        <w:tc>
          <w:tcPr>
            <w:tcW w:w="8925" w:type="dxa"/>
            <w:shd w:val="clear" w:color="auto" w:fill="D9D9D9"/>
          </w:tcPr>
          <w:p>
            <w:pPr>
              <w:pStyle w:val="TableParagraph"/>
              <w:spacing w:line="268" w:lineRule="exact"/>
              <w:ind w:left="6"/>
              <w:rPr>
                <w:sz w:val="22"/>
              </w:rPr>
            </w:pPr>
            <w:r>
              <w:rPr>
                <w:sz w:val="22"/>
              </w:rPr>
              <w:t>Beacher</w:t>
            </w:r>
            <w:r>
              <w:rPr>
                <w:spacing w:val="-6"/>
                <w:sz w:val="22"/>
              </w:rPr>
              <w:t> </w:t>
            </w:r>
            <w:r>
              <w:rPr>
                <w:sz w:val="22"/>
              </w:rPr>
              <w:t>D,</w:t>
            </w:r>
            <w:r>
              <w:rPr>
                <w:spacing w:val="-2"/>
                <w:sz w:val="22"/>
              </w:rPr>
              <w:t> </w:t>
            </w:r>
            <w:r>
              <w:rPr>
                <w:sz w:val="22"/>
              </w:rPr>
              <w:t>Frommelt</w:t>
            </w:r>
            <w:r>
              <w:rPr>
                <w:spacing w:val="-3"/>
                <w:sz w:val="22"/>
              </w:rPr>
              <w:t> </w:t>
            </w:r>
            <w:r>
              <w:rPr>
                <w:sz w:val="22"/>
              </w:rPr>
              <w:t>P,</w:t>
            </w:r>
            <w:r>
              <w:rPr>
                <w:spacing w:val="-4"/>
                <w:sz w:val="22"/>
              </w:rPr>
              <w:t> </w:t>
            </w:r>
            <w:r>
              <w:rPr>
                <w:sz w:val="22"/>
              </w:rPr>
              <w:t>Brosig</w:t>
            </w:r>
            <w:r>
              <w:rPr>
                <w:spacing w:val="-3"/>
                <w:sz w:val="22"/>
              </w:rPr>
              <w:t> </w:t>
            </w:r>
            <w:r>
              <w:rPr>
                <w:sz w:val="22"/>
              </w:rPr>
              <w:t>C,</w:t>
            </w:r>
            <w:r>
              <w:rPr>
                <w:spacing w:val="-1"/>
                <w:sz w:val="22"/>
              </w:rPr>
              <w:t> </w:t>
            </w:r>
            <w:r>
              <w:rPr>
                <w:sz w:val="22"/>
              </w:rPr>
              <w:t>Zhang</w:t>
            </w:r>
            <w:r>
              <w:rPr>
                <w:spacing w:val="-3"/>
                <w:sz w:val="22"/>
              </w:rPr>
              <w:t> </w:t>
            </w:r>
            <w:r>
              <w:rPr>
                <w:sz w:val="22"/>
              </w:rPr>
              <w:t>J,</w:t>
            </w:r>
            <w:r>
              <w:rPr>
                <w:spacing w:val="-4"/>
                <w:sz w:val="22"/>
              </w:rPr>
              <w:t> </w:t>
            </w:r>
            <w:r>
              <w:rPr>
                <w:sz w:val="22"/>
              </w:rPr>
              <w:t>Simpson</w:t>
            </w:r>
            <w:r>
              <w:rPr>
                <w:spacing w:val="-5"/>
                <w:sz w:val="22"/>
              </w:rPr>
              <w:t> </w:t>
            </w:r>
            <w:r>
              <w:rPr>
                <w:sz w:val="22"/>
              </w:rPr>
              <w:t>P,</w:t>
            </w:r>
            <w:r>
              <w:rPr>
                <w:spacing w:val="-2"/>
                <w:sz w:val="22"/>
              </w:rPr>
              <w:t> </w:t>
            </w:r>
            <w:r>
              <w:rPr>
                <w:sz w:val="22"/>
              </w:rPr>
              <w:t>Hraska</w:t>
            </w:r>
            <w:r>
              <w:rPr>
                <w:spacing w:val="-1"/>
                <w:sz w:val="22"/>
              </w:rPr>
              <w:t> </w:t>
            </w:r>
            <w:r>
              <w:rPr>
                <w:sz w:val="22"/>
              </w:rPr>
              <w:t>V,</w:t>
            </w:r>
            <w:r>
              <w:rPr>
                <w:spacing w:val="-2"/>
                <w:sz w:val="22"/>
              </w:rPr>
              <w:t> </w:t>
            </w:r>
            <w:r>
              <w:rPr>
                <w:sz w:val="22"/>
              </w:rPr>
              <w:t>Ginde</w:t>
            </w:r>
            <w:r>
              <w:rPr>
                <w:spacing w:val="-3"/>
                <w:sz w:val="22"/>
              </w:rPr>
              <w:t> </w:t>
            </w:r>
            <w:r>
              <w:rPr>
                <w:sz w:val="22"/>
              </w:rPr>
              <w:t>S.</w:t>
            </w:r>
            <w:r>
              <w:rPr>
                <w:spacing w:val="-2"/>
                <w:sz w:val="22"/>
              </w:rPr>
              <w:t> </w:t>
            </w:r>
            <w:r>
              <w:rPr>
                <w:sz w:val="22"/>
              </w:rPr>
              <w:t>Impact</w:t>
            </w:r>
            <w:r>
              <w:rPr>
                <w:spacing w:val="-4"/>
                <w:sz w:val="22"/>
              </w:rPr>
              <w:t> </w:t>
            </w:r>
            <w:r>
              <w:rPr>
                <w:sz w:val="22"/>
              </w:rPr>
              <w:t>of</w:t>
            </w:r>
            <w:r>
              <w:rPr>
                <w:spacing w:val="-1"/>
                <w:sz w:val="22"/>
              </w:rPr>
              <w:t> </w:t>
            </w:r>
            <w:r>
              <w:rPr>
                <w:sz w:val="22"/>
              </w:rPr>
              <w:t>Valve</w:t>
            </w:r>
            <w:r>
              <w:rPr>
                <w:spacing w:val="-4"/>
                <w:sz w:val="22"/>
              </w:rPr>
              <w:t> </w:t>
            </w:r>
            <w:r>
              <w:rPr>
                <w:sz w:val="22"/>
              </w:rPr>
              <w:t>Type</w:t>
            </w:r>
            <w:r>
              <w:rPr>
                <w:spacing w:val="-3"/>
                <w:sz w:val="22"/>
              </w:rPr>
              <w:t> </w:t>
            </w:r>
            <w:r>
              <w:rPr>
                <w:spacing w:val="-2"/>
                <w:sz w:val="22"/>
              </w:rPr>
              <w:t>(Ross</w:t>
            </w:r>
          </w:p>
          <w:p>
            <w:pPr>
              <w:pStyle w:val="TableParagraph"/>
              <w:spacing w:before="43"/>
              <w:ind w:left="6"/>
              <w:rPr>
                <w:sz w:val="22"/>
              </w:rPr>
            </w:pPr>
            <w:r>
              <w:rPr>
                <w:sz w:val="22"/>
              </w:rPr>
              <w:t>vs.</w:t>
            </w:r>
            <w:r>
              <w:rPr>
                <w:spacing w:val="-6"/>
                <w:sz w:val="22"/>
              </w:rPr>
              <w:t> </w:t>
            </w:r>
            <w:r>
              <w:rPr>
                <w:sz w:val="22"/>
              </w:rPr>
              <w:t>Mechanical)</w:t>
            </w:r>
            <w:r>
              <w:rPr>
                <w:spacing w:val="-5"/>
                <w:sz w:val="22"/>
              </w:rPr>
              <w:t> </w:t>
            </w:r>
            <w:r>
              <w:rPr>
                <w:sz w:val="22"/>
              </w:rPr>
              <w:t>on</w:t>
            </w:r>
            <w:r>
              <w:rPr>
                <w:spacing w:val="-5"/>
                <w:sz w:val="22"/>
              </w:rPr>
              <w:t> </w:t>
            </w:r>
            <w:r>
              <w:rPr>
                <w:sz w:val="22"/>
              </w:rPr>
              <w:t>Health-Related</w:t>
            </w:r>
            <w:r>
              <w:rPr>
                <w:spacing w:val="-5"/>
                <w:sz w:val="22"/>
              </w:rPr>
              <w:t> </w:t>
            </w:r>
            <w:r>
              <w:rPr>
                <w:sz w:val="22"/>
              </w:rPr>
              <w:t>Quality</w:t>
            </w:r>
            <w:r>
              <w:rPr>
                <w:spacing w:val="-4"/>
                <w:sz w:val="22"/>
              </w:rPr>
              <w:t> </w:t>
            </w:r>
            <w:r>
              <w:rPr>
                <w:sz w:val="22"/>
              </w:rPr>
              <w:t>of</w:t>
            </w:r>
            <w:r>
              <w:rPr>
                <w:spacing w:val="-6"/>
                <w:sz w:val="22"/>
              </w:rPr>
              <w:t> </w:t>
            </w:r>
            <w:r>
              <w:rPr>
                <w:sz w:val="22"/>
              </w:rPr>
              <w:t>Life</w:t>
            </w:r>
            <w:r>
              <w:rPr>
                <w:spacing w:val="-6"/>
                <w:sz w:val="22"/>
              </w:rPr>
              <w:t> </w:t>
            </w:r>
            <w:r>
              <w:rPr>
                <w:sz w:val="22"/>
              </w:rPr>
              <w:t>in</w:t>
            </w:r>
            <w:r>
              <w:rPr>
                <w:spacing w:val="-3"/>
                <w:sz w:val="22"/>
              </w:rPr>
              <w:t> </w:t>
            </w:r>
            <w:r>
              <w:rPr>
                <w:sz w:val="22"/>
              </w:rPr>
              <w:t>Children</w:t>
            </w:r>
            <w:r>
              <w:rPr>
                <w:spacing w:val="-3"/>
                <w:sz w:val="22"/>
              </w:rPr>
              <w:t> </w:t>
            </w:r>
            <w:r>
              <w:rPr>
                <w:sz w:val="22"/>
              </w:rPr>
              <w:t>and</w:t>
            </w:r>
            <w:r>
              <w:rPr>
                <w:spacing w:val="-4"/>
                <w:sz w:val="22"/>
              </w:rPr>
              <w:t> </w:t>
            </w:r>
            <w:r>
              <w:rPr>
                <w:sz w:val="22"/>
              </w:rPr>
              <w:t>Young</w:t>
            </w:r>
            <w:r>
              <w:rPr>
                <w:spacing w:val="-4"/>
                <w:sz w:val="22"/>
              </w:rPr>
              <w:t> </w:t>
            </w:r>
            <w:r>
              <w:rPr>
                <w:sz w:val="22"/>
              </w:rPr>
              <w:t>Adults</w:t>
            </w:r>
            <w:r>
              <w:rPr>
                <w:spacing w:val="-5"/>
                <w:sz w:val="22"/>
              </w:rPr>
              <w:t> </w:t>
            </w:r>
            <w:r>
              <w:rPr>
                <w:sz w:val="22"/>
              </w:rPr>
              <w:t>with</w:t>
            </w:r>
            <w:r>
              <w:rPr>
                <w:spacing w:val="-4"/>
                <w:sz w:val="22"/>
              </w:rPr>
              <w:t> </w:t>
            </w:r>
            <w:r>
              <w:rPr>
                <w:sz w:val="22"/>
              </w:rPr>
              <w:t>Surgical</w:t>
            </w:r>
            <w:r>
              <w:rPr>
                <w:spacing w:val="-4"/>
                <w:sz w:val="22"/>
              </w:rPr>
              <w:t> </w:t>
            </w:r>
            <w:r>
              <w:rPr>
                <w:spacing w:val="-2"/>
                <w:sz w:val="22"/>
              </w:rPr>
              <w:t>Aortic</w:t>
            </w:r>
          </w:p>
        </w:tc>
        <w:tc>
          <w:tcPr>
            <w:tcW w:w="5387" w:type="dxa"/>
          </w:tcPr>
          <w:p>
            <w:pPr>
              <w:pStyle w:val="TableParagraph"/>
              <w:spacing w:line="268" w:lineRule="exact"/>
              <w:ind w:left="6"/>
              <w:rPr>
                <w:sz w:val="22"/>
              </w:rPr>
            </w:pPr>
            <w:r>
              <w:rPr>
                <w:sz w:val="22"/>
              </w:rPr>
              <w:t>Wrong</w:t>
            </w:r>
            <w:r>
              <w:rPr>
                <w:spacing w:val="-6"/>
                <w:sz w:val="22"/>
              </w:rPr>
              <w:t> </w:t>
            </w:r>
            <w:r>
              <w:rPr>
                <w:sz w:val="22"/>
              </w:rPr>
              <w:t>intervention</w:t>
            </w:r>
            <w:r>
              <w:rPr>
                <w:spacing w:val="-7"/>
                <w:sz w:val="22"/>
              </w:rPr>
              <w:t> </w:t>
            </w:r>
            <w:r>
              <w:rPr>
                <w:sz w:val="22"/>
              </w:rPr>
              <w:t>and</w:t>
            </w:r>
            <w:r>
              <w:rPr>
                <w:spacing w:val="-5"/>
                <w:sz w:val="22"/>
              </w:rPr>
              <w:t> </w:t>
            </w:r>
            <w:r>
              <w:rPr>
                <w:spacing w:val="-2"/>
                <w:sz w:val="22"/>
              </w:rPr>
              <w:t>comparator</w:t>
            </w:r>
          </w:p>
        </w:tc>
      </w:tr>
    </w:tbl>
    <w:p>
      <w:pPr>
        <w:pStyle w:val="TableParagraph"/>
        <w:spacing w:after="0" w:line="268" w:lineRule="exact"/>
        <w:rPr>
          <w:sz w:val="22"/>
        </w:rPr>
        <w:sectPr>
          <w:pgSz w:w="16840" w:h="11910" w:orient="landscape"/>
          <w:pgMar w:top="1340" w:bottom="280" w:left="1417" w:right="992"/>
        </w:sectPr>
      </w:pPr>
    </w:p>
    <w:p>
      <w:pPr>
        <w:pStyle w:val="BodyText"/>
        <w:spacing w:before="8"/>
        <w:rPr>
          <w:sz w:val="7"/>
        </w:rPr>
      </w:pPr>
    </w:p>
    <w:tbl>
      <w:tblPr>
        <w:tblW w:w="0" w:type="auto"/>
        <w:jc w:val="left"/>
        <w:tblInd w:w="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925"/>
        <w:gridCol w:w="5387"/>
      </w:tblGrid>
      <w:tr>
        <w:trPr>
          <w:trHeight w:val="784" w:hRule="atLeast"/>
        </w:trPr>
        <w:tc>
          <w:tcPr>
            <w:tcW w:w="8925" w:type="dxa"/>
            <w:shd w:val="clear" w:color="auto" w:fill="D9D9D9"/>
          </w:tcPr>
          <w:p>
            <w:pPr>
              <w:pStyle w:val="TableParagraph"/>
              <w:spacing w:line="268" w:lineRule="exact"/>
              <w:ind w:left="6"/>
              <w:rPr>
                <w:sz w:val="22"/>
              </w:rPr>
            </w:pPr>
            <w:r>
              <w:rPr>
                <w:sz w:val="22"/>
              </w:rPr>
              <w:t>Valve</w:t>
            </w:r>
            <w:r>
              <w:rPr>
                <w:spacing w:val="-12"/>
                <w:sz w:val="22"/>
              </w:rPr>
              <w:t> </w:t>
            </w:r>
            <w:r>
              <w:rPr>
                <w:sz w:val="22"/>
              </w:rPr>
              <w:t>Replacement.</w:t>
            </w:r>
            <w:r>
              <w:rPr>
                <w:spacing w:val="-8"/>
                <w:sz w:val="22"/>
              </w:rPr>
              <w:t> </w:t>
            </w:r>
            <w:r>
              <w:rPr>
                <w:sz w:val="22"/>
              </w:rPr>
              <w:t>Pediatr</w:t>
            </w:r>
            <w:r>
              <w:rPr>
                <w:spacing w:val="-8"/>
                <w:sz w:val="22"/>
              </w:rPr>
              <w:t> </w:t>
            </w:r>
            <w:r>
              <w:rPr>
                <w:sz w:val="22"/>
              </w:rPr>
              <w:t>Cardiol.</w:t>
            </w:r>
            <w:r>
              <w:rPr>
                <w:spacing w:val="-10"/>
                <w:sz w:val="22"/>
              </w:rPr>
              <w:t> </w:t>
            </w:r>
            <w:r>
              <w:rPr>
                <w:sz w:val="22"/>
              </w:rPr>
              <w:t>2021</w:t>
            </w:r>
            <w:r>
              <w:rPr>
                <w:spacing w:val="-10"/>
                <w:sz w:val="22"/>
              </w:rPr>
              <w:t> </w:t>
            </w:r>
            <w:r>
              <w:rPr>
                <w:sz w:val="22"/>
              </w:rPr>
              <w:t>Jun;42(5):1119-1125.</w:t>
            </w:r>
            <w:r>
              <w:rPr>
                <w:spacing w:val="-8"/>
                <w:sz w:val="22"/>
              </w:rPr>
              <w:t> </w:t>
            </w:r>
            <w:r>
              <w:rPr>
                <w:sz w:val="22"/>
              </w:rPr>
              <w:t>doi:</w:t>
            </w:r>
            <w:r>
              <w:rPr>
                <w:spacing w:val="-9"/>
                <w:sz w:val="22"/>
              </w:rPr>
              <w:t> </w:t>
            </w:r>
            <w:r>
              <w:rPr>
                <w:sz w:val="22"/>
              </w:rPr>
              <w:t>10.1007/s00246-021-</w:t>
            </w:r>
            <w:r>
              <w:rPr>
                <w:spacing w:val="-2"/>
                <w:sz w:val="22"/>
              </w:rPr>
              <w:t>02589-</w:t>
            </w:r>
          </w:p>
          <w:p>
            <w:pPr>
              <w:pStyle w:val="TableParagraph"/>
              <w:spacing w:before="43"/>
              <w:ind w:left="6"/>
              <w:rPr>
                <w:sz w:val="22"/>
              </w:rPr>
            </w:pPr>
            <w:r>
              <w:rPr>
                <w:sz w:val="22"/>
              </w:rPr>
              <w:t>y.</w:t>
            </w:r>
            <w:r>
              <w:rPr>
                <w:spacing w:val="-3"/>
                <w:sz w:val="22"/>
              </w:rPr>
              <w:t> </w:t>
            </w:r>
            <w:r>
              <w:rPr>
                <w:sz w:val="22"/>
              </w:rPr>
              <w:t>Epub</w:t>
            </w:r>
            <w:r>
              <w:rPr>
                <w:spacing w:val="-3"/>
                <w:sz w:val="22"/>
              </w:rPr>
              <w:t> </w:t>
            </w:r>
            <w:r>
              <w:rPr>
                <w:sz w:val="22"/>
              </w:rPr>
              <w:t>2021</w:t>
            </w:r>
            <w:r>
              <w:rPr>
                <w:spacing w:val="-2"/>
                <w:sz w:val="22"/>
              </w:rPr>
              <w:t> </w:t>
            </w:r>
            <w:r>
              <w:rPr>
                <w:sz w:val="22"/>
              </w:rPr>
              <w:t>Apr</w:t>
            </w:r>
            <w:r>
              <w:rPr>
                <w:spacing w:val="-5"/>
                <w:sz w:val="22"/>
              </w:rPr>
              <w:t> </w:t>
            </w:r>
            <w:r>
              <w:rPr>
                <w:sz w:val="22"/>
              </w:rPr>
              <w:t>7.</w:t>
            </w:r>
            <w:r>
              <w:rPr>
                <w:spacing w:val="-2"/>
                <w:sz w:val="22"/>
              </w:rPr>
              <w:t> </w:t>
            </w:r>
            <w:r>
              <w:rPr>
                <w:sz w:val="22"/>
              </w:rPr>
              <w:t>PMID:</w:t>
            </w:r>
            <w:r>
              <w:rPr>
                <w:spacing w:val="-4"/>
                <w:sz w:val="22"/>
              </w:rPr>
              <w:t> </w:t>
            </w:r>
            <w:r>
              <w:rPr>
                <w:spacing w:val="-2"/>
                <w:sz w:val="22"/>
              </w:rPr>
              <w:t>33825913.</w:t>
            </w:r>
          </w:p>
        </w:tc>
        <w:tc>
          <w:tcPr>
            <w:tcW w:w="5387" w:type="dxa"/>
          </w:tcPr>
          <w:p>
            <w:pPr>
              <w:pStyle w:val="TableParagraph"/>
              <w:rPr>
                <w:rFonts w:ascii="Times New Roman"/>
                <w:sz w:val="22"/>
              </w:rPr>
            </w:pPr>
          </w:p>
        </w:tc>
      </w:tr>
      <w:tr>
        <w:trPr>
          <w:trHeight w:val="784" w:hRule="atLeast"/>
        </w:trPr>
        <w:tc>
          <w:tcPr>
            <w:tcW w:w="8925" w:type="dxa"/>
            <w:shd w:val="clear" w:color="auto" w:fill="D9D9D9"/>
          </w:tcPr>
          <w:p>
            <w:pPr>
              <w:pStyle w:val="TableParagraph"/>
              <w:spacing w:line="278" w:lineRule="auto"/>
              <w:ind w:left="6"/>
              <w:rPr>
                <w:sz w:val="22"/>
              </w:rPr>
            </w:pPr>
            <w:r>
              <w:rPr>
                <w:sz w:val="22"/>
              </w:rPr>
              <w:t>Giglia</w:t>
            </w:r>
            <w:r>
              <w:rPr>
                <w:spacing w:val="-2"/>
                <w:sz w:val="22"/>
              </w:rPr>
              <w:t> </w:t>
            </w:r>
            <w:r>
              <w:rPr>
                <w:sz w:val="22"/>
              </w:rPr>
              <w:t>TM,</w:t>
            </w:r>
            <w:r>
              <w:rPr>
                <w:spacing w:val="-5"/>
                <w:sz w:val="22"/>
              </w:rPr>
              <w:t> </w:t>
            </w:r>
            <w:r>
              <w:rPr>
                <w:sz w:val="22"/>
              </w:rPr>
              <w:t>Witmer</w:t>
            </w:r>
            <w:r>
              <w:rPr>
                <w:spacing w:val="-2"/>
                <w:sz w:val="22"/>
              </w:rPr>
              <w:t> </w:t>
            </w:r>
            <w:r>
              <w:rPr>
                <w:sz w:val="22"/>
              </w:rPr>
              <w:t>C.</w:t>
            </w:r>
            <w:r>
              <w:rPr>
                <w:spacing w:val="-2"/>
                <w:sz w:val="22"/>
              </w:rPr>
              <w:t> </w:t>
            </w:r>
            <w:r>
              <w:rPr>
                <w:sz w:val="22"/>
              </w:rPr>
              <w:t>Bleeding</w:t>
            </w:r>
            <w:r>
              <w:rPr>
                <w:spacing w:val="-3"/>
                <w:sz w:val="22"/>
              </w:rPr>
              <w:t> </w:t>
            </w:r>
            <w:r>
              <w:rPr>
                <w:sz w:val="22"/>
              </w:rPr>
              <w:t>and</w:t>
            </w:r>
            <w:r>
              <w:rPr>
                <w:spacing w:val="-4"/>
                <w:sz w:val="22"/>
              </w:rPr>
              <w:t> </w:t>
            </w:r>
            <w:r>
              <w:rPr>
                <w:sz w:val="22"/>
              </w:rPr>
              <w:t>Thrombosis</w:t>
            </w:r>
            <w:r>
              <w:rPr>
                <w:spacing w:val="-5"/>
                <w:sz w:val="22"/>
              </w:rPr>
              <w:t> </w:t>
            </w:r>
            <w:r>
              <w:rPr>
                <w:sz w:val="22"/>
              </w:rPr>
              <w:t>in</w:t>
            </w:r>
            <w:r>
              <w:rPr>
                <w:spacing w:val="-2"/>
                <w:sz w:val="22"/>
              </w:rPr>
              <w:t> </w:t>
            </w:r>
            <w:r>
              <w:rPr>
                <w:sz w:val="22"/>
              </w:rPr>
              <w:t>Pediatric</w:t>
            </w:r>
            <w:r>
              <w:rPr>
                <w:spacing w:val="-2"/>
                <w:sz w:val="22"/>
              </w:rPr>
              <w:t> </w:t>
            </w:r>
            <w:r>
              <w:rPr>
                <w:sz w:val="22"/>
              </w:rPr>
              <w:t>Cardiac</w:t>
            </w:r>
            <w:r>
              <w:rPr>
                <w:spacing w:val="-5"/>
                <w:sz w:val="22"/>
              </w:rPr>
              <w:t> </w:t>
            </w:r>
            <w:r>
              <w:rPr>
                <w:sz w:val="22"/>
              </w:rPr>
              <w:t>Intensive</w:t>
            </w:r>
            <w:r>
              <w:rPr>
                <w:spacing w:val="-2"/>
                <w:sz w:val="22"/>
              </w:rPr>
              <w:t> </w:t>
            </w:r>
            <w:r>
              <w:rPr>
                <w:sz w:val="22"/>
              </w:rPr>
              <w:t>Care. Pediatr</w:t>
            </w:r>
            <w:r>
              <w:rPr>
                <w:spacing w:val="-4"/>
                <w:sz w:val="22"/>
              </w:rPr>
              <w:t> </w:t>
            </w:r>
            <w:r>
              <w:rPr>
                <w:sz w:val="22"/>
              </w:rPr>
              <w:t>Crit</w:t>
            </w:r>
            <w:r>
              <w:rPr>
                <w:spacing w:val="-2"/>
                <w:sz w:val="22"/>
              </w:rPr>
              <w:t> </w:t>
            </w:r>
            <w:r>
              <w:rPr>
                <w:sz w:val="22"/>
              </w:rPr>
              <w:t>Care Med. 2016 Aug;17(8 Suppl 1):S287-95. doi: 10.1097/PCC.0000000000000814. PMID: 27490612.</w:t>
            </w:r>
          </w:p>
        </w:tc>
        <w:tc>
          <w:tcPr>
            <w:tcW w:w="5387" w:type="dxa"/>
          </w:tcPr>
          <w:p>
            <w:pPr>
              <w:pStyle w:val="TableParagraph"/>
              <w:spacing w:line="268" w:lineRule="exact"/>
              <w:ind w:left="6"/>
              <w:rPr>
                <w:sz w:val="22"/>
              </w:rPr>
            </w:pPr>
            <w:r>
              <w:rPr>
                <w:sz w:val="22"/>
              </w:rPr>
              <w:t>No</w:t>
            </w:r>
            <w:r>
              <w:rPr>
                <w:spacing w:val="-2"/>
                <w:sz w:val="22"/>
              </w:rPr>
              <w:t> comparison</w:t>
            </w:r>
          </w:p>
        </w:tc>
      </w:tr>
      <w:tr>
        <w:trPr>
          <w:trHeight w:val="1408" w:hRule="atLeast"/>
        </w:trPr>
        <w:tc>
          <w:tcPr>
            <w:tcW w:w="8925" w:type="dxa"/>
            <w:shd w:val="clear" w:color="auto" w:fill="D9D9D9"/>
          </w:tcPr>
          <w:p>
            <w:pPr>
              <w:pStyle w:val="TableParagraph"/>
              <w:spacing w:line="280" w:lineRule="auto"/>
              <w:ind w:left="6" w:right="266"/>
              <w:jc w:val="both"/>
              <w:rPr>
                <w:sz w:val="22"/>
              </w:rPr>
            </w:pPr>
            <w:r>
              <w:rPr>
                <w:sz w:val="22"/>
              </w:rPr>
              <w:t>Hwang TW, Kim SO, Lee SY,</w:t>
            </w:r>
            <w:r>
              <w:rPr>
                <w:spacing w:val="-1"/>
                <w:sz w:val="22"/>
              </w:rPr>
              <w:t> </w:t>
            </w:r>
            <w:r>
              <w:rPr>
                <w:sz w:val="22"/>
              </w:rPr>
              <w:t>Kim SH, Choi</w:t>
            </w:r>
            <w:r>
              <w:rPr>
                <w:spacing w:val="-1"/>
                <w:sz w:val="22"/>
              </w:rPr>
              <w:t> </w:t>
            </w:r>
            <w:r>
              <w:rPr>
                <w:sz w:val="22"/>
              </w:rPr>
              <w:t>EY, Jang SI, Park SJ, Kwon HW, Lim HB, Lee CH, Choi ES. Impact</w:t>
            </w:r>
            <w:r>
              <w:rPr>
                <w:spacing w:val="-2"/>
                <w:sz w:val="22"/>
              </w:rPr>
              <w:t> </w:t>
            </w:r>
            <w:r>
              <w:rPr>
                <w:sz w:val="22"/>
              </w:rPr>
              <w:t>of postoperative duration</w:t>
            </w:r>
            <w:r>
              <w:rPr>
                <w:spacing w:val="-3"/>
                <w:sz w:val="22"/>
              </w:rPr>
              <w:t> </w:t>
            </w:r>
            <w:r>
              <w:rPr>
                <w:sz w:val="22"/>
              </w:rPr>
              <w:t>of Aspirin</w:t>
            </w:r>
            <w:r>
              <w:rPr>
                <w:spacing w:val="-1"/>
                <w:sz w:val="22"/>
              </w:rPr>
              <w:t> </w:t>
            </w:r>
            <w:r>
              <w:rPr>
                <w:sz w:val="22"/>
              </w:rPr>
              <w:t>use</w:t>
            </w:r>
            <w:r>
              <w:rPr>
                <w:spacing w:val="-2"/>
                <w:sz w:val="22"/>
              </w:rPr>
              <w:t> </w:t>
            </w:r>
            <w:r>
              <w:rPr>
                <w:sz w:val="22"/>
              </w:rPr>
              <w:t>on</w:t>
            </w:r>
            <w:r>
              <w:rPr>
                <w:spacing w:val="-4"/>
                <w:sz w:val="22"/>
              </w:rPr>
              <w:t> </w:t>
            </w:r>
            <w:r>
              <w:rPr>
                <w:sz w:val="22"/>
              </w:rPr>
              <w:t>longevity</w:t>
            </w:r>
            <w:r>
              <w:rPr>
                <w:spacing w:val="-2"/>
                <w:sz w:val="22"/>
              </w:rPr>
              <w:t> </w:t>
            </w:r>
            <w:r>
              <w:rPr>
                <w:sz w:val="22"/>
              </w:rPr>
              <w:t>of bioprosthetic pulmonary</w:t>
            </w:r>
            <w:r>
              <w:rPr>
                <w:spacing w:val="-2"/>
                <w:sz w:val="22"/>
              </w:rPr>
              <w:t> </w:t>
            </w:r>
            <w:r>
              <w:rPr>
                <w:sz w:val="22"/>
              </w:rPr>
              <w:t>valve in patients</w:t>
            </w:r>
            <w:r>
              <w:rPr>
                <w:spacing w:val="-5"/>
                <w:sz w:val="22"/>
              </w:rPr>
              <w:t> </w:t>
            </w:r>
            <w:r>
              <w:rPr>
                <w:sz w:val="22"/>
              </w:rPr>
              <w:t>who</w:t>
            </w:r>
            <w:r>
              <w:rPr>
                <w:spacing w:val="-3"/>
                <w:sz w:val="22"/>
              </w:rPr>
              <w:t> </w:t>
            </w:r>
            <w:r>
              <w:rPr>
                <w:sz w:val="22"/>
              </w:rPr>
              <w:t>underwent</w:t>
            </w:r>
            <w:r>
              <w:rPr>
                <w:spacing w:val="-5"/>
                <w:sz w:val="22"/>
              </w:rPr>
              <w:t> </w:t>
            </w:r>
            <w:r>
              <w:rPr>
                <w:sz w:val="22"/>
              </w:rPr>
              <w:t>congenital</w:t>
            </w:r>
            <w:r>
              <w:rPr>
                <w:spacing w:val="-3"/>
                <w:sz w:val="22"/>
              </w:rPr>
              <w:t> </w:t>
            </w:r>
            <w:r>
              <w:rPr>
                <w:sz w:val="22"/>
              </w:rPr>
              <w:t>heart</w:t>
            </w:r>
            <w:r>
              <w:rPr>
                <w:spacing w:val="-3"/>
                <w:sz w:val="22"/>
              </w:rPr>
              <w:t> </w:t>
            </w:r>
            <w:r>
              <w:rPr>
                <w:sz w:val="22"/>
              </w:rPr>
              <w:t>disease</w:t>
            </w:r>
            <w:r>
              <w:rPr>
                <w:spacing w:val="-2"/>
                <w:sz w:val="22"/>
              </w:rPr>
              <w:t> </w:t>
            </w:r>
            <w:r>
              <w:rPr>
                <w:sz w:val="22"/>
              </w:rPr>
              <w:t>repair.</w:t>
            </w:r>
            <w:r>
              <w:rPr>
                <w:spacing w:val="-3"/>
                <w:sz w:val="22"/>
              </w:rPr>
              <w:t> </w:t>
            </w:r>
            <w:r>
              <w:rPr>
                <w:sz w:val="22"/>
              </w:rPr>
              <w:t>Korean</w:t>
            </w:r>
            <w:r>
              <w:rPr>
                <w:spacing w:val="-3"/>
                <w:sz w:val="22"/>
              </w:rPr>
              <w:t> </w:t>
            </w:r>
            <w:r>
              <w:rPr>
                <w:sz w:val="22"/>
              </w:rPr>
              <w:t>J</w:t>
            </w:r>
            <w:r>
              <w:rPr>
                <w:spacing w:val="-4"/>
                <w:sz w:val="22"/>
              </w:rPr>
              <w:t> </w:t>
            </w:r>
            <w:r>
              <w:rPr>
                <w:sz w:val="22"/>
              </w:rPr>
              <w:t>Pediatr.</w:t>
            </w:r>
            <w:r>
              <w:rPr>
                <w:spacing w:val="-5"/>
                <w:sz w:val="22"/>
              </w:rPr>
              <w:t> </w:t>
            </w:r>
            <w:r>
              <w:rPr>
                <w:sz w:val="22"/>
              </w:rPr>
              <w:t>2016</w:t>
            </w:r>
            <w:r>
              <w:rPr>
                <w:spacing w:val="-6"/>
                <w:sz w:val="22"/>
              </w:rPr>
              <w:t> </w:t>
            </w:r>
            <w:r>
              <w:rPr>
                <w:sz w:val="22"/>
              </w:rPr>
              <w:t>Nov;59(11):446-</w:t>
            </w:r>
          </w:p>
          <w:p>
            <w:pPr>
              <w:pStyle w:val="TableParagraph"/>
              <w:spacing w:line="265" w:lineRule="exact"/>
              <w:ind w:left="6"/>
              <w:jc w:val="both"/>
              <w:rPr>
                <w:sz w:val="22"/>
              </w:rPr>
            </w:pPr>
            <w:r>
              <w:rPr>
                <w:sz w:val="22"/>
              </w:rPr>
              <w:t>450.</w:t>
            </w:r>
            <w:r>
              <w:rPr>
                <w:spacing w:val="-8"/>
                <w:sz w:val="22"/>
              </w:rPr>
              <w:t> </w:t>
            </w:r>
            <w:r>
              <w:rPr>
                <w:sz w:val="22"/>
              </w:rPr>
              <w:t>doi:</w:t>
            </w:r>
            <w:r>
              <w:rPr>
                <w:spacing w:val="-5"/>
                <w:sz w:val="22"/>
              </w:rPr>
              <w:t> </w:t>
            </w:r>
            <w:r>
              <w:rPr>
                <w:sz w:val="22"/>
              </w:rPr>
              <w:t>10.3345/kjp.2016.59.11.446.</w:t>
            </w:r>
            <w:r>
              <w:rPr>
                <w:spacing w:val="-6"/>
                <w:sz w:val="22"/>
              </w:rPr>
              <w:t> </w:t>
            </w:r>
            <w:r>
              <w:rPr>
                <w:sz w:val="22"/>
              </w:rPr>
              <w:t>Epub</w:t>
            </w:r>
            <w:r>
              <w:rPr>
                <w:spacing w:val="-7"/>
                <w:sz w:val="22"/>
              </w:rPr>
              <w:t> </w:t>
            </w:r>
            <w:r>
              <w:rPr>
                <w:sz w:val="22"/>
              </w:rPr>
              <w:t>2016</w:t>
            </w:r>
            <w:r>
              <w:rPr>
                <w:spacing w:val="-5"/>
                <w:sz w:val="22"/>
              </w:rPr>
              <w:t> </w:t>
            </w:r>
            <w:r>
              <w:rPr>
                <w:sz w:val="22"/>
              </w:rPr>
              <w:t>Nov</w:t>
            </w:r>
            <w:r>
              <w:rPr>
                <w:spacing w:val="-7"/>
                <w:sz w:val="22"/>
              </w:rPr>
              <w:t> </w:t>
            </w:r>
            <w:r>
              <w:rPr>
                <w:sz w:val="22"/>
              </w:rPr>
              <w:t>18.</w:t>
            </w:r>
            <w:r>
              <w:rPr>
                <w:spacing w:val="-8"/>
                <w:sz w:val="22"/>
              </w:rPr>
              <w:t> </w:t>
            </w:r>
            <w:r>
              <w:rPr>
                <w:sz w:val="22"/>
              </w:rPr>
              <w:t>PMID:</w:t>
            </w:r>
            <w:r>
              <w:rPr>
                <w:spacing w:val="-7"/>
                <w:sz w:val="22"/>
              </w:rPr>
              <w:t> </w:t>
            </w:r>
            <w:r>
              <w:rPr>
                <w:sz w:val="22"/>
              </w:rPr>
              <w:t>27895692;</w:t>
            </w:r>
            <w:r>
              <w:rPr>
                <w:spacing w:val="-7"/>
                <w:sz w:val="22"/>
              </w:rPr>
              <w:t> </w:t>
            </w:r>
            <w:r>
              <w:rPr>
                <w:sz w:val="22"/>
              </w:rPr>
              <w:t>PMCID:</w:t>
            </w:r>
            <w:r>
              <w:rPr>
                <w:spacing w:val="-7"/>
                <w:sz w:val="22"/>
              </w:rPr>
              <w:t> </w:t>
            </w:r>
            <w:r>
              <w:rPr>
                <w:spacing w:val="-2"/>
                <w:sz w:val="22"/>
              </w:rPr>
              <w:t>PMC5118504.</w:t>
            </w:r>
          </w:p>
        </w:tc>
        <w:tc>
          <w:tcPr>
            <w:tcW w:w="5387" w:type="dxa"/>
          </w:tcPr>
          <w:p>
            <w:pPr>
              <w:pStyle w:val="TableParagraph"/>
              <w:spacing w:line="268" w:lineRule="exact"/>
              <w:ind w:left="6"/>
              <w:rPr>
                <w:sz w:val="22"/>
              </w:rPr>
            </w:pPr>
            <w:r>
              <w:rPr>
                <w:sz w:val="22"/>
              </w:rPr>
              <w:t>Wrong</w:t>
            </w:r>
            <w:r>
              <w:rPr>
                <w:spacing w:val="-3"/>
                <w:sz w:val="22"/>
              </w:rPr>
              <w:t> </w:t>
            </w:r>
            <w:r>
              <w:rPr>
                <w:spacing w:val="-2"/>
                <w:sz w:val="22"/>
              </w:rPr>
              <w:t>comparison</w:t>
            </w:r>
          </w:p>
        </w:tc>
      </w:tr>
      <w:tr>
        <w:trPr>
          <w:trHeight w:val="1098" w:hRule="atLeast"/>
        </w:trPr>
        <w:tc>
          <w:tcPr>
            <w:tcW w:w="8925" w:type="dxa"/>
            <w:shd w:val="clear" w:color="auto" w:fill="D9D9D9"/>
          </w:tcPr>
          <w:p>
            <w:pPr>
              <w:pStyle w:val="TableParagraph"/>
              <w:spacing w:line="278" w:lineRule="auto" w:before="1"/>
              <w:ind w:left="6" w:right="19"/>
              <w:rPr>
                <w:sz w:val="22"/>
              </w:rPr>
            </w:pPr>
            <w:r>
              <w:rPr>
                <w:sz w:val="22"/>
              </w:rPr>
              <w:t>Sawa</w:t>
            </w:r>
            <w:r>
              <w:rPr>
                <w:spacing w:val="-1"/>
                <w:sz w:val="22"/>
              </w:rPr>
              <w:t> </w:t>
            </w:r>
            <w:r>
              <w:rPr>
                <w:sz w:val="22"/>
              </w:rPr>
              <w:t>S,</w:t>
            </w:r>
            <w:r>
              <w:rPr>
                <w:spacing w:val="-1"/>
                <w:sz w:val="22"/>
              </w:rPr>
              <w:t> </w:t>
            </w:r>
            <w:r>
              <w:rPr>
                <w:sz w:val="22"/>
              </w:rPr>
              <w:t>Saito</w:t>
            </w:r>
            <w:r>
              <w:rPr>
                <w:spacing w:val="-1"/>
                <w:sz w:val="22"/>
              </w:rPr>
              <w:t> </w:t>
            </w:r>
            <w:r>
              <w:rPr>
                <w:sz w:val="22"/>
              </w:rPr>
              <w:t>S,</w:t>
            </w:r>
            <w:r>
              <w:rPr>
                <w:spacing w:val="-4"/>
                <w:sz w:val="22"/>
              </w:rPr>
              <w:t> </w:t>
            </w:r>
            <w:r>
              <w:rPr>
                <w:sz w:val="22"/>
              </w:rPr>
              <w:t>Morita</w:t>
            </w:r>
            <w:r>
              <w:rPr>
                <w:spacing w:val="-4"/>
                <w:sz w:val="22"/>
              </w:rPr>
              <w:t> </w:t>
            </w:r>
            <w:r>
              <w:rPr>
                <w:sz w:val="22"/>
              </w:rPr>
              <w:t>K,</w:t>
            </w:r>
            <w:r>
              <w:rPr>
                <w:spacing w:val="-3"/>
                <w:sz w:val="22"/>
              </w:rPr>
              <w:t> </w:t>
            </w:r>
            <w:r>
              <w:rPr>
                <w:sz w:val="22"/>
              </w:rPr>
              <w:t>Miyamoto</w:t>
            </w:r>
            <w:r>
              <w:rPr>
                <w:spacing w:val="-1"/>
                <w:sz w:val="22"/>
              </w:rPr>
              <w:t> </w:t>
            </w:r>
            <w:r>
              <w:rPr>
                <w:sz w:val="22"/>
              </w:rPr>
              <w:t>S,</w:t>
            </w:r>
            <w:r>
              <w:rPr>
                <w:spacing w:val="-1"/>
                <w:sz w:val="22"/>
              </w:rPr>
              <w:t> </w:t>
            </w:r>
            <w:r>
              <w:rPr>
                <w:sz w:val="22"/>
              </w:rPr>
              <w:t>Hattori</w:t>
            </w:r>
            <w:r>
              <w:rPr>
                <w:spacing w:val="-4"/>
                <w:sz w:val="22"/>
              </w:rPr>
              <w:t> </w:t>
            </w:r>
            <w:r>
              <w:rPr>
                <w:sz w:val="22"/>
              </w:rPr>
              <w:t>M,</w:t>
            </w:r>
            <w:r>
              <w:rPr>
                <w:spacing w:val="-4"/>
                <w:sz w:val="22"/>
              </w:rPr>
              <w:t> </w:t>
            </w:r>
            <w:r>
              <w:rPr>
                <w:sz w:val="22"/>
              </w:rPr>
              <w:t>Hino</w:t>
            </w:r>
            <w:r>
              <w:rPr>
                <w:spacing w:val="-1"/>
                <w:sz w:val="22"/>
              </w:rPr>
              <w:t> </w:t>
            </w:r>
            <w:r>
              <w:rPr>
                <w:sz w:val="22"/>
              </w:rPr>
              <w:t>A, Okuzono</w:t>
            </w:r>
            <w:r>
              <w:rPr>
                <w:spacing w:val="-1"/>
                <w:sz w:val="22"/>
              </w:rPr>
              <w:t> </w:t>
            </w:r>
            <w:r>
              <w:rPr>
                <w:sz w:val="22"/>
              </w:rPr>
              <w:t>Y,</w:t>
            </w:r>
            <w:r>
              <w:rPr>
                <w:spacing w:val="-3"/>
                <w:sz w:val="22"/>
              </w:rPr>
              <w:t> </w:t>
            </w:r>
            <w:r>
              <w:rPr>
                <w:sz w:val="22"/>
              </w:rPr>
              <w:t>Shiozaki</w:t>
            </w:r>
            <w:r>
              <w:rPr>
                <w:spacing w:val="-3"/>
                <w:sz w:val="22"/>
              </w:rPr>
              <w:t> </w:t>
            </w:r>
            <w:r>
              <w:rPr>
                <w:sz w:val="22"/>
              </w:rPr>
              <w:t>Y,</w:t>
            </w:r>
            <w:r>
              <w:rPr>
                <w:spacing w:val="-1"/>
                <w:sz w:val="22"/>
              </w:rPr>
              <w:t> </w:t>
            </w:r>
            <w:r>
              <w:rPr>
                <w:sz w:val="22"/>
              </w:rPr>
              <w:t>Echie</w:t>
            </w:r>
            <w:r>
              <w:rPr>
                <w:spacing w:val="-3"/>
                <w:sz w:val="22"/>
              </w:rPr>
              <w:t> </w:t>
            </w:r>
            <w:r>
              <w:rPr>
                <w:sz w:val="22"/>
              </w:rPr>
              <w:t>Y,</w:t>
            </w:r>
            <w:r>
              <w:rPr>
                <w:spacing w:val="-1"/>
                <w:sz w:val="22"/>
              </w:rPr>
              <w:t> </w:t>
            </w:r>
            <w:r>
              <w:rPr>
                <w:sz w:val="22"/>
              </w:rPr>
              <w:t>Niinami</w:t>
            </w:r>
            <w:r>
              <w:rPr>
                <w:spacing w:val="-3"/>
                <w:sz w:val="22"/>
              </w:rPr>
              <w:t> </w:t>
            </w:r>
            <w:r>
              <w:rPr>
                <w:sz w:val="22"/>
              </w:rPr>
              <w:t>H. Thirty-year outcomes of low-intensity anticoagulation for mechanical aortic valve. Heart Vessels.</w:t>
            </w:r>
          </w:p>
          <w:p>
            <w:pPr>
              <w:pStyle w:val="TableParagraph"/>
              <w:spacing w:before="1"/>
              <w:ind w:left="6"/>
              <w:rPr>
                <w:sz w:val="22"/>
              </w:rPr>
            </w:pPr>
            <w:r>
              <w:rPr>
                <w:sz w:val="22"/>
              </w:rPr>
              <w:t>2024</w:t>
            </w:r>
            <w:r>
              <w:rPr>
                <w:spacing w:val="-9"/>
                <w:sz w:val="22"/>
              </w:rPr>
              <w:t> </w:t>
            </w:r>
            <w:r>
              <w:rPr>
                <w:sz w:val="22"/>
              </w:rPr>
              <w:t>Jun;39(6):549-555.</w:t>
            </w:r>
            <w:r>
              <w:rPr>
                <w:spacing w:val="-7"/>
                <w:sz w:val="22"/>
              </w:rPr>
              <w:t> </w:t>
            </w:r>
            <w:r>
              <w:rPr>
                <w:sz w:val="22"/>
              </w:rPr>
              <w:t>doi:</w:t>
            </w:r>
            <w:r>
              <w:rPr>
                <w:spacing w:val="-6"/>
                <w:sz w:val="22"/>
              </w:rPr>
              <w:t> </w:t>
            </w:r>
            <w:r>
              <w:rPr>
                <w:sz w:val="22"/>
              </w:rPr>
              <w:t>10.1007/s00380-024-02365-x.</w:t>
            </w:r>
            <w:r>
              <w:rPr>
                <w:spacing w:val="-9"/>
                <w:sz w:val="22"/>
              </w:rPr>
              <w:t> </w:t>
            </w:r>
            <w:r>
              <w:rPr>
                <w:sz w:val="22"/>
              </w:rPr>
              <w:t>Epub</w:t>
            </w:r>
            <w:r>
              <w:rPr>
                <w:spacing w:val="-8"/>
                <w:sz w:val="22"/>
              </w:rPr>
              <w:t> </w:t>
            </w:r>
            <w:r>
              <w:rPr>
                <w:sz w:val="22"/>
              </w:rPr>
              <w:t>2024</w:t>
            </w:r>
            <w:r>
              <w:rPr>
                <w:spacing w:val="-7"/>
                <w:sz w:val="22"/>
              </w:rPr>
              <w:t> </w:t>
            </w:r>
            <w:r>
              <w:rPr>
                <w:sz w:val="22"/>
              </w:rPr>
              <w:t>Feb</w:t>
            </w:r>
            <w:r>
              <w:rPr>
                <w:spacing w:val="-9"/>
                <w:sz w:val="22"/>
              </w:rPr>
              <w:t> </w:t>
            </w:r>
            <w:r>
              <w:rPr>
                <w:sz w:val="22"/>
              </w:rPr>
              <w:t>23.</w:t>
            </w:r>
            <w:r>
              <w:rPr>
                <w:spacing w:val="-9"/>
                <w:sz w:val="22"/>
              </w:rPr>
              <w:t> </w:t>
            </w:r>
            <w:r>
              <w:rPr>
                <w:sz w:val="22"/>
              </w:rPr>
              <w:t>PMID:</w:t>
            </w:r>
            <w:r>
              <w:rPr>
                <w:spacing w:val="-6"/>
                <w:sz w:val="22"/>
              </w:rPr>
              <w:t> </w:t>
            </w:r>
            <w:r>
              <w:rPr>
                <w:spacing w:val="-2"/>
                <w:sz w:val="22"/>
              </w:rPr>
              <w:t>38393378.</w:t>
            </w:r>
          </w:p>
        </w:tc>
        <w:tc>
          <w:tcPr>
            <w:tcW w:w="5387" w:type="dxa"/>
          </w:tcPr>
          <w:p>
            <w:pPr>
              <w:pStyle w:val="TableParagraph"/>
              <w:spacing w:before="1"/>
              <w:ind w:left="6"/>
              <w:rPr>
                <w:sz w:val="22"/>
              </w:rPr>
            </w:pPr>
            <w:r>
              <w:rPr>
                <w:sz w:val="22"/>
              </w:rPr>
              <w:t>No</w:t>
            </w:r>
            <w:r>
              <w:rPr>
                <w:spacing w:val="-2"/>
                <w:sz w:val="22"/>
              </w:rPr>
              <w:t> comparison</w:t>
            </w:r>
          </w:p>
        </w:tc>
      </w:tr>
      <w:tr>
        <w:trPr>
          <w:trHeight w:val="1096" w:hRule="atLeast"/>
        </w:trPr>
        <w:tc>
          <w:tcPr>
            <w:tcW w:w="8925" w:type="dxa"/>
            <w:shd w:val="clear" w:color="auto" w:fill="D9D9D9"/>
          </w:tcPr>
          <w:p>
            <w:pPr>
              <w:pStyle w:val="TableParagraph"/>
              <w:spacing w:line="278" w:lineRule="auto"/>
              <w:ind w:left="6"/>
              <w:rPr>
                <w:sz w:val="22"/>
              </w:rPr>
            </w:pPr>
            <w:r>
              <w:rPr>
                <w:sz w:val="22"/>
              </w:rPr>
              <w:t>Xiao</w:t>
            </w:r>
            <w:r>
              <w:rPr>
                <w:spacing w:val="-2"/>
                <w:sz w:val="22"/>
              </w:rPr>
              <w:t> </w:t>
            </w:r>
            <w:r>
              <w:rPr>
                <w:sz w:val="22"/>
              </w:rPr>
              <w:t>XJ,</w:t>
            </w:r>
            <w:r>
              <w:rPr>
                <w:spacing w:val="-1"/>
                <w:sz w:val="22"/>
              </w:rPr>
              <w:t> </w:t>
            </w:r>
            <w:r>
              <w:rPr>
                <w:sz w:val="22"/>
              </w:rPr>
              <w:t>Liu</w:t>
            </w:r>
            <w:r>
              <w:rPr>
                <w:spacing w:val="-5"/>
                <w:sz w:val="22"/>
              </w:rPr>
              <w:t> </w:t>
            </w:r>
            <w:r>
              <w:rPr>
                <w:sz w:val="22"/>
              </w:rPr>
              <w:t>GJ,</w:t>
            </w:r>
            <w:r>
              <w:rPr>
                <w:spacing w:val="-1"/>
                <w:sz w:val="22"/>
              </w:rPr>
              <w:t> </w:t>
            </w:r>
            <w:r>
              <w:rPr>
                <w:sz w:val="22"/>
              </w:rPr>
              <w:t>Liang</w:t>
            </w:r>
            <w:r>
              <w:rPr>
                <w:spacing w:val="-4"/>
                <w:sz w:val="22"/>
              </w:rPr>
              <w:t> </w:t>
            </w:r>
            <w:r>
              <w:rPr>
                <w:sz w:val="22"/>
              </w:rPr>
              <w:t>MZ,</w:t>
            </w:r>
            <w:r>
              <w:rPr>
                <w:spacing w:val="-3"/>
                <w:sz w:val="22"/>
              </w:rPr>
              <w:t> </w:t>
            </w:r>
            <w:r>
              <w:rPr>
                <w:sz w:val="22"/>
              </w:rPr>
              <w:t>Ren</w:t>
            </w:r>
            <w:r>
              <w:rPr>
                <w:spacing w:val="-1"/>
                <w:sz w:val="22"/>
              </w:rPr>
              <w:t> </w:t>
            </w:r>
            <w:r>
              <w:rPr>
                <w:sz w:val="22"/>
              </w:rPr>
              <w:t>R,</w:t>
            </w:r>
            <w:r>
              <w:rPr>
                <w:spacing w:val="-1"/>
                <w:sz w:val="22"/>
              </w:rPr>
              <w:t> </w:t>
            </w:r>
            <w:r>
              <w:rPr>
                <w:sz w:val="22"/>
              </w:rPr>
              <w:t>Zhu</w:t>
            </w:r>
            <w:r>
              <w:rPr>
                <w:spacing w:val="-4"/>
                <w:sz w:val="22"/>
              </w:rPr>
              <w:t> </w:t>
            </w:r>
            <w:r>
              <w:rPr>
                <w:sz w:val="22"/>
              </w:rPr>
              <w:t>XL,</w:t>
            </w:r>
            <w:r>
              <w:rPr>
                <w:spacing w:val="-3"/>
                <w:sz w:val="22"/>
              </w:rPr>
              <w:t> </w:t>
            </w:r>
            <w:r>
              <w:rPr>
                <w:sz w:val="22"/>
              </w:rPr>
              <w:t>Xiang</w:t>
            </w:r>
            <w:r>
              <w:rPr>
                <w:spacing w:val="-2"/>
                <w:sz w:val="22"/>
              </w:rPr>
              <w:t> </w:t>
            </w:r>
            <w:r>
              <w:rPr>
                <w:sz w:val="22"/>
              </w:rPr>
              <w:t>J,</w:t>
            </w:r>
            <w:r>
              <w:rPr>
                <w:spacing w:val="-1"/>
                <w:sz w:val="22"/>
              </w:rPr>
              <w:t> </w:t>
            </w:r>
            <w:r>
              <w:rPr>
                <w:sz w:val="22"/>
              </w:rPr>
              <w:t>He</w:t>
            </w:r>
            <w:r>
              <w:rPr>
                <w:spacing w:val="-4"/>
                <w:sz w:val="22"/>
              </w:rPr>
              <w:t> </w:t>
            </w:r>
            <w:r>
              <w:rPr>
                <w:sz w:val="22"/>
              </w:rPr>
              <w:t>F. Initial</w:t>
            </w:r>
            <w:r>
              <w:rPr>
                <w:spacing w:val="-2"/>
                <w:sz w:val="22"/>
              </w:rPr>
              <w:t> </w:t>
            </w:r>
            <w:r>
              <w:rPr>
                <w:sz w:val="22"/>
              </w:rPr>
              <w:t>evaluation</w:t>
            </w:r>
            <w:r>
              <w:rPr>
                <w:spacing w:val="-4"/>
                <w:sz w:val="22"/>
              </w:rPr>
              <w:t> </w:t>
            </w:r>
            <w:r>
              <w:rPr>
                <w:sz w:val="22"/>
              </w:rPr>
              <w:t>of</w:t>
            </w:r>
            <w:r>
              <w:rPr>
                <w:spacing w:val="-1"/>
                <w:sz w:val="22"/>
              </w:rPr>
              <w:t> </w:t>
            </w:r>
            <w:r>
              <w:rPr>
                <w:sz w:val="22"/>
              </w:rPr>
              <w:t>reasonableness</w:t>
            </w:r>
            <w:r>
              <w:rPr>
                <w:spacing w:val="-3"/>
                <w:sz w:val="22"/>
              </w:rPr>
              <w:t> </w:t>
            </w:r>
            <w:r>
              <w:rPr>
                <w:sz w:val="22"/>
              </w:rPr>
              <w:t>of</w:t>
            </w:r>
            <w:r>
              <w:rPr>
                <w:spacing w:val="-1"/>
                <w:sz w:val="22"/>
              </w:rPr>
              <w:t> </w:t>
            </w:r>
            <w:r>
              <w:rPr>
                <w:sz w:val="22"/>
              </w:rPr>
              <w:t>target INR 1.60 to 2.20 and warfarin weekly dosage adjustment in patients after mechanical heart valve replacement. Chinese Journal of Evidence-Based Medicine. 2014;14(1):16-20.</w:t>
            </w:r>
          </w:p>
        </w:tc>
        <w:tc>
          <w:tcPr>
            <w:tcW w:w="5387" w:type="dxa"/>
          </w:tcPr>
          <w:p>
            <w:pPr>
              <w:pStyle w:val="TableParagraph"/>
              <w:spacing w:line="268" w:lineRule="exact"/>
              <w:ind w:left="6"/>
              <w:rPr>
                <w:sz w:val="22"/>
              </w:rPr>
            </w:pPr>
            <w:r>
              <w:rPr>
                <w:sz w:val="22"/>
              </w:rPr>
              <w:t>Only</w:t>
            </w:r>
            <w:r>
              <w:rPr>
                <w:spacing w:val="-3"/>
                <w:sz w:val="22"/>
              </w:rPr>
              <w:t> </w:t>
            </w:r>
            <w:r>
              <w:rPr>
                <w:sz w:val="22"/>
              </w:rPr>
              <w:t>available</w:t>
            </w:r>
            <w:r>
              <w:rPr>
                <w:spacing w:val="-2"/>
                <w:sz w:val="22"/>
              </w:rPr>
              <w:t> </w:t>
            </w:r>
            <w:r>
              <w:rPr>
                <w:sz w:val="22"/>
              </w:rPr>
              <w:t>in</w:t>
            </w:r>
            <w:r>
              <w:rPr>
                <w:spacing w:val="-2"/>
                <w:sz w:val="22"/>
              </w:rPr>
              <w:t> Chinese</w:t>
            </w:r>
          </w:p>
        </w:tc>
      </w:tr>
      <w:tr>
        <w:trPr>
          <w:trHeight w:val="784" w:hRule="atLeast"/>
        </w:trPr>
        <w:tc>
          <w:tcPr>
            <w:tcW w:w="8925" w:type="dxa"/>
            <w:shd w:val="clear" w:color="auto" w:fill="D9D9D9"/>
          </w:tcPr>
          <w:p>
            <w:pPr>
              <w:pStyle w:val="TableParagraph"/>
              <w:spacing w:line="278" w:lineRule="auto"/>
              <w:ind w:left="6"/>
              <w:rPr>
                <w:sz w:val="22"/>
              </w:rPr>
            </w:pPr>
            <w:r>
              <w:rPr>
                <w:sz w:val="22"/>
              </w:rPr>
              <w:t>CardioEgypt</w:t>
            </w:r>
            <w:r>
              <w:rPr>
                <w:spacing w:val="-5"/>
                <w:sz w:val="22"/>
              </w:rPr>
              <w:t> </w:t>
            </w:r>
            <w:r>
              <w:rPr>
                <w:sz w:val="22"/>
              </w:rPr>
              <w:t>2019</w:t>
            </w:r>
            <w:r>
              <w:rPr>
                <w:spacing w:val="-4"/>
                <w:sz w:val="22"/>
              </w:rPr>
              <w:t> </w:t>
            </w:r>
            <w:r>
              <w:rPr>
                <w:sz w:val="22"/>
              </w:rPr>
              <w:t>Conference</w:t>
            </w:r>
            <w:r>
              <w:rPr>
                <w:spacing w:val="-6"/>
                <w:sz w:val="22"/>
              </w:rPr>
              <w:t> </w:t>
            </w:r>
            <w:r>
              <w:rPr>
                <w:sz w:val="22"/>
              </w:rPr>
              <w:t>Proceedings</w:t>
            </w:r>
            <w:r>
              <w:rPr>
                <w:spacing w:val="-4"/>
                <w:sz w:val="22"/>
              </w:rPr>
              <w:t> </w:t>
            </w:r>
            <w:r>
              <w:rPr>
                <w:sz w:val="22"/>
              </w:rPr>
              <w:t>Abstracts,</w:t>
            </w:r>
            <w:r>
              <w:rPr>
                <w:spacing w:val="-6"/>
                <w:sz w:val="22"/>
              </w:rPr>
              <w:t> </w:t>
            </w:r>
            <w:r>
              <w:rPr>
                <w:sz w:val="22"/>
              </w:rPr>
              <w:t>European</w:t>
            </w:r>
            <w:r>
              <w:rPr>
                <w:spacing w:val="-4"/>
                <w:sz w:val="22"/>
              </w:rPr>
              <w:t> </w:t>
            </w:r>
            <w:r>
              <w:rPr>
                <w:sz w:val="22"/>
              </w:rPr>
              <w:t>Heart</w:t>
            </w:r>
            <w:r>
              <w:rPr>
                <w:spacing w:val="-4"/>
                <w:sz w:val="22"/>
              </w:rPr>
              <w:t> </w:t>
            </w:r>
            <w:r>
              <w:rPr>
                <w:sz w:val="22"/>
              </w:rPr>
              <w:t>Journal</w:t>
            </w:r>
            <w:r>
              <w:rPr>
                <w:spacing w:val="-4"/>
                <w:sz w:val="22"/>
              </w:rPr>
              <w:t> </w:t>
            </w:r>
            <w:r>
              <w:rPr>
                <w:sz w:val="22"/>
              </w:rPr>
              <w:t>Supplements.</w:t>
            </w:r>
            <w:r>
              <w:rPr>
                <w:spacing w:val="-4"/>
                <w:sz w:val="22"/>
              </w:rPr>
              <w:t> </w:t>
            </w:r>
            <w:r>
              <w:rPr>
                <w:sz w:val="22"/>
              </w:rPr>
              <w:t>2020 Jan;22 (Supplement_A):A1–A11. doi:10.1093/eurheartj/suaa001.</w:t>
            </w:r>
          </w:p>
        </w:tc>
        <w:tc>
          <w:tcPr>
            <w:tcW w:w="5387" w:type="dxa"/>
          </w:tcPr>
          <w:p>
            <w:pPr>
              <w:pStyle w:val="TableParagraph"/>
              <w:spacing w:line="268" w:lineRule="exact"/>
              <w:ind w:left="6"/>
              <w:rPr>
                <w:sz w:val="22"/>
              </w:rPr>
            </w:pPr>
            <w:r>
              <w:rPr>
                <w:sz w:val="22"/>
              </w:rPr>
              <w:t>Conference</w:t>
            </w:r>
            <w:r>
              <w:rPr>
                <w:spacing w:val="-10"/>
                <w:sz w:val="22"/>
              </w:rPr>
              <w:t> </w:t>
            </w:r>
            <w:r>
              <w:rPr>
                <w:spacing w:val="-2"/>
                <w:sz w:val="22"/>
              </w:rPr>
              <w:t>abstracts</w:t>
            </w:r>
          </w:p>
        </w:tc>
      </w:tr>
    </w:tbl>
    <w:sectPr>
      <w:pgSz w:w="16840" w:h="11910" w:orient="landscape"/>
      <w:pgMar w:top="1340" w:bottom="280" w:left="1417"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Rockwell">
    <w:altName w:val="Rockwell"/>
    <w:charset w:val="0"/>
    <w:family w:val="roman"/>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
    <w:multiLevelType w:val="hybridMultilevel"/>
    <w:lvl w:ilvl="0">
      <w:start w:val="0"/>
      <w:numFmt w:val="bullet"/>
      <w:lvlText w:val=""/>
      <w:lvlJc w:val="left"/>
      <w:pPr>
        <w:ind w:left="726"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944" w:hanging="360"/>
      </w:pPr>
      <w:rPr>
        <w:rFonts w:hint="default"/>
        <w:lang w:val="en-US" w:eastAsia="en-US" w:bidi="ar-SA"/>
      </w:rPr>
    </w:lvl>
    <w:lvl w:ilvl="2">
      <w:start w:val="0"/>
      <w:numFmt w:val="bullet"/>
      <w:lvlText w:val="•"/>
      <w:lvlJc w:val="left"/>
      <w:pPr>
        <w:ind w:left="1168" w:hanging="360"/>
      </w:pPr>
      <w:rPr>
        <w:rFonts w:hint="default"/>
        <w:lang w:val="en-US" w:eastAsia="en-US" w:bidi="ar-SA"/>
      </w:rPr>
    </w:lvl>
    <w:lvl w:ilvl="3">
      <w:start w:val="0"/>
      <w:numFmt w:val="bullet"/>
      <w:lvlText w:val="•"/>
      <w:lvlJc w:val="left"/>
      <w:pPr>
        <w:ind w:left="1393" w:hanging="360"/>
      </w:pPr>
      <w:rPr>
        <w:rFonts w:hint="default"/>
        <w:lang w:val="en-US" w:eastAsia="en-US" w:bidi="ar-SA"/>
      </w:rPr>
    </w:lvl>
    <w:lvl w:ilvl="4">
      <w:start w:val="0"/>
      <w:numFmt w:val="bullet"/>
      <w:lvlText w:val="•"/>
      <w:lvlJc w:val="left"/>
      <w:pPr>
        <w:ind w:left="1617" w:hanging="360"/>
      </w:pPr>
      <w:rPr>
        <w:rFonts w:hint="default"/>
        <w:lang w:val="en-US" w:eastAsia="en-US" w:bidi="ar-SA"/>
      </w:rPr>
    </w:lvl>
    <w:lvl w:ilvl="5">
      <w:start w:val="0"/>
      <w:numFmt w:val="bullet"/>
      <w:lvlText w:val="•"/>
      <w:lvlJc w:val="left"/>
      <w:pPr>
        <w:ind w:left="1842" w:hanging="360"/>
      </w:pPr>
      <w:rPr>
        <w:rFonts w:hint="default"/>
        <w:lang w:val="en-US" w:eastAsia="en-US" w:bidi="ar-SA"/>
      </w:rPr>
    </w:lvl>
    <w:lvl w:ilvl="6">
      <w:start w:val="0"/>
      <w:numFmt w:val="bullet"/>
      <w:lvlText w:val="•"/>
      <w:lvlJc w:val="left"/>
      <w:pPr>
        <w:ind w:left="2066" w:hanging="360"/>
      </w:pPr>
      <w:rPr>
        <w:rFonts w:hint="default"/>
        <w:lang w:val="en-US" w:eastAsia="en-US" w:bidi="ar-SA"/>
      </w:rPr>
    </w:lvl>
    <w:lvl w:ilvl="7">
      <w:start w:val="0"/>
      <w:numFmt w:val="bullet"/>
      <w:lvlText w:val="•"/>
      <w:lvlJc w:val="left"/>
      <w:pPr>
        <w:ind w:left="2290" w:hanging="360"/>
      </w:pPr>
      <w:rPr>
        <w:rFonts w:hint="default"/>
        <w:lang w:val="en-US" w:eastAsia="en-US" w:bidi="ar-SA"/>
      </w:rPr>
    </w:lvl>
    <w:lvl w:ilvl="8">
      <w:start w:val="0"/>
      <w:numFmt w:val="bullet"/>
      <w:lvlText w:val="•"/>
      <w:lvlJc w:val="left"/>
      <w:pPr>
        <w:ind w:left="2515" w:hanging="360"/>
      </w:pPr>
      <w:rPr>
        <w:rFonts w:hint="default"/>
        <w:lang w:val="en-US" w:eastAsia="en-US" w:bidi="ar-SA"/>
      </w:rPr>
    </w:lvl>
  </w:abstractNum>
  <w:abstractNum w:abstractNumId="65">
    <w:multiLevelType w:val="hybridMultilevel"/>
    <w:lvl w:ilvl="0">
      <w:start w:val="1"/>
      <w:numFmt w:val="decimal"/>
      <w:lvlText w:val="%1."/>
      <w:lvlJc w:val="left"/>
      <w:pPr>
        <w:ind w:left="743" w:hanging="360"/>
        <w:jc w:val="left"/>
      </w:pPr>
      <w:rPr>
        <w:rFonts w:hint="default" w:ascii="Calibri" w:hAnsi="Calibri" w:eastAsia="Calibri" w:cs="Calibri"/>
        <w:b w:val="0"/>
        <w:bCs w:val="0"/>
        <w:i w:val="0"/>
        <w:iCs w:val="0"/>
        <w:spacing w:val="-1"/>
        <w:w w:val="100"/>
        <w:sz w:val="18"/>
        <w:szCs w:val="18"/>
        <w:lang w:val="en-US" w:eastAsia="en-US" w:bidi="ar-SA"/>
      </w:rPr>
    </w:lvl>
    <w:lvl w:ilvl="1">
      <w:start w:val="0"/>
      <w:numFmt w:val="bullet"/>
      <w:lvlText w:val="•"/>
      <w:lvlJc w:val="left"/>
      <w:pPr>
        <w:ind w:left="2108" w:hanging="360"/>
      </w:pPr>
      <w:rPr>
        <w:rFonts w:hint="default"/>
        <w:lang w:val="en-US" w:eastAsia="en-US" w:bidi="ar-SA"/>
      </w:rPr>
    </w:lvl>
    <w:lvl w:ilvl="2">
      <w:start w:val="0"/>
      <w:numFmt w:val="bullet"/>
      <w:lvlText w:val="•"/>
      <w:lvlJc w:val="left"/>
      <w:pPr>
        <w:ind w:left="3477" w:hanging="360"/>
      </w:pPr>
      <w:rPr>
        <w:rFonts w:hint="default"/>
        <w:lang w:val="en-US" w:eastAsia="en-US" w:bidi="ar-SA"/>
      </w:rPr>
    </w:lvl>
    <w:lvl w:ilvl="3">
      <w:start w:val="0"/>
      <w:numFmt w:val="bullet"/>
      <w:lvlText w:val="•"/>
      <w:lvlJc w:val="left"/>
      <w:pPr>
        <w:ind w:left="4846" w:hanging="360"/>
      </w:pPr>
      <w:rPr>
        <w:rFonts w:hint="default"/>
        <w:lang w:val="en-US" w:eastAsia="en-US" w:bidi="ar-SA"/>
      </w:rPr>
    </w:lvl>
    <w:lvl w:ilvl="4">
      <w:start w:val="0"/>
      <w:numFmt w:val="bullet"/>
      <w:lvlText w:val="•"/>
      <w:lvlJc w:val="left"/>
      <w:pPr>
        <w:ind w:left="6215" w:hanging="360"/>
      </w:pPr>
      <w:rPr>
        <w:rFonts w:hint="default"/>
        <w:lang w:val="en-US" w:eastAsia="en-US" w:bidi="ar-SA"/>
      </w:rPr>
    </w:lvl>
    <w:lvl w:ilvl="5">
      <w:start w:val="0"/>
      <w:numFmt w:val="bullet"/>
      <w:lvlText w:val="•"/>
      <w:lvlJc w:val="left"/>
      <w:pPr>
        <w:ind w:left="7584" w:hanging="360"/>
      </w:pPr>
      <w:rPr>
        <w:rFonts w:hint="default"/>
        <w:lang w:val="en-US" w:eastAsia="en-US" w:bidi="ar-SA"/>
      </w:rPr>
    </w:lvl>
    <w:lvl w:ilvl="6">
      <w:start w:val="0"/>
      <w:numFmt w:val="bullet"/>
      <w:lvlText w:val="•"/>
      <w:lvlJc w:val="left"/>
      <w:pPr>
        <w:ind w:left="8953" w:hanging="360"/>
      </w:pPr>
      <w:rPr>
        <w:rFonts w:hint="default"/>
        <w:lang w:val="en-US" w:eastAsia="en-US" w:bidi="ar-SA"/>
      </w:rPr>
    </w:lvl>
    <w:lvl w:ilvl="7">
      <w:start w:val="0"/>
      <w:numFmt w:val="bullet"/>
      <w:lvlText w:val="•"/>
      <w:lvlJc w:val="left"/>
      <w:pPr>
        <w:ind w:left="10322" w:hanging="360"/>
      </w:pPr>
      <w:rPr>
        <w:rFonts w:hint="default"/>
        <w:lang w:val="en-US" w:eastAsia="en-US" w:bidi="ar-SA"/>
      </w:rPr>
    </w:lvl>
    <w:lvl w:ilvl="8">
      <w:start w:val="0"/>
      <w:numFmt w:val="bullet"/>
      <w:lvlText w:val="•"/>
      <w:lvlJc w:val="left"/>
      <w:pPr>
        <w:ind w:left="11691" w:hanging="360"/>
      </w:pPr>
      <w:rPr>
        <w:rFonts w:hint="default"/>
        <w:lang w:val="en-US" w:eastAsia="en-US" w:bidi="ar-SA"/>
      </w:rPr>
    </w:lvl>
  </w:abstractNum>
  <w:abstractNum w:abstractNumId="64">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50" w:hanging="360"/>
      </w:pPr>
      <w:rPr>
        <w:rFonts w:hint="default"/>
        <w:lang w:val="en-US" w:eastAsia="en-US" w:bidi="ar-SA"/>
      </w:rPr>
    </w:lvl>
    <w:lvl w:ilvl="2">
      <w:start w:val="0"/>
      <w:numFmt w:val="bullet"/>
      <w:lvlText w:val="•"/>
      <w:lvlJc w:val="left"/>
      <w:pPr>
        <w:ind w:left="981" w:hanging="360"/>
      </w:pPr>
      <w:rPr>
        <w:rFonts w:hint="default"/>
        <w:lang w:val="en-US" w:eastAsia="en-US" w:bidi="ar-SA"/>
      </w:rPr>
    </w:lvl>
    <w:lvl w:ilvl="3">
      <w:start w:val="0"/>
      <w:numFmt w:val="bullet"/>
      <w:lvlText w:val="•"/>
      <w:lvlJc w:val="left"/>
      <w:pPr>
        <w:ind w:left="1112" w:hanging="360"/>
      </w:pPr>
      <w:rPr>
        <w:rFonts w:hint="default"/>
        <w:lang w:val="en-US" w:eastAsia="en-US" w:bidi="ar-SA"/>
      </w:rPr>
    </w:lvl>
    <w:lvl w:ilvl="4">
      <w:start w:val="0"/>
      <w:numFmt w:val="bullet"/>
      <w:lvlText w:val="•"/>
      <w:lvlJc w:val="left"/>
      <w:pPr>
        <w:ind w:left="1242" w:hanging="360"/>
      </w:pPr>
      <w:rPr>
        <w:rFonts w:hint="default"/>
        <w:lang w:val="en-US" w:eastAsia="en-US" w:bidi="ar-SA"/>
      </w:rPr>
    </w:lvl>
    <w:lvl w:ilvl="5">
      <w:start w:val="0"/>
      <w:numFmt w:val="bullet"/>
      <w:lvlText w:val="•"/>
      <w:lvlJc w:val="left"/>
      <w:pPr>
        <w:ind w:left="1373" w:hanging="360"/>
      </w:pPr>
      <w:rPr>
        <w:rFonts w:hint="default"/>
        <w:lang w:val="en-US" w:eastAsia="en-US" w:bidi="ar-SA"/>
      </w:rPr>
    </w:lvl>
    <w:lvl w:ilvl="6">
      <w:start w:val="0"/>
      <w:numFmt w:val="bullet"/>
      <w:lvlText w:val="•"/>
      <w:lvlJc w:val="left"/>
      <w:pPr>
        <w:ind w:left="1504" w:hanging="360"/>
      </w:pPr>
      <w:rPr>
        <w:rFonts w:hint="default"/>
        <w:lang w:val="en-US" w:eastAsia="en-US" w:bidi="ar-SA"/>
      </w:rPr>
    </w:lvl>
    <w:lvl w:ilvl="7">
      <w:start w:val="0"/>
      <w:numFmt w:val="bullet"/>
      <w:lvlText w:val="•"/>
      <w:lvlJc w:val="left"/>
      <w:pPr>
        <w:ind w:left="1634" w:hanging="360"/>
      </w:pPr>
      <w:rPr>
        <w:rFonts w:hint="default"/>
        <w:lang w:val="en-US" w:eastAsia="en-US" w:bidi="ar-SA"/>
      </w:rPr>
    </w:lvl>
    <w:lvl w:ilvl="8">
      <w:start w:val="0"/>
      <w:numFmt w:val="bullet"/>
      <w:lvlText w:val="•"/>
      <w:lvlJc w:val="left"/>
      <w:pPr>
        <w:ind w:left="1765" w:hanging="360"/>
      </w:pPr>
      <w:rPr>
        <w:rFonts w:hint="default"/>
        <w:lang w:val="en-US" w:eastAsia="en-US" w:bidi="ar-SA"/>
      </w:rPr>
    </w:lvl>
  </w:abstractNum>
  <w:abstractNum w:abstractNumId="63">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50" w:hanging="360"/>
      </w:pPr>
      <w:rPr>
        <w:rFonts w:hint="default"/>
        <w:lang w:val="en-US" w:eastAsia="en-US" w:bidi="ar-SA"/>
      </w:rPr>
    </w:lvl>
    <w:lvl w:ilvl="2">
      <w:start w:val="0"/>
      <w:numFmt w:val="bullet"/>
      <w:lvlText w:val="•"/>
      <w:lvlJc w:val="left"/>
      <w:pPr>
        <w:ind w:left="981" w:hanging="360"/>
      </w:pPr>
      <w:rPr>
        <w:rFonts w:hint="default"/>
        <w:lang w:val="en-US" w:eastAsia="en-US" w:bidi="ar-SA"/>
      </w:rPr>
    </w:lvl>
    <w:lvl w:ilvl="3">
      <w:start w:val="0"/>
      <w:numFmt w:val="bullet"/>
      <w:lvlText w:val="•"/>
      <w:lvlJc w:val="left"/>
      <w:pPr>
        <w:ind w:left="1112" w:hanging="360"/>
      </w:pPr>
      <w:rPr>
        <w:rFonts w:hint="default"/>
        <w:lang w:val="en-US" w:eastAsia="en-US" w:bidi="ar-SA"/>
      </w:rPr>
    </w:lvl>
    <w:lvl w:ilvl="4">
      <w:start w:val="0"/>
      <w:numFmt w:val="bullet"/>
      <w:lvlText w:val="•"/>
      <w:lvlJc w:val="left"/>
      <w:pPr>
        <w:ind w:left="1242" w:hanging="360"/>
      </w:pPr>
      <w:rPr>
        <w:rFonts w:hint="default"/>
        <w:lang w:val="en-US" w:eastAsia="en-US" w:bidi="ar-SA"/>
      </w:rPr>
    </w:lvl>
    <w:lvl w:ilvl="5">
      <w:start w:val="0"/>
      <w:numFmt w:val="bullet"/>
      <w:lvlText w:val="•"/>
      <w:lvlJc w:val="left"/>
      <w:pPr>
        <w:ind w:left="1373" w:hanging="360"/>
      </w:pPr>
      <w:rPr>
        <w:rFonts w:hint="default"/>
        <w:lang w:val="en-US" w:eastAsia="en-US" w:bidi="ar-SA"/>
      </w:rPr>
    </w:lvl>
    <w:lvl w:ilvl="6">
      <w:start w:val="0"/>
      <w:numFmt w:val="bullet"/>
      <w:lvlText w:val="•"/>
      <w:lvlJc w:val="left"/>
      <w:pPr>
        <w:ind w:left="1504" w:hanging="360"/>
      </w:pPr>
      <w:rPr>
        <w:rFonts w:hint="default"/>
        <w:lang w:val="en-US" w:eastAsia="en-US" w:bidi="ar-SA"/>
      </w:rPr>
    </w:lvl>
    <w:lvl w:ilvl="7">
      <w:start w:val="0"/>
      <w:numFmt w:val="bullet"/>
      <w:lvlText w:val="•"/>
      <w:lvlJc w:val="left"/>
      <w:pPr>
        <w:ind w:left="1634" w:hanging="360"/>
      </w:pPr>
      <w:rPr>
        <w:rFonts w:hint="default"/>
        <w:lang w:val="en-US" w:eastAsia="en-US" w:bidi="ar-SA"/>
      </w:rPr>
    </w:lvl>
    <w:lvl w:ilvl="8">
      <w:start w:val="0"/>
      <w:numFmt w:val="bullet"/>
      <w:lvlText w:val="•"/>
      <w:lvlJc w:val="left"/>
      <w:pPr>
        <w:ind w:left="1765" w:hanging="360"/>
      </w:pPr>
      <w:rPr>
        <w:rFonts w:hint="default"/>
        <w:lang w:val="en-US" w:eastAsia="en-US" w:bidi="ar-SA"/>
      </w:rPr>
    </w:lvl>
  </w:abstractNum>
  <w:abstractNum w:abstractNumId="62">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50" w:hanging="360"/>
      </w:pPr>
      <w:rPr>
        <w:rFonts w:hint="default"/>
        <w:lang w:val="en-US" w:eastAsia="en-US" w:bidi="ar-SA"/>
      </w:rPr>
    </w:lvl>
    <w:lvl w:ilvl="2">
      <w:start w:val="0"/>
      <w:numFmt w:val="bullet"/>
      <w:lvlText w:val="•"/>
      <w:lvlJc w:val="left"/>
      <w:pPr>
        <w:ind w:left="981" w:hanging="360"/>
      </w:pPr>
      <w:rPr>
        <w:rFonts w:hint="default"/>
        <w:lang w:val="en-US" w:eastAsia="en-US" w:bidi="ar-SA"/>
      </w:rPr>
    </w:lvl>
    <w:lvl w:ilvl="3">
      <w:start w:val="0"/>
      <w:numFmt w:val="bullet"/>
      <w:lvlText w:val="•"/>
      <w:lvlJc w:val="left"/>
      <w:pPr>
        <w:ind w:left="1112" w:hanging="360"/>
      </w:pPr>
      <w:rPr>
        <w:rFonts w:hint="default"/>
        <w:lang w:val="en-US" w:eastAsia="en-US" w:bidi="ar-SA"/>
      </w:rPr>
    </w:lvl>
    <w:lvl w:ilvl="4">
      <w:start w:val="0"/>
      <w:numFmt w:val="bullet"/>
      <w:lvlText w:val="•"/>
      <w:lvlJc w:val="left"/>
      <w:pPr>
        <w:ind w:left="1242" w:hanging="360"/>
      </w:pPr>
      <w:rPr>
        <w:rFonts w:hint="default"/>
        <w:lang w:val="en-US" w:eastAsia="en-US" w:bidi="ar-SA"/>
      </w:rPr>
    </w:lvl>
    <w:lvl w:ilvl="5">
      <w:start w:val="0"/>
      <w:numFmt w:val="bullet"/>
      <w:lvlText w:val="•"/>
      <w:lvlJc w:val="left"/>
      <w:pPr>
        <w:ind w:left="1373" w:hanging="360"/>
      </w:pPr>
      <w:rPr>
        <w:rFonts w:hint="default"/>
        <w:lang w:val="en-US" w:eastAsia="en-US" w:bidi="ar-SA"/>
      </w:rPr>
    </w:lvl>
    <w:lvl w:ilvl="6">
      <w:start w:val="0"/>
      <w:numFmt w:val="bullet"/>
      <w:lvlText w:val="•"/>
      <w:lvlJc w:val="left"/>
      <w:pPr>
        <w:ind w:left="1504" w:hanging="360"/>
      </w:pPr>
      <w:rPr>
        <w:rFonts w:hint="default"/>
        <w:lang w:val="en-US" w:eastAsia="en-US" w:bidi="ar-SA"/>
      </w:rPr>
    </w:lvl>
    <w:lvl w:ilvl="7">
      <w:start w:val="0"/>
      <w:numFmt w:val="bullet"/>
      <w:lvlText w:val="•"/>
      <w:lvlJc w:val="left"/>
      <w:pPr>
        <w:ind w:left="1634" w:hanging="360"/>
      </w:pPr>
      <w:rPr>
        <w:rFonts w:hint="default"/>
        <w:lang w:val="en-US" w:eastAsia="en-US" w:bidi="ar-SA"/>
      </w:rPr>
    </w:lvl>
    <w:lvl w:ilvl="8">
      <w:start w:val="0"/>
      <w:numFmt w:val="bullet"/>
      <w:lvlText w:val="•"/>
      <w:lvlJc w:val="left"/>
      <w:pPr>
        <w:ind w:left="1765" w:hanging="360"/>
      </w:pPr>
      <w:rPr>
        <w:rFonts w:hint="default"/>
        <w:lang w:val="en-US" w:eastAsia="en-US" w:bidi="ar-SA"/>
      </w:rPr>
    </w:lvl>
  </w:abstractNum>
  <w:abstractNum w:abstractNumId="61">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50" w:hanging="360"/>
      </w:pPr>
      <w:rPr>
        <w:rFonts w:hint="default"/>
        <w:lang w:val="en-US" w:eastAsia="en-US" w:bidi="ar-SA"/>
      </w:rPr>
    </w:lvl>
    <w:lvl w:ilvl="2">
      <w:start w:val="0"/>
      <w:numFmt w:val="bullet"/>
      <w:lvlText w:val="•"/>
      <w:lvlJc w:val="left"/>
      <w:pPr>
        <w:ind w:left="981" w:hanging="360"/>
      </w:pPr>
      <w:rPr>
        <w:rFonts w:hint="default"/>
        <w:lang w:val="en-US" w:eastAsia="en-US" w:bidi="ar-SA"/>
      </w:rPr>
    </w:lvl>
    <w:lvl w:ilvl="3">
      <w:start w:val="0"/>
      <w:numFmt w:val="bullet"/>
      <w:lvlText w:val="•"/>
      <w:lvlJc w:val="left"/>
      <w:pPr>
        <w:ind w:left="1112" w:hanging="360"/>
      </w:pPr>
      <w:rPr>
        <w:rFonts w:hint="default"/>
        <w:lang w:val="en-US" w:eastAsia="en-US" w:bidi="ar-SA"/>
      </w:rPr>
    </w:lvl>
    <w:lvl w:ilvl="4">
      <w:start w:val="0"/>
      <w:numFmt w:val="bullet"/>
      <w:lvlText w:val="•"/>
      <w:lvlJc w:val="left"/>
      <w:pPr>
        <w:ind w:left="1242" w:hanging="360"/>
      </w:pPr>
      <w:rPr>
        <w:rFonts w:hint="default"/>
        <w:lang w:val="en-US" w:eastAsia="en-US" w:bidi="ar-SA"/>
      </w:rPr>
    </w:lvl>
    <w:lvl w:ilvl="5">
      <w:start w:val="0"/>
      <w:numFmt w:val="bullet"/>
      <w:lvlText w:val="•"/>
      <w:lvlJc w:val="left"/>
      <w:pPr>
        <w:ind w:left="1373" w:hanging="360"/>
      </w:pPr>
      <w:rPr>
        <w:rFonts w:hint="default"/>
        <w:lang w:val="en-US" w:eastAsia="en-US" w:bidi="ar-SA"/>
      </w:rPr>
    </w:lvl>
    <w:lvl w:ilvl="6">
      <w:start w:val="0"/>
      <w:numFmt w:val="bullet"/>
      <w:lvlText w:val="•"/>
      <w:lvlJc w:val="left"/>
      <w:pPr>
        <w:ind w:left="1504" w:hanging="360"/>
      </w:pPr>
      <w:rPr>
        <w:rFonts w:hint="default"/>
        <w:lang w:val="en-US" w:eastAsia="en-US" w:bidi="ar-SA"/>
      </w:rPr>
    </w:lvl>
    <w:lvl w:ilvl="7">
      <w:start w:val="0"/>
      <w:numFmt w:val="bullet"/>
      <w:lvlText w:val="•"/>
      <w:lvlJc w:val="left"/>
      <w:pPr>
        <w:ind w:left="1634" w:hanging="360"/>
      </w:pPr>
      <w:rPr>
        <w:rFonts w:hint="default"/>
        <w:lang w:val="en-US" w:eastAsia="en-US" w:bidi="ar-SA"/>
      </w:rPr>
    </w:lvl>
    <w:lvl w:ilvl="8">
      <w:start w:val="0"/>
      <w:numFmt w:val="bullet"/>
      <w:lvlText w:val="•"/>
      <w:lvlJc w:val="left"/>
      <w:pPr>
        <w:ind w:left="1765" w:hanging="360"/>
      </w:pPr>
      <w:rPr>
        <w:rFonts w:hint="default"/>
        <w:lang w:val="en-US" w:eastAsia="en-US" w:bidi="ar-SA"/>
      </w:rPr>
    </w:lvl>
  </w:abstractNum>
  <w:abstractNum w:abstractNumId="60">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50" w:hanging="360"/>
      </w:pPr>
      <w:rPr>
        <w:rFonts w:hint="default"/>
        <w:lang w:val="en-US" w:eastAsia="en-US" w:bidi="ar-SA"/>
      </w:rPr>
    </w:lvl>
    <w:lvl w:ilvl="2">
      <w:start w:val="0"/>
      <w:numFmt w:val="bullet"/>
      <w:lvlText w:val="•"/>
      <w:lvlJc w:val="left"/>
      <w:pPr>
        <w:ind w:left="981" w:hanging="360"/>
      </w:pPr>
      <w:rPr>
        <w:rFonts w:hint="default"/>
        <w:lang w:val="en-US" w:eastAsia="en-US" w:bidi="ar-SA"/>
      </w:rPr>
    </w:lvl>
    <w:lvl w:ilvl="3">
      <w:start w:val="0"/>
      <w:numFmt w:val="bullet"/>
      <w:lvlText w:val="•"/>
      <w:lvlJc w:val="left"/>
      <w:pPr>
        <w:ind w:left="1112" w:hanging="360"/>
      </w:pPr>
      <w:rPr>
        <w:rFonts w:hint="default"/>
        <w:lang w:val="en-US" w:eastAsia="en-US" w:bidi="ar-SA"/>
      </w:rPr>
    </w:lvl>
    <w:lvl w:ilvl="4">
      <w:start w:val="0"/>
      <w:numFmt w:val="bullet"/>
      <w:lvlText w:val="•"/>
      <w:lvlJc w:val="left"/>
      <w:pPr>
        <w:ind w:left="1242" w:hanging="360"/>
      </w:pPr>
      <w:rPr>
        <w:rFonts w:hint="default"/>
        <w:lang w:val="en-US" w:eastAsia="en-US" w:bidi="ar-SA"/>
      </w:rPr>
    </w:lvl>
    <w:lvl w:ilvl="5">
      <w:start w:val="0"/>
      <w:numFmt w:val="bullet"/>
      <w:lvlText w:val="•"/>
      <w:lvlJc w:val="left"/>
      <w:pPr>
        <w:ind w:left="1373" w:hanging="360"/>
      </w:pPr>
      <w:rPr>
        <w:rFonts w:hint="default"/>
        <w:lang w:val="en-US" w:eastAsia="en-US" w:bidi="ar-SA"/>
      </w:rPr>
    </w:lvl>
    <w:lvl w:ilvl="6">
      <w:start w:val="0"/>
      <w:numFmt w:val="bullet"/>
      <w:lvlText w:val="•"/>
      <w:lvlJc w:val="left"/>
      <w:pPr>
        <w:ind w:left="1504" w:hanging="360"/>
      </w:pPr>
      <w:rPr>
        <w:rFonts w:hint="default"/>
        <w:lang w:val="en-US" w:eastAsia="en-US" w:bidi="ar-SA"/>
      </w:rPr>
    </w:lvl>
    <w:lvl w:ilvl="7">
      <w:start w:val="0"/>
      <w:numFmt w:val="bullet"/>
      <w:lvlText w:val="•"/>
      <w:lvlJc w:val="left"/>
      <w:pPr>
        <w:ind w:left="1634" w:hanging="360"/>
      </w:pPr>
      <w:rPr>
        <w:rFonts w:hint="default"/>
        <w:lang w:val="en-US" w:eastAsia="en-US" w:bidi="ar-SA"/>
      </w:rPr>
    </w:lvl>
    <w:lvl w:ilvl="8">
      <w:start w:val="0"/>
      <w:numFmt w:val="bullet"/>
      <w:lvlText w:val="•"/>
      <w:lvlJc w:val="left"/>
      <w:pPr>
        <w:ind w:left="1765" w:hanging="360"/>
      </w:pPr>
      <w:rPr>
        <w:rFonts w:hint="default"/>
        <w:lang w:val="en-US" w:eastAsia="en-US" w:bidi="ar-SA"/>
      </w:rPr>
    </w:lvl>
  </w:abstractNum>
  <w:abstractNum w:abstractNumId="59">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50" w:hanging="360"/>
      </w:pPr>
      <w:rPr>
        <w:rFonts w:hint="default"/>
        <w:lang w:val="en-US" w:eastAsia="en-US" w:bidi="ar-SA"/>
      </w:rPr>
    </w:lvl>
    <w:lvl w:ilvl="2">
      <w:start w:val="0"/>
      <w:numFmt w:val="bullet"/>
      <w:lvlText w:val="•"/>
      <w:lvlJc w:val="left"/>
      <w:pPr>
        <w:ind w:left="981" w:hanging="360"/>
      </w:pPr>
      <w:rPr>
        <w:rFonts w:hint="default"/>
        <w:lang w:val="en-US" w:eastAsia="en-US" w:bidi="ar-SA"/>
      </w:rPr>
    </w:lvl>
    <w:lvl w:ilvl="3">
      <w:start w:val="0"/>
      <w:numFmt w:val="bullet"/>
      <w:lvlText w:val="•"/>
      <w:lvlJc w:val="left"/>
      <w:pPr>
        <w:ind w:left="1112" w:hanging="360"/>
      </w:pPr>
      <w:rPr>
        <w:rFonts w:hint="default"/>
        <w:lang w:val="en-US" w:eastAsia="en-US" w:bidi="ar-SA"/>
      </w:rPr>
    </w:lvl>
    <w:lvl w:ilvl="4">
      <w:start w:val="0"/>
      <w:numFmt w:val="bullet"/>
      <w:lvlText w:val="•"/>
      <w:lvlJc w:val="left"/>
      <w:pPr>
        <w:ind w:left="1242" w:hanging="360"/>
      </w:pPr>
      <w:rPr>
        <w:rFonts w:hint="default"/>
        <w:lang w:val="en-US" w:eastAsia="en-US" w:bidi="ar-SA"/>
      </w:rPr>
    </w:lvl>
    <w:lvl w:ilvl="5">
      <w:start w:val="0"/>
      <w:numFmt w:val="bullet"/>
      <w:lvlText w:val="•"/>
      <w:lvlJc w:val="left"/>
      <w:pPr>
        <w:ind w:left="1373" w:hanging="360"/>
      </w:pPr>
      <w:rPr>
        <w:rFonts w:hint="default"/>
        <w:lang w:val="en-US" w:eastAsia="en-US" w:bidi="ar-SA"/>
      </w:rPr>
    </w:lvl>
    <w:lvl w:ilvl="6">
      <w:start w:val="0"/>
      <w:numFmt w:val="bullet"/>
      <w:lvlText w:val="•"/>
      <w:lvlJc w:val="left"/>
      <w:pPr>
        <w:ind w:left="1504" w:hanging="360"/>
      </w:pPr>
      <w:rPr>
        <w:rFonts w:hint="default"/>
        <w:lang w:val="en-US" w:eastAsia="en-US" w:bidi="ar-SA"/>
      </w:rPr>
    </w:lvl>
    <w:lvl w:ilvl="7">
      <w:start w:val="0"/>
      <w:numFmt w:val="bullet"/>
      <w:lvlText w:val="•"/>
      <w:lvlJc w:val="left"/>
      <w:pPr>
        <w:ind w:left="1634" w:hanging="360"/>
      </w:pPr>
      <w:rPr>
        <w:rFonts w:hint="default"/>
        <w:lang w:val="en-US" w:eastAsia="en-US" w:bidi="ar-SA"/>
      </w:rPr>
    </w:lvl>
    <w:lvl w:ilvl="8">
      <w:start w:val="0"/>
      <w:numFmt w:val="bullet"/>
      <w:lvlText w:val="•"/>
      <w:lvlJc w:val="left"/>
      <w:pPr>
        <w:ind w:left="1765" w:hanging="360"/>
      </w:pPr>
      <w:rPr>
        <w:rFonts w:hint="default"/>
        <w:lang w:val="en-US" w:eastAsia="en-US" w:bidi="ar-SA"/>
      </w:rPr>
    </w:lvl>
  </w:abstractNum>
  <w:abstractNum w:abstractNumId="58">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50" w:hanging="360"/>
      </w:pPr>
      <w:rPr>
        <w:rFonts w:hint="default"/>
        <w:lang w:val="en-US" w:eastAsia="en-US" w:bidi="ar-SA"/>
      </w:rPr>
    </w:lvl>
    <w:lvl w:ilvl="2">
      <w:start w:val="0"/>
      <w:numFmt w:val="bullet"/>
      <w:lvlText w:val="•"/>
      <w:lvlJc w:val="left"/>
      <w:pPr>
        <w:ind w:left="981" w:hanging="360"/>
      </w:pPr>
      <w:rPr>
        <w:rFonts w:hint="default"/>
        <w:lang w:val="en-US" w:eastAsia="en-US" w:bidi="ar-SA"/>
      </w:rPr>
    </w:lvl>
    <w:lvl w:ilvl="3">
      <w:start w:val="0"/>
      <w:numFmt w:val="bullet"/>
      <w:lvlText w:val="•"/>
      <w:lvlJc w:val="left"/>
      <w:pPr>
        <w:ind w:left="1112" w:hanging="360"/>
      </w:pPr>
      <w:rPr>
        <w:rFonts w:hint="default"/>
        <w:lang w:val="en-US" w:eastAsia="en-US" w:bidi="ar-SA"/>
      </w:rPr>
    </w:lvl>
    <w:lvl w:ilvl="4">
      <w:start w:val="0"/>
      <w:numFmt w:val="bullet"/>
      <w:lvlText w:val="•"/>
      <w:lvlJc w:val="left"/>
      <w:pPr>
        <w:ind w:left="1242" w:hanging="360"/>
      </w:pPr>
      <w:rPr>
        <w:rFonts w:hint="default"/>
        <w:lang w:val="en-US" w:eastAsia="en-US" w:bidi="ar-SA"/>
      </w:rPr>
    </w:lvl>
    <w:lvl w:ilvl="5">
      <w:start w:val="0"/>
      <w:numFmt w:val="bullet"/>
      <w:lvlText w:val="•"/>
      <w:lvlJc w:val="left"/>
      <w:pPr>
        <w:ind w:left="1373" w:hanging="360"/>
      </w:pPr>
      <w:rPr>
        <w:rFonts w:hint="default"/>
        <w:lang w:val="en-US" w:eastAsia="en-US" w:bidi="ar-SA"/>
      </w:rPr>
    </w:lvl>
    <w:lvl w:ilvl="6">
      <w:start w:val="0"/>
      <w:numFmt w:val="bullet"/>
      <w:lvlText w:val="•"/>
      <w:lvlJc w:val="left"/>
      <w:pPr>
        <w:ind w:left="1504" w:hanging="360"/>
      </w:pPr>
      <w:rPr>
        <w:rFonts w:hint="default"/>
        <w:lang w:val="en-US" w:eastAsia="en-US" w:bidi="ar-SA"/>
      </w:rPr>
    </w:lvl>
    <w:lvl w:ilvl="7">
      <w:start w:val="0"/>
      <w:numFmt w:val="bullet"/>
      <w:lvlText w:val="•"/>
      <w:lvlJc w:val="left"/>
      <w:pPr>
        <w:ind w:left="1634" w:hanging="360"/>
      </w:pPr>
      <w:rPr>
        <w:rFonts w:hint="default"/>
        <w:lang w:val="en-US" w:eastAsia="en-US" w:bidi="ar-SA"/>
      </w:rPr>
    </w:lvl>
    <w:lvl w:ilvl="8">
      <w:start w:val="0"/>
      <w:numFmt w:val="bullet"/>
      <w:lvlText w:val="•"/>
      <w:lvlJc w:val="left"/>
      <w:pPr>
        <w:ind w:left="1765" w:hanging="360"/>
      </w:pPr>
      <w:rPr>
        <w:rFonts w:hint="default"/>
        <w:lang w:val="en-US" w:eastAsia="en-US" w:bidi="ar-SA"/>
      </w:rPr>
    </w:lvl>
  </w:abstractNum>
  <w:abstractNum w:abstractNumId="57">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50" w:hanging="360"/>
      </w:pPr>
      <w:rPr>
        <w:rFonts w:hint="default"/>
        <w:lang w:val="en-US" w:eastAsia="en-US" w:bidi="ar-SA"/>
      </w:rPr>
    </w:lvl>
    <w:lvl w:ilvl="2">
      <w:start w:val="0"/>
      <w:numFmt w:val="bullet"/>
      <w:lvlText w:val="•"/>
      <w:lvlJc w:val="left"/>
      <w:pPr>
        <w:ind w:left="981" w:hanging="360"/>
      </w:pPr>
      <w:rPr>
        <w:rFonts w:hint="default"/>
        <w:lang w:val="en-US" w:eastAsia="en-US" w:bidi="ar-SA"/>
      </w:rPr>
    </w:lvl>
    <w:lvl w:ilvl="3">
      <w:start w:val="0"/>
      <w:numFmt w:val="bullet"/>
      <w:lvlText w:val="•"/>
      <w:lvlJc w:val="left"/>
      <w:pPr>
        <w:ind w:left="1112" w:hanging="360"/>
      </w:pPr>
      <w:rPr>
        <w:rFonts w:hint="default"/>
        <w:lang w:val="en-US" w:eastAsia="en-US" w:bidi="ar-SA"/>
      </w:rPr>
    </w:lvl>
    <w:lvl w:ilvl="4">
      <w:start w:val="0"/>
      <w:numFmt w:val="bullet"/>
      <w:lvlText w:val="•"/>
      <w:lvlJc w:val="left"/>
      <w:pPr>
        <w:ind w:left="1242" w:hanging="360"/>
      </w:pPr>
      <w:rPr>
        <w:rFonts w:hint="default"/>
        <w:lang w:val="en-US" w:eastAsia="en-US" w:bidi="ar-SA"/>
      </w:rPr>
    </w:lvl>
    <w:lvl w:ilvl="5">
      <w:start w:val="0"/>
      <w:numFmt w:val="bullet"/>
      <w:lvlText w:val="•"/>
      <w:lvlJc w:val="left"/>
      <w:pPr>
        <w:ind w:left="1373" w:hanging="360"/>
      </w:pPr>
      <w:rPr>
        <w:rFonts w:hint="default"/>
        <w:lang w:val="en-US" w:eastAsia="en-US" w:bidi="ar-SA"/>
      </w:rPr>
    </w:lvl>
    <w:lvl w:ilvl="6">
      <w:start w:val="0"/>
      <w:numFmt w:val="bullet"/>
      <w:lvlText w:val="•"/>
      <w:lvlJc w:val="left"/>
      <w:pPr>
        <w:ind w:left="1504" w:hanging="360"/>
      </w:pPr>
      <w:rPr>
        <w:rFonts w:hint="default"/>
        <w:lang w:val="en-US" w:eastAsia="en-US" w:bidi="ar-SA"/>
      </w:rPr>
    </w:lvl>
    <w:lvl w:ilvl="7">
      <w:start w:val="0"/>
      <w:numFmt w:val="bullet"/>
      <w:lvlText w:val="•"/>
      <w:lvlJc w:val="left"/>
      <w:pPr>
        <w:ind w:left="1634" w:hanging="360"/>
      </w:pPr>
      <w:rPr>
        <w:rFonts w:hint="default"/>
        <w:lang w:val="en-US" w:eastAsia="en-US" w:bidi="ar-SA"/>
      </w:rPr>
    </w:lvl>
    <w:lvl w:ilvl="8">
      <w:start w:val="0"/>
      <w:numFmt w:val="bullet"/>
      <w:lvlText w:val="•"/>
      <w:lvlJc w:val="left"/>
      <w:pPr>
        <w:ind w:left="1765" w:hanging="360"/>
      </w:pPr>
      <w:rPr>
        <w:rFonts w:hint="default"/>
        <w:lang w:val="en-US" w:eastAsia="en-US" w:bidi="ar-SA"/>
      </w:rPr>
    </w:lvl>
  </w:abstractNum>
  <w:abstractNum w:abstractNumId="56">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50" w:hanging="360"/>
      </w:pPr>
      <w:rPr>
        <w:rFonts w:hint="default"/>
        <w:lang w:val="en-US" w:eastAsia="en-US" w:bidi="ar-SA"/>
      </w:rPr>
    </w:lvl>
    <w:lvl w:ilvl="2">
      <w:start w:val="0"/>
      <w:numFmt w:val="bullet"/>
      <w:lvlText w:val="•"/>
      <w:lvlJc w:val="left"/>
      <w:pPr>
        <w:ind w:left="981" w:hanging="360"/>
      </w:pPr>
      <w:rPr>
        <w:rFonts w:hint="default"/>
        <w:lang w:val="en-US" w:eastAsia="en-US" w:bidi="ar-SA"/>
      </w:rPr>
    </w:lvl>
    <w:lvl w:ilvl="3">
      <w:start w:val="0"/>
      <w:numFmt w:val="bullet"/>
      <w:lvlText w:val="•"/>
      <w:lvlJc w:val="left"/>
      <w:pPr>
        <w:ind w:left="1112" w:hanging="360"/>
      </w:pPr>
      <w:rPr>
        <w:rFonts w:hint="default"/>
        <w:lang w:val="en-US" w:eastAsia="en-US" w:bidi="ar-SA"/>
      </w:rPr>
    </w:lvl>
    <w:lvl w:ilvl="4">
      <w:start w:val="0"/>
      <w:numFmt w:val="bullet"/>
      <w:lvlText w:val="•"/>
      <w:lvlJc w:val="left"/>
      <w:pPr>
        <w:ind w:left="1242" w:hanging="360"/>
      </w:pPr>
      <w:rPr>
        <w:rFonts w:hint="default"/>
        <w:lang w:val="en-US" w:eastAsia="en-US" w:bidi="ar-SA"/>
      </w:rPr>
    </w:lvl>
    <w:lvl w:ilvl="5">
      <w:start w:val="0"/>
      <w:numFmt w:val="bullet"/>
      <w:lvlText w:val="•"/>
      <w:lvlJc w:val="left"/>
      <w:pPr>
        <w:ind w:left="1373" w:hanging="360"/>
      </w:pPr>
      <w:rPr>
        <w:rFonts w:hint="default"/>
        <w:lang w:val="en-US" w:eastAsia="en-US" w:bidi="ar-SA"/>
      </w:rPr>
    </w:lvl>
    <w:lvl w:ilvl="6">
      <w:start w:val="0"/>
      <w:numFmt w:val="bullet"/>
      <w:lvlText w:val="•"/>
      <w:lvlJc w:val="left"/>
      <w:pPr>
        <w:ind w:left="1504" w:hanging="360"/>
      </w:pPr>
      <w:rPr>
        <w:rFonts w:hint="default"/>
        <w:lang w:val="en-US" w:eastAsia="en-US" w:bidi="ar-SA"/>
      </w:rPr>
    </w:lvl>
    <w:lvl w:ilvl="7">
      <w:start w:val="0"/>
      <w:numFmt w:val="bullet"/>
      <w:lvlText w:val="•"/>
      <w:lvlJc w:val="left"/>
      <w:pPr>
        <w:ind w:left="1634" w:hanging="360"/>
      </w:pPr>
      <w:rPr>
        <w:rFonts w:hint="default"/>
        <w:lang w:val="en-US" w:eastAsia="en-US" w:bidi="ar-SA"/>
      </w:rPr>
    </w:lvl>
    <w:lvl w:ilvl="8">
      <w:start w:val="0"/>
      <w:numFmt w:val="bullet"/>
      <w:lvlText w:val="•"/>
      <w:lvlJc w:val="left"/>
      <w:pPr>
        <w:ind w:left="1765" w:hanging="360"/>
      </w:pPr>
      <w:rPr>
        <w:rFonts w:hint="default"/>
        <w:lang w:val="en-US" w:eastAsia="en-US" w:bidi="ar-SA"/>
      </w:rPr>
    </w:lvl>
  </w:abstractNum>
  <w:abstractNum w:abstractNumId="55">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50" w:hanging="360"/>
      </w:pPr>
      <w:rPr>
        <w:rFonts w:hint="default"/>
        <w:lang w:val="en-US" w:eastAsia="en-US" w:bidi="ar-SA"/>
      </w:rPr>
    </w:lvl>
    <w:lvl w:ilvl="2">
      <w:start w:val="0"/>
      <w:numFmt w:val="bullet"/>
      <w:lvlText w:val="•"/>
      <w:lvlJc w:val="left"/>
      <w:pPr>
        <w:ind w:left="981" w:hanging="360"/>
      </w:pPr>
      <w:rPr>
        <w:rFonts w:hint="default"/>
        <w:lang w:val="en-US" w:eastAsia="en-US" w:bidi="ar-SA"/>
      </w:rPr>
    </w:lvl>
    <w:lvl w:ilvl="3">
      <w:start w:val="0"/>
      <w:numFmt w:val="bullet"/>
      <w:lvlText w:val="•"/>
      <w:lvlJc w:val="left"/>
      <w:pPr>
        <w:ind w:left="1112" w:hanging="360"/>
      </w:pPr>
      <w:rPr>
        <w:rFonts w:hint="default"/>
        <w:lang w:val="en-US" w:eastAsia="en-US" w:bidi="ar-SA"/>
      </w:rPr>
    </w:lvl>
    <w:lvl w:ilvl="4">
      <w:start w:val="0"/>
      <w:numFmt w:val="bullet"/>
      <w:lvlText w:val="•"/>
      <w:lvlJc w:val="left"/>
      <w:pPr>
        <w:ind w:left="1242" w:hanging="360"/>
      </w:pPr>
      <w:rPr>
        <w:rFonts w:hint="default"/>
        <w:lang w:val="en-US" w:eastAsia="en-US" w:bidi="ar-SA"/>
      </w:rPr>
    </w:lvl>
    <w:lvl w:ilvl="5">
      <w:start w:val="0"/>
      <w:numFmt w:val="bullet"/>
      <w:lvlText w:val="•"/>
      <w:lvlJc w:val="left"/>
      <w:pPr>
        <w:ind w:left="1373" w:hanging="360"/>
      </w:pPr>
      <w:rPr>
        <w:rFonts w:hint="default"/>
        <w:lang w:val="en-US" w:eastAsia="en-US" w:bidi="ar-SA"/>
      </w:rPr>
    </w:lvl>
    <w:lvl w:ilvl="6">
      <w:start w:val="0"/>
      <w:numFmt w:val="bullet"/>
      <w:lvlText w:val="•"/>
      <w:lvlJc w:val="left"/>
      <w:pPr>
        <w:ind w:left="1504" w:hanging="360"/>
      </w:pPr>
      <w:rPr>
        <w:rFonts w:hint="default"/>
        <w:lang w:val="en-US" w:eastAsia="en-US" w:bidi="ar-SA"/>
      </w:rPr>
    </w:lvl>
    <w:lvl w:ilvl="7">
      <w:start w:val="0"/>
      <w:numFmt w:val="bullet"/>
      <w:lvlText w:val="•"/>
      <w:lvlJc w:val="left"/>
      <w:pPr>
        <w:ind w:left="1634" w:hanging="360"/>
      </w:pPr>
      <w:rPr>
        <w:rFonts w:hint="default"/>
        <w:lang w:val="en-US" w:eastAsia="en-US" w:bidi="ar-SA"/>
      </w:rPr>
    </w:lvl>
    <w:lvl w:ilvl="8">
      <w:start w:val="0"/>
      <w:numFmt w:val="bullet"/>
      <w:lvlText w:val="•"/>
      <w:lvlJc w:val="left"/>
      <w:pPr>
        <w:ind w:left="1765" w:hanging="360"/>
      </w:pPr>
      <w:rPr>
        <w:rFonts w:hint="default"/>
        <w:lang w:val="en-US" w:eastAsia="en-US" w:bidi="ar-SA"/>
      </w:rPr>
    </w:lvl>
  </w:abstractNum>
  <w:abstractNum w:abstractNumId="54">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50" w:hanging="360"/>
      </w:pPr>
      <w:rPr>
        <w:rFonts w:hint="default"/>
        <w:lang w:val="en-US" w:eastAsia="en-US" w:bidi="ar-SA"/>
      </w:rPr>
    </w:lvl>
    <w:lvl w:ilvl="2">
      <w:start w:val="0"/>
      <w:numFmt w:val="bullet"/>
      <w:lvlText w:val="•"/>
      <w:lvlJc w:val="left"/>
      <w:pPr>
        <w:ind w:left="981" w:hanging="360"/>
      </w:pPr>
      <w:rPr>
        <w:rFonts w:hint="default"/>
        <w:lang w:val="en-US" w:eastAsia="en-US" w:bidi="ar-SA"/>
      </w:rPr>
    </w:lvl>
    <w:lvl w:ilvl="3">
      <w:start w:val="0"/>
      <w:numFmt w:val="bullet"/>
      <w:lvlText w:val="•"/>
      <w:lvlJc w:val="left"/>
      <w:pPr>
        <w:ind w:left="1112" w:hanging="360"/>
      </w:pPr>
      <w:rPr>
        <w:rFonts w:hint="default"/>
        <w:lang w:val="en-US" w:eastAsia="en-US" w:bidi="ar-SA"/>
      </w:rPr>
    </w:lvl>
    <w:lvl w:ilvl="4">
      <w:start w:val="0"/>
      <w:numFmt w:val="bullet"/>
      <w:lvlText w:val="•"/>
      <w:lvlJc w:val="left"/>
      <w:pPr>
        <w:ind w:left="1243" w:hanging="360"/>
      </w:pPr>
      <w:rPr>
        <w:rFonts w:hint="default"/>
        <w:lang w:val="en-US" w:eastAsia="en-US" w:bidi="ar-SA"/>
      </w:rPr>
    </w:lvl>
    <w:lvl w:ilvl="5">
      <w:start w:val="0"/>
      <w:numFmt w:val="bullet"/>
      <w:lvlText w:val="•"/>
      <w:lvlJc w:val="left"/>
      <w:pPr>
        <w:ind w:left="1374" w:hanging="360"/>
      </w:pPr>
      <w:rPr>
        <w:rFonts w:hint="default"/>
        <w:lang w:val="en-US" w:eastAsia="en-US" w:bidi="ar-SA"/>
      </w:rPr>
    </w:lvl>
    <w:lvl w:ilvl="6">
      <w:start w:val="0"/>
      <w:numFmt w:val="bullet"/>
      <w:lvlText w:val="•"/>
      <w:lvlJc w:val="left"/>
      <w:pPr>
        <w:ind w:left="1504" w:hanging="360"/>
      </w:pPr>
      <w:rPr>
        <w:rFonts w:hint="default"/>
        <w:lang w:val="en-US" w:eastAsia="en-US" w:bidi="ar-SA"/>
      </w:rPr>
    </w:lvl>
    <w:lvl w:ilvl="7">
      <w:start w:val="0"/>
      <w:numFmt w:val="bullet"/>
      <w:lvlText w:val="•"/>
      <w:lvlJc w:val="left"/>
      <w:pPr>
        <w:ind w:left="1635" w:hanging="360"/>
      </w:pPr>
      <w:rPr>
        <w:rFonts w:hint="default"/>
        <w:lang w:val="en-US" w:eastAsia="en-US" w:bidi="ar-SA"/>
      </w:rPr>
    </w:lvl>
    <w:lvl w:ilvl="8">
      <w:start w:val="0"/>
      <w:numFmt w:val="bullet"/>
      <w:lvlText w:val="•"/>
      <w:lvlJc w:val="left"/>
      <w:pPr>
        <w:ind w:left="1766" w:hanging="360"/>
      </w:pPr>
      <w:rPr>
        <w:rFonts w:hint="default"/>
        <w:lang w:val="en-US" w:eastAsia="en-US" w:bidi="ar-SA"/>
      </w:rPr>
    </w:lvl>
  </w:abstractNum>
  <w:abstractNum w:abstractNumId="53">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50" w:hanging="360"/>
      </w:pPr>
      <w:rPr>
        <w:rFonts w:hint="default"/>
        <w:lang w:val="en-US" w:eastAsia="en-US" w:bidi="ar-SA"/>
      </w:rPr>
    </w:lvl>
    <w:lvl w:ilvl="2">
      <w:start w:val="0"/>
      <w:numFmt w:val="bullet"/>
      <w:lvlText w:val="•"/>
      <w:lvlJc w:val="left"/>
      <w:pPr>
        <w:ind w:left="981" w:hanging="360"/>
      </w:pPr>
      <w:rPr>
        <w:rFonts w:hint="default"/>
        <w:lang w:val="en-US" w:eastAsia="en-US" w:bidi="ar-SA"/>
      </w:rPr>
    </w:lvl>
    <w:lvl w:ilvl="3">
      <w:start w:val="0"/>
      <w:numFmt w:val="bullet"/>
      <w:lvlText w:val="•"/>
      <w:lvlJc w:val="left"/>
      <w:pPr>
        <w:ind w:left="1112" w:hanging="360"/>
      </w:pPr>
      <w:rPr>
        <w:rFonts w:hint="default"/>
        <w:lang w:val="en-US" w:eastAsia="en-US" w:bidi="ar-SA"/>
      </w:rPr>
    </w:lvl>
    <w:lvl w:ilvl="4">
      <w:start w:val="0"/>
      <w:numFmt w:val="bullet"/>
      <w:lvlText w:val="•"/>
      <w:lvlJc w:val="left"/>
      <w:pPr>
        <w:ind w:left="1243" w:hanging="360"/>
      </w:pPr>
      <w:rPr>
        <w:rFonts w:hint="default"/>
        <w:lang w:val="en-US" w:eastAsia="en-US" w:bidi="ar-SA"/>
      </w:rPr>
    </w:lvl>
    <w:lvl w:ilvl="5">
      <w:start w:val="0"/>
      <w:numFmt w:val="bullet"/>
      <w:lvlText w:val="•"/>
      <w:lvlJc w:val="left"/>
      <w:pPr>
        <w:ind w:left="1374" w:hanging="360"/>
      </w:pPr>
      <w:rPr>
        <w:rFonts w:hint="default"/>
        <w:lang w:val="en-US" w:eastAsia="en-US" w:bidi="ar-SA"/>
      </w:rPr>
    </w:lvl>
    <w:lvl w:ilvl="6">
      <w:start w:val="0"/>
      <w:numFmt w:val="bullet"/>
      <w:lvlText w:val="•"/>
      <w:lvlJc w:val="left"/>
      <w:pPr>
        <w:ind w:left="1504" w:hanging="360"/>
      </w:pPr>
      <w:rPr>
        <w:rFonts w:hint="default"/>
        <w:lang w:val="en-US" w:eastAsia="en-US" w:bidi="ar-SA"/>
      </w:rPr>
    </w:lvl>
    <w:lvl w:ilvl="7">
      <w:start w:val="0"/>
      <w:numFmt w:val="bullet"/>
      <w:lvlText w:val="•"/>
      <w:lvlJc w:val="left"/>
      <w:pPr>
        <w:ind w:left="1635" w:hanging="360"/>
      </w:pPr>
      <w:rPr>
        <w:rFonts w:hint="default"/>
        <w:lang w:val="en-US" w:eastAsia="en-US" w:bidi="ar-SA"/>
      </w:rPr>
    </w:lvl>
    <w:lvl w:ilvl="8">
      <w:start w:val="0"/>
      <w:numFmt w:val="bullet"/>
      <w:lvlText w:val="•"/>
      <w:lvlJc w:val="left"/>
      <w:pPr>
        <w:ind w:left="1766" w:hanging="360"/>
      </w:pPr>
      <w:rPr>
        <w:rFonts w:hint="default"/>
        <w:lang w:val="en-US" w:eastAsia="en-US" w:bidi="ar-SA"/>
      </w:rPr>
    </w:lvl>
  </w:abstractNum>
  <w:abstractNum w:abstractNumId="52">
    <w:multiLevelType w:val="hybridMultilevel"/>
    <w:lvl w:ilvl="0">
      <w:start w:val="1"/>
      <w:numFmt w:val="decimal"/>
      <w:lvlText w:val="%1."/>
      <w:lvlJc w:val="left"/>
      <w:pPr>
        <w:ind w:left="23" w:hanging="141"/>
        <w:jc w:val="left"/>
      </w:pPr>
      <w:rPr>
        <w:rFonts w:hint="default" w:ascii="Calibri" w:hAnsi="Calibri" w:eastAsia="Calibri" w:cs="Calibri"/>
        <w:b/>
        <w:bCs/>
        <w:i w:val="0"/>
        <w:iCs w:val="0"/>
        <w:spacing w:val="-1"/>
        <w:w w:val="96"/>
        <w:sz w:val="16"/>
        <w:szCs w:val="16"/>
        <w:lang w:val="en-US" w:eastAsia="en-US" w:bidi="ar-SA"/>
      </w:rPr>
    </w:lvl>
    <w:lvl w:ilvl="1">
      <w:start w:val="0"/>
      <w:numFmt w:val="bullet"/>
      <w:lvlText w:val="•"/>
      <w:lvlJc w:val="left"/>
      <w:pPr>
        <w:ind w:left="1460" w:hanging="141"/>
      </w:pPr>
      <w:rPr>
        <w:rFonts w:hint="default"/>
        <w:lang w:val="en-US" w:eastAsia="en-US" w:bidi="ar-SA"/>
      </w:rPr>
    </w:lvl>
    <w:lvl w:ilvl="2">
      <w:start w:val="0"/>
      <w:numFmt w:val="bullet"/>
      <w:lvlText w:val="•"/>
      <w:lvlJc w:val="left"/>
      <w:pPr>
        <w:ind w:left="2901" w:hanging="141"/>
      </w:pPr>
      <w:rPr>
        <w:rFonts w:hint="default"/>
        <w:lang w:val="en-US" w:eastAsia="en-US" w:bidi="ar-SA"/>
      </w:rPr>
    </w:lvl>
    <w:lvl w:ilvl="3">
      <w:start w:val="0"/>
      <w:numFmt w:val="bullet"/>
      <w:lvlText w:val="•"/>
      <w:lvlJc w:val="left"/>
      <w:pPr>
        <w:ind w:left="4342" w:hanging="141"/>
      </w:pPr>
      <w:rPr>
        <w:rFonts w:hint="default"/>
        <w:lang w:val="en-US" w:eastAsia="en-US" w:bidi="ar-SA"/>
      </w:rPr>
    </w:lvl>
    <w:lvl w:ilvl="4">
      <w:start w:val="0"/>
      <w:numFmt w:val="bullet"/>
      <w:lvlText w:val="•"/>
      <w:lvlJc w:val="left"/>
      <w:pPr>
        <w:ind w:left="5783" w:hanging="141"/>
      </w:pPr>
      <w:rPr>
        <w:rFonts w:hint="default"/>
        <w:lang w:val="en-US" w:eastAsia="en-US" w:bidi="ar-SA"/>
      </w:rPr>
    </w:lvl>
    <w:lvl w:ilvl="5">
      <w:start w:val="0"/>
      <w:numFmt w:val="bullet"/>
      <w:lvlText w:val="•"/>
      <w:lvlJc w:val="left"/>
      <w:pPr>
        <w:ind w:left="7224" w:hanging="141"/>
      </w:pPr>
      <w:rPr>
        <w:rFonts w:hint="default"/>
        <w:lang w:val="en-US" w:eastAsia="en-US" w:bidi="ar-SA"/>
      </w:rPr>
    </w:lvl>
    <w:lvl w:ilvl="6">
      <w:start w:val="0"/>
      <w:numFmt w:val="bullet"/>
      <w:lvlText w:val="•"/>
      <w:lvlJc w:val="left"/>
      <w:pPr>
        <w:ind w:left="8665" w:hanging="141"/>
      </w:pPr>
      <w:rPr>
        <w:rFonts w:hint="default"/>
        <w:lang w:val="en-US" w:eastAsia="en-US" w:bidi="ar-SA"/>
      </w:rPr>
    </w:lvl>
    <w:lvl w:ilvl="7">
      <w:start w:val="0"/>
      <w:numFmt w:val="bullet"/>
      <w:lvlText w:val="•"/>
      <w:lvlJc w:val="left"/>
      <w:pPr>
        <w:ind w:left="10106" w:hanging="141"/>
      </w:pPr>
      <w:rPr>
        <w:rFonts w:hint="default"/>
        <w:lang w:val="en-US" w:eastAsia="en-US" w:bidi="ar-SA"/>
      </w:rPr>
    </w:lvl>
    <w:lvl w:ilvl="8">
      <w:start w:val="0"/>
      <w:numFmt w:val="bullet"/>
      <w:lvlText w:val="•"/>
      <w:lvlJc w:val="left"/>
      <w:pPr>
        <w:ind w:left="11547" w:hanging="141"/>
      </w:pPr>
      <w:rPr>
        <w:rFonts w:hint="default"/>
        <w:lang w:val="en-US" w:eastAsia="en-US" w:bidi="ar-SA"/>
      </w:rPr>
    </w:lvl>
  </w:abstractNum>
  <w:abstractNum w:abstractNumId="51">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61" w:hanging="360"/>
      </w:pPr>
      <w:rPr>
        <w:rFonts w:hint="default"/>
        <w:lang w:val="en-US" w:eastAsia="en-US" w:bidi="ar-SA"/>
      </w:rPr>
    </w:lvl>
    <w:lvl w:ilvl="2">
      <w:start w:val="0"/>
      <w:numFmt w:val="bullet"/>
      <w:lvlText w:val="•"/>
      <w:lvlJc w:val="left"/>
      <w:pPr>
        <w:ind w:left="1002" w:hanging="360"/>
      </w:pPr>
      <w:rPr>
        <w:rFonts w:hint="default"/>
        <w:lang w:val="en-US" w:eastAsia="en-US" w:bidi="ar-SA"/>
      </w:rPr>
    </w:lvl>
    <w:lvl w:ilvl="3">
      <w:start w:val="0"/>
      <w:numFmt w:val="bullet"/>
      <w:lvlText w:val="•"/>
      <w:lvlJc w:val="left"/>
      <w:pPr>
        <w:ind w:left="1143" w:hanging="360"/>
      </w:pPr>
      <w:rPr>
        <w:rFonts w:hint="default"/>
        <w:lang w:val="en-US" w:eastAsia="en-US" w:bidi="ar-SA"/>
      </w:rPr>
    </w:lvl>
    <w:lvl w:ilvl="4">
      <w:start w:val="0"/>
      <w:numFmt w:val="bullet"/>
      <w:lvlText w:val="•"/>
      <w:lvlJc w:val="left"/>
      <w:pPr>
        <w:ind w:left="1285" w:hanging="360"/>
      </w:pPr>
      <w:rPr>
        <w:rFonts w:hint="default"/>
        <w:lang w:val="en-US" w:eastAsia="en-US" w:bidi="ar-SA"/>
      </w:rPr>
    </w:lvl>
    <w:lvl w:ilvl="5">
      <w:start w:val="0"/>
      <w:numFmt w:val="bullet"/>
      <w:lvlText w:val="•"/>
      <w:lvlJc w:val="left"/>
      <w:pPr>
        <w:ind w:left="1426" w:hanging="360"/>
      </w:pPr>
      <w:rPr>
        <w:rFonts w:hint="default"/>
        <w:lang w:val="en-US" w:eastAsia="en-US" w:bidi="ar-SA"/>
      </w:rPr>
    </w:lvl>
    <w:lvl w:ilvl="6">
      <w:start w:val="0"/>
      <w:numFmt w:val="bullet"/>
      <w:lvlText w:val="•"/>
      <w:lvlJc w:val="left"/>
      <w:pPr>
        <w:ind w:left="1567" w:hanging="360"/>
      </w:pPr>
      <w:rPr>
        <w:rFonts w:hint="default"/>
        <w:lang w:val="en-US" w:eastAsia="en-US" w:bidi="ar-SA"/>
      </w:rPr>
    </w:lvl>
    <w:lvl w:ilvl="7">
      <w:start w:val="0"/>
      <w:numFmt w:val="bullet"/>
      <w:lvlText w:val="•"/>
      <w:lvlJc w:val="left"/>
      <w:pPr>
        <w:ind w:left="1709" w:hanging="360"/>
      </w:pPr>
      <w:rPr>
        <w:rFonts w:hint="default"/>
        <w:lang w:val="en-US" w:eastAsia="en-US" w:bidi="ar-SA"/>
      </w:rPr>
    </w:lvl>
    <w:lvl w:ilvl="8">
      <w:start w:val="0"/>
      <w:numFmt w:val="bullet"/>
      <w:lvlText w:val="•"/>
      <w:lvlJc w:val="left"/>
      <w:pPr>
        <w:ind w:left="1850" w:hanging="360"/>
      </w:pPr>
      <w:rPr>
        <w:rFonts w:hint="default"/>
        <w:lang w:val="en-US" w:eastAsia="en-US" w:bidi="ar-SA"/>
      </w:rPr>
    </w:lvl>
  </w:abstractNum>
  <w:abstractNum w:abstractNumId="50">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61" w:hanging="360"/>
      </w:pPr>
      <w:rPr>
        <w:rFonts w:hint="default"/>
        <w:lang w:val="en-US" w:eastAsia="en-US" w:bidi="ar-SA"/>
      </w:rPr>
    </w:lvl>
    <w:lvl w:ilvl="2">
      <w:start w:val="0"/>
      <w:numFmt w:val="bullet"/>
      <w:lvlText w:val="•"/>
      <w:lvlJc w:val="left"/>
      <w:pPr>
        <w:ind w:left="1002" w:hanging="360"/>
      </w:pPr>
      <w:rPr>
        <w:rFonts w:hint="default"/>
        <w:lang w:val="en-US" w:eastAsia="en-US" w:bidi="ar-SA"/>
      </w:rPr>
    </w:lvl>
    <w:lvl w:ilvl="3">
      <w:start w:val="0"/>
      <w:numFmt w:val="bullet"/>
      <w:lvlText w:val="•"/>
      <w:lvlJc w:val="left"/>
      <w:pPr>
        <w:ind w:left="1143" w:hanging="360"/>
      </w:pPr>
      <w:rPr>
        <w:rFonts w:hint="default"/>
        <w:lang w:val="en-US" w:eastAsia="en-US" w:bidi="ar-SA"/>
      </w:rPr>
    </w:lvl>
    <w:lvl w:ilvl="4">
      <w:start w:val="0"/>
      <w:numFmt w:val="bullet"/>
      <w:lvlText w:val="•"/>
      <w:lvlJc w:val="left"/>
      <w:pPr>
        <w:ind w:left="1285" w:hanging="360"/>
      </w:pPr>
      <w:rPr>
        <w:rFonts w:hint="default"/>
        <w:lang w:val="en-US" w:eastAsia="en-US" w:bidi="ar-SA"/>
      </w:rPr>
    </w:lvl>
    <w:lvl w:ilvl="5">
      <w:start w:val="0"/>
      <w:numFmt w:val="bullet"/>
      <w:lvlText w:val="•"/>
      <w:lvlJc w:val="left"/>
      <w:pPr>
        <w:ind w:left="1426" w:hanging="360"/>
      </w:pPr>
      <w:rPr>
        <w:rFonts w:hint="default"/>
        <w:lang w:val="en-US" w:eastAsia="en-US" w:bidi="ar-SA"/>
      </w:rPr>
    </w:lvl>
    <w:lvl w:ilvl="6">
      <w:start w:val="0"/>
      <w:numFmt w:val="bullet"/>
      <w:lvlText w:val="•"/>
      <w:lvlJc w:val="left"/>
      <w:pPr>
        <w:ind w:left="1567" w:hanging="360"/>
      </w:pPr>
      <w:rPr>
        <w:rFonts w:hint="default"/>
        <w:lang w:val="en-US" w:eastAsia="en-US" w:bidi="ar-SA"/>
      </w:rPr>
    </w:lvl>
    <w:lvl w:ilvl="7">
      <w:start w:val="0"/>
      <w:numFmt w:val="bullet"/>
      <w:lvlText w:val="•"/>
      <w:lvlJc w:val="left"/>
      <w:pPr>
        <w:ind w:left="1709" w:hanging="360"/>
      </w:pPr>
      <w:rPr>
        <w:rFonts w:hint="default"/>
        <w:lang w:val="en-US" w:eastAsia="en-US" w:bidi="ar-SA"/>
      </w:rPr>
    </w:lvl>
    <w:lvl w:ilvl="8">
      <w:start w:val="0"/>
      <w:numFmt w:val="bullet"/>
      <w:lvlText w:val="•"/>
      <w:lvlJc w:val="left"/>
      <w:pPr>
        <w:ind w:left="1850" w:hanging="360"/>
      </w:pPr>
      <w:rPr>
        <w:rFonts w:hint="default"/>
        <w:lang w:val="en-US" w:eastAsia="en-US" w:bidi="ar-SA"/>
      </w:rPr>
    </w:lvl>
  </w:abstractNum>
  <w:abstractNum w:abstractNumId="49">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61" w:hanging="360"/>
      </w:pPr>
      <w:rPr>
        <w:rFonts w:hint="default"/>
        <w:lang w:val="en-US" w:eastAsia="en-US" w:bidi="ar-SA"/>
      </w:rPr>
    </w:lvl>
    <w:lvl w:ilvl="2">
      <w:start w:val="0"/>
      <w:numFmt w:val="bullet"/>
      <w:lvlText w:val="•"/>
      <w:lvlJc w:val="left"/>
      <w:pPr>
        <w:ind w:left="1002" w:hanging="360"/>
      </w:pPr>
      <w:rPr>
        <w:rFonts w:hint="default"/>
        <w:lang w:val="en-US" w:eastAsia="en-US" w:bidi="ar-SA"/>
      </w:rPr>
    </w:lvl>
    <w:lvl w:ilvl="3">
      <w:start w:val="0"/>
      <w:numFmt w:val="bullet"/>
      <w:lvlText w:val="•"/>
      <w:lvlJc w:val="left"/>
      <w:pPr>
        <w:ind w:left="1143" w:hanging="360"/>
      </w:pPr>
      <w:rPr>
        <w:rFonts w:hint="default"/>
        <w:lang w:val="en-US" w:eastAsia="en-US" w:bidi="ar-SA"/>
      </w:rPr>
    </w:lvl>
    <w:lvl w:ilvl="4">
      <w:start w:val="0"/>
      <w:numFmt w:val="bullet"/>
      <w:lvlText w:val="•"/>
      <w:lvlJc w:val="left"/>
      <w:pPr>
        <w:ind w:left="1285" w:hanging="360"/>
      </w:pPr>
      <w:rPr>
        <w:rFonts w:hint="default"/>
        <w:lang w:val="en-US" w:eastAsia="en-US" w:bidi="ar-SA"/>
      </w:rPr>
    </w:lvl>
    <w:lvl w:ilvl="5">
      <w:start w:val="0"/>
      <w:numFmt w:val="bullet"/>
      <w:lvlText w:val="•"/>
      <w:lvlJc w:val="left"/>
      <w:pPr>
        <w:ind w:left="1426" w:hanging="360"/>
      </w:pPr>
      <w:rPr>
        <w:rFonts w:hint="default"/>
        <w:lang w:val="en-US" w:eastAsia="en-US" w:bidi="ar-SA"/>
      </w:rPr>
    </w:lvl>
    <w:lvl w:ilvl="6">
      <w:start w:val="0"/>
      <w:numFmt w:val="bullet"/>
      <w:lvlText w:val="•"/>
      <w:lvlJc w:val="left"/>
      <w:pPr>
        <w:ind w:left="1567" w:hanging="360"/>
      </w:pPr>
      <w:rPr>
        <w:rFonts w:hint="default"/>
        <w:lang w:val="en-US" w:eastAsia="en-US" w:bidi="ar-SA"/>
      </w:rPr>
    </w:lvl>
    <w:lvl w:ilvl="7">
      <w:start w:val="0"/>
      <w:numFmt w:val="bullet"/>
      <w:lvlText w:val="•"/>
      <w:lvlJc w:val="left"/>
      <w:pPr>
        <w:ind w:left="1709" w:hanging="360"/>
      </w:pPr>
      <w:rPr>
        <w:rFonts w:hint="default"/>
        <w:lang w:val="en-US" w:eastAsia="en-US" w:bidi="ar-SA"/>
      </w:rPr>
    </w:lvl>
    <w:lvl w:ilvl="8">
      <w:start w:val="0"/>
      <w:numFmt w:val="bullet"/>
      <w:lvlText w:val="•"/>
      <w:lvlJc w:val="left"/>
      <w:pPr>
        <w:ind w:left="1850" w:hanging="360"/>
      </w:pPr>
      <w:rPr>
        <w:rFonts w:hint="default"/>
        <w:lang w:val="en-US" w:eastAsia="en-US" w:bidi="ar-SA"/>
      </w:rPr>
    </w:lvl>
  </w:abstractNum>
  <w:abstractNum w:abstractNumId="48">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61" w:hanging="360"/>
      </w:pPr>
      <w:rPr>
        <w:rFonts w:hint="default"/>
        <w:lang w:val="en-US" w:eastAsia="en-US" w:bidi="ar-SA"/>
      </w:rPr>
    </w:lvl>
    <w:lvl w:ilvl="2">
      <w:start w:val="0"/>
      <w:numFmt w:val="bullet"/>
      <w:lvlText w:val="•"/>
      <w:lvlJc w:val="left"/>
      <w:pPr>
        <w:ind w:left="1002" w:hanging="360"/>
      </w:pPr>
      <w:rPr>
        <w:rFonts w:hint="default"/>
        <w:lang w:val="en-US" w:eastAsia="en-US" w:bidi="ar-SA"/>
      </w:rPr>
    </w:lvl>
    <w:lvl w:ilvl="3">
      <w:start w:val="0"/>
      <w:numFmt w:val="bullet"/>
      <w:lvlText w:val="•"/>
      <w:lvlJc w:val="left"/>
      <w:pPr>
        <w:ind w:left="1143" w:hanging="360"/>
      </w:pPr>
      <w:rPr>
        <w:rFonts w:hint="default"/>
        <w:lang w:val="en-US" w:eastAsia="en-US" w:bidi="ar-SA"/>
      </w:rPr>
    </w:lvl>
    <w:lvl w:ilvl="4">
      <w:start w:val="0"/>
      <w:numFmt w:val="bullet"/>
      <w:lvlText w:val="•"/>
      <w:lvlJc w:val="left"/>
      <w:pPr>
        <w:ind w:left="1285" w:hanging="360"/>
      </w:pPr>
      <w:rPr>
        <w:rFonts w:hint="default"/>
        <w:lang w:val="en-US" w:eastAsia="en-US" w:bidi="ar-SA"/>
      </w:rPr>
    </w:lvl>
    <w:lvl w:ilvl="5">
      <w:start w:val="0"/>
      <w:numFmt w:val="bullet"/>
      <w:lvlText w:val="•"/>
      <w:lvlJc w:val="left"/>
      <w:pPr>
        <w:ind w:left="1426" w:hanging="360"/>
      </w:pPr>
      <w:rPr>
        <w:rFonts w:hint="default"/>
        <w:lang w:val="en-US" w:eastAsia="en-US" w:bidi="ar-SA"/>
      </w:rPr>
    </w:lvl>
    <w:lvl w:ilvl="6">
      <w:start w:val="0"/>
      <w:numFmt w:val="bullet"/>
      <w:lvlText w:val="•"/>
      <w:lvlJc w:val="left"/>
      <w:pPr>
        <w:ind w:left="1567" w:hanging="360"/>
      </w:pPr>
      <w:rPr>
        <w:rFonts w:hint="default"/>
        <w:lang w:val="en-US" w:eastAsia="en-US" w:bidi="ar-SA"/>
      </w:rPr>
    </w:lvl>
    <w:lvl w:ilvl="7">
      <w:start w:val="0"/>
      <w:numFmt w:val="bullet"/>
      <w:lvlText w:val="•"/>
      <w:lvlJc w:val="left"/>
      <w:pPr>
        <w:ind w:left="1709" w:hanging="360"/>
      </w:pPr>
      <w:rPr>
        <w:rFonts w:hint="default"/>
        <w:lang w:val="en-US" w:eastAsia="en-US" w:bidi="ar-SA"/>
      </w:rPr>
    </w:lvl>
    <w:lvl w:ilvl="8">
      <w:start w:val="0"/>
      <w:numFmt w:val="bullet"/>
      <w:lvlText w:val="•"/>
      <w:lvlJc w:val="left"/>
      <w:pPr>
        <w:ind w:left="1850" w:hanging="360"/>
      </w:pPr>
      <w:rPr>
        <w:rFonts w:hint="default"/>
        <w:lang w:val="en-US" w:eastAsia="en-US" w:bidi="ar-SA"/>
      </w:rPr>
    </w:lvl>
  </w:abstractNum>
  <w:abstractNum w:abstractNumId="47">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61" w:hanging="360"/>
      </w:pPr>
      <w:rPr>
        <w:rFonts w:hint="default"/>
        <w:lang w:val="en-US" w:eastAsia="en-US" w:bidi="ar-SA"/>
      </w:rPr>
    </w:lvl>
    <w:lvl w:ilvl="2">
      <w:start w:val="0"/>
      <w:numFmt w:val="bullet"/>
      <w:lvlText w:val="•"/>
      <w:lvlJc w:val="left"/>
      <w:pPr>
        <w:ind w:left="1002" w:hanging="360"/>
      </w:pPr>
      <w:rPr>
        <w:rFonts w:hint="default"/>
        <w:lang w:val="en-US" w:eastAsia="en-US" w:bidi="ar-SA"/>
      </w:rPr>
    </w:lvl>
    <w:lvl w:ilvl="3">
      <w:start w:val="0"/>
      <w:numFmt w:val="bullet"/>
      <w:lvlText w:val="•"/>
      <w:lvlJc w:val="left"/>
      <w:pPr>
        <w:ind w:left="1143" w:hanging="360"/>
      </w:pPr>
      <w:rPr>
        <w:rFonts w:hint="default"/>
        <w:lang w:val="en-US" w:eastAsia="en-US" w:bidi="ar-SA"/>
      </w:rPr>
    </w:lvl>
    <w:lvl w:ilvl="4">
      <w:start w:val="0"/>
      <w:numFmt w:val="bullet"/>
      <w:lvlText w:val="•"/>
      <w:lvlJc w:val="left"/>
      <w:pPr>
        <w:ind w:left="1285" w:hanging="360"/>
      </w:pPr>
      <w:rPr>
        <w:rFonts w:hint="default"/>
        <w:lang w:val="en-US" w:eastAsia="en-US" w:bidi="ar-SA"/>
      </w:rPr>
    </w:lvl>
    <w:lvl w:ilvl="5">
      <w:start w:val="0"/>
      <w:numFmt w:val="bullet"/>
      <w:lvlText w:val="•"/>
      <w:lvlJc w:val="left"/>
      <w:pPr>
        <w:ind w:left="1426" w:hanging="360"/>
      </w:pPr>
      <w:rPr>
        <w:rFonts w:hint="default"/>
        <w:lang w:val="en-US" w:eastAsia="en-US" w:bidi="ar-SA"/>
      </w:rPr>
    </w:lvl>
    <w:lvl w:ilvl="6">
      <w:start w:val="0"/>
      <w:numFmt w:val="bullet"/>
      <w:lvlText w:val="•"/>
      <w:lvlJc w:val="left"/>
      <w:pPr>
        <w:ind w:left="1567" w:hanging="360"/>
      </w:pPr>
      <w:rPr>
        <w:rFonts w:hint="default"/>
        <w:lang w:val="en-US" w:eastAsia="en-US" w:bidi="ar-SA"/>
      </w:rPr>
    </w:lvl>
    <w:lvl w:ilvl="7">
      <w:start w:val="0"/>
      <w:numFmt w:val="bullet"/>
      <w:lvlText w:val="•"/>
      <w:lvlJc w:val="left"/>
      <w:pPr>
        <w:ind w:left="1709" w:hanging="360"/>
      </w:pPr>
      <w:rPr>
        <w:rFonts w:hint="default"/>
        <w:lang w:val="en-US" w:eastAsia="en-US" w:bidi="ar-SA"/>
      </w:rPr>
    </w:lvl>
    <w:lvl w:ilvl="8">
      <w:start w:val="0"/>
      <w:numFmt w:val="bullet"/>
      <w:lvlText w:val="•"/>
      <w:lvlJc w:val="left"/>
      <w:pPr>
        <w:ind w:left="1850" w:hanging="360"/>
      </w:pPr>
      <w:rPr>
        <w:rFonts w:hint="default"/>
        <w:lang w:val="en-US" w:eastAsia="en-US" w:bidi="ar-SA"/>
      </w:rPr>
    </w:lvl>
  </w:abstractNum>
  <w:abstractNum w:abstractNumId="46">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61" w:hanging="360"/>
      </w:pPr>
      <w:rPr>
        <w:rFonts w:hint="default"/>
        <w:lang w:val="en-US" w:eastAsia="en-US" w:bidi="ar-SA"/>
      </w:rPr>
    </w:lvl>
    <w:lvl w:ilvl="2">
      <w:start w:val="0"/>
      <w:numFmt w:val="bullet"/>
      <w:lvlText w:val="•"/>
      <w:lvlJc w:val="left"/>
      <w:pPr>
        <w:ind w:left="1002" w:hanging="360"/>
      </w:pPr>
      <w:rPr>
        <w:rFonts w:hint="default"/>
        <w:lang w:val="en-US" w:eastAsia="en-US" w:bidi="ar-SA"/>
      </w:rPr>
    </w:lvl>
    <w:lvl w:ilvl="3">
      <w:start w:val="0"/>
      <w:numFmt w:val="bullet"/>
      <w:lvlText w:val="•"/>
      <w:lvlJc w:val="left"/>
      <w:pPr>
        <w:ind w:left="1143" w:hanging="360"/>
      </w:pPr>
      <w:rPr>
        <w:rFonts w:hint="default"/>
        <w:lang w:val="en-US" w:eastAsia="en-US" w:bidi="ar-SA"/>
      </w:rPr>
    </w:lvl>
    <w:lvl w:ilvl="4">
      <w:start w:val="0"/>
      <w:numFmt w:val="bullet"/>
      <w:lvlText w:val="•"/>
      <w:lvlJc w:val="left"/>
      <w:pPr>
        <w:ind w:left="1285" w:hanging="360"/>
      </w:pPr>
      <w:rPr>
        <w:rFonts w:hint="default"/>
        <w:lang w:val="en-US" w:eastAsia="en-US" w:bidi="ar-SA"/>
      </w:rPr>
    </w:lvl>
    <w:lvl w:ilvl="5">
      <w:start w:val="0"/>
      <w:numFmt w:val="bullet"/>
      <w:lvlText w:val="•"/>
      <w:lvlJc w:val="left"/>
      <w:pPr>
        <w:ind w:left="1426" w:hanging="360"/>
      </w:pPr>
      <w:rPr>
        <w:rFonts w:hint="default"/>
        <w:lang w:val="en-US" w:eastAsia="en-US" w:bidi="ar-SA"/>
      </w:rPr>
    </w:lvl>
    <w:lvl w:ilvl="6">
      <w:start w:val="0"/>
      <w:numFmt w:val="bullet"/>
      <w:lvlText w:val="•"/>
      <w:lvlJc w:val="left"/>
      <w:pPr>
        <w:ind w:left="1567" w:hanging="360"/>
      </w:pPr>
      <w:rPr>
        <w:rFonts w:hint="default"/>
        <w:lang w:val="en-US" w:eastAsia="en-US" w:bidi="ar-SA"/>
      </w:rPr>
    </w:lvl>
    <w:lvl w:ilvl="7">
      <w:start w:val="0"/>
      <w:numFmt w:val="bullet"/>
      <w:lvlText w:val="•"/>
      <w:lvlJc w:val="left"/>
      <w:pPr>
        <w:ind w:left="1709" w:hanging="360"/>
      </w:pPr>
      <w:rPr>
        <w:rFonts w:hint="default"/>
        <w:lang w:val="en-US" w:eastAsia="en-US" w:bidi="ar-SA"/>
      </w:rPr>
    </w:lvl>
    <w:lvl w:ilvl="8">
      <w:start w:val="0"/>
      <w:numFmt w:val="bullet"/>
      <w:lvlText w:val="•"/>
      <w:lvlJc w:val="left"/>
      <w:pPr>
        <w:ind w:left="1850" w:hanging="360"/>
      </w:pPr>
      <w:rPr>
        <w:rFonts w:hint="default"/>
        <w:lang w:val="en-US" w:eastAsia="en-US" w:bidi="ar-SA"/>
      </w:rPr>
    </w:lvl>
  </w:abstractNum>
  <w:abstractNum w:abstractNumId="45">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61" w:hanging="360"/>
      </w:pPr>
      <w:rPr>
        <w:rFonts w:hint="default"/>
        <w:lang w:val="en-US" w:eastAsia="en-US" w:bidi="ar-SA"/>
      </w:rPr>
    </w:lvl>
    <w:lvl w:ilvl="2">
      <w:start w:val="0"/>
      <w:numFmt w:val="bullet"/>
      <w:lvlText w:val="•"/>
      <w:lvlJc w:val="left"/>
      <w:pPr>
        <w:ind w:left="1002" w:hanging="360"/>
      </w:pPr>
      <w:rPr>
        <w:rFonts w:hint="default"/>
        <w:lang w:val="en-US" w:eastAsia="en-US" w:bidi="ar-SA"/>
      </w:rPr>
    </w:lvl>
    <w:lvl w:ilvl="3">
      <w:start w:val="0"/>
      <w:numFmt w:val="bullet"/>
      <w:lvlText w:val="•"/>
      <w:lvlJc w:val="left"/>
      <w:pPr>
        <w:ind w:left="1143" w:hanging="360"/>
      </w:pPr>
      <w:rPr>
        <w:rFonts w:hint="default"/>
        <w:lang w:val="en-US" w:eastAsia="en-US" w:bidi="ar-SA"/>
      </w:rPr>
    </w:lvl>
    <w:lvl w:ilvl="4">
      <w:start w:val="0"/>
      <w:numFmt w:val="bullet"/>
      <w:lvlText w:val="•"/>
      <w:lvlJc w:val="left"/>
      <w:pPr>
        <w:ind w:left="1285" w:hanging="360"/>
      </w:pPr>
      <w:rPr>
        <w:rFonts w:hint="default"/>
        <w:lang w:val="en-US" w:eastAsia="en-US" w:bidi="ar-SA"/>
      </w:rPr>
    </w:lvl>
    <w:lvl w:ilvl="5">
      <w:start w:val="0"/>
      <w:numFmt w:val="bullet"/>
      <w:lvlText w:val="•"/>
      <w:lvlJc w:val="left"/>
      <w:pPr>
        <w:ind w:left="1426" w:hanging="360"/>
      </w:pPr>
      <w:rPr>
        <w:rFonts w:hint="default"/>
        <w:lang w:val="en-US" w:eastAsia="en-US" w:bidi="ar-SA"/>
      </w:rPr>
    </w:lvl>
    <w:lvl w:ilvl="6">
      <w:start w:val="0"/>
      <w:numFmt w:val="bullet"/>
      <w:lvlText w:val="•"/>
      <w:lvlJc w:val="left"/>
      <w:pPr>
        <w:ind w:left="1567" w:hanging="360"/>
      </w:pPr>
      <w:rPr>
        <w:rFonts w:hint="default"/>
        <w:lang w:val="en-US" w:eastAsia="en-US" w:bidi="ar-SA"/>
      </w:rPr>
    </w:lvl>
    <w:lvl w:ilvl="7">
      <w:start w:val="0"/>
      <w:numFmt w:val="bullet"/>
      <w:lvlText w:val="•"/>
      <w:lvlJc w:val="left"/>
      <w:pPr>
        <w:ind w:left="1709" w:hanging="360"/>
      </w:pPr>
      <w:rPr>
        <w:rFonts w:hint="default"/>
        <w:lang w:val="en-US" w:eastAsia="en-US" w:bidi="ar-SA"/>
      </w:rPr>
    </w:lvl>
    <w:lvl w:ilvl="8">
      <w:start w:val="0"/>
      <w:numFmt w:val="bullet"/>
      <w:lvlText w:val="•"/>
      <w:lvlJc w:val="left"/>
      <w:pPr>
        <w:ind w:left="1850" w:hanging="360"/>
      </w:pPr>
      <w:rPr>
        <w:rFonts w:hint="default"/>
        <w:lang w:val="en-US" w:eastAsia="en-US" w:bidi="ar-SA"/>
      </w:rPr>
    </w:lvl>
  </w:abstractNum>
  <w:abstractNum w:abstractNumId="44">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61" w:hanging="360"/>
      </w:pPr>
      <w:rPr>
        <w:rFonts w:hint="default"/>
        <w:lang w:val="en-US" w:eastAsia="en-US" w:bidi="ar-SA"/>
      </w:rPr>
    </w:lvl>
    <w:lvl w:ilvl="2">
      <w:start w:val="0"/>
      <w:numFmt w:val="bullet"/>
      <w:lvlText w:val="•"/>
      <w:lvlJc w:val="left"/>
      <w:pPr>
        <w:ind w:left="1002" w:hanging="360"/>
      </w:pPr>
      <w:rPr>
        <w:rFonts w:hint="default"/>
        <w:lang w:val="en-US" w:eastAsia="en-US" w:bidi="ar-SA"/>
      </w:rPr>
    </w:lvl>
    <w:lvl w:ilvl="3">
      <w:start w:val="0"/>
      <w:numFmt w:val="bullet"/>
      <w:lvlText w:val="•"/>
      <w:lvlJc w:val="left"/>
      <w:pPr>
        <w:ind w:left="1143" w:hanging="360"/>
      </w:pPr>
      <w:rPr>
        <w:rFonts w:hint="default"/>
        <w:lang w:val="en-US" w:eastAsia="en-US" w:bidi="ar-SA"/>
      </w:rPr>
    </w:lvl>
    <w:lvl w:ilvl="4">
      <w:start w:val="0"/>
      <w:numFmt w:val="bullet"/>
      <w:lvlText w:val="•"/>
      <w:lvlJc w:val="left"/>
      <w:pPr>
        <w:ind w:left="1285" w:hanging="360"/>
      </w:pPr>
      <w:rPr>
        <w:rFonts w:hint="default"/>
        <w:lang w:val="en-US" w:eastAsia="en-US" w:bidi="ar-SA"/>
      </w:rPr>
    </w:lvl>
    <w:lvl w:ilvl="5">
      <w:start w:val="0"/>
      <w:numFmt w:val="bullet"/>
      <w:lvlText w:val="•"/>
      <w:lvlJc w:val="left"/>
      <w:pPr>
        <w:ind w:left="1426" w:hanging="360"/>
      </w:pPr>
      <w:rPr>
        <w:rFonts w:hint="default"/>
        <w:lang w:val="en-US" w:eastAsia="en-US" w:bidi="ar-SA"/>
      </w:rPr>
    </w:lvl>
    <w:lvl w:ilvl="6">
      <w:start w:val="0"/>
      <w:numFmt w:val="bullet"/>
      <w:lvlText w:val="•"/>
      <w:lvlJc w:val="left"/>
      <w:pPr>
        <w:ind w:left="1567" w:hanging="360"/>
      </w:pPr>
      <w:rPr>
        <w:rFonts w:hint="default"/>
        <w:lang w:val="en-US" w:eastAsia="en-US" w:bidi="ar-SA"/>
      </w:rPr>
    </w:lvl>
    <w:lvl w:ilvl="7">
      <w:start w:val="0"/>
      <w:numFmt w:val="bullet"/>
      <w:lvlText w:val="•"/>
      <w:lvlJc w:val="left"/>
      <w:pPr>
        <w:ind w:left="1709" w:hanging="360"/>
      </w:pPr>
      <w:rPr>
        <w:rFonts w:hint="default"/>
        <w:lang w:val="en-US" w:eastAsia="en-US" w:bidi="ar-SA"/>
      </w:rPr>
    </w:lvl>
    <w:lvl w:ilvl="8">
      <w:start w:val="0"/>
      <w:numFmt w:val="bullet"/>
      <w:lvlText w:val="•"/>
      <w:lvlJc w:val="left"/>
      <w:pPr>
        <w:ind w:left="1850" w:hanging="360"/>
      </w:pPr>
      <w:rPr>
        <w:rFonts w:hint="default"/>
        <w:lang w:val="en-US" w:eastAsia="en-US" w:bidi="ar-SA"/>
      </w:rPr>
    </w:lvl>
  </w:abstractNum>
  <w:abstractNum w:abstractNumId="43">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61" w:hanging="360"/>
      </w:pPr>
      <w:rPr>
        <w:rFonts w:hint="default"/>
        <w:lang w:val="en-US" w:eastAsia="en-US" w:bidi="ar-SA"/>
      </w:rPr>
    </w:lvl>
    <w:lvl w:ilvl="2">
      <w:start w:val="0"/>
      <w:numFmt w:val="bullet"/>
      <w:lvlText w:val="•"/>
      <w:lvlJc w:val="left"/>
      <w:pPr>
        <w:ind w:left="1002" w:hanging="360"/>
      </w:pPr>
      <w:rPr>
        <w:rFonts w:hint="default"/>
        <w:lang w:val="en-US" w:eastAsia="en-US" w:bidi="ar-SA"/>
      </w:rPr>
    </w:lvl>
    <w:lvl w:ilvl="3">
      <w:start w:val="0"/>
      <w:numFmt w:val="bullet"/>
      <w:lvlText w:val="•"/>
      <w:lvlJc w:val="left"/>
      <w:pPr>
        <w:ind w:left="1143" w:hanging="360"/>
      </w:pPr>
      <w:rPr>
        <w:rFonts w:hint="default"/>
        <w:lang w:val="en-US" w:eastAsia="en-US" w:bidi="ar-SA"/>
      </w:rPr>
    </w:lvl>
    <w:lvl w:ilvl="4">
      <w:start w:val="0"/>
      <w:numFmt w:val="bullet"/>
      <w:lvlText w:val="•"/>
      <w:lvlJc w:val="left"/>
      <w:pPr>
        <w:ind w:left="1285" w:hanging="360"/>
      </w:pPr>
      <w:rPr>
        <w:rFonts w:hint="default"/>
        <w:lang w:val="en-US" w:eastAsia="en-US" w:bidi="ar-SA"/>
      </w:rPr>
    </w:lvl>
    <w:lvl w:ilvl="5">
      <w:start w:val="0"/>
      <w:numFmt w:val="bullet"/>
      <w:lvlText w:val="•"/>
      <w:lvlJc w:val="left"/>
      <w:pPr>
        <w:ind w:left="1426" w:hanging="360"/>
      </w:pPr>
      <w:rPr>
        <w:rFonts w:hint="default"/>
        <w:lang w:val="en-US" w:eastAsia="en-US" w:bidi="ar-SA"/>
      </w:rPr>
    </w:lvl>
    <w:lvl w:ilvl="6">
      <w:start w:val="0"/>
      <w:numFmt w:val="bullet"/>
      <w:lvlText w:val="•"/>
      <w:lvlJc w:val="left"/>
      <w:pPr>
        <w:ind w:left="1567" w:hanging="360"/>
      </w:pPr>
      <w:rPr>
        <w:rFonts w:hint="default"/>
        <w:lang w:val="en-US" w:eastAsia="en-US" w:bidi="ar-SA"/>
      </w:rPr>
    </w:lvl>
    <w:lvl w:ilvl="7">
      <w:start w:val="0"/>
      <w:numFmt w:val="bullet"/>
      <w:lvlText w:val="•"/>
      <w:lvlJc w:val="left"/>
      <w:pPr>
        <w:ind w:left="1709" w:hanging="360"/>
      </w:pPr>
      <w:rPr>
        <w:rFonts w:hint="default"/>
        <w:lang w:val="en-US" w:eastAsia="en-US" w:bidi="ar-SA"/>
      </w:rPr>
    </w:lvl>
    <w:lvl w:ilvl="8">
      <w:start w:val="0"/>
      <w:numFmt w:val="bullet"/>
      <w:lvlText w:val="•"/>
      <w:lvlJc w:val="left"/>
      <w:pPr>
        <w:ind w:left="1850" w:hanging="360"/>
      </w:pPr>
      <w:rPr>
        <w:rFonts w:hint="default"/>
        <w:lang w:val="en-US" w:eastAsia="en-US" w:bidi="ar-SA"/>
      </w:rPr>
    </w:lvl>
  </w:abstractNum>
  <w:abstractNum w:abstractNumId="42">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61" w:hanging="360"/>
      </w:pPr>
      <w:rPr>
        <w:rFonts w:hint="default"/>
        <w:lang w:val="en-US" w:eastAsia="en-US" w:bidi="ar-SA"/>
      </w:rPr>
    </w:lvl>
    <w:lvl w:ilvl="2">
      <w:start w:val="0"/>
      <w:numFmt w:val="bullet"/>
      <w:lvlText w:val="•"/>
      <w:lvlJc w:val="left"/>
      <w:pPr>
        <w:ind w:left="1002" w:hanging="360"/>
      </w:pPr>
      <w:rPr>
        <w:rFonts w:hint="default"/>
        <w:lang w:val="en-US" w:eastAsia="en-US" w:bidi="ar-SA"/>
      </w:rPr>
    </w:lvl>
    <w:lvl w:ilvl="3">
      <w:start w:val="0"/>
      <w:numFmt w:val="bullet"/>
      <w:lvlText w:val="•"/>
      <w:lvlJc w:val="left"/>
      <w:pPr>
        <w:ind w:left="1143" w:hanging="360"/>
      </w:pPr>
      <w:rPr>
        <w:rFonts w:hint="default"/>
        <w:lang w:val="en-US" w:eastAsia="en-US" w:bidi="ar-SA"/>
      </w:rPr>
    </w:lvl>
    <w:lvl w:ilvl="4">
      <w:start w:val="0"/>
      <w:numFmt w:val="bullet"/>
      <w:lvlText w:val="•"/>
      <w:lvlJc w:val="left"/>
      <w:pPr>
        <w:ind w:left="1285" w:hanging="360"/>
      </w:pPr>
      <w:rPr>
        <w:rFonts w:hint="default"/>
        <w:lang w:val="en-US" w:eastAsia="en-US" w:bidi="ar-SA"/>
      </w:rPr>
    </w:lvl>
    <w:lvl w:ilvl="5">
      <w:start w:val="0"/>
      <w:numFmt w:val="bullet"/>
      <w:lvlText w:val="•"/>
      <w:lvlJc w:val="left"/>
      <w:pPr>
        <w:ind w:left="1426" w:hanging="360"/>
      </w:pPr>
      <w:rPr>
        <w:rFonts w:hint="default"/>
        <w:lang w:val="en-US" w:eastAsia="en-US" w:bidi="ar-SA"/>
      </w:rPr>
    </w:lvl>
    <w:lvl w:ilvl="6">
      <w:start w:val="0"/>
      <w:numFmt w:val="bullet"/>
      <w:lvlText w:val="•"/>
      <w:lvlJc w:val="left"/>
      <w:pPr>
        <w:ind w:left="1567" w:hanging="360"/>
      </w:pPr>
      <w:rPr>
        <w:rFonts w:hint="default"/>
        <w:lang w:val="en-US" w:eastAsia="en-US" w:bidi="ar-SA"/>
      </w:rPr>
    </w:lvl>
    <w:lvl w:ilvl="7">
      <w:start w:val="0"/>
      <w:numFmt w:val="bullet"/>
      <w:lvlText w:val="•"/>
      <w:lvlJc w:val="left"/>
      <w:pPr>
        <w:ind w:left="1709" w:hanging="360"/>
      </w:pPr>
      <w:rPr>
        <w:rFonts w:hint="default"/>
        <w:lang w:val="en-US" w:eastAsia="en-US" w:bidi="ar-SA"/>
      </w:rPr>
    </w:lvl>
    <w:lvl w:ilvl="8">
      <w:start w:val="0"/>
      <w:numFmt w:val="bullet"/>
      <w:lvlText w:val="•"/>
      <w:lvlJc w:val="left"/>
      <w:pPr>
        <w:ind w:left="1850" w:hanging="360"/>
      </w:pPr>
      <w:rPr>
        <w:rFonts w:hint="default"/>
        <w:lang w:val="en-US" w:eastAsia="en-US" w:bidi="ar-SA"/>
      </w:rPr>
    </w:lvl>
  </w:abstractNum>
  <w:abstractNum w:abstractNumId="41">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61" w:hanging="360"/>
      </w:pPr>
      <w:rPr>
        <w:rFonts w:hint="default"/>
        <w:lang w:val="en-US" w:eastAsia="en-US" w:bidi="ar-SA"/>
      </w:rPr>
    </w:lvl>
    <w:lvl w:ilvl="2">
      <w:start w:val="0"/>
      <w:numFmt w:val="bullet"/>
      <w:lvlText w:val="•"/>
      <w:lvlJc w:val="left"/>
      <w:pPr>
        <w:ind w:left="1002" w:hanging="360"/>
      </w:pPr>
      <w:rPr>
        <w:rFonts w:hint="default"/>
        <w:lang w:val="en-US" w:eastAsia="en-US" w:bidi="ar-SA"/>
      </w:rPr>
    </w:lvl>
    <w:lvl w:ilvl="3">
      <w:start w:val="0"/>
      <w:numFmt w:val="bullet"/>
      <w:lvlText w:val="•"/>
      <w:lvlJc w:val="left"/>
      <w:pPr>
        <w:ind w:left="1143" w:hanging="360"/>
      </w:pPr>
      <w:rPr>
        <w:rFonts w:hint="default"/>
        <w:lang w:val="en-US" w:eastAsia="en-US" w:bidi="ar-SA"/>
      </w:rPr>
    </w:lvl>
    <w:lvl w:ilvl="4">
      <w:start w:val="0"/>
      <w:numFmt w:val="bullet"/>
      <w:lvlText w:val="•"/>
      <w:lvlJc w:val="left"/>
      <w:pPr>
        <w:ind w:left="1285" w:hanging="360"/>
      </w:pPr>
      <w:rPr>
        <w:rFonts w:hint="default"/>
        <w:lang w:val="en-US" w:eastAsia="en-US" w:bidi="ar-SA"/>
      </w:rPr>
    </w:lvl>
    <w:lvl w:ilvl="5">
      <w:start w:val="0"/>
      <w:numFmt w:val="bullet"/>
      <w:lvlText w:val="•"/>
      <w:lvlJc w:val="left"/>
      <w:pPr>
        <w:ind w:left="1426" w:hanging="360"/>
      </w:pPr>
      <w:rPr>
        <w:rFonts w:hint="default"/>
        <w:lang w:val="en-US" w:eastAsia="en-US" w:bidi="ar-SA"/>
      </w:rPr>
    </w:lvl>
    <w:lvl w:ilvl="6">
      <w:start w:val="0"/>
      <w:numFmt w:val="bullet"/>
      <w:lvlText w:val="•"/>
      <w:lvlJc w:val="left"/>
      <w:pPr>
        <w:ind w:left="1567" w:hanging="360"/>
      </w:pPr>
      <w:rPr>
        <w:rFonts w:hint="default"/>
        <w:lang w:val="en-US" w:eastAsia="en-US" w:bidi="ar-SA"/>
      </w:rPr>
    </w:lvl>
    <w:lvl w:ilvl="7">
      <w:start w:val="0"/>
      <w:numFmt w:val="bullet"/>
      <w:lvlText w:val="•"/>
      <w:lvlJc w:val="left"/>
      <w:pPr>
        <w:ind w:left="1709" w:hanging="360"/>
      </w:pPr>
      <w:rPr>
        <w:rFonts w:hint="default"/>
        <w:lang w:val="en-US" w:eastAsia="en-US" w:bidi="ar-SA"/>
      </w:rPr>
    </w:lvl>
    <w:lvl w:ilvl="8">
      <w:start w:val="0"/>
      <w:numFmt w:val="bullet"/>
      <w:lvlText w:val="•"/>
      <w:lvlJc w:val="left"/>
      <w:pPr>
        <w:ind w:left="1850" w:hanging="360"/>
      </w:pPr>
      <w:rPr>
        <w:rFonts w:hint="default"/>
        <w:lang w:val="en-US" w:eastAsia="en-US" w:bidi="ar-SA"/>
      </w:rPr>
    </w:lvl>
  </w:abstractNum>
  <w:abstractNum w:abstractNumId="40">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61" w:hanging="360"/>
      </w:pPr>
      <w:rPr>
        <w:rFonts w:hint="default"/>
        <w:lang w:val="en-US" w:eastAsia="en-US" w:bidi="ar-SA"/>
      </w:rPr>
    </w:lvl>
    <w:lvl w:ilvl="2">
      <w:start w:val="0"/>
      <w:numFmt w:val="bullet"/>
      <w:lvlText w:val="•"/>
      <w:lvlJc w:val="left"/>
      <w:pPr>
        <w:ind w:left="1002" w:hanging="360"/>
      </w:pPr>
      <w:rPr>
        <w:rFonts w:hint="default"/>
        <w:lang w:val="en-US" w:eastAsia="en-US" w:bidi="ar-SA"/>
      </w:rPr>
    </w:lvl>
    <w:lvl w:ilvl="3">
      <w:start w:val="0"/>
      <w:numFmt w:val="bullet"/>
      <w:lvlText w:val="•"/>
      <w:lvlJc w:val="left"/>
      <w:pPr>
        <w:ind w:left="1143" w:hanging="360"/>
      </w:pPr>
      <w:rPr>
        <w:rFonts w:hint="default"/>
        <w:lang w:val="en-US" w:eastAsia="en-US" w:bidi="ar-SA"/>
      </w:rPr>
    </w:lvl>
    <w:lvl w:ilvl="4">
      <w:start w:val="0"/>
      <w:numFmt w:val="bullet"/>
      <w:lvlText w:val="•"/>
      <w:lvlJc w:val="left"/>
      <w:pPr>
        <w:ind w:left="1285" w:hanging="360"/>
      </w:pPr>
      <w:rPr>
        <w:rFonts w:hint="default"/>
        <w:lang w:val="en-US" w:eastAsia="en-US" w:bidi="ar-SA"/>
      </w:rPr>
    </w:lvl>
    <w:lvl w:ilvl="5">
      <w:start w:val="0"/>
      <w:numFmt w:val="bullet"/>
      <w:lvlText w:val="•"/>
      <w:lvlJc w:val="left"/>
      <w:pPr>
        <w:ind w:left="1426" w:hanging="360"/>
      </w:pPr>
      <w:rPr>
        <w:rFonts w:hint="default"/>
        <w:lang w:val="en-US" w:eastAsia="en-US" w:bidi="ar-SA"/>
      </w:rPr>
    </w:lvl>
    <w:lvl w:ilvl="6">
      <w:start w:val="0"/>
      <w:numFmt w:val="bullet"/>
      <w:lvlText w:val="•"/>
      <w:lvlJc w:val="left"/>
      <w:pPr>
        <w:ind w:left="1567" w:hanging="360"/>
      </w:pPr>
      <w:rPr>
        <w:rFonts w:hint="default"/>
        <w:lang w:val="en-US" w:eastAsia="en-US" w:bidi="ar-SA"/>
      </w:rPr>
    </w:lvl>
    <w:lvl w:ilvl="7">
      <w:start w:val="0"/>
      <w:numFmt w:val="bullet"/>
      <w:lvlText w:val="•"/>
      <w:lvlJc w:val="left"/>
      <w:pPr>
        <w:ind w:left="1709" w:hanging="360"/>
      </w:pPr>
      <w:rPr>
        <w:rFonts w:hint="default"/>
        <w:lang w:val="en-US" w:eastAsia="en-US" w:bidi="ar-SA"/>
      </w:rPr>
    </w:lvl>
    <w:lvl w:ilvl="8">
      <w:start w:val="0"/>
      <w:numFmt w:val="bullet"/>
      <w:lvlText w:val="•"/>
      <w:lvlJc w:val="left"/>
      <w:pPr>
        <w:ind w:left="1850" w:hanging="360"/>
      </w:pPr>
      <w:rPr>
        <w:rFonts w:hint="default"/>
        <w:lang w:val="en-US" w:eastAsia="en-US" w:bidi="ar-SA"/>
      </w:rPr>
    </w:lvl>
  </w:abstractNum>
  <w:abstractNum w:abstractNumId="39">
    <w:multiLevelType w:val="hybridMultilevel"/>
    <w:lvl w:ilvl="0">
      <w:start w:val="0"/>
      <w:numFmt w:val="bullet"/>
      <w:lvlText w:val=""/>
      <w:lvlJc w:val="left"/>
      <w:pPr>
        <w:ind w:left="727" w:hanging="360"/>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861" w:hanging="360"/>
      </w:pPr>
      <w:rPr>
        <w:rFonts w:hint="default"/>
        <w:lang w:val="en-US" w:eastAsia="en-US" w:bidi="ar-SA"/>
      </w:rPr>
    </w:lvl>
    <w:lvl w:ilvl="2">
      <w:start w:val="0"/>
      <w:numFmt w:val="bullet"/>
      <w:lvlText w:val="•"/>
      <w:lvlJc w:val="left"/>
      <w:pPr>
        <w:ind w:left="1002" w:hanging="360"/>
      </w:pPr>
      <w:rPr>
        <w:rFonts w:hint="default"/>
        <w:lang w:val="en-US" w:eastAsia="en-US" w:bidi="ar-SA"/>
      </w:rPr>
    </w:lvl>
    <w:lvl w:ilvl="3">
      <w:start w:val="0"/>
      <w:numFmt w:val="bullet"/>
      <w:lvlText w:val="•"/>
      <w:lvlJc w:val="left"/>
      <w:pPr>
        <w:ind w:left="1143" w:hanging="360"/>
      </w:pPr>
      <w:rPr>
        <w:rFonts w:hint="default"/>
        <w:lang w:val="en-US" w:eastAsia="en-US" w:bidi="ar-SA"/>
      </w:rPr>
    </w:lvl>
    <w:lvl w:ilvl="4">
      <w:start w:val="0"/>
      <w:numFmt w:val="bullet"/>
      <w:lvlText w:val="•"/>
      <w:lvlJc w:val="left"/>
      <w:pPr>
        <w:ind w:left="1285" w:hanging="360"/>
      </w:pPr>
      <w:rPr>
        <w:rFonts w:hint="default"/>
        <w:lang w:val="en-US" w:eastAsia="en-US" w:bidi="ar-SA"/>
      </w:rPr>
    </w:lvl>
    <w:lvl w:ilvl="5">
      <w:start w:val="0"/>
      <w:numFmt w:val="bullet"/>
      <w:lvlText w:val="•"/>
      <w:lvlJc w:val="left"/>
      <w:pPr>
        <w:ind w:left="1426" w:hanging="360"/>
      </w:pPr>
      <w:rPr>
        <w:rFonts w:hint="default"/>
        <w:lang w:val="en-US" w:eastAsia="en-US" w:bidi="ar-SA"/>
      </w:rPr>
    </w:lvl>
    <w:lvl w:ilvl="6">
      <w:start w:val="0"/>
      <w:numFmt w:val="bullet"/>
      <w:lvlText w:val="•"/>
      <w:lvlJc w:val="left"/>
      <w:pPr>
        <w:ind w:left="1567" w:hanging="360"/>
      </w:pPr>
      <w:rPr>
        <w:rFonts w:hint="default"/>
        <w:lang w:val="en-US" w:eastAsia="en-US" w:bidi="ar-SA"/>
      </w:rPr>
    </w:lvl>
    <w:lvl w:ilvl="7">
      <w:start w:val="0"/>
      <w:numFmt w:val="bullet"/>
      <w:lvlText w:val="•"/>
      <w:lvlJc w:val="left"/>
      <w:pPr>
        <w:ind w:left="1709" w:hanging="360"/>
      </w:pPr>
      <w:rPr>
        <w:rFonts w:hint="default"/>
        <w:lang w:val="en-US" w:eastAsia="en-US" w:bidi="ar-SA"/>
      </w:rPr>
    </w:lvl>
    <w:lvl w:ilvl="8">
      <w:start w:val="0"/>
      <w:numFmt w:val="bullet"/>
      <w:lvlText w:val="•"/>
      <w:lvlJc w:val="left"/>
      <w:pPr>
        <w:ind w:left="1850" w:hanging="360"/>
      </w:pPr>
      <w:rPr>
        <w:rFonts w:hint="default"/>
        <w:lang w:val="en-US" w:eastAsia="en-US" w:bidi="ar-SA"/>
      </w:rPr>
    </w:lvl>
  </w:abstractNum>
  <w:abstractNum w:abstractNumId="38">
    <w:multiLevelType w:val="hybridMultilevel"/>
    <w:lvl w:ilvl="0">
      <w:start w:val="0"/>
      <w:numFmt w:val="bullet"/>
      <w:lvlText w:val=""/>
      <w:lvlJc w:val="left"/>
      <w:pPr>
        <w:ind w:left="328"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511" w:hanging="224"/>
      </w:pPr>
      <w:rPr>
        <w:rFonts w:hint="default"/>
        <w:lang w:val="en-US" w:eastAsia="en-US" w:bidi="ar-SA"/>
      </w:rPr>
    </w:lvl>
    <w:lvl w:ilvl="2">
      <w:start w:val="0"/>
      <w:numFmt w:val="bullet"/>
      <w:lvlText w:val="•"/>
      <w:lvlJc w:val="left"/>
      <w:pPr>
        <w:ind w:left="702" w:hanging="224"/>
      </w:pPr>
      <w:rPr>
        <w:rFonts w:hint="default"/>
        <w:lang w:val="en-US" w:eastAsia="en-US" w:bidi="ar-SA"/>
      </w:rPr>
    </w:lvl>
    <w:lvl w:ilvl="3">
      <w:start w:val="0"/>
      <w:numFmt w:val="bullet"/>
      <w:lvlText w:val="•"/>
      <w:lvlJc w:val="left"/>
      <w:pPr>
        <w:ind w:left="893" w:hanging="224"/>
      </w:pPr>
      <w:rPr>
        <w:rFonts w:hint="default"/>
        <w:lang w:val="en-US" w:eastAsia="en-US" w:bidi="ar-SA"/>
      </w:rPr>
    </w:lvl>
    <w:lvl w:ilvl="4">
      <w:start w:val="0"/>
      <w:numFmt w:val="bullet"/>
      <w:lvlText w:val="•"/>
      <w:lvlJc w:val="left"/>
      <w:pPr>
        <w:ind w:left="1085" w:hanging="224"/>
      </w:pPr>
      <w:rPr>
        <w:rFonts w:hint="default"/>
        <w:lang w:val="en-US" w:eastAsia="en-US" w:bidi="ar-SA"/>
      </w:rPr>
    </w:lvl>
    <w:lvl w:ilvl="5">
      <w:start w:val="0"/>
      <w:numFmt w:val="bullet"/>
      <w:lvlText w:val="•"/>
      <w:lvlJc w:val="left"/>
      <w:pPr>
        <w:ind w:left="1276" w:hanging="224"/>
      </w:pPr>
      <w:rPr>
        <w:rFonts w:hint="default"/>
        <w:lang w:val="en-US" w:eastAsia="en-US" w:bidi="ar-SA"/>
      </w:rPr>
    </w:lvl>
    <w:lvl w:ilvl="6">
      <w:start w:val="0"/>
      <w:numFmt w:val="bullet"/>
      <w:lvlText w:val="•"/>
      <w:lvlJc w:val="left"/>
      <w:pPr>
        <w:ind w:left="1467" w:hanging="224"/>
      </w:pPr>
      <w:rPr>
        <w:rFonts w:hint="default"/>
        <w:lang w:val="en-US" w:eastAsia="en-US" w:bidi="ar-SA"/>
      </w:rPr>
    </w:lvl>
    <w:lvl w:ilvl="7">
      <w:start w:val="0"/>
      <w:numFmt w:val="bullet"/>
      <w:lvlText w:val="•"/>
      <w:lvlJc w:val="left"/>
      <w:pPr>
        <w:ind w:left="1659" w:hanging="224"/>
      </w:pPr>
      <w:rPr>
        <w:rFonts w:hint="default"/>
        <w:lang w:val="en-US" w:eastAsia="en-US" w:bidi="ar-SA"/>
      </w:rPr>
    </w:lvl>
    <w:lvl w:ilvl="8">
      <w:start w:val="0"/>
      <w:numFmt w:val="bullet"/>
      <w:lvlText w:val="•"/>
      <w:lvlJc w:val="left"/>
      <w:pPr>
        <w:ind w:left="1850" w:hanging="224"/>
      </w:pPr>
      <w:rPr>
        <w:rFonts w:hint="default"/>
        <w:lang w:val="en-US" w:eastAsia="en-US" w:bidi="ar-SA"/>
      </w:rPr>
    </w:lvl>
  </w:abstractNum>
  <w:abstractNum w:abstractNumId="37">
    <w:multiLevelType w:val="hybridMultilevel"/>
    <w:lvl w:ilvl="0">
      <w:start w:val="0"/>
      <w:numFmt w:val="bullet"/>
      <w:lvlText w:val=""/>
      <w:lvlJc w:val="left"/>
      <w:pPr>
        <w:ind w:left="328"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511" w:hanging="224"/>
      </w:pPr>
      <w:rPr>
        <w:rFonts w:hint="default"/>
        <w:lang w:val="en-US" w:eastAsia="en-US" w:bidi="ar-SA"/>
      </w:rPr>
    </w:lvl>
    <w:lvl w:ilvl="2">
      <w:start w:val="0"/>
      <w:numFmt w:val="bullet"/>
      <w:lvlText w:val="•"/>
      <w:lvlJc w:val="left"/>
      <w:pPr>
        <w:ind w:left="702" w:hanging="224"/>
      </w:pPr>
      <w:rPr>
        <w:rFonts w:hint="default"/>
        <w:lang w:val="en-US" w:eastAsia="en-US" w:bidi="ar-SA"/>
      </w:rPr>
    </w:lvl>
    <w:lvl w:ilvl="3">
      <w:start w:val="0"/>
      <w:numFmt w:val="bullet"/>
      <w:lvlText w:val="•"/>
      <w:lvlJc w:val="left"/>
      <w:pPr>
        <w:ind w:left="893" w:hanging="224"/>
      </w:pPr>
      <w:rPr>
        <w:rFonts w:hint="default"/>
        <w:lang w:val="en-US" w:eastAsia="en-US" w:bidi="ar-SA"/>
      </w:rPr>
    </w:lvl>
    <w:lvl w:ilvl="4">
      <w:start w:val="0"/>
      <w:numFmt w:val="bullet"/>
      <w:lvlText w:val="•"/>
      <w:lvlJc w:val="left"/>
      <w:pPr>
        <w:ind w:left="1085" w:hanging="224"/>
      </w:pPr>
      <w:rPr>
        <w:rFonts w:hint="default"/>
        <w:lang w:val="en-US" w:eastAsia="en-US" w:bidi="ar-SA"/>
      </w:rPr>
    </w:lvl>
    <w:lvl w:ilvl="5">
      <w:start w:val="0"/>
      <w:numFmt w:val="bullet"/>
      <w:lvlText w:val="•"/>
      <w:lvlJc w:val="left"/>
      <w:pPr>
        <w:ind w:left="1276" w:hanging="224"/>
      </w:pPr>
      <w:rPr>
        <w:rFonts w:hint="default"/>
        <w:lang w:val="en-US" w:eastAsia="en-US" w:bidi="ar-SA"/>
      </w:rPr>
    </w:lvl>
    <w:lvl w:ilvl="6">
      <w:start w:val="0"/>
      <w:numFmt w:val="bullet"/>
      <w:lvlText w:val="•"/>
      <w:lvlJc w:val="left"/>
      <w:pPr>
        <w:ind w:left="1467" w:hanging="224"/>
      </w:pPr>
      <w:rPr>
        <w:rFonts w:hint="default"/>
        <w:lang w:val="en-US" w:eastAsia="en-US" w:bidi="ar-SA"/>
      </w:rPr>
    </w:lvl>
    <w:lvl w:ilvl="7">
      <w:start w:val="0"/>
      <w:numFmt w:val="bullet"/>
      <w:lvlText w:val="•"/>
      <w:lvlJc w:val="left"/>
      <w:pPr>
        <w:ind w:left="1659" w:hanging="224"/>
      </w:pPr>
      <w:rPr>
        <w:rFonts w:hint="default"/>
        <w:lang w:val="en-US" w:eastAsia="en-US" w:bidi="ar-SA"/>
      </w:rPr>
    </w:lvl>
    <w:lvl w:ilvl="8">
      <w:start w:val="0"/>
      <w:numFmt w:val="bullet"/>
      <w:lvlText w:val="•"/>
      <w:lvlJc w:val="left"/>
      <w:pPr>
        <w:ind w:left="1850" w:hanging="224"/>
      </w:pPr>
      <w:rPr>
        <w:rFonts w:hint="default"/>
        <w:lang w:val="en-US" w:eastAsia="en-US" w:bidi="ar-SA"/>
      </w:rPr>
    </w:lvl>
  </w:abstractNum>
  <w:abstractNum w:abstractNumId="36">
    <w:multiLevelType w:val="hybridMultilevel"/>
    <w:lvl w:ilvl="0">
      <w:start w:val="0"/>
      <w:numFmt w:val="bullet"/>
      <w:lvlText w:val=""/>
      <w:lvlJc w:val="left"/>
      <w:pPr>
        <w:ind w:left="331"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743" w:hanging="224"/>
      </w:pPr>
      <w:rPr>
        <w:rFonts w:hint="default"/>
        <w:lang w:val="en-US" w:eastAsia="en-US" w:bidi="ar-SA"/>
      </w:rPr>
    </w:lvl>
    <w:lvl w:ilvl="2">
      <w:start w:val="0"/>
      <w:numFmt w:val="bullet"/>
      <w:lvlText w:val="•"/>
      <w:lvlJc w:val="left"/>
      <w:pPr>
        <w:ind w:left="1146" w:hanging="224"/>
      </w:pPr>
      <w:rPr>
        <w:rFonts w:hint="default"/>
        <w:lang w:val="en-US" w:eastAsia="en-US" w:bidi="ar-SA"/>
      </w:rPr>
    </w:lvl>
    <w:lvl w:ilvl="3">
      <w:start w:val="0"/>
      <w:numFmt w:val="bullet"/>
      <w:lvlText w:val="•"/>
      <w:lvlJc w:val="left"/>
      <w:pPr>
        <w:ind w:left="1549" w:hanging="224"/>
      </w:pPr>
      <w:rPr>
        <w:rFonts w:hint="default"/>
        <w:lang w:val="en-US" w:eastAsia="en-US" w:bidi="ar-SA"/>
      </w:rPr>
    </w:lvl>
    <w:lvl w:ilvl="4">
      <w:start w:val="0"/>
      <w:numFmt w:val="bullet"/>
      <w:lvlText w:val="•"/>
      <w:lvlJc w:val="left"/>
      <w:pPr>
        <w:ind w:left="1952" w:hanging="224"/>
      </w:pPr>
      <w:rPr>
        <w:rFonts w:hint="default"/>
        <w:lang w:val="en-US" w:eastAsia="en-US" w:bidi="ar-SA"/>
      </w:rPr>
    </w:lvl>
    <w:lvl w:ilvl="5">
      <w:start w:val="0"/>
      <w:numFmt w:val="bullet"/>
      <w:lvlText w:val="•"/>
      <w:lvlJc w:val="left"/>
      <w:pPr>
        <w:ind w:left="2356" w:hanging="224"/>
      </w:pPr>
      <w:rPr>
        <w:rFonts w:hint="default"/>
        <w:lang w:val="en-US" w:eastAsia="en-US" w:bidi="ar-SA"/>
      </w:rPr>
    </w:lvl>
    <w:lvl w:ilvl="6">
      <w:start w:val="0"/>
      <w:numFmt w:val="bullet"/>
      <w:lvlText w:val="•"/>
      <w:lvlJc w:val="left"/>
      <w:pPr>
        <w:ind w:left="2759" w:hanging="224"/>
      </w:pPr>
      <w:rPr>
        <w:rFonts w:hint="default"/>
        <w:lang w:val="en-US" w:eastAsia="en-US" w:bidi="ar-SA"/>
      </w:rPr>
    </w:lvl>
    <w:lvl w:ilvl="7">
      <w:start w:val="0"/>
      <w:numFmt w:val="bullet"/>
      <w:lvlText w:val="•"/>
      <w:lvlJc w:val="left"/>
      <w:pPr>
        <w:ind w:left="3162" w:hanging="224"/>
      </w:pPr>
      <w:rPr>
        <w:rFonts w:hint="default"/>
        <w:lang w:val="en-US" w:eastAsia="en-US" w:bidi="ar-SA"/>
      </w:rPr>
    </w:lvl>
    <w:lvl w:ilvl="8">
      <w:start w:val="0"/>
      <w:numFmt w:val="bullet"/>
      <w:lvlText w:val="•"/>
      <w:lvlJc w:val="left"/>
      <w:pPr>
        <w:ind w:left="3565" w:hanging="224"/>
      </w:pPr>
      <w:rPr>
        <w:rFonts w:hint="default"/>
        <w:lang w:val="en-US" w:eastAsia="en-US" w:bidi="ar-SA"/>
      </w:rPr>
    </w:lvl>
  </w:abstractNum>
  <w:abstractNum w:abstractNumId="35">
    <w:multiLevelType w:val="hybridMultilevel"/>
    <w:lvl w:ilvl="0">
      <w:start w:val="0"/>
      <w:numFmt w:val="bullet"/>
      <w:lvlText w:val=""/>
      <w:lvlJc w:val="left"/>
      <w:pPr>
        <w:ind w:left="327"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454" w:hanging="224"/>
      </w:pPr>
      <w:rPr>
        <w:rFonts w:hint="default"/>
        <w:lang w:val="en-US" w:eastAsia="en-US" w:bidi="ar-SA"/>
      </w:rPr>
    </w:lvl>
    <w:lvl w:ilvl="2">
      <w:start w:val="0"/>
      <w:numFmt w:val="bullet"/>
      <w:lvlText w:val="•"/>
      <w:lvlJc w:val="left"/>
      <w:pPr>
        <w:ind w:left="588" w:hanging="224"/>
      </w:pPr>
      <w:rPr>
        <w:rFonts w:hint="default"/>
        <w:lang w:val="en-US" w:eastAsia="en-US" w:bidi="ar-SA"/>
      </w:rPr>
    </w:lvl>
    <w:lvl w:ilvl="3">
      <w:start w:val="0"/>
      <w:numFmt w:val="bullet"/>
      <w:lvlText w:val="•"/>
      <w:lvlJc w:val="left"/>
      <w:pPr>
        <w:ind w:left="722" w:hanging="224"/>
      </w:pPr>
      <w:rPr>
        <w:rFonts w:hint="default"/>
        <w:lang w:val="en-US" w:eastAsia="en-US" w:bidi="ar-SA"/>
      </w:rPr>
    </w:lvl>
    <w:lvl w:ilvl="4">
      <w:start w:val="0"/>
      <w:numFmt w:val="bullet"/>
      <w:lvlText w:val="•"/>
      <w:lvlJc w:val="left"/>
      <w:pPr>
        <w:ind w:left="856" w:hanging="224"/>
      </w:pPr>
      <w:rPr>
        <w:rFonts w:hint="default"/>
        <w:lang w:val="en-US" w:eastAsia="en-US" w:bidi="ar-SA"/>
      </w:rPr>
    </w:lvl>
    <w:lvl w:ilvl="5">
      <w:start w:val="0"/>
      <w:numFmt w:val="bullet"/>
      <w:lvlText w:val="•"/>
      <w:lvlJc w:val="left"/>
      <w:pPr>
        <w:ind w:left="991" w:hanging="224"/>
      </w:pPr>
      <w:rPr>
        <w:rFonts w:hint="default"/>
        <w:lang w:val="en-US" w:eastAsia="en-US" w:bidi="ar-SA"/>
      </w:rPr>
    </w:lvl>
    <w:lvl w:ilvl="6">
      <w:start w:val="0"/>
      <w:numFmt w:val="bullet"/>
      <w:lvlText w:val="•"/>
      <w:lvlJc w:val="left"/>
      <w:pPr>
        <w:ind w:left="1125" w:hanging="224"/>
      </w:pPr>
      <w:rPr>
        <w:rFonts w:hint="default"/>
        <w:lang w:val="en-US" w:eastAsia="en-US" w:bidi="ar-SA"/>
      </w:rPr>
    </w:lvl>
    <w:lvl w:ilvl="7">
      <w:start w:val="0"/>
      <w:numFmt w:val="bullet"/>
      <w:lvlText w:val="•"/>
      <w:lvlJc w:val="left"/>
      <w:pPr>
        <w:ind w:left="1259" w:hanging="224"/>
      </w:pPr>
      <w:rPr>
        <w:rFonts w:hint="default"/>
        <w:lang w:val="en-US" w:eastAsia="en-US" w:bidi="ar-SA"/>
      </w:rPr>
    </w:lvl>
    <w:lvl w:ilvl="8">
      <w:start w:val="0"/>
      <w:numFmt w:val="bullet"/>
      <w:lvlText w:val="•"/>
      <w:lvlJc w:val="left"/>
      <w:pPr>
        <w:ind w:left="1393" w:hanging="224"/>
      </w:pPr>
      <w:rPr>
        <w:rFonts w:hint="default"/>
        <w:lang w:val="en-US" w:eastAsia="en-US" w:bidi="ar-SA"/>
      </w:rPr>
    </w:lvl>
  </w:abstractNum>
  <w:abstractNum w:abstractNumId="34">
    <w:multiLevelType w:val="hybridMultilevel"/>
    <w:lvl w:ilvl="0">
      <w:start w:val="0"/>
      <w:numFmt w:val="bullet"/>
      <w:lvlText w:val=""/>
      <w:lvlJc w:val="left"/>
      <w:pPr>
        <w:ind w:left="328"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511" w:hanging="224"/>
      </w:pPr>
      <w:rPr>
        <w:rFonts w:hint="default"/>
        <w:lang w:val="en-US" w:eastAsia="en-US" w:bidi="ar-SA"/>
      </w:rPr>
    </w:lvl>
    <w:lvl w:ilvl="2">
      <w:start w:val="0"/>
      <w:numFmt w:val="bullet"/>
      <w:lvlText w:val="•"/>
      <w:lvlJc w:val="left"/>
      <w:pPr>
        <w:ind w:left="702" w:hanging="224"/>
      </w:pPr>
      <w:rPr>
        <w:rFonts w:hint="default"/>
        <w:lang w:val="en-US" w:eastAsia="en-US" w:bidi="ar-SA"/>
      </w:rPr>
    </w:lvl>
    <w:lvl w:ilvl="3">
      <w:start w:val="0"/>
      <w:numFmt w:val="bullet"/>
      <w:lvlText w:val="•"/>
      <w:lvlJc w:val="left"/>
      <w:pPr>
        <w:ind w:left="893" w:hanging="224"/>
      </w:pPr>
      <w:rPr>
        <w:rFonts w:hint="default"/>
        <w:lang w:val="en-US" w:eastAsia="en-US" w:bidi="ar-SA"/>
      </w:rPr>
    </w:lvl>
    <w:lvl w:ilvl="4">
      <w:start w:val="0"/>
      <w:numFmt w:val="bullet"/>
      <w:lvlText w:val="•"/>
      <w:lvlJc w:val="left"/>
      <w:pPr>
        <w:ind w:left="1085" w:hanging="224"/>
      </w:pPr>
      <w:rPr>
        <w:rFonts w:hint="default"/>
        <w:lang w:val="en-US" w:eastAsia="en-US" w:bidi="ar-SA"/>
      </w:rPr>
    </w:lvl>
    <w:lvl w:ilvl="5">
      <w:start w:val="0"/>
      <w:numFmt w:val="bullet"/>
      <w:lvlText w:val="•"/>
      <w:lvlJc w:val="left"/>
      <w:pPr>
        <w:ind w:left="1276" w:hanging="224"/>
      </w:pPr>
      <w:rPr>
        <w:rFonts w:hint="default"/>
        <w:lang w:val="en-US" w:eastAsia="en-US" w:bidi="ar-SA"/>
      </w:rPr>
    </w:lvl>
    <w:lvl w:ilvl="6">
      <w:start w:val="0"/>
      <w:numFmt w:val="bullet"/>
      <w:lvlText w:val="•"/>
      <w:lvlJc w:val="left"/>
      <w:pPr>
        <w:ind w:left="1467" w:hanging="224"/>
      </w:pPr>
      <w:rPr>
        <w:rFonts w:hint="default"/>
        <w:lang w:val="en-US" w:eastAsia="en-US" w:bidi="ar-SA"/>
      </w:rPr>
    </w:lvl>
    <w:lvl w:ilvl="7">
      <w:start w:val="0"/>
      <w:numFmt w:val="bullet"/>
      <w:lvlText w:val="•"/>
      <w:lvlJc w:val="left"/>
      <w:pPr>
        <w:ind w:left="1659" w:hanging="224"/>
      </w:pPr>
      <w:rPr>
        <w:rFonts w:hint="default"/>
        <w:lang w:val="en-US" w:eastAsia="en-US" w:bidi="ar-SA"/>
      </w:rPr>
    </w:lvl>
    <w:lvl w:ilvl="8">
      <w:start w:val="0"/>
      <w:numFmt w:val="bullet"/>
      <w:lvlText w:val="•"/>
      <w:lvlJc w:val="left"/>
      <w:pPr>
        <w:ind w:left="1850" w:hanging="224"/>
      </w:pPr>
      <w:rPr>
        <w:rFonts w:hint="default"/>
        <w:lang w:val="en-US" w:eastAsia="en-US" w:bidi="ar-SA"/>
      </w:rPr>
    </w:lvl>
  </w:abstractNum>
  <w:abstractNum w:abstractNumId="33">
    <w:multiLevelType w:val="hybridMultilevel"/>
    <w:lvl w:ilvl="0">
      <w:start w:val="0"/>
      <w:numFmt w:val="bullet"/>
      <w:lvlText w:val=""/>
      <w:lvlJc w:val="left"/>
      <w:pPr>
        <w:ind w:left="331" w:hanging="224"/>
      </w:pPr>
      <w:rPr>
        <w:rFonts w:hint="default" w:ascii="Symbol" w:hAnsi="Symbol" w:eastAsia="Symbol" w:cs="Symbol"/>
        <w:spacing w:val="0"/>
        <w:w w:val="100"/>
        <w:lang w:val="en-US" w:eastAsia="en-US" w:bidi="ar-SA"/>
      </w:rPr>
    </w:lvl>
    <w:lvl w:ilvl="1">
      <w:start w:val="0"/>
      <w:numFmt w:val="bullet"/>
      <w:lvlText w:val="•"/>
      <w:lvlJc w:val="left"/>
      <w:pPr>
        <w:ind w:left="743" w:hanging="224"/>
      </w:pPr>
      <w:rPr>
        <w:rFonts w:hint="default"/>
        <w:lang w:val="en-US" w:eastAsia="en-US" w:bidi="ar-SA"/>
      </w:rPr>
    </w:lvl>
    <w:lvl w:ilvl="2">
      <w:start w:val="0"/>
      <w:numFmt w:val="bullet"/>
      <w:lvlText w:val="•"/>
      <w:lvlJc w:val="left"/>
      <w:pPr>
        <w:ind w:left="1146" w:hanging="224"/>
      </w:pPr>
      <w:rPr>
        <w:rFonts w:hint="default"/>
        <w:lang w:val="en-US" w:eastAsia="en-US" w:bidi="ar-SA"/>
      </w:rPr>
    </w:lvl>
    <w:lvl w:ilvl="3">
      <w:start w:val="0"/>
      <w:numFmt w:val="bullet"/>
      <w:lvlText w:val="•"/>
      <w:lvlJc w:val="left"/>
      <w:pPr>
        <w:ind w:left="1549" w:hanging="224"/>
      </w:pPr>
      <w:rPr>
        <w:rFonts w:hint="default"/>
        <w:lang w:val="en-US" w:eastAsia="en-US" w:bidi="ar-SA"/>
      </w:rPr>
    </w:lvl>
    <w:lvl w:ilvl="4">
      <w:start w:val="0"/>
      <w:numFmt w:val="bullet"/>
      <w:lvlText w:val="•"/>
      <w:lvlJc w:val="left"/>
      <w:pPr>
        <w:ind w:left="1952" w:hanging="224"/>
      </w:pPr>
      <w:rPr>
        <w:rFonts w:hint="default"/>
        <w:lang w:val="en-US" w:eastAsia="en-US" w:bidi="ar-SA"/>
      </w:rPr>
    </w:lvl>
    <w:lvl w:ilvl="5">
      <w:start w:val="0"/>
      <w:numFmt w:val="bullet"/>
      <w:lvlText w:val="•"/>
      <w:lvlJc w:val="left"/>
      <w:pPr>
        <w:ind w:left="2356" w:hanging="224"/>
      </w:pPr>
      <w:rPr>
        <w:rFonts w:hint="default"/>
        <w:lang w:val="en-US" w:eastAsia="en-US" w:bidi="ar-SA"/>
      </w:rPr>
    </w:lvl>
    <w:lvl w:ilvl="6">
      <w:start w:val="0"/>
      <w:numFmt w:val="bullet"/>
      <w:lvlText w:val="•"/>
      <w:lvlJc w:val="left"/>
      <w:pPr>
        <w:ind w:left="2759" w:hanging="224"/>
      </w:pPr>
      <w:rPr>
        <w:rFonts w:hint="default"/>
        <w:lang w:val="en-US" w:eastAsia="en-US" w:bidi="ar-SA"/>
      </w:rPr>
    </w:lvl>
    <w:lvl w:ilvl="7">
      <w:start w:val="0"/>
      <w:numFmt w:val="bullet"/>
      <w:lvlText w:val="•"/>
      <w:lvlJc w:val="left"/>
      <w:pPr>
        <w:ind w:left="3162" w:hanging="224"/>
      </w:pPr>
      <w:rPr>
        <w:rFonts w:hint="default"/>
        <w:lang w:val="en-US" w:eastAsia="en-US" w:bidi="ar-SA"/>
      </w:rPr>
    </w:lvl>
    <w:lvl w:ilvl="8">
      <w:start w:val="0"/>
      <w:numFmt w:val="bullet"/>
      <w:lvlText w:val="•"/>
      <w:lvlJc w:val="left"/>
      <w:pPr>
        <w:ind w:left="3565" w:hanging="224"/>
      </w:pPr>
      <w:rPr>
        <w:rFonts w:hint="default"/>
        <w:lang w:val="en-US" w:eastAsia="en-US" w:bidi="ar-SA"/>
      </w:rPr>
    </w:lvl>
  </w:abstractNum>
  <w:abstractNum w:abstractNumId="32">
    <w:multiLevelType w:val="hybridMultilevel"/>
    <w:lvl w:ilvl="0">
      <w:start w:val="0"/>
      <w:numFmt w:val="bullet"/>
      <w:lvlText w:val=""/>
      <w:lvlJc w:val="left"/>
      <w:pPr>
        <w:ind w:left="327"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454" w:hanging="224"/>
      </w:pPr>
      <w:rPr>
        <w:rFonts w:hint="default"/>
        <w:lang w:val="en-US" w:eastAsia="en-US" w:bidi="ar-SA"/>
      </w:rPr>
    </w:lvl>
    <w:lvl w:ilvl="2">
      <w:start w:val="0"/>
      <w:numFmt w:val="bullet"/>
      <w:lvlText w:val="•"/>
      <w:lvlJc w:val="left"/>
      <w:pPr>
        <w:ind w:left="588" w:hanging="224"/>
      </w:pPr>
      <w:rPr>
        <w:rFonts w:hint="default"/>
        <w:lang w:val="en-US" w:eastAsia="en-US" w:bidi="ar-SA"/>
      </w:rPr>
    </w:lvl>
    <w:lvl w:ilvl="3">
      <w:start w:val="0"/>
      <w:numFmt w:val="bullet"/>
      <w:lvlText w:val="•"/>
      <w:lvlJc w:val="left"/>
      <w:pPr>
        <w:ind w:left="722" w:hanging="224"/>
      </w:pPr>
      <w:rPr>
        <w:rFonts w:hint="default"/>
        <w:lang w:val="en-US" w:eastAsia="en-US" w:bidi="ar-SA"/>
      </w:rPr>
    </w:lvl>
    <w:lvl w:ilvl="4">
      <w:start w:val="0"/>
      <w:numFmt w:val="bullet"/>
      <w:lvlText w:val="•"/>
      <w:lvlJc w:val="left"/>
      <w:pPr>
        <w:ind w:left="856" w:hanging="224"/>
      </w:pPr>
      <w:rPr>
        <w:rFonts w:hint="default"/>
        <w:lang w:val="en-US" w:eastAsia="en-US" w:bidi="ar-SA"/>
      </w:rPr>
    </w:lvl>
    <w:lvl w:ilvl="5">
      <w:start w:val="0"/>
      <w:numFmt w:val="bullet"/>
      <w:lvlText w:val="•"/>
      <w:lvlJc w:val="left"/>
      <w:pPr>
        <w:ind w:left="991" w:hanging="224"/>
      </w:pPr>
      <w:rPr>
        <w:rFonts w:hint="default"/>
        <w:lang w:val="en-US" w:eastAsia="en-US" w:bidi="ar-SA"/>
      </w:rPr>
    </w:lvl>
    <w:lvl w:ilvl="6">
      <w:start w:val="0"/>
      <w:numFmt w:val="bullet"/>
      <w:lvlText w:val="•"/>
      <w:lvlJc w:val="left"/>
      <w:pPr>
        <w:ind w:left="1125" w:hanging="224"/>
      </w:pPr>
      <w:rPr>
        <w:rFonts w:hint="default"/>
        <w:lang w:val="en-US" w:eastAsia="en-US" w:bidi="ar-SA"/>
      </w:rPr>
    </w:lvl>
    <w:lvl w:ilvl="7">
      <w:start w:val="0"/>
      <w:numFmt w:val="bullet"/>
      <w:lvlText w:val="•"/>
      <w:lvlJc w:val="left"/>
      <w:pPr>
        <w:ind w:left="1259" w:hanging="224"/>
      </w:pPr>
      <w:rPr>
        <w:rFonts w:hint="default"/>
        <w:lang w:val="en-US" w:eastAsia="en-US" w:bidi="ar-SA"/>
      </w:rPr>
    </w:lvl>
    <w:lvl w:ilvl="8">
      <w:start w:val="0"/>
      <w:numFmt w:val="bullet"/>
      <w:lvlText w:val="•"/>
      <w:lvlJc w:val="left"/>
      <w:pPr>
        <w:ind w:left="1393" w:hanging="224"/>
      </w:pPr>
      <w:rPr>
        <w:rFonts w:hint="default"/>
        <w:lang w:val="en-US" w:eastAsia="en-US" w:bidi="ar-SA"/>
      </w:rPr>
    </w:lvl>
  </w:abstractNum>
  <w:abstractNum w:abstractNumId="31">
    <w:multiLevelType w:val="hybridMultilevel"/>
    <w:lvl w:ilvl="0">
      <w:start w:val="0"/>
      <w:numFmt w:val="bullet"/>
      <w:lvlText w:val=""/>
      <w:lvlJc w:val="left"/>
      <w:pPr>
        <w:ind w:left="328"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511" w:hanging="224"/>
      </w:pPr>
      <w:rPr>
        <w:rFonts w:hint="default"/>
        <w:lang w:val="en-US" w:eastAsia="en-US" w:bidi="ar-SA"/>
      </w:rPr>
    </w:lvl>
    <w:lvl w:ilvl="2">
      <w:start w:val="0"/>
      <w:numFmt w:val="bullet"/>
      <w:lvlText w:val="•"/>
      <w:lvlJc w:val="left"/>
      <w:pPr>
        <w:ind w:left="702" w:hanging="224"/>
      </w:pPr>
      <w:rPr>
        <w:rFonts w:hint="default"/>
        <w:lang w:val="en-US" w:eastAsia="en-US" w:bidi="ar-SA"/>
      </w:rPr>
    </w:lvl>
    <w:lvl w:ilvl="3">
      <w:start w:val="0"/>
      <w:numFmt w:val="bullet"/>
      <w:lvlText w:val="•"/>
      <w:lvlJc w:val="left"/>
      <w:pPr>
        <w:ind w:left="893" w:hanging="224"/>
      </w:pPr>
      <w:rPr>
        <w:rFonts w:hint="default"/>
        <w:lang w:val="en-US" w:eastAsia="en-US" w:bidi="ar-SA"/>
      </w:rPr>
    </w:lvl>
    <w:lvl w:ilvl="4">
      <w:start w:val="0"/>
      <w:numFmt w:val="bullet"/>
      <w:lvlText w:val="•"/>
      <w:lvlJc w:val="left"/>
      <w:pPr>
        <w:ind w:left="1085" w:hanging="224"/>
      </w:pPr>
      <w:rPr>
        <w:rFonts w:hint="default"/>
        <w:lang w:val="en-US" w:eastAsia="en-US" w:bidi="ar-SA"/>
      </w:rPr>
    </w:lvl>
    <w:lvl w:ilvl="5">
      <w:start w:val="0"/>
      <w:numFmt w:val="bullet"/>
      <w:lvlText w:val="•"/>
      <w:lvlJc w:val="left"/>
      <w:pPr>
        <w:ind w:left="1276" w:hanging="224"/>
      </w:pPr>
      <w:rPr>
        <w:rFonts w:hint="default"/>
        <w:lang w:val="en-US" w:eastAsia="en-US" w:bidi="ar-SA"/>
      </w:rPr>
    </w:lvl>
    <w:lvl w:ilvl="6">
      <w:start w:val="0"/>
      <w:numFmt w:val="bullet"/>
      <w:lvlText w:val="•"/>
      <w:lvlJc w:val="left"/>
      <w:pPr>
        <w:ind w:left="1467" w:hanging="224"/>
      </w:pPr>
      <w:rPr>
        <w:rFonts w:hint="default"/>
        <w:lang w:val="en-US" w:eastAsia="en-US" w:bidi="ar-SA"/>
      </w:rPr>
    </w:lvl>
    <w:lvl w:ilvl="7">
      <w:start w:val="0"/>
      <w:numFmt w:val="bullet"/>
      <w:lvlText w:val="•"/>
      <w:lvlJc w:val="left"/>
      <w:pPr>
        <w:ind w:left="1659" w:hanging="224"/>
      </w:pPr>
      <w:rPr>
        <w:rFonts w:hint="default"/>
        <w:lang w:val="en-US" w:eastAsia="en-US" w:bidi="ar-SA"/>
      </w:rPr>
    </w:lvl>
    <w:lvl w:ilvl="8">
      <w:start w:val="0"/>
      <w:numFmt w:val="bullet"/>
      <w:lvlText w:val="•"/>
      <w:lvlJc w:val="left"/>
      <w:pPr>
        <w:ind w:left="1850" w:hanging="224"/>
      </w:pPr>
      <w:rPr>
        <w:rFonts w:hint="default"/>
        <w:lang w:val="en-US" w:eastAsia="en-US" w:bidi="ar-SA"/>
      </w:rPr>
    </w:lvl>
  </w:abstractNum>
  <w:abstractNum w:abstractNumId="30">
    <w:multiLevelType w:val="hybridMultilevel"/>
    <w:lvl w:ilvl="0">
      <w:start w:val="0"/>
      <w:numFmt w:val="bullet"/>
      <w:lvlText w:val=""/>
      <w:lvlJc w:val="left"/>
      <w:pPr>
        <w:ind w:left="331"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743" w:hanging="224"/>
      </w:pPr>
      <w:rPr>
        <w:rFonts w:hint="default"/>
        <w:lang w:val="en-US" w:eastAsia="en-US" w:bidi="ar-SA"/>
      </w:rPr>
    </w:lvl>
    <w:lvl w:ilvl="2">
      <w:start w:val="0"/>
      <w:numFmt w:val="bullet"/>
      <w:lvlText w:val="•"/>
      <w:lvlJc w:val="left"/>
      <w:pPr>
        <w:ind w:left="1146" w:hanging="224"/>
      </w:pPr>
      <w:rPr>
        <w:rFonts w:hint="default"/>
        <w:lang w:val="en-US" w:eastAsia="en-US" w:bidi="ar-SA"/>
      </w:rPr>
    </w:lvl>
    <w:lvl w:ilvl="3">
      <w:start w:val="0"/>
      <w:numFmt w:val="bullet"/>
      <w:lvlText w:val="•"/>
      <w:lvlJc w:val="left"/>
      <w:pPr>
        <w:ind w:left="1549" w:hanging="224"/>
      </w:pPr>
      <w:rPr>
        <w:rFonts w:hint="default"/>
        <w:lang w:val="en-US" w:eastAsia="en-US" w:bidi="ar-SA"/>
      </w:rPr>
    </w:lvl>
    <w:lvl w:ilvl="4">
      <w:start w:val="0"/>
      <w:numFmt w:val="bullet"/>
      <w:lvlText w:val="•"/>
      <w:lvlJc w:val="left"/>
      <w:pPr>
        <w:ind w:left="1952" w:hanging="224"/>
      </w:pPr>
      <w:rPr>
        <w:rFonts w:hint="default"/>
        <w:lang w:val="en-US" w:eastAsia="en-US" w:bidi="ar-SA"/>
      </w:rPr>
    </w:lvl>
    <w:lvl w:ilvl="5">
      <w:start w:val="0"/>
      <w:numFmt w:val="bullet"/>
      <w:lvlText w:val="•"/>
      <w:lvlJc w:val="left"/>
      <w:pPr>
        <w:ind w:left="2356" w:hanging="224"/>
      </w:pPr>
      <w:rPr>
        <w:rFonts w:hint="default"/>
        <w:lang w:val="en-US" w:eastAsia="en-US" w:bidi="ar-SA"/>
      </w:rPr>
    </w:lvl>
    <w:lvl w:ilvl="6">
      <w:start w:val="0"/>
      <w:numFmt w:val="bullet"/>
      <w:lvlText w:val="•"/>
      <w:lvlJc w:val="left"/>
      <w:pPr>
        <w:ind w:left="2759" w:hanging="224"/>
      </w:pPr>
      <w:rPr>
        <w:rFonts w:hint="default"/>
        <w:lang w:val="en-US" w:eastAsia="en-US" w:bidi="ar-SA"/>
      </w:rPr>
    </w:lvl>
    <w:lvl w:ilvl="7">
      <w:start w:val="0"/>
      <w:numFmt w:val="bullet"/>
      <w:lvlText w:val="•"/>
      <w:lvlJc w:val="left"/>
      <w:pPr>
        <w:ind w:left="3162" w:hanging="224"/>
      </w:pPr>
      <w:rPr>
        <w:rFonts w:hint="default"/>
        <w:lang w:val="en-US" w:eastAsia="en-US" w:bidi="ar-SA"/>
      </w:rPr>
    </w:lvl>
    <w:lvl w:ilvl="8">
      <w:start w:val="0"/>
      <w:numFmt w:val="bullet"/>
      <w:lvlText w:val="•"/>
      <w:lvlJc w:val="left"/>
      <w:pPr>
        <w:ind w:left="3565" w:hanging="224"/>
      </w:pPr>
      <w:rPr>
        <w:rFonts w:hint="default"/>
        <w:lang w:val="en-US" w:eastAsia="en-US" w:bidi="ar-SA"/>
      </w:rPr>
    </w:lvl>
  </w:abstractNum>
  <w:abstractNum w:abstractNumId="29">
    <w:multiLevelType w:val="hybridMultilevel"/>
    <w:lvl w:ilvl="0">
      <w:start w:val="0"/>
      <w:numFmt w:val="bullet"/>
      <w:lvlText w:val=""/>
      <w:lvlJc w:val="left"/>
      <w:pPr>
        <w:ind w:left="327"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454" w:hanging="224"/>
      </w:pPr>
      <w:rPr>
        <w:rFonts w:hint="default"/>
        <w:lang w:val="en-US" w:eastAsia="en-US" w:bidi="ar-SA"/>
      </w:rPr>
    </w:lvl>
    <w:lvl w:ilvl="2">
      <w:start w:val="0"/>
      <w:numFmt w:val="bullet"/>
      <w:lvlText w:val="•"/>
      <w:lvlJc w:val="left"/>
      <w:pPr>
        <w:ind w:left="588" w:hanging="224"/>
      </w:pPr>
      <w:rPr>
        <w:rFonts w:hint="default"/>
        <w:lang w:val="en-US" w:eastAsia="en-US" w:bidi="ar-SA"/>
      </w:rPr>
    </w:lvl>
    <w:lvl w:ilvl="3">
      <w:start w:val="0"/>
      <w:numFmt w:val="bullet"/>
      <w:lvlText w:val="•"/>
      <w:lvlJc w:val="left"/>
      <w:pPr>
        <w:ind w:left="722" w:hanging="224"/>
      </w:pPr>
      <w:rPr>
        <w:rFonts w:hint="default"/>
        <w:lang w:val="en-US" w:eastAsia="en-US" w:bidi="ar-SA"/>
      </w:rPr>
    </w:lvl>
    <w:lvl w:ilvl="4">
      <w:start w:val="0"/>
      <w:numFmt w:val="bullet"/>
      <w:lvlText w:val="•"/>
      <w:lvlJc w:val="left"/>
      <w:pPr>
        <w:ind w:left="856" w:hanging="224"/>
      </w:pPr>
      <w:rPr>
        <w:rFonts w:hint="default"/>
        <w:lang w:val="en-US" w:eastAsia="en-US" w:bidi="ar-SA"/>
      </w:rPr>
    </w:lvl>
    <w:lvl w:ilvl="5">
      <w:start w:val="0"/>
      <w:numFmt w:val="bullet"/>
      <w:lvlText w:val="•"/>
      <w:lvlJc w:val="left"/>
      <w:pPr>
        <w:ind w:left="991" w:hanging="224"/>
      </w:pPr>
      <w:rPr>
        <w:rFonts w:hint="default"/>
        <w:lang w:val="en-US" w:eastAsia="en-US" w:bidi="ar-SA"/>
      </w:rPr>
    </w:lvl>
    <w:lvl w:ilvl="6">
      <w:start w:val="0"/>
      <w:numFmt w:val="bullet"/>
      <w:lvlText w:val="•"/>
      <w:lvlJc w:val="left"/>
      <w:pPr>
        <w:ind w:left="1125" w:hanging="224"/>
      </w:pPr>
      <w:rPr>
        <w:rFonts w:hint="default"/>
        <w:lang w:val="en-US" w:eastAsia="en-US" w:bidi="ar-SA"/>
      </w:rPr>
    </w:lvl>
    <w:lvl w:ilvl="7">
      <w:start w:val="0"/>
      <w:numFmt w:val="bullet"/>
      <w:lvlText w:val="•"/>
      <w:lvlJc w:val="left"/>
      <w:pPr>
        <w:ind w:left="1259" w:hanging="224"/>
      </w:pPr>
      <w:rPr>
        <w:rFonts w:hint="default"/>
        <w:lang w:val="en-US" w:eastAsia="en-US" w:bidi="ar-SA"/>
      </w:rPr>
    </w:lvl>
    <w:lvl w:ilvl="8">
      <w:start w:val="0"/>
      <w:numFmt w:val="bullet"/>
      <w:lvlText w:val="•"/>
      <w:lvlJc w:val="left"/>
      <w:pPr>
        <w:ind w:left="1393" w:hanging="224"/>
      </w:pPr>
      <w:rPr>
        <w:rFonts w:hint="default"/>
        <w:lang w:val="en-US" w:eastAsia="en-US" w:bidi="ar-SA"/>
      </w:rPr>
    </w:lvl>
  </w:abstractNum>
  <w:abstractNum w:abstractNumId="28">
    <w:multiLevelType w:val="hybridMultilevel"/>
    <w:lvl w:ilvl="0">
      <w:start w:val="0"/>
      <w:numFmt w:val="bullet"/>
      <w:lvlText w:val=""/>
      <w:lvlJc w:val="left"/>
      <w:pPr>
        <w:ind w:left="328"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511" w:hanging="224"/>
      </w:pPr>
      <w:rPr>
        <w:rFonts w:hint="default"/>
        <w:lang w:val="en-US" w:eastAsia="en-US" w:bidi="ar-SA"/>
      </w:rPr>
    </w:lvl>
    <w:lvl w:ilvl="2">
      <w:start w:val="0"/>
      <w:numFmt w:val="bullet"/>
      <w:lvlText w:val="•"/>
      <w:lvlJc w:val="left"/>
      <w:pPr>
        <w:ind w:left="702" w:hanging="224"/>
      </w:pPr>
      <w:rPr>
        <w:rFonts w:hint="default"/>
        <w:lang w:val="en-US" w:eastAsia="en-US" w:bidi="ar-SA"/>
      </w:rPr>
    </w:lvl>
    <w:lvl w:ilvl="3">
      <w:start w:val="0"/>
      <w:numFmt w:val="bullet"/>
      <w:lvlText w:val="•"/>
      <w:lvlJc w:val="left"/>
      <w:pPr>
        <w:ind w:left="893" w:hanging="224"/>
      </w:pPr>
      <w:rPr>
        <w:rFonts w:hint="default"/>
        <w:lang w:val="en-US" w:eastAsia="en-US" w:bidi="ar-SA"/>
      </w:rPr>
    </w:lvl>
    <w:lvl w:ilvl="4">
      <w:start w:val="0"/>
      <w:numFmt w:val="bullet"/>
      <w:lvlText w:val="•"/>
      <w:lvlJc w:val="left"/>
      <w:pPr>
        <w:ind w:left="1085" w:hanging="224"/>
      </w:pPr>
      <w:rPr>
        <w:rFonts w:hint="default"/>
        <w:lang w:val="en-US" w:eastAsia="en-US" w:bidi="ar-SA"/>
      </w:rPr>
    </w:lvl>
    <w:lvl w:ilvl="5">
      <w:start w:val="0"/>
      <w:numFmt w:val="bullet"/>
      <w:lvlText w:val="•"/>
      <w:lvlJc w:val="left"/>
      <w:pPr>
        <w:ind w:left="1276" w:hanging="224"/>
      </w:pPr>
      <w:rPr>
        <w:rFonts w:hint="default"/>
        <w:lang w:val="en-US" w:eastAsia="en-US" w:bidi="ar-SA"/>
      </w:rPr>
    </w:lvl>
    <w:lvl w:ilvl="6">
      <w:start w:val="0"/>
      <w:numFmt w:val="bullet"/>
      <w:lvlText w:val="•"/>
      <w:lvlJc w:val="left"/>
      <w:pPr>
        <w:ind w:left="1467" w:hanging="224"/>
      </w:pPr>
      <w:rPr>
        <w:rFonts w:hint="default"/>
        <w:lang w:val="en-US" w:eastAsia="en-US" w:bidi="ar-SA"/>
      </w:rPr>
    </w:lvl>
    <w:lvl w:ilvl="7">
      <w:start w:val="0"/>
      <w:numFmt w:val="bullet"/>
      <w:lvlText w:val="•"/>
      <w:lvlJc w:val="left"/>
      <w:pPr>
        <w:ind w:left="1659" w:hanging="224"/>
      </w:pPr>
      <w:rPr>
        <w:rFonts w:hint="default"/>
        <w:lang w:val="en-US" w:eastAsia="en-US" w:bidi="ar-SA"/>
      </w:rPr>
    </w:lvl>
    <w:lvl w:ilvl="8">
      <w:start w:val="0"/>
      <w:numFmt w:val="bullet"/>
      <w:lvlText w:val="•"/>
      <w:lvlJc w:val="left"/>
      <w:pPr>
        <w:ind w:left="1850" w:hanging="224"/>
      </w:pPr>
      <w:rPr>
        <w:rFonts w:hint="default"/>
        <w:lang w:val="en-US" w:eastAsia="en-US" w:bidi="ar-SA"/>
      </w:rPr>
    </w:lvl>
  </w:abstractNum>
  <w:abstractNum w:abstractNumId="27">
    <w:multiLevelType w:val="hybridMultilevel"/>
    <w:lvl w:ilvl="0">
      <w:start w:val="0"/>
      <w:numFmt w:val="bullet"/>
      <w:lvlText w:val=""/>
      <w:lvlJc w:val="left"/>
      <w:pPr>
        <w:ind w:left="331"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743" w:hanging="224"/>
      </w:pPr>
      <w:rPr>
        <w:rFonts w:hint="default"/>
        <w:lang w:val="en-US" w:eastAsia="en-US" w:bidi="ar-SA"/>
      </w:rPr>
    </w:lvl>
    <w:lvl w:ilvl="2">
      <w:start w:val="0"/>
      <w:numFmt w:val="bullet"/>
      <w:lvlText w:val="•"/>
      <w:lvlJc w:val="left"/>
      <w:pPr>
        <w:ind w:left="1146" w:hanging="224"/>
      </w:pPr>
      <w:rPr>
        <w:rFonts w:hint="default"/>
        <w:lang w:val="en-US" w:eastAsia="en-US" w:bidi="ar-SA"/>
      </w:rPr>
    </w:lvl>
    <w:lvl w:ilvl="3">
      <w:start w:val="0"/>
      <w:numFmt w:val="bullet"/>
      <w:lvlText w:val="•"/>
      <w:lvlJc w:val="left"/>
      <w:pPr>
        <w:ind w:left="1549" w:hanging="224"/>
      </w:pPr>
      <w:rPr>
        <w:rFonts w:hint="default"/>
        <w:lang w:val="en-US" w:eastAsia="en-US" w:bidi="ar-SA"/>
      </w:rPr>
    </w:lvl>
    <w:lvl w:ilvl="4">
      <w:start w:val="0"/>
      <w:numFmt w:val="bullet"/>
      <w:lvlText w:val="•"/>
      <w:lvlJc w:val="left"/>
      <w:pPr>
        <w:ind w:left="1952" w:hanging="224"/>
      </w:pPr>
      <w:rPr>
        <w:rFonts w:hint="default"/>
        <w:lang w:val="en-US" w:eastAsia="en-US" w:bidi="ar-SA"/>
      </w:rPr>
    </w:lvl>
    <w:lvl w:ilvl="5">
      <w:start w:val="0"/>
      <w:numFmt w:val="bullet"/>
      <w:lvlText w:val="•"/>
      <w:lvlJc w:val="left"/>
      <w:pPr>
        <w:ind w:left="2356" w:hanging="224"/>
      </w:pPr>
      <w:rPr>
        <w:rFonts w:hint="default"/>
        <w:lang w:val="en-US" w:eastAsia="en-US" w:bidi="ar-SA"/>
      </w:rPr>
    </w:lvl>
    <w:lvl w:ilvl="6">
      <w:start w:val="0"/>
      <w:numFmt w:val="bullet"/>
      <w:lvlText w:val="•"/>
      <w:lvlJc w:val="left"/>
      <w:pPr>
        <w:ind w:left="2759" w:hanging="224"/>
      </w:pPr>
      <w:rPr>
        <w:rFonts w:hint="default"/>
        <w:lang w:val="en-US" w:eastAsia="en-US" w:bidi="ar-SA"/>
      </w:rPr>
    </w:lvl>
    <w:lvl w:ilvl="7">
      <w:start w:val="0"/>
      <w:numFmt w:val="bullet"/>
      <w:lvlText w:val="•"/>
      <w:lvlJc w:val="left"/>
      <w:pPr>
        <w:ind w:left="3162" w:hanging="224"/>
      </w:pPr>
      <w:rPr>
        <w:rFonts w:hint="default"/>
        <w:lang w:val="en-US" w:eastAsia="en-US" w:bidi="ar-SA"/>
      </w:rPr>
    </w:lvl>
    <w:lvl w:ilvl="8">
      <w:start w:val="0"/>
      <w:numFmt w:val="bullet"/>
      <w:lvlText w:val="•"/>
      <w:lvlJc w:val="left"/>
      <w:pPr>
        <w:ind w:left="3565" w:hanging="224"/>
      </w:pPr>
      <w:rPr>
        <w:rFonts w:hint="default"/>
        <w:lang w:val="en-US" w:eastAsia="en-US" w:bidi="ar-SA"/>
      </w:rPr>
    </w:lvl>
  </w:abstractNum>
  <w:abstractNum w:abstractNumId="26">
    <w:multiLevelType w:val="hybridMultilevel"/>
    <w:lvl w:ilvl="0">
      <w:start w:val="0"/>
      <w:numFmt w:val="bullet"/>
      <w:lvlText w:val=""/>
      <w:lvlJc w:val="left"/>
      <w:pPr>
        <w:ind w:left="327"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454" w:hanging="224"/>
      </w:pPr>
      <w:rPr>
        <w:rFonts w:hint="default"/>
        <w:lang w:val="en-US" w:eastAsia="en-US" w:bidi="ar-SA"/>
      </w:rPr>
    </w:lvl>
    <w:lvl w:ilvl="2">
      <w:start w:val="0"/>
      <w:numFmt w:val="bullet"/>
      <w:lvlText w:val="•"/>
      <w:lvlJc w:val="left"/>
      <w:pPr>
        <w:ind w:left="588" w:hanging="224"/>
      </w:pPr>
      <w:rPr>
        <w:rFonts w:hint="default"/>
        <w:lang w:val="en-US" w:eastAsia="en-US" w:bidi="ar-SA"/>
      </w:rPr>
    </w:lvl>
    <w:lvl w:ilvl="3">
      <w:start w:val="0"/>
      <w:numFmt w:val="bullet"/>
      <w:lvlText w:val="•"/>
      <w:lvlJc w:val="left"/>
      <w:pPr>
        <w:ind w:left="722" w:hanging="224"/>
      </w:pPr>
      <w:rPr>
        <w:rFonts w:hint="default"/>
        <w:lang w:val="en-US" w:eastAsia="en-US" w:bidi="ar-SA"/>
      </w:rPr>
    </w:lvl>
    <w:lvl w:ilvl="4">
      <w:start w:val="0"/>
      <w:numFmt w:val="bullet"/>
      <w:lvlText w:val="•"/>
      <w:lvlJc w:val="left"/>
      <w:pPr>
        <w:ind w:left="856" w:hanging="224"/>
      </w:pPr>
      <w:rPr>
        <w:rFonts w:hint="default"/>
        <w:lang w:val="en-US" w:eastAsia="en-US" w:bidi="ar-SA"/>
      </w:rPr>
    </w:lvl>
    <w:lvl w:ilvl="5">
      <w:start w:val="0"/>
      <w:numFmt w:val="bullet"/>
      <w:lvlText w:val="•"/>
      <w:lvlJc w:val="left"/>
      <w:pPr>
        <w:ind w:left="991" w:hanging="224"/>
      </w:pPr>
      <w:rPr>
        <w:rFonts w:hint="default"/>
        <w:lang w:val="en-US" w:eastAsia="en-US" w:bidi="ar-SA"/>
      </w:rPr>
    </w:lvl>
    <w:lvl w:ilvl="6">
      <w:start w:val="0"/>
      <w:numFmt w:val="bullet"/>
      <w:lvlText w:val="•"/>
      <w:lvlJc w:val="left"/>
      <w:pPr>
        <w:ind w:left="1125" w:hanging="224"/>
      </w:pPr>
      <w:rPr>
        <w:rFonts w:hint="default"/>
        <w:lang w:val="en-US" w:eastAsia="en-US" w:bidi="ar-SA"/>
      </w:rPr>
    </w:lvl>
    <w:lvl w:ilvl="7">
      <w:start w:val="0"/>
      <w:numFmt w:val="bullet"/>
      <w:lvlText w:val="•"/>
      <w:lvlJc w:val="left"/>
      <w:pPr>
        <w:ind w:left="1259" w:hanging="224"/>
      </w:pPr>
      <w:rPr>
        <w:rFonts w:hint="default"/>
        <w:lang w:val="en-US" w:eastAsia="en-US" w:bidi="ar-SA"/>
      </w:rPr>
    </w:lvl>
    <w:lvl w:ilvl="8">
      <w:start w:val="0"/>
      <w:numFmt w:val="bullet"/>
      <w:lvlText w:val="•"/>
      <w:lvlJc w:val="left"/>
      <w:pPr>
        <w:ind w:left="1393" w:hanging="224"/>
      </w:pPr>
      <w:rPr>
        <w:rFonts w:hint="default"/>
        <w:lang w:val="en-US" w:eastAsia="en-US" w:bidi="ar-SA"/>
      </w:rPr>
    </w:lvl>
  </w:abstractNum>
  <w:abstractNum w:abstractNumId="25">
    <w:multiLevelType w:val="hybridMultilevel"/>
    <w:lvl w:ilvl="0">
      <w:start w:val="0"/>
      <w:numFmt w:val="bullet"/>
      <w:lvlText w:val=""/>
      <w:lvlJc w:val="left"/>
      <w:pPr>
        <w:ind w:left="328"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511" w:hanging="224"/>
      </w:pPr>
      <w:rPr>
        <w:rFonts w:hint="default"/>
        <w:lang w:val="en-US" w:eastAsia="en-US" w:bidi="ar-SA"/>
      </w:rPr>
    </w:lvl>
    <w:lvl w:ilvl="2">
      <w:start w:val="0"/>
      <w:numFmt w:val="bullet"/>
      <w:lvlText w:val="•"/>
      <w:lvlJc w:val="left"/>
      <w:pPr>
        <w:ind w:left="702" w:hanging="224"/>
      </w:pPr>
      <w:rPr>
        <w:rFonts w:hint="default"/>
        <w:lang w:val="en-US" w:eastAsia="en-US" w:bidi="ar-SA"/>
      </w:rPr>
    </w:lvl>
    <w:lvl w:ilvl="3">
      <w:start w:val="0"/>
      <w:numFmt w:val="bullet"/>
      <w:lvlText w:val="•"/>
      <w:lvlJc w:val="left"/>
      <w:pPr>
        <w:ind w:left="893" w:hanging="224"/>
      </w:pPr>
      <w:rPr>
        <w:rFonts w:hint="default"/>
        <w:lang w:val="en-US" w:eastAsia="en-US" w:bidi="ar-SA"/>
      </w:rPr>
    </w:lvl>
    <w:lvl w:ilvl="4">
      <w:start w:val="0"/>
      <w:numFmt w:val="bullet"/>
      <w:lvlText w:val="•"/>
      <w:lvlJc w:val="left"/>
      <w:pPr>
        <w:ind w:left="1085" w:hanging="224"/>
      </w:pPr>
      <w:rPr>
        <w:rFonts w:hint="default"/>
        <w:lang w:val="en-US" w:eastAsia="en-US" w:bidi="ar-SA"/>
      </w:rPr>
    </w:lvl>
    <w:lvl w:ilvl="5">
      <w:start w:val="0"/>
      <w:numFmt w:val="bullet"/>
      <w:lvlText w:val="•"/>
      <w:lvlJc w:val="left"/>
      <w:pPr>
        <w:ind w:left="1276" w:hanging="224"/>
      </w:pPr>
      <w:rPr>
        <w:rFonts w:hint="default"/>
        <w:lang w:val="en-US" w:eastAsia="en-US" w:bidi="ar-SA"/>
      </w:rPr>
    </w:lvl>
    <w:lvl w:ilvl="6">
      <w:start w:val="0"/>
      <w:numFmt w:val="bullet"/>
      <w:lvlText w:val="•"/>
      <w:lvlJc w:val="left"/>
      <w:pPr>
        <w:ind w:left="1467" w:hanging="224"/>
      </w:pPr>
      <w:rPr>
        <w:rFonts w:hint="default"/>
        <w:lang w:val="en-US" w:eastAsia="en-US" w:bidi="ar-SA"/>
      </w:rPr>
    </w:lvl>
    <w:lvl w:ilvl="7">
      <w:start w:val="0"/>
      <w:numFmt w:val="bullet"/>
      <w:lvlText w:val="•"/>
      <w:lvlJc w:val="left"/>
      <w:pPr>
        <w:ind w:left="1659" w:hanging="224"/>
      </w:pPr>
      <w:rPr>
        <w:rFonts w:hint="default"/>
        <w:lang w:val="en-US" w:eastAsia="en-US" w:bidi="ar-SA"/>
      </w:rPr>
    </w:lvl>
    <w:lvl w:ilvl="8">
      <w:start w:val="0"/>
      <w:numFmt w:val="bullet"/>
      <w:lvlText w:val="•"/>
      <w:lvlJc w:val="left"/>
      <w:pPr>
        <w:ind w:left="1850" w:hanging="224"/>
      </w:pPr>
      <w:rPr>
        <w:rFonts w:hint="default"/>
        <w:lang w:val="en-US" w:eastAsia="en-US" w:bidi="ar-SA"/>
      </w:rPr>
    </w:lvl>
  </w:abstractNum>
  <w:abstractNum w:abstractNumId="24">
    <w:multiLevelType w:val="hybridMultilevel"/>
    <w:lvl w:ilvl="0">
      <w:start w:val="0"/>
      <w:numFmt w:val="bullet"/>
      <w:lvlText w:val=""/>
      <w:lvlJc w:val="left"/>
      <w:pPr>
        <w:ind w:left="331"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743" w:hanging="224"/>
      </w:pPr>
      <w:rPr>
        <w:rFonts w:hint="default"/>
        <w:lang w:val="en-US" w:eastAsia="en-US" w:bidi="ar-SA"/>
      </w:rPr>
    </w:lvl>
    <w:lvl w:ilvl="2">
      <w:start w:val="0"/>
      <w:numFmt w:val="bullet"/>
      <w:lvlText w:val="•"/>
      <w:lvlJc w:val="left"/>
      <w:pPr>
        <w:ind w:left="1146" w:hanging="224"/>
      </w:pPr>
      <w:rPr>
        <w:rFonts w:hint="default"/>
        <w:lang w:val="en-US" w:eastAsia="en-US" w:bidi="ar-SA"/>
      </w:rPr>
    </w:lvl>
    <w:lvl w:ilvl="3">
      <w:start w:val="0"/>
      <w:numFmt w:val="bullet"/>
      <w:lvlText w:val="•"/>
      <w:lvlJc w:val="left"/>
      <w:pPr>
        <w:ind w:left="1549" w:hanging="224"/>
      </w:pPr>
      <w:rPr>
        <w:rFonts w:hint="default"/>
        <w:lang w:val="en-US" w:eastAsia="en-US" w:bidi="ar-SA"/>
      </w:rPr>
    </w:lvl>
    <w:lvl w:ilvl="4">
      <w:start w:val="0"/>
      <w:numFmt w:val="bullet"/>
      <w:lvlText w:val="•"/>
      <w:lvlJc w:val="left"/>
      <w:pPr>
        <w:ind w:left="1952" w:hanging="224"/>
      </w:pPr>
      <w:rPr>
        <w:rFonts w:hint="default"/>
        <w:lang w:val="en-US" w:eastAsia="en-US" w:bidi="ar-SA"/>
      </w:rPr>
    </w:lvl>
    <w:lvl w:ilvl="5">
      <w:start w:val="0"/>
      <w:numFmt w:val="bullet"/>
      <w:lvlText w:val="•"/>
      <w:lvlJc w:val="left"/>
      <w:pPr>
        <w:ind w:left="2356" w:hanging="224"/>
      </w:pPr>
      <w:rPr>
        <w:rFonts w:hint="default"/>
        <w:lang w:val="en-US" w:eastAsia="en-US" w:bidi="ar-SA"/>
      </w:rPr>
    </w:lvl>
    <w:lvl w:ilvl="6">
      <w:start w:val="0"/>
      <w:numFmt w:val="bullet"/>
      <w:lvlText w:val="•"/>
      <w:lvlJc w:val="left"/>
      <w:pPr>
        <w:ind w:left="2759" w:hanging="224"/>
      </w:pPr>
      <w:rPr>
        <w:rFonts w:hint="default"/>
        <w:lang w:val="en-US" w:eastAsia="en-US" w:bidi="ar-SA"/>
      </w:rPr>
    </w:lvl>
    <w:lvl w:ilvl="7">
      <w:start w:val="0"/>
      <w:numFmt w:val="bullet"/>
      <w:lvlText w:val="•"/>
      <w:lvlJc w:val="left"/>
      <w:pPr>
        <w:ind w:left="3162" w:hanging="224"/>
      </w:pPr>
      <w:rPr>
        <w:rFonts w:hint="default"/>
        <w:lang w:val="en-US" w:eastAsia="en-US" w:bidi="ar-SA"/>
      </w:rPr>
    </w:lvl>
    <w:lvl w:ilvl="8">
      <w:start w:val="0"/>
      <w:numFmt w:val="bullet"/>
      <w:lvlText w:val="•"/>
      <w:lvlJc w:val="left"/>
      <w:pPr>
        <w:ind w:left="3565" w:hanging="224"/>
      </w:pPr>
      <w:rPr>
        <w:rFonts w:hint="default"/>
        <w:lang w:val="en-US" w:eastAsia="en-US" w:bidi="ar-SA"/>
      </w:rPr>
    </w:lvl>
  </w:abstractNum>
  <w:abstractNum w:abstractNumId="23">
    <w:multiLevelType w:val="hybridMultilevel"/>
    <w:lvl w:ilvl="0">
      <w:start w:val="0"/>
      <w:numFmt w:val="bullet"/>
      <w:lvlText w:val=""/>
      <w:lvlJc w:val="left"/>
      <w:pPr>
        <w:ind w:left="327"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454" w:hanging="224"/>
      </w:pPr>
      <w:rPr>
        <w:rFonts w:hint="default"/>
        <w:lang w:val="en-US" w:eastAsia="en-US" w:bidi="ar-SA"/>
      </w:rPr>
    </w:lvl>
    <w:lvl w:ilvl="2">
      <w:start w:val="0"/>
      <w:numFmt w:val="bullet"/>
      <w:lvlText w:val="•"/>
      <w:lvlJc w:val="left"/>
      <w:pPr>
        <w:ind w:left="588" w:hanging="224"/>
      </w:pPr>
      <w:rPr>
        <w:rFonts w:hint="default"/>
        <w:lang w:val="en-US" w:eastAsia="en-US" w:bidi="ar-SA"/>
      </w:rPr>
    </w:lvl>
    <w:lvl w:ilvl="3">
      <w:start w:val="0"/>
      <w:numFmt w:val="bullet"/>
      <w:lvlText w:val="•"/>
      <w:lvlJc w:val="left"/>
      <w:pPr>
        <w:ind w:left="722" w:hanging="224"/>
      </w:pPr>
      <w:rPr>
        <w:rFonts w:hint="default"/>
        <w:lang w:val="en-US" w:eastAsia="en-US" w:bidi="ar-SA"/>
      </w:rPr>
    </w:lvl>
    <w:lvl w:ilvl="4">
      <w:start w:val="0"/>
      <w:numFmt w:val="bullet"/>
      <w:lvlText w:val="•"/>
      <w:lvlJc w:val="left"/>
      <w:pPr>
        <w:ind w:left="856" w:hanging="224"/>
      </w:pPr>
      <w:rPr>
        <w:rFonts w:hint="default"/>
        <w:lang w:val="en-US" w:eastAsia="en-US" w:bidi="ar-SA"/>
      </w:rPr>
    </w:lvl>
    <w:lvl w:ilvl="5">
      <w:start w:val="0"/>
      <w:numFmt w:val="bullet"/>
      <w:lvlText w:val="•"/>
      <w:lvlJc w:val="left"/>
      <w:pPr>
        <w:ind w:left="991" w:hanging="224"/>
      </w:pPr>
      <w:rPr>
        <w:rFonts w:hint="default"/>
        <w:lang w:val="en-US" w:eastAsia="en-US" w:bidi="ar-SA"/>
      </w:rPr>
    </w:lvl>
    <w:lvl w:ilvl="6">
      <w:start w:val="0"/>
      <w:numFmt w:val="bullet"/>
      <w:lvlText w:val="•"/>
      <w:lvlJc w:val="left"/>
      <w:pPr>
        <w:ind w:left="1125" w:hanging="224"/>
      </w:pPr>
      <w:rPr>
        <w:rFonts w:hint="default"/>
        <w:lang w:val="en-US" w:eastAsia="en-US" w:bidi="ar-SA"/>
      </w:rPr>
    </w:lvl>
    <w:lvl w:ilvl="7">
      <w:start w:val="0"/>
      <w:numFmt w:val="bullet"/>
      <w:lvlText w:val="•"/>
      <w:lvlJc w:val="left"/>
      <w:pPr>
        <w:ind w:left="1259" w:hanging="224"/>
      </w:pPr>
      <w:rPr>
        <w:rFonts w:hint="default"/>
        <w:lang w:val="en-US" w:eastAsia="en-US" w:bidi="ar-SA"/>
      </w:rPr>
    </w:lvl>
    <w:lvl w:ilvl="8">
      <w:start w:val="0"/>
      <w:numFmt w:val="bullet"/>
      <w:lvlText w:val="•"/>
      <w:lvlJc w:val="left"/>
      <w:pPr>
        <w:ind w:left="1393" w:hanging="224"/>
      </w:pPr>
      <w:rPr>
        <w:rFonts w:hint="default"/>
        <w:lang w:val="en-US" w:eastAsia="en-US" w:bidi="ar-SA"/>
      </w:rPr>
    </w:lvl>
  </w:abstractNum>
  <w:abstractNum w:abstractNumId="22">
    <w:multiLevelType w:val="hybridMultilevel"/>
    <w:lvl w:ilvl="0">
      <w:start w:val="0"/>
      <w:numFmt w:val="bullet"/>
      <w:lvlText w:val=""/>
      <w:lvlJc w:val="left"/>
      <w:pPr>
        <w:ind w:left="328"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511" w:hanging="224"/>
      </w:pPr>
      <w:rPr>
        <w:rFonts w:hint="default"/>
        <w:lang w:val="en-US" w:eastAsia="en-US" w:bidi="ar-SA"/>
      </w:rPr>
    </w:lvl>
    <w:lvl w:ilvl="2">
      <w:start w:val="0"/>
      <w:numFmt w:val="bullet"/>
      <w:lvlText w:val="•"/>
      <w:lvlJc w:val="left"/>
      <w:pPr>
        <w:ind w:left="702" w:hanging="224"/>
      </w:pPr>
      <w:rPr>
        <w:rFonts w:hint="default"/>
        <w:lang w:val="en-US" w:eastAsia="en-US" w:bidi="ar-SA"/>
      </w:rPr>
    </w:lvl>
    <w:lvl w:ilvl="3">
      <w:start w:val="0"/>
      <w:numFmt w:val="bullet"/>
      <w:lvlText w:val="•"/>
      <w:lvlJc w:val="left"/>
      <w:pPr>
        <w:ind w:left="893" w:hanging="224"/>
      </w:pPr>
      <w:rPr>
        <w:rFonts w:hint="default"/>
        <w:lang w:val="en-US" w:eastAsia="en-US" w:bidi="ar-SA"/>
      </w:rPr>
    </w:lvl>
    <w:lvl w:ilvl="4">
      <w:start w:val="0"/>
      <w:numFmt w:val="bullet"/>
      <w:lvlText w:val="•"/>
      <w:lvlJc w:val="left"/>
      <w:pPr>
        <w:ind w:left="1085" w:hanging="224"/>
      </w:pPr>
      <w:rPr>
        <w:rFonts w:hint="default"/>
        <w:lang w:val="en-US" w:eastAsia="en-US" w:bidi="ar-SA"/>
      </w:rPr>
    </w:lvl>
    <w:lvl w:ilvl="5">
      <w:start w:val="0"/>
      <w:numFmt w:val="bullet"/>
      <w:lvlText w:val="•"/>
      <w:lvlJc w:val="left"/>
      <w:pPr>
        <w:ind w:left="1276" w:hanging="224"/>
      </w:pPr>
      <w:rPr>
        <w:rFonts w:hint="default"/>
        <w:lang w:val="en-US" w:eastAsia="en-US" w:bidi="ar-SA"/>
      </w:rPr>
    </w:lvl>
    <w:lvl w:ilvl="6">
      <w:start w:val="0"/>
      <w:numFmt w:val="bullet"/>
      <w:lvlText w:val="•"/>
      <w:lvlJc w:val="left"/>
      <w:pPr>
        <w:ind w:left="1467" w:hanging="224"/>
      </w:pPr>
      <w:rPr>
        <w:rFonts w:hint="default"/>
        <w:lang w:val="en-US" w:eastAsia="en-US" w:bidi="ar-SA"/>
      </w:rPr>
    </w:lvl>
    <w:lvl w:ilvl="7">
      <w:start w:val="0"/>
      <w:numFmt w:val="bullet"/>
      <w:lvlText w:val="•"/>
      <w:lvlJc w:val="left"/>
      <w:pPr>
        <w:ind w:left="1659" w:hanging="224"/>
      </w:pPr>
      <w:rPr>
        <w:rFonts w:hint="default"/>
        <w:lang w:val="en-US" w:eastAsia="en-US" w:bidi="ar-SA"/>
      </w:rPr>
    </w:lvl>
    <w:lvl w:ilvl="8">
      <w:start w:val="0"/>
      <w:numFmt w:val="bullet"/>
      <w:lvlText w:val="•"/>
      <w:lvlJc w:val="left"/>
      <w:pPr>
        <w:ind w:left="1850" w:hanging="224"/>
      </w:pPr>
      <w:rPr>
        <w:rFonts w:hint="default"/>
        <w:lang w:val="en-US" w:eastAsia="en-US" w:bidi="ar-SA"/>
      </w:rPr>
    </w:lvl>
  </w:abstractNum>
  <w:abstractNum w:abstractNumId="21">
    <w:multiLevelType w:val="hybridMultilevel"/>
    <w:lvl w:ilvl="0">
      <w:start w:val="0"/>
      <w:numFmt w:val="bullet"/>
      <w:lvlText w:val=""/>
      <w:lvlJc w:val="left"/>
      <w:pPr>
        <w:ind w:left="468" w:hanging="360"/>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851" w:hanging="360"/>
      </w:pPr>
      <w:rPr>
        <w:rFonts w:hint="default"/>
        <w:lang w:val="en-US" w:eastAsia="en-US" w:bidi="ar-SA"/>
      </w:rPr>
    </w:lvl>
    <w:lvl w:ilvl="2">
      <w:start w:val="0"/>
      <w:numFmt w:val="bullet"/>
      <w:lvlText w:val="•"/>
      <w:lvlJc w:val="left"/>
      <w:pPr>
        <w:ind w:left="1242" w:hanging="360"/>
      </w:pPr>
      <w:rPr>
        <w:rFonts w:hint="default"/>
        <w:lang w:val="en-US" w:eastAsia="en-US" w:bidi="ar-SA"/>
      </w:rPr>
    </w:lvl>
    <w:lvl w:ilvl="3">
      <w:start w:val="0"/>
      <w:numFmt w:val="bullet"/>
      <w:lvlText w:val="•"/>
      <w:lvlJc w:val="left"/>
      <w:pPr>
        <w:ind w:left="1633" w:hanging="360"/>
      </w:pPr>
      <w:rPr>
        <w:rFonts w:hint="default"/>
        <w:lang w:val="en-US" w:eastAsia="en-US" w:bidi="ar-SA"/>
      </w:rPr>
    </w:lvl>
    <w:lvl w:ilvl="4">
      <w:start w:val="0"/>
      <w:numFmt w:val="bullet"/>
      <w:lvlText w:val="•"/>
      <w:lvlJc w:val="left"/>
      <w:pPr>
        <w:ind w:left="2024" w:hanging="360"/>
      </w:pPr>
      <w:rPr>
        <w:rFonts w:hint="default"/>
        <w:lang w:val="en-US" w:eastAsia="en-US" w:bidi="ar-SA"/>
      </w:rPr>
    </w:lvl>
    <w:lvl w:ilvl="5">
      <w:start w:val="0"/>
      <w:numFmt w:val="bullet"/>
      <w:lvlText w:val="•"/>
      <w:lvlJc w:val="left"/>
      <w:pPr>
        <w:ind w:left="2416" w:hanging="360"/>
      </w:pPr>
      <w:rPr>
        <w:rFonts w:hint="default"/>
        <w:lang w:val="en-US" w:eastAsia="en-US" w:bidi="ar-SA"/>
      </w:rPr>
    </w:lvl>
    <w:lvl w:ilvl="6">
      <w:start w:val="0"/>
      <w:numFmt w:val="bullet"/>
      <w:lvlText w:val="•"/>
      <w:lvlJc w:val="left"/>
      <w:pPr>
        <w:ind w:left="2807" w:hanging="360"/>
      </w:pPr>
      <w:rPr>
        <w:rFonts w:hint="default"/>
        <w:lang w:val="en-US" w:eastAsia="en-US" w:bidi="ar-SA"/>
      </w:rPr>
    </w:lvl>
    <w:lvl w:ilvl="7">
      <w:start w:val="0"/>
      <w:numFmt w:val="bullet"/>
      <w:lvlText w:val="•"/>
      <w:lvlJc w:val="left"/>
      <w:pPr>
        <w:ind w:left="3198" w:hanging="360"/>
      </w:pPr>
      <w:rPr>
        <w:rFonts w:hint="default"/>
        <w:lang w:val="en-US" w:eastAsia="en-US" w:bidi="ar-SA"/>
      </w:rPr>
    </w:lvl>
    <w:lvl w:ilvl="8">
      <w:start w:val="0"/>
      <w:numFmt w:val="bullet"/>
      <w:lvlText w:val="•"/>
      <w:lvlJc w:val="left"/>
      <w:pPr>
        <w:ind w:left="3589" w:hanging="360"/>
      </w:pPr>
      <w:rPr>
        <w:rFonts w:hint="default"/>
        <w:lang w:val="en-US" w:eastAsia="en-US" w:bidi="ar-SA"/>
      </w:rPr>
    </w:lvl>
  </w:abstractNum>
  <w:abstractNum w:abstractNumId="20">
    <w:multiLevelType w:val="hybridMultilevel"/>
    <w:lvl w:ilvl="0">
      <w:start w:val="0"/>
      <w:numFmt w:val="bullet"/>
      <w:lvlText w:val=""/>
      <w:lvlJc w:val="left"/>
      <w:pPr>
        <w:ind w:left="327"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454" w:hanging="224"/>
      </w:pPr>
      <w:rPr>
        <w:rFonts w:hint="default"/>
        <w:lang w:val="en-US" w:eastAsia="en-US" w:bidi="ar-SA"/>
      </w:rPr>
    </w:lvl>
    <w:lvl w:ilvl="2">
      <w:start w:val="0"/>
      <w:numFmt w:val="bullet"/>
      <w:lvlText w:val="•"/>
      <w:lvlJc w:val="left"/>
      <w:pPr>
        <w:ind w:left="588" w:hanging="224"/>
      </w:pPr>
      <w:rPr>
        <w:rFonts w:hint="default"/>
        <w:lang w:val="en-US" w:eastAsia="en-US" w:bidi="ar-SA"/>
      </w:rPr>
    </w:lvl>
    <w:lvl w:ilvl="3">
      <w:start w:val="0"/>
      <w:numFmt w:val="bullet"/>
      <w:lvlText w:val="•"/>
      <w:lvlJc w:val="left"/>
      <w:pPr>
        <w:ind w:left="722" w:hanging="224"/>
      </w:pPr>
      <w:rPr>
        <w:rFonts w:hint="default"/>
        <w:lang w:val="en-US" w:eastAsia="en-US" w:bidi="ar-SA"/>
      </w:rPr>
    </w:lvl>
    <w:lvl w:ilvl="4">
      <w:start w:val="0"/>
      <w:numFmt w:val="bullet"/>
      <w:lvlText w:val="•"/>
      <w:lvlJc w:val="left"/>
      <w:pPr>
        <w:ind w:left="856" w:hanging="224"/>
      </w:pPr>
      <w:rPr>
        <w:rFonts w:hint="default"/>
        <w:lang w:val="en-US" w:eastAsia="en-US" w:bidi="ar-SA"/>
      </w:rPr>
    </w:lvl>
    <w:lvl w:ilvl="5">
      <w:start w:val="0"/>
      <w:numFmt w:val="bullet"/>
      <w:lvlText w:val="•"/>
      <w:lvlJc w:val="left"/>
      <w:pPr>
        <w:ind w:left="991" w:hanging="224"/>
      </w:pPr>
      <w:rPr>
        <w:rFonts w:hint="default"/>
        <w:lang w:val="en-US" w:eastAsia="en-US" w:bidi="ar-SA"/>
      </w:rPr>
    </w:lvl>
    <w:lvl w:ilvl="6">
      <w:start w:val="0"/>
      <w:numFmt w:val="bullet"/>
      <w:lvlText w:val="•"/>
      <w:lvlJc w:val="left"/>
      <w:pPr>
        <w:ind w:left="1125" w:hanging="224"/>
      </w:pPr>
      <w:rPr>
        <w:rFonts w:hint="default"/>
        <w:lang w:val="en-US" w:eastAsia="en-US" w:bidi="ar-SA"/>
      </w:rPr>
    </w:lvl>
    <w:lvl w:ilvl="7">
      <w:start w:val="0"/>
      <w:numFmt w:val="bullet"/>
      <w:lvlText w:val="•"/>
      <w:lvlJc w:val="left"/>
      <w:pPr>
        <w:ind w:left="1259" w:hanging="224"/>
      </w:pPr>
      <w:rPr>
        <w:rFonts w:hint="default"/>
        <w:lang w:val="en-US" w:eastAsia="en-US" w:bidi="ar-SA"/>
      </w:rPr>
    </w:lvl>
    <w:lvl w:ilvl="8">
      <w:start w:val="0"/>
      <w:numFmt w:val="bullet"/>
      <w:lvlText w:val="•"/>
      <w:lvlJc w:val="left"/>
      <w:pPr>
        <w:ind w:left="1393" w:hanging="224"/>
      </w:pPr>
      <w:rPr>
        <w:rFonts w:hint="default"/>
        <w:lang w:val="en-US" w:eastAsia="en-US" w:bidi="ar-SA"/>
      </w:rPr>
    </w:lvl>
  </w:abstractNum>
  <w:abstractNum w:abstractNumId="19">
    <w:multiLevelType w:val="hybridMultilevel"/>
    <w:lvl w:ilvl="0">
      <w:start w:val="0"/>
      <w:numFmt w:val="bullet"/>
      <w:lvlText w:val=""/>
      <w:lvlJc w:val="left"/>
      <w:pPr>
        <w:ind w:left="328"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511" w:hanging="224"/>
      </w:pPr>
      <w:rPr>
        <w:rFonts w:hint="default"/>
        <w:lang w:val="en-US" w:eastAsia="en-US" w:bidi="ar-SA"/>
      </w:rPr>
    </w:lvl>
    <w:lvl w:ilvl="2">
      <w:start w:val="0"/>
      <w:numFmt w:val="bullet"/>
      <w:lvlText w:val="•"/>
      <w:lvlJc w:val="left"/>
      <w:pPr>
        <w:ind w:left="702" w:hanging="224"/>
      </w:pPr>
      <w:rPr>
        <w:rFonts w:hint="default"/>
        <w:lang w:val="en-US" w:eastAsia="en-US" w:bidi="ar-SA"/>
      </w:rPr>
    </w:lvl>
    <w:lvl w:ilvl="3">
      <w:start w:val="0"/>
      <w:numFmt w:val="bullet"/>
      <w:lvlText w:val="•"/>
      <w:lvlJc w:val="left"/>
      <w:pPr>
        <w:ind w:left="893" w:hanging="224"/>
      </w:pPr>
      <w:rPr>
        <w:rFonts w:hint="default"/>
        <w:lang w:val="en-US" w:eastAsia="en-US" w:bidi="ar-SA"/>
      </w:rPr>
    </w:lvl>
    <w:lvl w:ilvl="4">
      <w:start w:val="0"/>
      <w:numFmt w:val="bullet"/>
      <w:lvlText w:val="•"/>
      <w:lvlJc w:val="left"/>
      <w:pPr>
        <w:ind w:left="1085" w:hanging="224"/>
      </w:pPr>
      <w:rPr>
        <w:rFonts w:hint="default"/>
        <w:lang w:val="en-US" w:eastAsia="en-US" w:bidi="ar-SA"/>
      </w:rPr>
    </w:lvl>
    <w:lvl w:ilvl="5">
      <w:start w:val="0"/>
      <w:numFmt w:val="bullet"/>
      <w:lvlText w:val="•"/>
      <w:lvlJc w:val="left"/>
      <w:pPr>
        <w:ind w:left="1276" w:hanging="224"/>
      </w:pPr>
      <w:rPr>
        <w:rFonts w:hint="default"/>
        <w:lang w:val="en-US" w:eastAsia="en-US" w:bidi="ar-SA"/>
      </w:rPr>
    </w:lvl>
    <w:lvl w:ilvl="6">
      <w:start w:val="0"/>
      <w:numFmt w:val="bullet"/>
      <w:lvlText w:val="•"/>
      <w:lvlJc w:val="left"/>
      <w:pPr>
        <w:ind w:left="1467" w:hanging="224"/>
      </w:pPr>
      <w:rPr>
        <w:rFonts w:hint="default"/>
        <w:lang w:val="en-US" w:eastAsia="en-US" w:bidi="ar-SA"/>
      </w:rPr>
    </w:lvl>
    <w:lvl w:ilvl="7">
      <w:start w:val="0"/>
      <w:numFmt w:val="bullet"/>
      <w:lvlText w:val="•"/>
      <w:lvlJc w:val="left"/>
      <w:pPr>
        <w:ind w:left="1659" w:hanging="224"/>
      </w:pPr>
      <w:rPr>
        <w:rFonts w:hint="default"/>
        <w:lang w:val="en-US" w:eastAsia="en-US" w:bidi="ar-SA"/>
      </w:rPr>
    </w:lvl>
    <w:lvl w:ilvl="8">
      <w:start w:val="0"/>
      <w:numFmt w:val="bullet"/>
      <w:lvlText w:val="•"/>
      <w:lvlJc w:val="left"/>
      <w:pPr>
        <w:ind w:left="1850" w:hanging="224"/>
      </w:pPr>
      <w:rPr>
        <w:rFonts w:hint="default"/>
        <w:lang w:val="en-US" w:eastAsia="en-US" w:bidi="ar-SA"/>
      </w:rPr>
    </w:lvl>
  </w:abstractNum>
  <w:abstractNum w:abstractNumId="18">
    <w:multiLevelType w:val="hybridMultilevel"/>
    <w:lvl w:ilvl="0">
      <w:start w:val="0"/>
      <w:numFmt w:val="bullet"/>
      <w:lvlText w:val=""/>
      <w:lvlJc w:val="left"/>
      <w:pPr>
        <w:ind w:left="331"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743" w:hanging="224"/>
      </w:pPr>
      <w:rPr>
        <w:rFonts w:hint="default"/>
        <w:lang w:val="en-US" w:eastAsia="en-US" w:bidi="ar-SA"/>
      </w:rPr>
    </w:lvl>
    <w:lvl w:ilvl="2">
      <w:start w:val="0"/>
      <w:numFmt w:val="bullet"/>
      <w:lvlText w:val="•"/>
      <w:lvlJc w:val="left"/>
      <w:pPr>
        <w:ind w:left="1146" w:hanging="224"/>
      </w:pPr>
      <w:rPr>
        <w:rFonts w:hint="default"/>
        <w:lang w:val="en-US" w:eastAsia="en-US" w:bidi="ar-SA"/>
      </w:rPr>
    </w:lvl>
    <w:lvl w:ilvl="3">
      <w:start w:val="0"/>
      <w:numFmt w:val="bullet"/>
      <w:lvlText w:val="•"/>
      <w:lvlJc w:val="left"/>
      <w:pPr>
        <w:ind w:left="1549" w:hanging="224"/>
      </w:pPr>
      <w:rPr>
        <w:rFonts w:hint="default"/>
        <w:lang w:val="en-US" w:eastAsia="en-US" w:bidi="ar-SA"/>
      </w:rPr>
    </w:lvl>
    <w:lvl w:ilvl="4">
      <w:start w:val="0"/>
      <w:numFmt w:val="bullet"/>
      <w:lvlText w:val="•"/>
      <w:lvlJc w:val="left"/>
      <w:pPr>
        <w:ind w:left="1952" w:hanging="224"/>
      </w:pPr>
      <w:rPr>
        <w:rFonts w:hint="default"/>
        <w:lang w:val="en-US" w:eastAsia="en-US" w:bidi="ar-SA"/>
      </w:rPr>
    </w:lvl>
    <w:lvl w:ilvl="5">
      <w:start w:val="0"/>
      <w:numFmt w:val="bullet"/>
      <w:lvlText w:val="•"/>
      <w:lvlJc w:val="left"/>
      <w:pPr>
        <w:ind w:left="2356" w:hanging="224"/>
      </w:pPr>
      <w:rPr>
        <w:rFonts w:hint="default"/>
        <w:lang w:val="en-US" w:eastAsia="en-US" w:bidi="ar-SA"/>
      </w:rPr>
    </w:lvl>
    <w:lvl w:ilvl="6">
      <w:start w:val="0"/>
      <w:numFmt w:val="bullet"/>
      <w:lvlText w:val="•"/>
      <w:lvlJc w:val="left"/>
      <w:pPr>
        <w:ind w:left="2759" w:hanging="224"/>
      </w:pPr>
      <w:rPr>
        <w:rFonts w:hint="default"/>
        <w:lang w:val="en-US" w:eastAsia="en-US" w:bidi="ar-SA"/>
      </w:rPr>
    </w:lvl>
    <w:lvl w:ilvl="7">
      <w:start w:val="0"/>
      <w:numFmt w:val="bullet"/>
      <w:lvlText w:val="•"/>
      <w:lvlJc w:val="left"/>
      <w:pPr>
        <w:ind w:left="3162" w:hanging="224"/>
      </w:pPr>
      <w:rPr>
        <w:rFonts w:hint="default"/>
        <w:lang w:val="en-US" w:eastAsia="en-US" w:bidi="ar-SA"/>
      </w:rPr>
    </w:lvl>
    <w:lvl w:ilvl="8">
      <w:start w:val="0"/>
      <w:numFmt w:val="bullet"/>
      <w:lvlText w:val="•"/>
      <w:lvlJc w:val="left"/>
      <w:pPr>
        <w:ind w:left="3565" w:hanging="224"/>
      </w:pPr>
      <w:rPr>
        <w:rFonts w:hint="default"/>
        <w:lang w:val="en-US" w:eastAsia="en-US" w:bidi="ar-SA"/>
      </w:rPr>
    </w:lvl>
  </w:abstractNum>
  <w:abstractNum w:abstractNumId="17">
    <w:multiLevelType w:val="hybridMultilevel"/>
    <w:lvl w:ilvl="0">
      <w:start w:val="0"/>
      <w:numFmt w:val="bullet"/>
      <w:lvlText w:val=""/>
      <w:lvlJc w:val="left"/>
      <w:pPr>
        <w:ind w:left="331"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743" w:hanging="224"/>
      </w:pPr>
      <w:rPr>
        <w:rFonts w:hint="default"/>
        <w:lang w:val="en-US" w:eastAsia="en-US" w:bidi="ar-SA"/>
      </w:rPr>
    </w:lvl>
    <w:lvl w:ilvl="2">
      <w:start w:val="0"/>
      <w:numFmt w:val="bullet"/>
      <w:lvlText w:val="•"/>
      <w:lvlJc w:val="left"/>
      <w:pPr>
        <w:ind w:left="1146" w:hanging="224"/>
      </w:pPr>
      <w:rPr>
        <w:rFonts w:hint="default"/>
        <w:lang w:val="en-US" w:eastAsia="en-US" w:bidi="ar-SA"/>
      </w:rPr>
    </w:lvl>
    <w:lvl w:ilvl="3">
      <w:start w:val="0"/>
      <w:numFmt w:val="bullet"/>
      <w:lvlText w:val="•"/>
      <w:lvlJc w:val="left"/>
      <w:pPr>
        <w:ind w:left="1549" w:hanging="224"/>
      </w:pPr>
      <w:rPr>
        <w:rFonts w:hint="default"/>
        <w:lang w:val="en-US" w:eastAsia="en-US" w:bidi="ar-SA"/>
      </w:rPr>
    </w:lvl>
    <w:lvl w:ilvl="4">
      <w:start w:val="0"/>
      <w:numFmt w:val="bullet"/>
      <w:lvlText w:val="•"/>
      <w:lvlJc w:val="left"/>
      <w:pPr>
        <w:ind w:left="1952" w:hanging="224"/>
      </w:pPr>
      <w:rPr>
        <w:rFonts w:hint="default"/>
        <w:lang w:val="en-US" w:eastAsia="en-US" w:bidi="ar-SA"/>
      </w:rPr>
    </w:lvl>
    <w:lvl w:ilvl="5">
      <w:start w:val="0"/>
      <w:numFmt w:val="bullet"/>
      <w:lvlText w:val="•"/>
      <w:lvlJc w:val="left"/>
      <w:pPr>
        <w:ind w:left="2356" w:hanging="224"/>
      </w:pPr>
      <w:rPr>
        <w:rFonts w:hint="default"/>
        <w:lang w:val="en-US" w:eastAsia="en-US" w:bidi="ar-SA"/>
      </w:rPr>
    </w:lvl>
    <w:lvl w:ilvl="6">
      <w:start w:val="0"/>
      <w:numFmt w:val="bullet"/>
      <w:lvlText w:val="•"/>
      <w:lvlJc w:val="left"/>
      <w:pPr>
        <w:ind w:left="2759" w:hanging="224"/>
      </w:pPr>
      <w:rPr>
        <w:rFonts w:hint="default"/>
        <w:lang w:val="en-US" w:eastAsia="en-US" w:bidi="ar-SA"/>
      </w:rPr>
    </w:lvl>
    <w:lvl w:ilvl="7">
      <w:start w:val="0"/>
      <w:numFmt w:val="bullet"/>
      <w:lvlText w:val="•"/>
      <w:lvlJc w:val="left"/>
      <w:pPr>
        <w:ind w:left="3162" w:hanging="224"/>
      </w:pPr>
      <w:rPr>
        <w:rFonts w:hint="default"/>
        <w:lang w:val="en-US" w:eastAsia="en-US" w:bidi="ar-SA"/>
      </w:rPr>
    </w:lvl>
    <w:lvl w:ilvl="8">
      <w:start w:val="0"/>
      <w:numFmt w:val="bullet"/>
      <w:lvlText w:val="•"/>
      <w:lvlJc w:val="left"/>
      <w:pPr>
        <w:ind w:left="3565" w:hanging="224"/>
      </w:pPr>
      <w:rPr>
        <w:rFonts w:hint="default"/>
        <w:lang w:val="en-US" w:eastAsia="en-US" w:bidi="ar-SA"/>
      </w:rPr>
    </w:lvl>
  </w:abstractNum>
  <w:abstractNum w:abstractNumId="16">
    <w:multiLevelType w:val="hybridMultilevel"/>
    <w:lvl w:ilvl="0">
      <w:start w:val="0"/>
      <w:numFmt w:val="bullet"/>
      <w:lvlText w:val=""/>
      <w:lvlJc w:val="left"/>
      <w:pPr>
        <w:ind w:left="327"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454" w:hanging="224"/>
      </w:pPr>
      <w:rPr>
        <w:rFonts w:hint="default"/>
        <w:lang w:val="en-US" w:eastAsia="en-US" w:bidi="ar-SA"/>
      </w:rPr>
    </w:lvl>
    <w:lvl w:ilvl="2">
      <w:start w:val="0"/>
      <w:numFmt w:val="bullet"/>
      <w:lvlText w:val="•"/>
      <w:lvlJc w:val="left"/>
      <w:pPr>
        <w:ind w:left="588" w:hanging="224"/>
      </w:pPr>
      <w:rPr>
        <w:rFonts w:hint="default"/>
        <w:lang w:val="en-US" w:eastAsia="en-US" w:bidi="ar-SA"/>
      </w:rPr>
    </w:lvl>
    <w:lvl w:ilvl="3">
      <w:start w:val="0"/>
      <w:numFmt w:val="bullet"/>
      <w:lvlText w:val="•"/>
      <w:lvlJc w:val="left"/>
      <w:pPr>
        <w:ind w:left="722" w:hanging="224"/>
      </w:pPr>
      <w:rPr>
        <w:rFonts w:hint="default"/>
        <w:lang w:val="en-US" w:eastAsia="en-US" w:bidi="ar-SA"/>
      </w:rPr>
    </w:lvl>
    <w:lvl w:ilvl="4">
      <w:start w:val="0"/>
      <w:numFmt w:val="bullet"/>
      <w:lvlText w:val="•"/>
      <w:lvlJc w:val="left"/>
      <w:pPr>
        <w:ind w:left="856" w:hanging="224"/>
      </w:pPr>
      <w:rPr>
        <w:rFonts w:hint="default"/>
        <w:lang w:val="en-US" w:eastAsia="en-US" w:bidi="ar-SA"/>
      </w:rPr>
    </w:lvl>
    <w:lvl w:ilvl="5">
      <w:start w:val="0"/>
      <w:numFmt w:val="bullet"/>
      <w:lvlText w:val="•"/>
      <w:lvlJc w:val="left"/>
      <w:pPr>
        <w:ind w:left="991" w:hanging="224"/>
      </w:pPr>
      <w:rPr>
        <w:rFonts w:hint="default"/>
        <w:lang w:val="en-US" w:eastAsia="en-US" w:bidi="ar-SA"/>
      </w:rPr>
    </w:lvl>
    <w:lvl w:ilvl="6">
      <w:start w:val="0"/>
      <w:numFmt w:val="bullet"/>
      <w:lvlText w:val="•"/>
      <w:lvlJc w:val="left"/>
      <w:pPr>
        <w:ind w:left="1125" w:hanging="224"/>
      </w:pPr>
      <w:rPr>
        <w:rFonts w:hint="default"/>
        <w:lang w:val="en-US" w:eastAsia="en-US" w:bidi="ar-SA"/>
      </w:rPr>
    </w:lvl>
    <w:lvl w:ilvl="7">
      <w:start w:val="0"/>
      <w:numFmt w:val="bullet"/>
      <w:lvlText w:val="•"/>
      <w:lvlJc w:val="left"/>
      <w:pPr>
        <w:ind w:left="1259" w:hanging="224"/>
      </w:pPr>
      <w:rPr>
        <w:rFonts w:hint="default"/>
        <w:lang w:val="en-US" w:eastAsia="en-US" w:bidi="ar-SA"/>
      </w:rPr>
    </w:lvl>
    <w:lvl w:ilvl="8">
      <w:start w:val="0"/>
      <w:numFmt w:val="bullet"/>
      <w:lvlText w:val="•"/>
      <w:lvlJc w:val="left"/>
      <w:pPr>
        <w:ind w:left="1393" w:hanging="224"/>
      </w:pPr>
      <w:rPr>
        <w:rFonts w:hint="default"/>
        <w:lang w:val="en-US" w:eastAsia="en-US" w:bidi="ar-SA"/>
      </w:rPr>
    </w:lvl>
  </w:abstractNum>
  <w:abstractNum w:abstractNumId="15">
    <w:multiLevelType w:val="hybridMultilevel"/>
    <w:lvl w:ilvl="0">
      <w:start w:val="0"/>
      <w:numFmt w:val="bullet"/>
      <w:lvlText w:val=""/>
      <w:lvlJc w:val="left"/>
      <w:pPr>
        <w:ind w:left="328"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511" w:hanging="224"/>
      </w:pPr>
      <w:rPr>
        <w:rFonts w:hint="default"/>
        <w:lang w:val="en-US" w:eastAsia="en-US" w:bidi="ar-SA"/>
      </w:rPr>
    </w:lvl>
    <w:lvl w:ilvl="2">
      <w:start w:val="0"/>
      <w:numFmt w:val="bullet"/>
      <w:lvlText w:val="•"/>
      <w:lvlJc w:val="left"/>
      <w:pPr>
        <w:ind w:left="702" w:hanging="224"/>
      </w:pPr>
      <w:rPr>
        <w:rFonts w:hint="default"/>
        <w:lang w:val="en-US" w:eastAsia="en-US" w:bidi="ar-SA"/>
      </w:rPr>
    </w:lvl>
    <w:lvl w:ilvl="3">
      <w:start w:val="0"/>
      <w:numFmt w:val="bullet"/>
      <w:lvlText w:val="•"/>
      <w:lvlJc w:val="left"/>
      <w:pPr>
        <w:ind w:left="893" w:hanging="224"/>
      </w:pPr>
      <w:rPr>
        <w:rFonts w:hint="default"/>
        <w:lang w:val="en-US" w:eastAsia="en-US" w:bidi="ar-SA"/>
      </w:rPr>
    </w:lvl>
    <w:lvl w:ilvl="4">
      <w:start w:val="0"/>
      <w:numFmt w:val="bullet"/>
      <w:lvlText w:val="•"/>
      <w:lvlJc w:val="left"/>
      <w:pPr>
        <w:ind w:left="1085" w:hanging="224"/>
      </w:pPr>
      <w:rPr>
        <w:rFonts w:hint="default"/>
        <w:lang w:val="en-US" w:eastAsia="en-US" w:bidi="ar-SA"/>
      </w:rPr>
    </w:lvl>
    <w:lvl w:ilvl="5">
      <w:start w:val="0"/>
      <w:numFmt w:val="bullet"/>
      <w:lvlText w:val="•"/>
      <w:lvlJc w:val="left"/>
      <w:pPr>
        <w:ind w:left="1276" w:hanging="224"/>
      </w:pPr>
      <w:rPr>
        <w:rFonts w:hint="default"/>
        <w:lang w:val="en-US" w:eastAsia="en-US" w:bidi="ar-SA"/>
      </w:rPr>
    </w:lvl>
    <w:lvl w:ilvl="6">
      <w:start w:val="0"/>
      <w:numFmt w:val="bullet"/>
      <w:lvlText w:val="•"/>
      <w:lvlJc w:val="left"/>
      <w:pPr>
        <w:ind w:left="1467" w:hanging="224"/>
      </w:pPr>
      <w:rPr>
        <w:rFonts w:hint="default"/>
        <w:lang w:val="en-US" w:eastAsia="en-US" w:bidi="ar-SA"/>
      </w:rPr>
    </w:lvl>
    <w:lvl w:ilvl="7">
      <w:start w:val="0"/>
      <w:numFmt w:val="bullet"/>
      <w:lvlText w:val="•"/>
      <w:lvlJc w:val="left"/>
      <w:pPr>
        <w:ind w:left="1659" w:hanging="224"/>
      </w:pPr>
      <w:rPr>
        <w:rFonts w:hint="default"/>
        <w:lang w:val="en-US" w:eastAsia="en-US" w:bidi="ar-SA"/>
      </w:rPr>
    </w:lvl>
    <w:lvl w:ilvl="8">
      <w:start w:val="0"/>
      <w:numFmt w:val="bullet"/>
      <w:lvlText w:val="•"/>
      <w:lvlJc w:val="left"/>
      <w:pPr>
        <w:ind w:left="1850" w:hanging="224"/>
      </w:pPr>
      <w:rPr>
        <w:rFonts w:hint="default"/>
        <w:lang w:val="en-US" w:eastAsia="en-US" w:bidi="ar-SA"/>
      </w:rPr>
    </w:lvl>
  </w:abstractNum>
  <w:abstractNum w:abstractNumId="14">
    <w:multiLevelType w:val="hybridMultilevel"/>
    <w:lvl w:ilvl="0">
      <w:start w:val="0"/>
      <w:numFmt w:val="bullet"/>
      <w:lvlText w:val=""/>
      <w:lvlJc w:val="left"/>
      <w:pPr>
        <w:ind w:left="331"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743" w:hanging="224"/>
      </w:pPr>
      <w:rPr>
        <w:rFonts w:hint="default"/>
        <w:lang w:val="en-US" w:eastAsia="en-US" w:bidi="ar-SA"/>
      </w:rPr>
    </w:lvl>
    <w:lvl w:ilvl="2">
      <w:start w:val="0"/>
      <w:numFmt w:val="bullet"/>
      <w:lvlText w:val="•"/>
      <w:lvlJc w:val="left"/>
      <w:pPr>
        <w:ind w:left="1146" w:hanging="224"/>
      </w:pPr>
      <w:rPr>
        <w:rFonts w:hint="default"/>
        <w:lang w:val="en-US" w:eastAsia="en-US" w:bidi="ar-SA"/>
      </w:rPr>
    </w:lvl>
    <w:lvl w:ilvl="3">
      <w:start w:val="0"/>
      <w:numFmt w:val="bullet"/>
      <w:lvlText w:val="•"/>
      <w:lvlJc w:val="left"/>
      <w:pPr>
        <w:ind w:left="1549" w:hanging="224"/>
      </w:pPr>
      <w:rPr>
        <w:rFonts w:hint="default"/>
        <w:lang w:val="en-US" w:eastAsia="en-US" w:bidi="ar-SA"/>
      </w:rPr>
    </w:lvl>
    <w:lvl w:ilvl="4">
      <w:start w:val="0"/>
      <w:numFmt w:val="bullet"/>
      <w:lvlText w:val="•"/>
      <w:lvlJc w:val="left"/>
      <w:pPr>
        <w:ind w:left="1952" w:hanging="224"/>
      </w:pPr>
      <w:rPr>
        <w:rFonts w:hint="default"/>
        <w:lang w:val="en-US" w:eastAsia="en-US" w:bidi="ar-SA"/>
      </w:rPr>
    </w:lvl>
    <w:lvl w:ilvl="5">
      <w:start w:val="0"/>
      <w:numFmt w:val="bullet"/>
      <w:lvlText w:val="•"/>
      <w:lvlJc w:val="left"/>
      <w:pPr>
        <w:ind w:left="2356" w:hanging="224"/>
      </w:pPr>
      <w:rPr>
        <w:rFonts w:hint="default"/>
        <w:lang w:val="en-US" w:eastAsia="en-US" w:bidi="ar-SA"/>
      </w:rPr>
    </w:lvl>
    <w:lvl w:ilvl="6">
      <w:start w:val="0"/>
      <w:numFmt w:val="bullet"/>
      <w:lvlText w:val="•"/>
      <w:lvlJc w:val="left"/>
      <w:pPr>
        <w:ind w:left="2759" w:hanging="224"/>
      </w:pPr>
      <w:rPr>
        <w:rFonts w:hint="default"/>
        <w:lang w:val="en-US" w:eastAsia="en-US" w:bidi="ar-SA"/>
      </w:rPr>
    </w:lvl>
    <w:lvl w:ilvl="7">
      <w:start w:val="0"/>
      <w:numFmt w:val="bullet"/>
      <w:lvlText w:val="•"/>
      <w:lvlJc w:val="left"/>
      <w:pPr>
        <w:ind w:left="3162" w:hanging="224"/>
      </w:pPr>
      <w:rPr>
        <w:rFonts w:hint="default"/>
        <w:lang w:val="en-US" w:eastAsia="en-US" w:bidi="ar-SA"/>
      </w:rPr>
    </w:lvl>
    <w:lvl w:ilvl="8">
      <w:start w:val="0"/>
      <w:numFmt w:val="bullet"/>
      <w:lvlText w:val="•"/>
      <w:lvlJc w:val="left"/>
      <w:pPr>
        <w:ind w:left="3565" w:hanging="224"/>
      </w:pPr>
      <w:rPr>
        <w:rFonts w:hint="default"/>
        <w:lang w:val="en-US" w:eastAsia="en-US" w:bidi="ar-SA"/>
      </w:rPr>
    </w:lvl>
  </w:abstractNum>
  <w:abstractNum w:abstractNumId="13">
    <w:multiLevelType w:val="hybridMultilevel"/>
    <w:lvl w:ilvl="0">
      <w:start w:val="0"/>
      <w:numFmt w:val="bullet"/>
      <w:lvlText w:val=""/>
      <w:lvlJc w:val="left"/>
      <w:pPr>
        <w:ind w:left="327"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454" w:hanging="224"/>
      </w:pPr>
      <w:rPr>
        <w:rFonts w:hint="default"/>
        <w:lang w:val="en-US" w:eastAsia="en-US" w:bidi="ar-SA"/>
      </w:rPr>
    </w:lvl>
    <w:lvl w:ilvl="2">
      <w:start w:val="0"/>
      <w:numFmt w:val="bullet"/>
      <w:lvlText w:val="•"/>
      <w:lvlJc w:val="left"/>
      <w:pPr>
        <w:ind w:left="588" w:hanging="224"/>
      </w:pPr>
      <w:rPr>
        <w:rFonts w:hint="default"/>
        <w:lang w:val="en-US" w:eastAsia="en-US" w:bidi="ar-SA"/>
      </w:rPr>
    </w:lvl>
    <w:lvl w:ilvl="3">
      <w:start w:val="0"/>
      <w:numFmt w:val="bullet"/>
      <w:lvlText w:val="•"/>
      <w:lvlJc w:val="left"/>
      <w:pPr>
        <w:ind w:left="722" w:hanging="224"/>
      </w:pPr>
      <w:rPr>
        <w:rFonts w:hint="default"/>
        <w:lang w:val="en-US" w:eastAsia="en-US" w:bidi="ar-SA"/>
      </w:rPr>
    </w:lvl>
    <w:lvl w:ilvl="4">
      <w:start w:val="0"/>
      <w:numFmt w:val="bullet"/>
      <w:lvlText w:val="•"/>
      <w:lvlJc w:val="left"/>
      <w:pPr>
        <w:ind w:left="856" w:hanging="224"/>
      </w:pPr>
      <w:rPr>
        <w:rFonts w:hint="default"/>
        <w:lang w:val="en-US" w:eastAsia="en-US" w:bidi="ar-SA"/>
      </w:rPr>
    </w:lvl>
    <w:lvl w:ilvl="5">
      <w:start w:val="0"/>
      <w:numFmt w:val="bullet"/>
      <w:lvlText w:val="•"/>
      <w:lvlJc w:val="left"/>
      <w:pPr>
        <w:ind w:left="991" w:hanging="224"/>
      </w:pPr>
      <w:rPr>
        <w:rFonts w:hint="default"/>
        <w:lang w:val="en-US" w:eastAsia="en-US" w:bidi="ar-SA"/>
      </w:rPr>
    </w:lvl>
    <w:lvl w:ilvl="6">
      <w:start w:val="0"/>
      <w:numFmt w:val="bullet"/>
      <w:lvlText w:val="•"/>
      <w:lvlJc w:val="left"/>
      <w:pPr>
        <w:ind w:left="1125" w:hanging="224"/>
      </w:pPr>
      <w:rPr>
        <w:rFonts w:hint="default"/>
        <w:lang w:val="en-US" w:eastAsia="en-US" w:bidi="ar-SA"/>
      </w:rPr>
    </w:lvl>
    <w:lvl w:ilvl="7">
      <w:start w:val="0"/>
      <w:numFmt w:val="bullet"/>
      <w:lvlText w:val="•"/>
      <w:lvlJc w:val="left"/>
      <w:pPr>
        <w:ind w:left="1259" w:hanging="224"/>
      </w:pPr>
      <w:rPr>
        <w:rFonts w:hint="default"/>
        <w:lang w:val="en-US" w:eastAsia="en-US" w:bidi="ar-SA"/>
      </w:rPr>
    </w:lvl>
    <w:lvl w:ilvl="8">
      <w:start w:val="0"/>
      <w:numFmt w:val="bullet"/>
      <w:lvlText w:val="•"/>
      <w:lvlJc w:val="left"/>
      <w:pPr>
        <w:ind w:left="1393" w:hanging="224"/>
      </w:pPr>
      <w:rPr>
        <w:rFonts w:hint="default"/>
        <w:lang w:val="en-US" w:eastAsia="en-US" w:bidi="ar-SA"/>
      </w:rPr>
    </w:lvl>
  </w:abstractNum>
  <w:abstractNum w:abstractNumId="12">
    <w:multiLevelType w:val="hybridMultilevel"/>
    <w:lvl w:ilvl="0">
      <w:start w:val="0"/>
      <w:numFmt w:val="bullet"/>
      <w:lvlText w:val=""/>
      <w:lvlJc w:val="left"/>
      <w:pPr>
        <w:ind w:left="328"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511" w:hanging="224"/>
      </w:pPr>
      <w:rPr>
        <w:rFonts w:hint="default"/>
        <w:lang w:val="en-US" w:eastAsia="en-US" w:bidi="ar-SA"/>
      </w:rPr>
    </w:lvl>
    <w:lvl w:ilvl="2">
      <w:start w:val="0"/>
      <w:numFmt w:val="bullet"/>
      <w:lvlText w:val="•"/>
      <w:lvlJc w:val="left"/>
      <w:pPr>
        <w:ind w:left="702" w:hanging="224"/>
      </w:pPr>
      <w:rPr>
        <w:rFonts w:hint="default"/>
        <w:lang w:val="en-US" w:eastAsia="en-US" w:bidi="ar-SA"/>
      </w:rPr>
    </w:lvl>
    <w:lvl w:ilvl="3">
      <w:start w:val="0"/>
      <w:numFmt w:val="bullet"/>
      <w:lvlText w:val="•"/>
      <w:lvlJc w:val="left"/>
      <w:pPr>
        <w:ind w:left="893" w:hanging="224"/>
      </w:pPr>
      <w:rPr>
        <w:rFonts w:hint="default"/>
        <w:lang w:val="en-US" w:eastAsia="en-US" w:bidi="ar-SA"/>
      </w:rPr>
    </w:lvl>
    <w:lvl w:ilvl="4">
      <w:start w:val="0"/>
      <w:numFmt w:val="bullet"/>
      <w:lvlText w:val="•"/>
      <w:lvlJc w:val="left"/>
      <w:pPr>
        <w:ind w:left="1085" w:hanging="224"/>
      </w:pPr>
      <w:rPr>
        <w:rFonts w:hint="default"/>
        <w:lang w:val="en-US" w:eastAsia="en-US" w:bidi="ar-SA"/>
      </w:rPr>
    </w:lvl>
    <w:lvl w:ilvl="5">
      <w:start w:val="0"/>
      <w:numFmt w:val="bullet"/>
      <w:lvlText w:val="•"/>
      <w:lvlJc w:val="left"/>
      <w:pPr>
        <w:ind w:left="1276" w:hanging="224"/>
      </w:pPr>
      <w:rPr>
        <w:rFonts w:hint="default"/>
        <w:lang w:val="en-US" w:eastAsia="en-US" w:bidi="ar-SA"/>
      </w:rPr>
    </w:lvl>
    <w:lvl w:ilvl="6">
      <w:start w:val="0"/>
      <w:numFmt w:val="bullet"/>
      <w:lvlText w:val="•"/>
      <w:lvlJc w:val="left"/>
      <w:pPr>
        <w:ind w:left="1467" w:hanging="224"/>
      </w:pPr>
      <w:rPr>
        <w:rFonts w:hint="default"/>
        <w:lang w:val="en-US" w:eastAsia="en-US" w:bidi="ar-SA"/>
      </w:rPr>
    </w:lvl>
    <w:lvl w:ilvl="7">
      <w:start w:val="0"/>
      <w:numFmt w:val="bullet"/>
      <w:lvlText w:val="•"/>
      <w:lvlJc w:val="left"/>
      <w:pPr>
        <w:ind w:left="1659" w:hanging="224"/>
      </w:pPr>
      <w:rPr>
        <w:rFonts w:hint="default"/>
        <w:lang w:val="en-US" w:eastAsia="en-US" w:bidi="ar-SA"/>
      </w:rPr>
    </w:lvl>
    <w:lvl w:ilvl="8">
      <w:start w:val="0"/>
      <w:numFmt w:val="bullet"/>
      <w:lvlText w:val="•"/>
      <w:lvlJc w:val="left"/>
      <w:pPr>
        <w:ind w:left="1850" w:hanging="224"/>
      </w:pPr>
      <w:rPr>
        <w:rFonts w:hint="default"/>
        <w:lang w:val="en-US" w:eastAsia="en-US" w:bidi="ar-SA"/>
      </w:rPr>
    </w:lvl>
  </w:abstractNum>
  <w:abstractNum w:abstractNumId="11">
    <w:multiLevelType w:val="hybridMultilevel"/>
    <w:lvl w:ilvl="0">
      <w:start w:val="0"/>
      <w:numFmt w:val="bullet"/>
      <w:lvlText w:val=""/>
      <w:lvlJc w:val="left"/>
      <w:pPr>
        <w:ind w:left="468" w:hanging="360"/>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851" w:hanging="360"/>
      </w:pPr>
      <w:rPr>
        <w:rFonts w:hint="default"/>
        <w:lang w:val="en-US" w:eastAsia="en-US" w:bidi="ar-SA"/>
      </w:rPr>
    </w:lvl>
    <w:lvl w:ilvl="2">
      <w:start w:val="0"/>
      <w:numFmt w:val="bullet"/>
      <w:lvlText w:val="•"/>
      <w:lvlJc w:val="left"/>
      <w:pPr>
        <w:ind w:left="1242" w:hanging="360"/>
      </w:pPr>
      <w:rPr>
        <w:rFonts w:hint="default"/>
        <w:lang w:val="en-US" w:eastAsia="en-US" w:bidi="ar-SA"/>
      </w:rPr>
    </w:lvl>
    <w:lvl w:ilvl="3">
      <w:start w:val="0"/>
      <w:numFmt w:val="bullet"/>
      <w:lvlText w:val="•"/>
      <w:lvlJc w:val="left"/>
      <w:pPr>
        <w:ind w:left="1633" w:hanging="360"/>
      </w:pPr>
      <w:rPr>
        <w:rFonts w:hint="default"/>
        <w:lang w:val="en-US" w:eastAsia="en-US" w:bidi="ar-SA"/>
      </w:rPr>
    </w:lvl>
    <w:lvl w:ilvl="4">
      <w:start w:val="0"/>
      <w:numFmt w:val="bullet"/>
      <w:lvlText w:val="•"/>
      <w:lvlJc w:val="left"/>
      <w:pPr>
        <w:ind w:left="2024" w:hanging="360"/>
      </w:pPr>
      <w:rPr>
        <w:rFonts w:hint="default"/>
        <w:lang w:val="en-US" w:eastAsia="en-US" w:bidi="ar-SA"/>
      </w:rPr>
    </w:lvl>
    <w:lvl w:ilvl="5">
      <w:start w:val="0"/>
      <w:numFmt w:val="bullet"/>
      <w:lvlText w:val="•"/>
      <w:lvlJc w:val="left"/>
      <w:pPr>
        <w:ind w:left="2416" w:hanging="360"/>
      </w:pPr>
      <w:rPr>
        <w:rFonts w:hint="default"/>
        <w:lang w:val="en-US" w:eastAsia="en-US" w:bidi="ar-SA"/>
      </w:rPr>
    </w:lvl>
    <w:lvl w:ilvl="6">
      <w:start w:val="0"/>
      <w:numFmt w:val="bullet"/>
      <w:lvlText w:val="•"/>
      <w:lvlJc w:val="left"/>
      <w:pPr>
        <w:ind w:left="2807" w:hanging="360"/>
      </w:pPr>
      <w:rPr>
        <w:rFonts w:hint="default"/>
        <w:lang w:val="en-US" w:eastAsia="en-US" w:bidi="ar-SA"/>
      </w:rPr>
    </w:lvl>
    <w:lvl w:ilvl="7">
      <w:start w:val="0"/>
      <w:numFmt w:val="bullet"/>
      <w:lvlText w:val="•"/>
      <w:lvlJc w:val="left"/>
      <w:pPr>
        <w:ind w:left="3198" w:hanging="360"/>
      </w:pPr>
      <w:rPr>
        <w:rFonts w:hint="default"/>
        <w:lang w:val="en-US" w:eastAsia="en-US" w:bidi="ar-SA"/>
      </w:rPr>
    </w:lvl>
    <w:lvl w:ilvl="8">
      <w:start w:val="0"/>
      <w:numFmt w:val="bullet"/>
      <w:lvlText w:val="•"/>
      <w:lvlJc w:val="left"/>
      <w:pPr>
        <w:ind w:left="3589" w:hanging="360"/>
      </w:pPr>
      <w:rPr>
        <w:rFonts w:hint="default"/>
        <w:lang w:val="en-US" w:eastAsia="en-US" w:bidi="ar-SA"/>
      </w:rPr>
    </w:lvl>
  </w:abstractNum>
  <w:abstractNum w:abstractNumId="10">
    <w:multiLevelType w:val="hybridMultilevel"/>
    <w:lvl w:ilvl="0">
      <w:start w:val="0"/>
      <w:numFmt w:val="bullet"/>
      <w:lvlText w:val=""/>
      <w:lvlJc w:val="left"/>
      <w:pPr>
        <w:ind w:left="327"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454" w:hanging="224"/>
      </w:pPr>
      <w:rPr>
        <w:rFonts w:hint="default"/>
        <w:lang w:val="en-US" w:eastAsia="en-US" w:bidi="ar-SA"/>
      </w:rPr>
    </w:lvl>
    <w:lvl w:ilvl="2">
      <w:start w:val="0"/>
      <w:numFmt w:val="bullet"/>
      <w:lvlText w:val="•"/>
      <w:lvlJc w:val="left"/>
      <w:pPr>
        <w:ind w:left="588" w:hanging="224"/>
      </w:pPr>
      <w:rPr>
        <w:rFonts w:hint="default"/>
        <w:lang w:val="en-US" w:eastAsia="en-US" w:bidi="ar-SA"/>
      </w:rPr>
    </w:lvl>
    <w:lvl w:ilvl="3">
      <w:start w:val="0"/>
      <w:numFmt w:val="bullet"/>
      <w:lvlText w:val="•"/>
      <w:lvlJc w:val="left"/>
      <w:pPr>
        <w:ind w:left="722" w:hanging="224"/>
      </w:pPr>
      <w:rPr>
        <w:rFonts w:hint="default"/>
        <w:lang w:val="en-US" w:eastAsia="en-US" w:bidi="ar-SA"/>
      </w:rPr>
    </w:lvl>
    <w:lvl w:ilvl="4">
      <w:start w:val="0"/>
      <w:numFmt w:val="bullet"/>
      <w:lvlText w:val="•"/>
      <w:lvlJc w:val="left"/>
      <w:pPr>
        <w:ind w:left="856" w:hanging="224"/>
      </w:pPr>
      <w:rPr>
        <w:rFonts w:hint="default"/>
        <w:lang w:val="en-US" w:eastAsia="en-US" w:bidi="ar-SA"/>
      </w:rPr>
    </w:lvl>
    <w:lvl w:ilvl="5">
      <w:start w:val="0"/>
      <w:numFmt w:val="bullet"/>
      <w:lvlText w:val="•"/>
      <w:lvlJc w:val="left"/>
      <w:pPr>
        <w:ind w:left="991" w:hanging="224"/>
      </w:pPr>
      <w:rPr>
        <w:rFonts w:hint="default"/>
        <w:lang w:val="en-US" w:eastAsia="en-US" w:bidi="ar-SA"/>
      </w:rPr>
    </w:lvl>
    <w:lvl w:ilvl="6">
      <w:start w:val="0"/>
      <w:numFmt w:val="bullet"/>
      <w:lvlText w:val="•"/>
      <w:lvlJc w:val="left"/>
      <w:pPr>
        <w:ind w:left="1125" w:hanging="224"/>
      </w:pPr>
      <w:rPr>
        <w:rFonts w:hint="default"/>
        <w:lang w:val="en-US" w:eastAsia="en-US" w:bidi="ar-SA"/>
      </w:rPr>
    </w:lvl>
    <w:lvl w:ilvl="7">
      <w:start w:val="0"/>
      <w:numFmt w:val="bullet"/>
      <w:lvlText w:val="•"/>
      <w:lvlJc w:val="left"/>
      <w:pPr>
        <w:ind w:left="1259" w:hanging="224"/>
      </w:pPr>
      <w:rPr>
        <w:rFonts w:hint="default"/>
        <w:lang w:val="en-US" w:eastAsia="en-US" w:bidi="ar-SA"/>
      </w:rPr>
    </w:lvl>
    <w:lvl w:ilvl="8">
      <w:start w:val="0"/>
      <w:numFmt w:val="bullet"/>
      <w:lvlText w:val="•"/>
      <w:lvlJc w:val="left"/>
      <w:pPr>
        <w:ind w:left="1393" w:hanging="224"/>
      </w:pPr>
      <w:rPr>
        <w:rFonts w:hint="default"/>
        <w:lang w:val="en-US" w:eastAsia="en-US" w:bidi="ar-SA"/>
      </w:rPr>
    </w:lvl>
  </w:abstractNum>
  <w:abstractNum w:abstractNumId="9">
    <w:multiLevelType w:val="hybridMultilevel"/>
    <w:lvl w:ilvl="0">
      <w:start w:val="0"/>
      <w:numFmt w:val="bullet"/>
      <w:lvlText w:val=""/>
      <w:lvlJc w:val="left"/>
      <w:pPr>
        <w:ind w:left="331" w:hanging="224"/>
      </w:pPr>
      <w:rPr>
        <w:rFonts w:hint="default" w:ascii="Symbol" w:hAnsi="Symbol" w:eastAsia="Symbol" w:cs="Symbol"/>
        <w:spacing w:val="0"/>
        <w:w w:val="99"/>
        <w:lang w:val="en-US" w:eastAsia="en-US" w:bidi="ar-SA"/>
      </w:rPr>
    </w:lvl>
    <w:lvl w:ilvl="1">
      <w:start w:val="0"/>
      <w:numFmt w:val="bullet"/>
      <w:lvlText w:val="•"/>
      <w:lvlJc w:val="left"/>
      <w:pPr>
        <w:ind w:left="743" w:hanging="224"/>
      </w:pPr>
      <w:rPr>
        <w:rFonts w:hint="default"/>
        <w:lang w:val="en-US" w:eastAsia="en-US" w:bidi="ar-SA"/>
      </w:rPr>
    </w:lvl>
    <w:lvl w:ilvl="2">
      <w:start w:val="0"/>
      <w:numFmt w:val="bullet"/>
      <w:lvlText w:val="•"/>
      <w:lvlJc w:val="left"/>
      <w:pPr>
        <w:ind w:left="1146" w:hanging="224"/>
      </w:pPr>
      <w:rPr>
        <w:rFonts w:hint="default"/>
        <w:lang w:val="en-US" w:eastAsia="en-US" w:bidi="ar-SA"/>
      </w:rPr>
    </w:lvl>
    <w:lvl w:ilvl="3">
      <w:start w:val="0"/>
      <w:numFmt w:val="bullet"/>
      <w:lvlText w:val="•"/>
      <w:lvlJc w:val="left"/>
      <w:pPr>
        <w:ind w:left="1549" w:hanging="224"/>
      </w:pPr>
      <w:rPr>
        <w:rFonts w:hint="default"/>
        <w:lang w:val="en-US" w:eastAsia="en-US" w:bidi="ar-SA"/>
      </w:rPr>
    </w:lvl>
    <w:lvl w:ilvl="4">
      <w:start w:val="0"/>
      <w:numFmt w:val="bullet"/>
      <w:lvlText w:val="•"/>
      <w:lvlJc w:val="left"/>
      <w:pPr>
        <w:ind w:left="1952" w:hanging="224"/>
      </w:pPr>
      <w:rPr>
        <w:rFonts w:hint="default"/>
        <w:lang w:val="en-US" w:eastAsia="en-US" w:bidi="ar-SA"/>
      </w:rPr>
    </w:lvl>
    <w:lvl w:ilvl="5">
      <w:start w:val="0"/>
      <w:numFmt w:val="bullet"/>
      <w:lvlText w:val="•"/>
      <w:lvlJc w:val="left"/>
      <w:pPr>
        <w:ind w:left="2356" w:hanging="224"/>
      </w:pPr>
      <w:rPr>
        <w:rFonts w:hint="default"/>
        <w:lang w:val="en-US" w:eastAsia="en-US" w:bidi="ar-SA"/>
      </w:rPr>
    </w:lvl>
    <w:lvl w:ilvl="6">
      <w:start w:val="0"/>
      <w:numFmt w:val="bullet"/>
      <w:lvlText w:val="•"/>
      <w:lvlJc w:val="left"/>
      <w:pPr>
        <w:ind w:left="2759" w:hanging="224"/>
      </w:pPr>
      <w:rPr>
        <w:rFonts w:hint="default"/>
        <w:lang w:val="en-US" w:eastAsia="en-US" w:bidi="ar-SA"/>
      </w:rPr>
    </w:lvl>
    <w:lvl w:ilvl="7">
      <w:start w:val="0"/>
      <w:numFmt w:val="bullet"/>
      <w:lvlText w:val="•"/>
      <w:lvlJc w:val="left"/>
      <w:pPr>
        <w:ind w:left="3162" w:hanging="224"/>
      </w:pPr>
      <w:rPr>
        <w:rFonts w:hint="default"/>
        <w:lang w:val="en-US" w:eastAsia="en-US" w:bidi="ar-SA"/>
      </w:rPr>
    </w:lvl>
    <w:lvl w:ilvl="8">
      <w:start w:val="0"/>
      <w:numFmt w:val="bullet"/>
      <w:lvlText w:val="•"/>
      <w:lvlJc w:val="left"/>
      <w:pPr>
        <w:ind w:left="3565" w:hanging="224"/>
      </w:pPr>
      <w:rPr>
        <w:rFonts w:hint="default"/>
        <w:lang w:val="en-US" w:eastAsia="en-US" w:bidi="ar-SA"/>
      </w:rPr>
    </w:lvl>
  </w:abstractNum>
  <w:abstractNum w:abstractNumId="8">
    <w:multiLevelType w:val="hybridMultilevel"/>
    <w:lvl w:ilvl="0">
      <w:start w:val="0"/>
      <w:numFmt w:val="bullet"/>
      <w:lvlText w:val=""/>
      <w:lvlJc w:val="left"/>
      <w:pPr>
        <w:ind w:left="327"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454" w:hanging="224"/>
      </w:pPr>
      <w:rPr>
        <w:rFonts w:hint="default"/>
        <w:lang w:val="en-US" w:eastAsia="en-US" w:bidi="ar-SA"/>
      </w:rPr>
    </w:lvl>
    <w:lvl w:ilvl="2">
      <w:start w:val="0"/>
      <w:numFmt w:val="bullet"/>
      <w:lvlText w:val="•"/>
      <w:lvlJc w:val="left"/>
      <w:pPr>
        <w:ind w:left="588" w:hanging="224"/>
      </w:pPr>
      <w:rPr>
        <w:rFonts w:hint="default"/>
        <w:lang w:val="en-US" w:eastAsia="en-US" w:bidi="ar-SA"/>
      </w:rPr>
    </w:lvl>
    <w:lvl w:ilvl="3">
      <w:start w:val="0"/>
      <w:numFmt w:val="bullet"/>
      <w:lvlText w:val="•"/>
      <w:lvlJc w:val="left"/>
      <w:pPr>
        <w:ind w:left="722" w:hanging="224"/>
      </w:pPr>
      <w:rPr>
        <w:rFonts w:hint="default"/>
        <w:lang w:val="en-US" w:eastAsia="en-US" w:bidi="ar-SA"/>
      </w:rPr>
    </w:lvl>
    <w:lvl w:ilvl="4">
      <w:start w:val="0"/>
      <w:numFmt w:val="bullet"/>
      <w:lvlText w:val="•"/>
      <w:lvlJc w:val="left"/>
      <w:pPr>
        <w:ind w:left="856" w:hanging="224"/>
      </w:pPr>
      <w:rPr>
        <w:rFonts w:hint="default"/>
        <w:lang w:val="en-US" w:eastAsia="en-US" w:bidi="ar-SA"/>
      </w:rPr>
    </w:lvl>
    <w:lvl w:ilvl="5">
      <w:start w:val="0"/>
      <w:numFmt w:val="bullet"/>
      <w:lvlText w:val="•"/>
      <w:lvlJc w:val="left"/>
      <w:pPr>
        <w:ind w:left="991" w:hanging="224"/>
      </w:pPr>
      <w:rPr>
        <w:rFonts w:hint="default"/>
        <w:lang w:val="en-US" w:eastAsia="en-US" w:bidi="ar-SA"/>
      </w:rPr>
    </w:lvl>
    <w:lvl w:ilvl="6">
      <w:start w:val="0"/>
      <w:numFmt w:val="bullet"/>
      <w:lvlText w:val="•"/>
      <w:lvlJc w:val="left"/>
      <w:pPr>
        <w:ind w:left="1125" w:hanging="224"/>
      </w:pPr>
      <w:rPr>
        <w:rFonts w:hint="default"/>
        <w:lang w:val="en-US" w:eastAsia="en-US" w:bidi="ar-SA"/>
      </w:rPr>
    </w:lvl>
    <w:lvl w:ilvl="7">
      <w:start w:val="0"/>
      <w:numFmt w:val="bullet"/>
      <w:lvlText w:val="•"/>
      <w:lvlJc w:val="left"/>
      <w:pPr>
        <w:ind w:left="1259" w:hanging="224"/>
      </w:pPr>
      <w:rPr>
        <w:rFonts w:hint="default"/>
        <w:lang w:val="en-US" w:eastAsia="en-US" w:bidi="ar-SA"/>
      </w:rPr>
    </w:lvl>
    <w:lvl w:ilvl="8">
      <w:start w:val="0"/>
      <w:numFmt w:val="bullet"/>
      <w:lvlText w:val="•"/>
      <w:lvlJc w:val="left"/>
      <w:pPr>
        <w:ind w:left="1393" w:hanging="224"/>
      </w:pPr>
      <w:rPr>
        <w:rFonts w:hint="default"/>
        <w:lang w:val="en-US" w:eastAsia="en-US" w:bidi="ar-SA"/>
      </w:rPr>
    </w:lvl>
  </w:abstractNum>
  <w:abstractNum w:abstractNumId="7">
    <w:multiLevelType w:val="hybridMultilevel"/>
    <w:lvl w:ilvl="0">
      <w:start w:val="0"/>
      <w:numFmt w:val="bullet"/>
      <w:lvlText w:val=""/>
      <w:lvlJc w:val="left"/>
      <w:pPr>
        <w:ind w:left="328"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511" w:hanging="224"/>
      </w:pPr>
      <w:rPr>
        <w:rFonts w:hint="default"/>
        <w:lang w:val="en-US" w:eastAsia="en-US" w:bidi="ar-SA"/>
      </w:rPr>
    </w:lvl>
    <w:lvl w:ilvl="2">
      <w:start w:val="0"/>
      <w:numFmt w:val="bullet"/>
      <w:lvlText w:val="•"/>
      <w:lvlJc w:val="left"/>
      <w:pPr>
        <w:ind w:left="702" w:hanging="224"/>
      </w:pPr>
      <w:rPr>
        <w:rFonts w:hint="default"/>
        <w:lang w:val="en-US" w:eastAsia="en-US" w:bidi="ar-SA"/>
      </w:rPr>
    </w:lvl>
    <w:lvl w:ilvl="3">
      <w:start w:val="0"/>
      <w:numFmt w:val="bullet"/>
      <w:lvlText w:val="•"/>
      <w:lvlJc w:val="left"/>
      <w:pPr>
        <w:ind w:left="893" w:hanging="224"/>
      </w:pPr>
      <w:rPr>
        <w:rFonts w:hint="default"/>
        <w:lang w:val="en-US" w:eastAsia="en-US" w:bidi="ar-SA"/>
      </w:rPr>
    </w:lvl>
    <w:lvl w:ilvl="4">
      <w:start w:val="0"/>
      <w:numFmt w:val="bullet"/>
      <w:lvlText w:val="•"/>
      <w:lvlJc w:val="left"/>
      <w:pPr>
        <w:ind w:left="1085" w:hanging="224"/>
      </w:pPr>
      <w:rPr>
        <w:rFonts w:hint="default"/>
        <w:lang w:val="en-US" w:eastAsia="en-US" w:bidi="ar-SA"/>
      </w:rPr>
    </w:lvl>
    <w:lvl w:ilvl="5">
      <w:start w:val="0"/>
      <w:numFmt w:val="bullet"/>
      <w:lvlText w:val="•"/>
      <w:lvlJc w:val="left"/>
      <w:pPr>
        <w:ind w:left="1276" w:hanging="224"/>
      </w:pPr>
      <w:rPr>
        <w:rFonts w:hint="default"/>
        <w:lang w:val="en-US" w:eastAsia="en-US" w:bidi="ar-SA"/>
      </w:rPr>
    </w:lvl>
    <w:lvl w:ilvl="6">
      <w:start w:val="0"/>
      <w:numFmt w:val="bullet"/>
      <w:lvlText w:val="•"/>
      <w:lvlJc w:val="left"/>
      <w:pPr>
        <w:ind w:left="1467" w:hanging="224"/>
      </w:pPr>
      <w:rPr>
        <w:rFonts w:hint="default"/>
        <w:lang w:val="en-US" w:eastAsia="en-US" w:bidi="ar-SA"/>
      </w:rPr>
    </w:lvl>
    <w:lvl w:ilvl="7">
      <w:start w:val="0"/>
      <w:numFmt w:val="bullet"/>
      <w:lvlText w:val="•"/>
      <w:lvlJc w:val="left"/>
      <w:pPr>
        <w:ind w:left="1659" w:hanging="224"/>
      </w:pPr>
      <w:rPr>
        <w:rFonts w:hint="default"/>
        <w:lang w:val="en-US" w:eastAsia="en-US" w:bidi="ar-SA"/>
      </w:rPr>
    </w:lvl>
    <w:lvl w:ilvl="8">
      <w:start w:val="0"/>
      <w:numFmt w:val="bullet"/>
      <w:lvlText w:val="•"/>
      <w:lvlJc w:val="left"/>
      <w:pPr>
        <w:ind w:left="1850" w:hanging="224"/>
      </w:pPr>
      <w:rPr>
        <w:rFonts w:hint="default"/>
        <w:lang w:val="en-US" w:eastAsia="en-US" w:bidi="ar-SA"/>
      </w:rPr>
    </w:lvl>
  </w:abstractNum>
  <w:abstractNum w:abstractNumId="6">
    <w:multiLevelType w:val="hybridMultilevel"/>
    <w:lvl w:ilvl="0">
      <w:start w:val="0"/>
      <w:numFmt w:val="bullet"/>
      <w:lvlText w:val=""/>
      <w:lvlJc w:val="left"/>
      <w:pPr>
        <w:ind w:left="468" w:hanging="360"/>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851" w:hanging="360"/>
      </w:pPr>
      <w:rPr>
        <w:rFonts w:hint="default"/>
        <w:lang w:val="en-US" w:eastAsia="en-US" w:bidi="ar-SA"/>
      </w:rPr>
    </w:lvl>
    <w:lvl w:ilvl="2">
      <w:start w:val="0"/>
      <w:numFmt w:val="bullet"/>
      <w:lvlText w:val="•"/>
      <w:lvlJc w:val="left"/>
      <w:pPr>
        <w:ind w:left="1242" w:hanging="360"/>
      </w:pPr>
      <w:rPr>
        <w:rFonts w:hint="default"/>
        <w:lang w:val="en-US" w:eastAsia="en-US" w:bidi="ar-SA"/>
      </w:rPr>
    </w:lvl>
    <w:lvl w:ilvl="3">
      <w:start w:val="0"/>
      <w:numFmt w:val="bullet"/>
      <w:lvlText w:val="•"/>
      <w:lvlJc w:val="left"/>
      <w:pPr>
        <w:ind w:left="1633" w:hanging="360"/>
      </w:pPr>
      <w:rPr>
        <w:rFonts w:hint="default"/>
        <w:lang w:val="en-US" w:eastAsia="en-US" w:bidi="ar-SA"/>
      </w:rPr>
    </w:lvl>
    <w:lvl w:ilvl="4">
      <w:start w:val="0"/>
      <w:numFmt w:val="bullet"/>
      <w:lvlText w:val="•"/>
      <w:lvlJc w:val="left"/>
      <w:pPr>
        <w:ind w:left="2024" w:hanging="360"/>
      </w:pPr>
      <w:rPr>
        <w:rFonts w:hint="default"/>
        <w:lang w:val="en-US" w:eastAsia="en-US" w:bidi="ar-SA"/>
      </w:rPr>
    </w:lvl>
    <w:lvl w:ilvl="5">
      <w:start w:val="0"/>
      <w:numFmt w:val="bullet"/>
      <w:lvlText w:val="•"/>
      <w:lvlJc w:val="left"/>
      <w:pPr>
        <w:ind w:left="2416" w:hanging="360"/>
      </w:pPr>
      <w:rPr>
        <w:rFonts w:hint="default"/>
        <w:lang w:val="en-US" w:eastAsia="en-US" w:bidi="ar-SA"/>
      </w:rPr>
    </w:lvl>
    <w:lvl w:ilvl="6">
      <w:start w:val="0"/>
      <w:numFmt w:val="bullet"/>
      <w:lvlText w:val="•"/>
      <w:lvlJc w:val="left"/>
      <w:pPr>
        <w:ind w:left="2807" w:hanging="360"/>
      </w:pPr>
      <w:rPr>
        <w:rFonts w:hint="default"/>
        <w:lang w:val="en-US" w:eastAsia="en-US" w:bidi="ar-SA"/>
      </w:rPr>
    </w:lvl>
    <w:lvl w:ilvl="7">
      <w:start w:val="0"/>
      <w:numFmt w:val="bullet"/>
      <w:lvlText w:val="•"/>
      <w:lvlJc w:val="left"/>
      <w:pPr>
        <w:ind w:left="3198" w:hanging="360"/>
      </w:pPr>
      <w:rPr>
        <w:rFonts w:hint="default"/>
        <w:lang w:val="en-US" w:eastAsia="en-US" w:bidi="ar-SA"/>
      </w:rPr>
    </w:lvl>
    <w:lvl w:ilvl="8">
      <w:start w:val="0"/>
      <w:numFmt w:val="bullet"/>
      <w:lvlText w:val="•"/>
      <w:lvlJc w:val="left"/>
      <w:pPr>
        <w:ind w:left="3589" w:hanging="360"/>
      </w:pPr>
      <w:rPr>
        <w:rFonts w:hint="default"/>
        <w:lang w:val="en-US" w:eastAsia="en-US" w:bidi="ar-SA"/>
      </w:rPr>
    </w:lvl>
  </w:abstractNum>
  <w:abstractNum w:abstractNumId="5">
    <w:multiLevelType w:val="hybridMultilevel"/>
    <w:lvl w:ilvl="0">
      <w:start w:val="0"/>
      <w:numFmt w:val="bullet"/>
      <w:lvlText w:val=""/>
      <w:lvlJc w:val="left"/>
      <w:pPr>
        <w:ind w:left="327"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454" w:hanging="224"/>
      </w:pPr>
      <w:rPr>
        <w:rFonts w:hint="default"/>
        <w:lang w:val="en-US" w:eastAsia="en-US" w:bidi="ar-SA"/>
      </w:rPr>
    </w:lvl>
    <w:lvl w:ilvl="2">
      <w:start w:val="0"/>
      <w:numFmt w:val="bullet"/>
      <w:lvlText w:val="•"/>
      <w:lvlJc w:val="left"/>
      <w:pPr>
        <w:ind w:left="588" w:hanging="224"/>
      </w:pPr>
      <w:rPr>
        <w:rFonts w:hint="default"/>
        <w:lang w:val="en-US" w:eastAsia="en-US" w:bidi="ar-SA"/>
      </w:rPr>
    </w:lvl>
    <w:lvl w:ilvl="3">
      <w:start w:val="0"/>
      <w:numFmt w:val="bullet"/>
      <w:lvlText w:val="•"/>
      <w:lvlJc w:val="left"/>
      <w:pPr>
        <w:ind w:left="722" w:hanging="224"/>
      </w:pPr>
      <w:rPr>
        <w:rFonts w:hint="default"/>
        <w:lang w:val="en-US" w:eastAsia="en-US" w:bidi="ar-SA"/>
      </w:rPr>
    </w:lvl>
    <w:lvl w:ilvl="4">
      <w:start w:val="0"/>
      <w:numFmt w:val="bullet"/>
      <w:lvlText w:val="•"/>
      <w:lvlJc w:val="left"/>
      <w:pPr>
        <w:ind w:left="856" w:hanging="224"/>
      </w:pPr>
      <w:rPr>
        <w:rFonts w:hint="default"/>
        <w:lang w:val="en-US" w:eastAsia="en-US" w:bidi="ar-SA"/>
      </w:rPr>
    </w:lvl>
    <w:lvl w:ilvl="5">
      <w:start w:val="0"/>
      <w:numFmt w:val="bullet"/>
      <w:lvlText w:val="•"/>
      <w:lvlJc w:val="left"/>
      <w:pPr>
        <w:ind w:left="991" w:hanging="224"/>
      </w:pPr>
      <w:rPr>
        <w:rFonts w:hint="default"/>
        <w:lang w:val="en-US" w:eastAsia="en-US" w:bidi="ar-SA"/>
      </w:rPr>
    </w:lvl>
    <w:lvl w:ilvl="6">
      <w:start w:val="0"/>
      <w:numFmt w:val="bullet"/>
      <w:lvlText w:val="•"/>
      <w:lvlJc w:val="left"/>
      <w:pPr>
        <w:ind w:left="1125" w:hanging="224"/>
      </w:pPr>
      <w:rPr>
        <w:rFonts w:hint="default"/>
        <w:lang w:val="en-US" w:eastAsia="en-US" w:bidi="ar-SA"/>
      </w:rPr>
    </w:lvl>
    <w:lvl w:ilvl="7">
      <w:start w:val="0"/>
      <w:numFmt w:val="bullet"/>
      <w:lvlText w:val="•"/>
      <w:lvlJc w:val="left"/>
      <w:pPr>
        <w:ind w:left="1259" w:hanging="224"/>
      </w:pPr>
      <w:rPr>
        <w:rFonts w:hint="default"/>
        <w:lang w:val="en-US" w:eastAsia="en-US" w:bidi="ar-SA"/>
      </w:rPr>
    </w:lvl>
    <w:lvl w:ilvl="8">
      <w:start w:val="0"/>
      <w:numFmt w:val="bullet"/>
      <w:lvlText w:val="•"/>
      <w:lvlJc w:val="left"/>
      <w:pPr>
        <w:ind w:left="1393" w:hanging="224"/>
      </w:pPr>
      <w:rPr>
        <w:rFonts w:hint="default"/>
        <w:lang w:val="en-US" w:eastAsia="en-US" w:bidi="ar-SA"/>
      </w:rPr>
    </w:lvl>
  </w:abstractNum>
  <w:abstractNum w:abstractNumId="4">
    <w:multiLevelType w:val="hybridMultilevel"/>
    <w:lvl w:ilvl="0">
      <w:start w:val="0"/>
      <w:numFmt w:val="bullet"/>
      <w:lvlText w:val=""/>
      <w:lvlJc w:val="left"/>
      <w:pPr>
        <w:ind w:left="328" w:hanging="224"/>
      </w:pPr>
      <w:rPr>
        <w:rFonts w:hint="default" w:ascii="Symbol" w:hAnsi="Symbol" w:eastAsia="Symbol" w:cs="Symbol"/>
        <w:b w:val="0"/>
        <w:bCs w:val="0"/>
        <w:i w:val="0"/>
        <w:iCs w:val="0"/>
        <w:spacing w:val="0"/>
        <w:w w:val="100"/>
        <w:sz w:val="18"/>
        <w:szCs w:val="18"/>
        <w:lang w:val="en-US" w:eastAsia="en-US" w:bidi="ar-SA"/>
      </w:rPr>
    </w:lvl>
    <w:lvl w:ilvl="1">
      <w:start w:val="0"/>
      <w:numFmt w:val="bullet"/>
      <w:lvlText w:val="•"/>
      <w:lvlJc w:val="left"/>
      <w:pPr>
        <w:ind w:left="511" w:hanging="224"/>
      </w:pPr>
      <w:rPr>
        <w:rFonts w:hint="default"/>
        <w:lang w:val="en-US" w:eastAsia="en-US" w:bidi="ar-SA"/>
      </w:rPr>
    </w:lvl>
    <w:lvl w:ilvl="2">
      <w:start w:val="0"/>
      <w:numFmt w:val="bullet"/>
      <w:lvlText w:val="•"/>
      <w:lvlJc w:val="left"/>
      <w:pPr>
        <w:ind w:left="702" w:hanging="224"/>
      </w:pPr>
      <w:rPr>
        <w:rFonts w:hint="default"/>
        <w:lang w:val="en-US" w:eastAsia="en-US" w:bidi="ar-SA"/>
      </w:rPr>
    </w:lvl>
    <w:lvl w:ilvl="3">
      <w:start w:val="0"/>
      <w:numFmt w:val="bullet"/>
      <w:lvlText w:val="•"/>
      <w:lvlJc w:val="left"/>
      <w:pPr>
        <w:ind w:left="893" w:hanging="224"/>
      </w:pPr>
      <w:rPr>
        <w:rFonts w:hint="default"/>
        <w:lang w:val="en-US" w:eastAsia="en-US" w:bidi="ar-SA"/>
      </w:rPr>
    </w:lvl>
    <w:lvl w:ilvl="4">
      <w:start w:val="0"/>
      <w:numFmt w:val="bullet"/>
      <w:lvlText w:val="•"/>
      <w:lvlJc w:val="left"/>
      <w:pPr>
        <w:ind w:left="1085" w:hanging="224"/>
      </w:pPr>
      <w:rPr>
        <w:rFonts w:hint="default"/>
        <w:lang w:val="en-US" w:eastAsia="en-US" w:bidi="ar-SA"/>
      </w:rPr>
    </w:lvl>
    <w:lvl w:ilvl="5">
      <w:start w:val="0"/>
      <w:numFmt w:val="bullet"/>
      <w:lvlText w:val="•"/>
      <w:lvlJc w:val="left"/>
      <w:pPr>
        <w:ind w:left="1276" w:hanging="224"/>
      </w:pPr>
      <w:rPr>
        <w:rFonts w:hint="default"/>
        <w:lang w:val="en-US" w:eastAsia="en-US" w:bidi="ar-SA"/>
      </w:rPr>
    </w:lvl>
    <w:lvl w:ilvl="6">
      <w:start w:val="0"/>
      <w:numFmt w:val="bullet"/>
      <w:lvlText w:val="•"/>
      <w:lvlJc w:val="left"/>
      <w:pPr>
        <w:ind w:left="1467" w:hanging="224"/>
      </w:pPr>
      <w:rPr>
        <w:rFonts w:hint="default"/>
        <w:lang w:val="en-US" w:eastAsia="en-US" w:bidi="ar-SA"/>
      </w:rPr>
    </w:lvl>
    <w:lvl w:ilvl="7">
      <w:start w:val="0"/>
      <w:numFmt w:val="bullet"/>
      <w:lvlText w:val="•"/>
      <w:lvlJc w:val="left"/>
      <w:pPr>
        <w:ind w:left="1659" w:hanging="224"/>
      </w:pPr>
      <w:rPr>
        <w:rFonts w:hint="default"/>
        <w:lang w:val="en-US" w:eastAsia="en-US" w:bidi="ar-SA"/>
      </w:rPr>
    </w:lvl>
    <w:lvl w:ilvl="8">
      <w:start w:val="0"/>
      <w:numFmt w:val="bullet"/>
      <w:lvlText w:val="•"/>
      <w:lvlJc w:val="left"/>
      <w:pPr>
        <w:ind w:left="1850" w:hanging="224"/>
      </w:pPr>
      <w:rPr>
        <w:rFonts w:hint="default"/>
        <w:lang w:val="en-US" w:eastAsia="en-US" w:bidi="ar-SA"/>
      </w:rPr>
    </w:lvl>
  </w:abstractNum>
  <w:abstractNum w:abstractNumId="3">
    <w:multiLevelType w:val="hybridMultilevel"/>
    <w:lvl w:ilvl="0">
      <w:start w:val="1"/>
      <w:numFmt w:val="decimal"/>
      <w:lvlText w:val="%1."/>
      <w:lvlJc w:val="left"/>
      <w:pPr>
        <w:ind w:left="383" w:hanging="361"/>
        <w:jc w:val="left"/>
      </w:pPr>
      <w:rPr>
        <w:rFonts w:hint="default" w:ascii="Calibri" w:hAnsi="Calibri" w:eastAsia="Calibri" w:cs="Calibri"/>
        <w:b w:val="0"/>
        <w:bCs w:val="0"/>
        <w:i w:val="0"/>
        <w:iCs w:val="0"/>
        <w:spacing w:val="-1"/>
        <w:w w:val="100"/>
        <w:sz w:val="18"/>
        <w:szCs w:val="18"/>
        <w:lang w:val="en-US" w:eastAsia="en-US" w:bidi="ar-SA"/>
      </w:rPr>
    </w:lvl>
    <w:lvl w:ilvl="1">
      <w:start w:val="0"/>
      <w:numFmt w:val="bullet"/>
      <w:lvlText w:val="•"/>
      <w:lvlJc w:val="left"/>
      <w:pPr>
        <w:ind w:left="1784" w:hanging="361"/>
      </w:pPr>
      <w:rPr>
        <w:rFonts w:hint="default"/>
        <w:lang w:val="en-US" w:eastAsia="en-US" w:bidi="ar-SA"/>
      </w:rPr>
    </w:lvl>
    <w:lvl w:ilvl="2">
      <w:start w:val="0"/>
      <w:numFmt w:val="bullet"/>
      <w:lvlText w:val="•"/>
      <w:lvlJc w:val="left"/>
      <w:pPr>
        <w:ind w:left="3189" w:hanging="361"/>
      </w:pPr>
      <w:rPr>
        <w:rFonts w:hint="default"/>
        <w:lang w:val="en-US" w:eastAsia="en-US" w:bidi="ar-SA"/>
      </w:rPr>
    </w:lvl>
    <w:lvl w:ilvl="3">
      <w:start w:val="0"/>
      <w:numFmt w:val="bullet"/>
      <w:lvlText w:val="•"/>
      <w:lvlJc w:val="left"/>
      <w:pPr>
        <w:ind w:left="4594" w:hanging="361"/>
      </w:pPr>
      <w:rPr>
        <w:rFonts w:hint="default"/>
        <w:lang w:val="en-US" w:eastAsia="en-US" w:bidi="ar-SA"/>
      </w:rPr>
    </w:lvl>
    <w:lvl w:ilvl="4">
      <w:start w:val="0"/>
      <w:numFmt w:val="bullet"/>
      <w:lvlText w:val="•"/>
      <w:lvlJc w:val="left"/>
      <w:pPr>
        <w:ind w:left="5999" w:hanging="361"/>
      </w:pPr>
      <w:rPr>
        <w:rFonts w:hint="default"/>
        <w:lang w:val="en-US" w:eastAsia="en-US" w:bidi="ar-SA"/>
      </w:rPr>
    </w:lvl>
    <w:lvl w:ilvl="5">
      <w:start w:val="0"/>
      <w:numFmt w:val="bullet"/>
      <w:lvlText w:val="•"/>
      <w:lvlJc w:val="left"/>
      <w:pPr>
        <w:ind w:left="7404" w:hanging="361"/>
      </w:pPr>
      <w:rPr>
        <w:rFonts w:hint="default"/>
        <w:lang w:val="en-US" w:eastAsia="en-US" w:bidi="ar-SA"/>
      </w:rPr>
    </w:lvl>
    <w:lvl w:ilvl="6">
      <w:start w:val="0"/>
      <w:numFmt w:val="bullet"/>
      <w:lvlText w:val="•"/>
      <w:lvlJc w:val="left"/>
      <w:pPr>
        <w:ind w:left="8809" w:hanging="361"/>
      </w:pPr>
      <w:rPr>
        <w:rFonts w:hint="default"/>
        <w:lang w:val="en-US" w:eastAsia="en-US" w:bidi="ar-SA"/>
      </w:rPr>
    </w:lvl>
    <w:lvl w:ilvl="7">
      <w:start w:val="0"/>
      <w:numFmt w:val="bullet"/>
      <w:lvlText w:val="•"/>
      <w:lvlJc w:val="left"/>
      <w:pPr>
        <w:ind w:left="10214" w:hanging="361"/>
      </w:pPr>
      <w:rPr>
        <w:rFonts w:hint="default"/>
        <w:lang w:val="en-US" w:eastAsia="en-US" w:bidi="ar-SA"/>
      </w:rPr>
    </w:lvl>
    <w:lvl w:ilvl="8">
      <w:start w:val="0"/>
      <w:numFmt w:val="bullet"/>
      <w:lvlText w:val="•"/>
      <w:lvlJc w:val="left"/>
      <w:pPr>
        <w:ind w:left="11619" w:hanging="361"/>
      </w:pPr>
      <w:rPr>
        <w:rFonts w:hint="default"/>
        <w:lang w:val="en-US" w:eastAsia="en-US" w:bidi="ar-SA"/>
      </w:rPr>
    </w:lvl>
  </w:abstractNum>
  <w:abstractNum w:abstractNumId="2">
    <w:multiLevelType w:val="hybridMultilevel"/>
    <w:lvl w:ilvl="0">
      <w:start w:val="1"/>
      <w:numFmt w:val="decimal"/>
      <w:lvlText w:val="%1."/>
      <w:lvlJc w:val="left"/>
      <w:pPr>
        <w:ind w:left="383" w:hanging="361"/>
        <w:jc w:val="left"/>
      </w:pPr>
      <w:rPr>
        <w:rFonts w:hint="default" w:ascii="Calibri" w:hAnsi="Calibri" w:eastAsia="Calibri" w:cs="Calibri"/>
        <w:b w:val="0"/>
        <w:bCs w:val="0"/>
        <w:i w:val="0"/>
        <w:iCs w:val="0"/>
        <w:spacing w:val="-1"/>
        <w:w w:val="100"/>
        <w:sz w:val="18"/>
        <w:szCs w:val="18"/>
        <w:lang w:val="en-US" w:eastAsia="en-US" w:bidi="ar-SA"/>
      </w:rPr>
    </w:lvl>
    <w:lvl w:ilvl="1">
      <w:start w:val="0"/>
      <w:numFmt w:val="bullet"/>
      <w:lvlText w:val="•"/>
      <w:lvlJc w:val="left"/>
      <w:pPr>
        <w:ind w:left="1784" w:hanging="361"/>
      </w:pPr>
      <w:rPr>
        <w:rFonts w:hint="default"/>
        <w:lang w:val="en-US" w:eastAsia="en-US" w:bidi="ar-SA"/>
      </w:rPr>
    </w:lvl>
    <w:lvl w:ilvl="2">
      <w:start w:val="0"/>
      <w:numFmt w:val="bullet"/>
      <w:lvlText w:val="•"/>
      <w:lvlJc w:val="left"/>
      <w:pPr>
        <w:ind w:left="3189" w:hanging="361"/>
      </w:pPr>
      <w:rPr>
        <w:rFonts w:hint="default"/>
        <w:lang w:val="en-US" w:eastAsia="en-US" w:bidi="ar-SA"/>
      </w:rPr>
    </w:lvl>
    <w:lvl w:ilvl="3">
      <w:start w:val="0"/>
      <w:numFmt w:val="bullet"/>
      <w:lvlText w:val="•"/>
      <w:lvlJc w:val="left"/>
      <w:pPr>
        <w:ind w:left="4594" w:hanging="361"/>
      </w:pPr>
      <w:rPr>
        <w:rFonts w:hint="default"/>
        <w:lang w:val="en-US" w:eastAsia="en-US" w:bidi="ar-SA"/>
      </w:rPr>
    </w:lvl>
    <w:lvl w:ilvl="4">
      <w:start w:val="0"/>
      <w:numFmt w:val="bullet"/>
      <w:lvlText w:val="•"/>
      <w:lvlJc w:val="left"/>
      <w:pPr>
        <w:ind w:left="5999" w:hanging="361"/>
      </w:pPr>
      <w:rPr>
        <w:rFonts w:hint="default"/>
        <w:lang w:val="en-US" w:eastAsia="en-US" w:bidi="ar-SA"/>
      </w:rPr>
    </w:lvl>
    <w:lvl w:ilvl="5">
      <w:start w:val="0"/>
      <w:numFmt w:val="bullet"/>
      <w:lvlText w:val="•"/>
      <w:lvlJc w:val="left"/>
      <w:pPr>
        <w:ind w:left="7404" w:hanging="361"/>
      </w:pPr>
      <w:rPr>
        <w:rFonts w:hint="default"/>
        <w:lang w:val="en-US" w:eastAsia="en-US" w:bidi="ar-SA"/>
      </w:rPr>
    </w:lvl>
    <w:lvl w:ilvl="6">
      <w:start w:val="0"/>
      <w:numFmt w:val="bullet"/>
      <w:lvlText w:val="•"/>
      <w:lvlJc w:val="left"/>
      <w:pPr>
        <w:ind w:left="8809" w:hanging="361"/>
      </w:pPr>
      <w:rPr>
        <w:rFonts w:hint="default"/>
        <w:lang w:val="en-US" w:eastAsia="en-US" w:bidi="ar-SA"/>
      </w:rPr>
    </w:lvl>
    <w:lvl w:ilvl="7">
      <w:start w:val="0"/>
      <w:numFmt w:val="bullet"/>
      <w:lvlText w:val="•"/>
      <w:lvlJc w:val="left"/>
      <w:pPr>
        <w:ind w:left="10214" w:hanging="361"/>
      </w:pPr>
      <w:rPr>
        <w:rFonts w:hint="default"/>
        <w:lang w:val="en-US" w:eastAsia="en-US" w:bidi="ar-SA"/>
      </w:rPr>
    </w:lvl>
    <w:lvl w:ilvl="8">
      <w:start w:val="0"/>
      <w:numFmt w:val="bullet"/>
      <w:lvlText w:val="•"/>
      <w:lvlJc w:val="left"/>
      <w:pPr>
        <w:ind w:left="11619" w:hanging="361"/>
      </w:pPr>
      <w:rPr>
        <w:rFonts w:hint="default"/>
        <w:lang w:val="en-US" w:eastAsia="en-US" w:bidi="ar-SA"/>
      </w:rPr>
    </w:lvl>
  </w:abstractNum>
  <w:abstractNum w:abstractNumId="1">
    <w:multiLevelType w:val="hybridMultilevel"/>
    <w:lvl w:ilvl="0">
      <w:start w:val="1"/>
      <w:numFmt w:val="decimal"/>
      <w:lvlText w:val="%1."/>
      <w:lvlJc w:val="left"/>
      <w:pPr>
        <w:ind w:left="743"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108" w:hanging="360"/>
      </w:pPr>
      <w:rPr>
        <w:rFonts w:hint="default"/>
        <w:lang w:val="en-US" w:eastAsia="en-US" w:bidi="ar-SA"/>
      </w:rPr>
    </w:lvl>
    <w:lvl w:ilvl="2">
      <w:start w:val="0"/>
      <w:numFmt w:val="bullet"/>
      <w:lvlText w:val="•"/>
      <w:lvlJc w:val="left"/>
      <w:pPr>
        <w:ind w:left="3477" w:hanging="360"/>
      </w:pPr>
      <w:rPr>
        <w:rFonts w:hint="default"/>
        <w:lang w:val="en-US" w:eastAsia="en-US" w:bidi="ar-SA"/>
      </w:rPr>
    </w:lvl>
    <w:lvl w:ilvl="3">
      <w:start w:val="0"/>
      <w:numFmt w:val="bullet"/>
      <w:lvlText w:val="•"/>
      <w:lvlJc w:val="left"/>
      <w:pPr>
        <w:ind w:left="4846" w:hanging="360"/>
      </w:pPr>
      <w:rPr>
        <w:rFonts w:hint="default"/>
        <w:lang w:val="en-US" w:eastAsia="en-US" w:bidi="ar-SA"/>
      </w:rPr>
    </w:lvl>
    <w:lvl w:ilvl="4">
      <w:start w:val="0"/>
      <w:numFmt w:val="bullet"/>
      <w:lvlText w:val="•"/>
      <w:lvlJc w:val="left"/>
      <w:pPr>
        <w:ind w:left="6215" w:hanging="360"/>
      </w:pPr>
      <w:rPr>
        <w:rFonts w:hint="default"/>
        <w:lang w:val="en-US" w:eastAsia="en-US" w:bidi="ar-SA"/>
      </w:rPr>
    </w:lvl>
    <w:lvl w:ilvl="5">
      <w:start w:val="0"/>
      <w:numFmt w:val="bullet"/>
      <w:lvlText w:val="•"/>
      <w:lvlJc w:val="left"/>
      <w:pPr>
        <w:ind w:left="7584" w:hanging="360"/>
      </w:pPr>
      <w:rPr>
        <w:rFonts w:hint="default"/>
        <w:lang w:val="en-US" w:eastAsia="en-US" w:bidi="ar-SA"/>
      </w:rPr>
    </w:lvl>
    <w:lvl w:ilvl="6">
      <w:start w:val="0"/>
      <w:numFmt w:val="bullet"/>
      <w:lvlText w:val="•"/>
      <w:lvlJc w:val="left"/>
      <w:pPr>
        <w:ind w:left="8953" w:hanging="360"/>
      </w:pPr>
      <w:rPr>
        <w:rFonts w:hint="default"/>
        <w:lang w:val="en-US" w:eastAsia="en-US" w:bidi="ar-SA"/>
      </w:rPr>
    </w:lvl>
    <w:lvl w:ilvl="7">
      <w:start w:val="0"/>
      <w:numFmt w:val="bullet"/>
      <w:lvlText w:val="•"/>
      <w:lvlJc w:val="left"/>
      <w:pPr>
        <w:ind w:left="10322" w:hanging="360"/>
      </w:pPr>
      <w:rPr>
        <w:rFonts w:hint="default"/>
        <w:lang w:val="en-US" w:eastAsia="en-US" w:bidi="ar-SA"/>
      </w:rPr>
    </w:lvl>
    <w:lvl w:ilvl="8">
      <w:start w:val="0"/>
      <w:numFmt w:val="bullet"/>
      <w:lvlText w:val="•"/>
      <w:lvlJc w:val="left"/>
      <w:pPr>
        <w:ind w:left="11691" w:hanging="360"/>
      </w:pPr>
      <w:rPr>
        <w:rFonts w:hint="default"/>
        <w:lang w:val="en-US" w:eastAsia="en-US" w:bidi="ar-SA"/>
      </w:rPr>
    </w:lvl>
  </w:abstractNum>
  <w:abstractNum w:abstractNumId="0">
    <w:multiLevelType w:val="hybridMultilevel"/>
    <w:lvl w:ilvl="0">
      <w:start w:val="1"/>
      <w:numFmt w:val="decimal"/>
      <w:lvlText w:val="%1."/>
      <w:lvlJc w:val="left"/>
      <w:pPr>
        <w:ind w:left="383" w:hanging="361"/>
        <w:jc w:val="left"/>
      </w:pPr>
      <w:rPr>
        <w:rFonts w:hint="default"/>
        <w:spacing w:val="0"/>
        <w:w w:val="87"/>
        <w:lang w:val="en-US" w:eastAsia="en-US" w:bidi="ar-SA"/>
      </w:rPr>
    </w:lvl>
    <w:lvl w:ilvl="1">
      <w:start w:val="0"/>
      <w:numFmt w:val="bullet"/>
      <w:lvlText w:val=""/>
      <w:lvlJc w:val="left"/>
      <w:pPr>
        <w:ind w:left="3097" w:hanging="360"/>
      </w:pPr>
      <w:rPr>
        <w:rFonts w:hint="default" w:ascii="Symbol" w:hAnsi="Symbol" w:eastAsia="Symbol" w:cs="Symbol"/>
        <w:spacing w:val="0"/>
        <w:w w:val="99"/>
        <w:lang w:val="en-US" w:eastAsia="en-US" w:bidi="ar-SA"/>
      </w:rPr>
    </w:lvl>
    <w:lvl w:ilvl="2">
      <w:start w:val="0"/>
      <w:numFmt w:val="bullet"/>
      <w:lvlText w:val="•"/>
      <w:lvlJc w:val="left"/>
      <w:pPr>
        <w:ind w:left="3280" w:hanging="360"/>
      </w:pPr>
      <w:rPr>
        <w:rFonts w:hint="default"/>
        <w:lang w:val="en-US" w:eastAsia="en-US" w:bidi="ar-SA"/>
      </w:rPr>
    </w:lvl>
    <w:lvl w:ilvl="3">
      <w:start w:val="0"/>
      <w:numFmt w:val="bullet"/>
      <w:lvlText w:val="•"/>
      <w:lvlJc w:val="left"/>
      <w:pPr>
        <w:ind w:left="3500" w:hanging="360"/>
      </w:pPr>
      <w:rPr>
        <w:rFonts w:hint="default"/>
        <w:lang w:val="en-US" w:eastAsia="en-US" w:bidi="ar-SA"/>
      </w:rPr>
    </w:lvl>
    <w:lvl w:ilvl="4">
      <w:start w:val="0"/>
      <w:numFmt w:val="bullet"/>
      <w:lvlText w:val="•"/>
      <w:lvlJc w:val="left"/>
      <w:pPr>
        <w:ind w:left="5061" w:hanging="360"/>
      </w:pPr>
      <w:rPr>
        <w:rFonts w:hint="default"/>
        <w:lang w:val="en-US" w:eastAsia="en-US" w:bidi="ar-SA"/>
      </w:rPr>
    </w:lvl>
    <w:lvl w:ilvl="5">
      <w:start w:val="0"/>
      <w:numFmt w:val="bullet"/>
      <w:lvlText w:val="•"/>
      <w:lvlJc w:val="left"/>
      <w:pPr>
        <w:ind w:left="6622" w:hanging="360"/>
      </w:pPr>
      <w:rPr>
        <w:rFonts w:hint="default"/>
        <w:lang w:val="en-US" w:eastAsia="en-US" w:bidi="ar-SA"/>
      </w:rPr>
    </w:lvl>
    <w:lvl w:ilvl="6">
      <w:start w:val="0"/>
      <w:numFmt w:val="bullet"/>
      <w:lvlText w:val="•"/>
      <w:lvlJc w:val="left"/>
      <w:pPr>
        <w:ind w:left="8184" w:hanging="360"/>
      </w:pPr>
      <w:rPr>
        <w:rFonts w:hint="default"/>
        <w:lang w:val="en-US" w:eastAsia="en-US" w:bidi="ar-SA"/>
      </w:rPr>
    </w:lvl>
    <w:lvl w:ilvl="7">
      <w:start w:val="0"/>
      <w:numFmt w:val="bullet"/>
      <w:lvlText w:val="•"/>
      <w:lvlJc w:val="left"/>
      <w:pPr>
        <w:ind w:left="9745" w:hanging="360"/>
      </w:pPr>
      <w:rPr>
        <w:rFonts w:hint="default"/>
        <w:lang w:val="en-US" w:eastAsia="en-US" w:bidi="ar-SA"/>
      </w:rPr>
    </w:lvl>
    <w:lvl w:ilvl="8">
      <w:start w:val="0"/>
      <w:numFmt w:val="bullet"/>
      <w:lvlText w:val="•"/>
      <w:lvlJc w:val="left"/>
      <w:pPr>
        <w:ind w:left="11306" w:hanging="360"/>
      </w:pPr>
      <w:rPr>
        <w:rFonts w:hint="default"/>
        <w:lang w:val="en-US" w:eastAsia="en-US" w:bidi="ar-SA"/>
      </w:rPr>
    </w:lvl>
  </w:abstract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Title" w:type="paragraph">
    <w:name w:val="Title"/>
    <w:basedOn w:val="Normal"/>
    <w:uiPriority w:val="1"/>
    <w:qFormat/>
    <w:pPr>
      <w:spacing w:before="93"/>
      <w:ind w:left="23" w:right="2831"/>
    </w:pPr>
    <w:rPr>
      <w:rFonts w:ascii="Calibri" w:hAnsi="Calibri" w:eastAsia="Calibri" w:cs="Calibri"/>
      <w:b/>
      <w:bCs/>
      <w:sz w:val="26"/>
      <w:szCs w:val="26"/>
      <w:lang w:val="en-US" w:eastAsia="en-US" w:bidi="ar-SA"/>
    </w:rPr>
  </w:style>
  <w:style w:styleId="ListParagraph" w:type="paragraph">
    <w:name w:val="List Paragraph"/>
    <w:basedOn w:val="Normal"/>
    <w:uiPriority w:val="1"/>
    <w:qFormat/>
    <w:pPr>
      <w:ind w:left="743" w:right="540" w:hanging="360"/>
    </w:pPr>
    <w:rPr>
      <w:rFonts w:ascii="Calibri" w:hAnsi="Calibri" w:eastAsia="Calibri" w:cs="Calibri"/>
      <w:lang w:val="en-US" w:eastAsia="en-US" w:bidi="ar-SA"/>
    </w:rPr>
  </w:style>
  <w:style w:styleId="TableParagraph" w:type="paragraph">
    <w:name w:val="Table Paragraph"/>
    <w:basedOn w:val="Normal"/>
    <w:uiPriority w:val="1"/>
    <w:qForma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yperlink" Target="https://doi.org/10.1016/j.ppedcard.2021.101344" TargetMode="External"/><Relationship Id="rId9" Type="http://schemas.openxmlformats.org/officeDocument/2006/relationships/hyperlink" Target="https://doi.org/10.47750/pnr.2022.13.s09.039" TargetMode="Externa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Heleen van Ommen</dc:creator>
  <dcterms:created xsi:type="dcterms:W3CDTF">2026-08-24T10:40:58Z</dcterms:created>
  <dcterms:modified xsi:type="dcterms:W3CDTF">2026-08-24T10:40:58Z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2026-04-23T00:00:00Z</vt:filetime>
  </property>
  <property fmtid="{D5CDD505-2E9C-101B-9397-08002B2CF9AE}" pid="3" name="Creator">
    <vt:lpwstr>Microsoft® Word for Microsoft 365</vt:lpwstr>
  </property>
  <property fmtid="{D5CDD505-2E9C-101B-9397-08002B2CF9AE}" pid="4" name="LastSaved">
    <vt:filetime>2026-08-24T00:00:00Z</vt:filetime>
  </property>
  <property fmtid="{D5CDD505-2E9C-101B-9397-08002B2CF9AE}" pid="5" name="Producer">
    <vt:lpwstr>Microsoft® Word for Microsoft 365</vt:lpwstr>
  </property>
</Properties>
</file>