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Supplementary Material S1: Critical-analysis guide and analytic audit framework</w:t>
      </w:r>
    </w:p>
    <w:p>
      <w:pPr>
        <w:spacing w:line="480" w:lineRule="auto" w:after="0"/>
      </w:pPr>
      <w:r>
        <w:t>Associated manuscript: From critical game analysis to pedagogical redesign: A qualitative multiple-case study in undergraduate plant science education</w:t>
      </w:r>
    </w:p>
    <w:p>
      <w:pPr>
        <w:pStyle w:val="Heading1"/>
      </w:pPr>
      <w:r>
        <w:t>A. Structured critical-analysis guide used in the course</w:t>
      </w:r>
    </w:p>
    <w:p>
      <w:pPr>
        <w:spacing w:line="480" w:lineRule="auto"/>
      </w:pPr>
      <w:r>
        <w:t>1. What educational problem motivated the creation or use of the game/resource?</w:t>
      </w:r>
    </w:p>
    <w:p>
      <w:pPr>
        <w:spacing w:line="480" w:lineRule="auto"/>
      </w:pPr>
      <w:r>
        <w:t>2. What is the target audience?</w:t>
      </w:r>
    </w:p>
    <w:p>
      <w:pPr>
        <w:spacing w:line="480" w:lineRule="auto"/>
      </w:pPr>
      <w:r>
        <w:t>3. What scientific content is addressed?</w:t>
      </w:r>
    </w:p>
    <w:p>
      <w:pPr>
        <w:spacing w:line="480" w:lineRule="auto"/>
      </w:pPr>
      <w:r>
        <w:t>4. What is the pedagogical objective?</w:t>
      </w:r>
    </w:p>
    <w:p>
      <w:pPr>
        <w:spacing w:line="480" w:lineRule="auto"/>
      </w:pPr>
      <w:r>
        <w:t>5. What is the central game mechanic?</w:t>
      </w:r>
    </w:p>
    <w:p>
      <w:pPr>
        <w:spacing w:line="480" w:lineRule="auto"/>
      </w:pPr>
      <w:r>
        <w:t>6. Does the activity involve competition, cooperation, or both?</w:t>
      </w:r>
    </w:p>
    <w:p>
      <w:pPr>
        <w:spacing w:line="480" w:lineRule="auto"/>
      </w:pPr>
      <w:r>
        <w:t>7. How does scientific knowledge affect the player’s decisions or progress?</w:t>
      </w:r>
    </w:p>
    <w:p>
      <w:pPr>
        <w:spacing w:line="480" w:lineRule="auto"/>
      </w:pPr>
      <w:r>
        <w:t>8. Does the learner need to know the content to play successfully, or can success depend mainly on chance/speed?</w:t>
      </w:r>
    </w:p>
    <w:p>
      <w:pPr>
        <w:spacing w:line="480" w:lineRule="auto"/>
      </w:pPr>
      <w:r>
        <w:t>9. Was the resource validated or was learning assessed?</w:t>
      </w:r>
    </w:p>
    <w:p>
      <w:pPr>
        <w:spacing w:line="480" w:lineRule="auto"/>
      </w:pPr>
      <w:r>
        <w:t>10. What were the main reported results?</w:t>
      </w:r>
    </w:p>
    <w:p>
      <w:pPr>
        <w:spacing w:line="480" w:lineRule="auto"/>
      </w:pPr>
      <w:r>
        <w:t>11. What limitations does the group identify?</w:t>
      </w:r>
    </w:p>
    <w:p>
      <w:pPr>
        <w:spacing w:line="480" w:lineRule="auto"/>
      </w:pPr>
      <w:r>
        <w:t>12. What element could be transferred or redesigned for a game about Plant Propagation?</w:t>
      </w:r>
    </w:p>
    <w:p>
      <w:pPr>
        <w:pStyle w:val="Heading1"/>
      </w:pPr>
      <w:r>
        <w:t>B. Second-cycle analytic categories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  <w:cantSplit/>
        </w:trPr>
        <w:tc>
          <w:tcPr>
            <w:tcW w:type="dxa" w:w="3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8"/>
              </w:rPr>
              <w:t>Category</w:t>
            </w:r>
          </w:p>
        </w:tc>
        <w:tc>
          <w:tcPr>
            <w:tcW w:type="dxa" w:w="727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8"/>
              </w:rPr>
              <w:t>Operational definition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Disciplinary alignment / scientific representation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How biological content is represented and whether causal or relational features of plant science are preserved in gameplay.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Epistemic coupling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Extent to which scientific knowledge, rather than chance or response speed alone, determines progress, scoring, or decisions.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Cognitive demand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Type of thinking elicited: recognition/recall, interpretation, application, decision making, correction, explanation, or justification.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Participation architecture and mediation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Who can act and when; competition/cooperation; turn-taking; equity of participation; role of teacher/mediator and feedback.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Feasibility and evidentiary basis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Material/logistical adaptability to school settings and whether the source resource had evidence of learning/validation.</w:t>
            </w:r>
          </w:p>
        </w:tc>
      </w:tr>
      <w:tr>
        <w:trPr>
          <w:cantSplit/>
        </w:trPr>
        <w:tc>
          <w:tcPr>
            <w:tcW w:type="dxa" w:w="309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Transferable design principle</w:t>
            </w:r>
          </w:p>
        </w:tc>
        <w:tc>
          <w:tcPr>
            <w:tcW w:type="dxa" w:w="7272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8"/>
              </w:rPr>
              <w:t>A feature or relationship explicitly identified as worth preserving, altering, or recombining in the redesign.</w:t>
            </w:r>
          </w:p>
        </w:tc>
      </w:tr>
    </w:tbl>
    <w:p>
      <w:pPr>
        <w:pStyle w:val="Heading1"/>
      </w:pPr>
      <w:r>
        <w:t>C. Case-level audit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  <w:cantSplit/>
        </w:trPr>
        <w:tc>
          <w:tcPr>
            <w:tcW w:type="dxa" w:w="165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Case/source</w:t>
            </w:r>
          </w:p>
        </w:tc>
        <w:tc>
          <w:tcPr>
            <w:tcW w:type="dxa" w:w="338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Critical-analysis evidence (paraphrased)</w:t>
            </w:r>
          </w:p>
        </w:tc>
        <w:tc>
          <w:tcPr>
            <w:tcW w:type="dxa" w:w="24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Implied design principle</w:t>
            </w:r>
          </w:p>
        </w:tc>
        <w:tc>
          <w:tcPr>
            <w:tcW w:type="dxa" w:w="28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7"/>
              </w:rPr>
              <w:t>Observable redesign evidence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A: Enraizando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Resources (water, nutrients, hormones) and obstacles affect plant growth; knowledge informs resource use, but chance cards/random distribution also matter.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Retain resource/environment logic; adapt toward plant-propagation choices.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Botanic Battle documented as a digital card game. Detailed redesign mechanics were not available and were not inferred.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A: Enraizando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No learning test was reported in the source paper; adaptation from an academic-development context to basic education was identified as a challenge.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Treat evidence and transferability as design concerns.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No direct redesign feature coded because supporting documentation was insufficient.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B: Eu Sei Fisiologia Vegetal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Progressive clues/problem situations require interpretation of plant hormones and processes; the group described knowledge as essential rather than luck.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Preserve knowledge-dependent identification and competition.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BOT GAME uses 1×1 electronic rapid-response mechanics with button, light, and 20-second timer.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B: Eu Sei Fisiologia Vegetal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Source study included pre/post assessment; group highlighted need for scientifically adequate questions with different difficulty levels.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Maintain scientific accuracy and calibrate challenge.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Presentation states scientific rigor as part of scoring/learning rationale; difficulty calibration not independently coded in archived rules.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C: V/F resource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Low cost, scientific focus, and need for reasoning were strengths; speed, declarative questions, unequal participation, and mediator-dependent judgment were limitations.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Reduce speed advantage; increase reasoning, justification, and participation equity.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PropagAÇÃO uses turn-taking, contextualized problems, difficulty levels, mandatory justification/correction, differentiated scoring, and rebound rule.</w:t>
            </w:r>
          </w:p>
        </w:tc>
      </w:tr>
      <w:tr>
        <w:trPr>
          <w:cantSplit/>
        </w:trPr>
        <w:tc>
          <w:tcPr>
            <w:tcW w:type="dxa" w:w="1656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C: V/F resource</w:t>
            </w:r>
          </w:p>
        </w:tc>
        <w:tc>
          <w:tcPr>
            <w:tcW w:type="dxa" w:w="3384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Original resource gave the fastest group the right to answer.</w:t>
            </w:r>
          </w:p>
        </w:tc>
        <w:tc>
          <w:tcPr>
            <w:tcW w:type="dxa" w:w="2448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Separate participation from response speed.</w:t>
            </w:r>
          </w:p>
        </w:tc>
        <w:tc>
          <w:tcPr>
            <w:tcW w:type="dxa" w:w="2880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7"/>
              </w:rPr>
              <w:t>Manual explicitly states that there is no speed advantage and each group responds only during its turn.</w:t>
            </w:r>
          </w:p>
        </w:tc>
      </w:tr>
    </w:tbl>
    <w:p>
      <w:pPr>
        <w:pStyle w:val="Heading1"/>
      </w:pPr>
      <w:r>
        <w:t>D. Scope note</w:t>
      </w:r>
    </w:p>
    <w:p>
      <w:pPr>
        <w:spacing w:line="480" w:lineRule="auto" w:after="0"/>
      </w:pPr>
      <w:r>
        <w:t>The broader course generated a fourth prototype, O Mestre dos Clones: Desafio da Estaquia. It was excluded from the present analysis because the archived corpus did not contain a comparable critical-analysis document for a prior source game/resource that could be paired with the prototype. The product can be analyzed in a separate manuscript focused on the characteristics and formative evaluation of the student-developed products.</w:t>
      </w:r>
    </w:p>
    <w:sectPr>
      <w:footerReference w:type="default" r:id="rId9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480" w:lineRule="auto" w:after="0" w:before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 w:line="48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0" w:line="48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i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48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