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A57C3">
      <w:pPr>
        <w:pStyle w:val="10"/>
        <w:ind w:firstLine="480"/>
        <w:jc w:val="center"/>
        <w:rPr>
          <w:rFonts w:eastAsiaTheme="minorEastAsia"/>
          <w:szCs w:val="24"/>
          <w:lang w:val="en-US" w:eastAsia="zh-CN"/>
        </w:rPr>
      </w:pPr>
      <w:bookmarkStart w:id="0" w:name="OLE_LINK22"/>
      <w:bookmarkStart w:id="1" w:name="_Hlk205386275"/>
      <w:bookmarkStart w:id="2" w:name="_Hlk161694181"/>
      <w:bookmarkStart w:id="3" w:name="_Hlk202541044"/>
      <w:bookmarkStart w:id="4" w:name="_Hlk204867615"/>
      <w:bookmarkStart w:id="5" w:name="_Hlk205381890"/>
      <w:r>
        <w:rPr>
          <w:rFonts w:eastAsiaTheme="minorEastAsia"/>
          <w:szCs w:val="24"/>
          <w:lang w:val="en-US" w:eastAsia="zh-CN"/>
        </w:rPr>
        <w:t>Supp</w:t>
      </w:r>
      <w:r>
        <w:rPr>
          <w:rFonts w:hint="eastAsia" w:eastAsiaTheme="minorEastAsia"/>
          <w:szCs w:val="24"/>
          <w:lang w:val="en-US" w:eastAsia="zh-CN"/>
        </w:rPr>
        <w:t>lementary</w:t>
      </w:r>
      <w:r>
        <w:rPr>
          <w:rFonts w:eastAsiaTheme="minorEastAsia"/>
          <w:szCs w:val="24"/>
          <w:lang w:val="en-US" w:eastAsia="zh-CN"/>
        </w:rPr>
        <w:t xml:space="preserve"> </w:t>
      </w:r>
      <w:r>
        <w:rPr>
          <w:rFonts w:hint="eastAsia" w:eastAsiaTheme="minorEastAsia"/>
          <w:szCs w:val="24"/>
          <w:lang w:val="en-US" w:eastAsia="zh-CN"/>
        </w:rPr>
        <w:t>Information for</w:t>
      </w:r>
    </w:p>
    <w:bookmarkEnd w:id="0"/>
    <w:bookmarkEnd w:id="1"/>
    <w:bookmarkEnd w:id="2"/>
    <w:p w14:paraId="7B20E494">
      <w:pPr>
        <w:pStyle w:val="4"/>
        <w:spacing w:after="0" w:line="480" w:lineRule="auto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Reconciling calculation-based and measurement-based CO</w:t>
      </w:r>
      <w:r>
        <w:rPr>
          <w:rFonts w:hint="eastAsia"/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 xml:space="preserve"> emissions: a full-year calibration study for carbon accounting management in a 1000 MW unit</w:t>
      </w:r>
    </w:p>
    <w:p w14:paraId="14FBE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Xi Peng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b,*</w:t>
      </w:r>
      <w:r>
        <w:rPr>
          <w:rFonts w:hint="eastAsia" w:ascii="Times New Roman" w:hAnsi="Times New Roman" w:eastAsia="宋体" w:cs="Times New Roman"/>
          <w:sz w:val="24"/>
          <w:szCs w:val="24"/>
        </w:rPr>
        <w:t>, Junhong Zhou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b,*</w:t>
      </w:r>
      <w:r>
        <w:rPr>
          <w:rFonts w:hint="eastAsia" w:ascii="Times New Roman" w:hAnsi="Times New Roman" w:eastAsia="宋体" w:cs="Times New Roman"/>
          <w:sz w:val="24"/>
          <w:szCs w:val="24"/>
        </w:rPr>
        <w:t>, Wenjie Guo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, Zichen Huang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,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Lichun Wang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  <w:szCs w:val="24"/>
        </w:rPr>
        <w:t>, Yunbo Zhou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sz w:val="24"/>
          <w:szCs w:val="24"/>
        </w:rPr>
        <w:t>,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>Zhongjie Wu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, Ping Dong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, Weijun Zhang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</w:rPr>
        <w:t>, Ancheng Fang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, Guiqi Lai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, Ling Chen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t>, Cong-Qiang Liu</w:t>
      </w:r>
      <w:r>
        <w:rPr>
          <w:rFonts w:hint="eastAsia" w:ascii="Times New Roman" w:hAnsi="Times New Roman" w:eastAsia="宋体" w:cs="Times New Roman"/>
          <w:sz w:val="24"/>
          <w:szCs w:val="24"/>
          <w:vertAlign w:val="superscript"/>
          <w:lang w:val="en-US" w:eastAsia="zh-CN"/>
        </w:rPr>
        <w:t>e</w:t>
      </w:r>
    </w:p>
    <w:p w14:paraId="4C517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6A0812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vertAlign w:val="superscript"/>
          <w:lang w:val="en-US" w:eastAsia="zh-CN"/>
        </w:rPr>
        <w:t xml:space="preserve">a </w:t>
      </w:r>
      <w:r>
        <w:rPr>
          <w:rFonts w:hint="eastAsia" w:ascii="Times New Roman" w:hAnsi="Times New Roman" w:cs="Times New Roman"/>
          <w:sz w:val="24"/>
          <w:szCs w:val="24"/>
        </w:rPr>
        <w:t>South China National Centre of Metrology/ Guangdong Institute of Metrology, Guangzhou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</w:rPr>
        <w:t>510405, China</w:t>
      </w:r>
    </w:p>
    <w:p w14:paraId="7FEA42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vertAlign w:val="superscript"/>
          <w:lang w:val="en-US" w:eastAsia="zh-CN"/>
        </w:rPr>
        <w:t xml:space="preserve">b </w:t>
      </w:r>
      <w:r>
        <w:rPr>
          <w:rFonts w:hint="eastAsia" w:ascii="Times New Roman" w:hAnsi="Times New Roman" w:cs="Times New Roman"/>
          <w:sz w:val="24"/>
          <w:szCs w:val="24"/>
        </w:rPr>
        <w:t>National Carbon Metrology Center (Guangdong),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Guangzhou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</w:rPr>
        <w:t>510405, China</w:t>
      </w:r>
    </w:p>
    <w:p w14:paraId="415E0C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vertAlign w:val="superscript"/>
          <w:lang w:val="en-US" w:eastAsia="zh-CN"/>
        </w:rPr>
        <w:t>c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Guoneng Qingyuan Power Generation Co., Ltd., Qingyuan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</w:rPr>
        <w:t>511500, China</w:t>
      </w:r>
    </w:p>
    <w:p w14:paraId="0DEAD3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vertAlign w:val="superscript"/>
          <w:lang w:val="en-US" w:eastAsia="zh-CN"/>
        </w:rPr>
        <w:t xml:space="preserve">d </w:t>
      </w:r>
      <w:r>
        <w:rPr>
          <w:rFonts w:hint="default" w:ascii="Times New Roman" w:hAnsi="Times New Roman" w:cs="Times New Roman"/>
          <w:sz w:val="24"/>
          <w:szCs w:val="24"/>
        </w:rPr>
        <w:t>Guangdong Institute of Metrology, Dongguan Branch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, Dongguan,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523000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, China</w:t>
      </w:r>
    </w:p>
    <w:p w14:paraId="19C359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vertAlign w:val="superscript"/>
          <w:lang w:val="en-US" w:eastAsia="zh-CN"/>
        </w:rPr>
        <w:t>e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Institute of Surface-Earth System Science, School of Earth System Science, Tianjin University, Tianjin, 300074, China</w:t>
      </w:r>
    </w:p>
    <w:p w14:paraId="5DDDB7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*Corresponding author.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All editorial communications during submission and revision will be handled by Xi Peng (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>pengxi5188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>@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>163.com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)</w:t>
      </w:r>
    </w:p>
    <w:p w14:paraId="7BA0BD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</w:rPr>
        <w:t>E-mail address: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pengxi5188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u w:val="none"/>
        </w:rPr>
        <w:t>@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163.com (X. Peng),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johnzhou918@163.com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(J. Zhou).</w:t>
      </w:r>
    </w:p>
    <w:p w14:paraId="79F8138E">
      <w:pPr>
        <w:spacing w:line="480" w:lineRule="auto"/>
        <w:rPr>
          <w:rFonts w:cs="Times New Roman"/>
          <w:color w:val="0D0D0D" w:themeColor="text1" w:themeTint="F2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B119CAF">
      <w:pPr>
        <w:spacing w:line="480" w:lineRule="auto"/>
        <w:rPr>
          <w:rFonts w:cs="Times New Roman"/>
          <w:color w:val="0D0D0D" w:themeColor="text1" w:themeTint="F2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B1F63BA">
      <w:pPr>
        <w:spacing w:line="480" w:lineRule="auto"/>
        <w:rPr>
          <w:rFonts w:cs="Times New Roman"/>
          <w:color w:val="0D0D0D" w:themeColor="text1" w:themeTint="F2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bookmarkEnd w:id="3"/>
    <w:bookmarkEnd w:id="4"/>
    <w:bookmarkEnd w:id="5"/>
    <w:p w14:paraId="07230319">
      <w:pPr>
        <w:spacing w:line="720" w:lineRule="auto"/>
        <w:ind w:firstLine="422"/>
        <w:rPr>
          <w:rFonts w:eastAsia="等线" w:cs="Times New Roman"/>
          <w:b/>
          <w:bCs/>
        </w:rPr>
      </w:pPr>
      <w:r>
        <w:rPr>
          <w:rFonts w:cs="Times New Roman"/>
          <w:b/>
        </w:rPr>
        <w:t>This file includes</w:t>
      </w:r>
      <w:r>
        <w:rPr>
          <w:rFonts w:hint="eastAsia" w:eastAsia="等线" w:cs="Times New Roman"/>
          <w:b/>
        </w:rPr>
        <w:t>:</w:t>
      </w:r>
    </w:p>
    <w:p w14:paraId="56A65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leftChars="200" w:firstLine="420"/>
        <w:textAlignment w:val="auto"/>
        <w:rPr>
          <w:rFonts w:hint="eastAsia"/>
          <w:lang w:eastAsia="zh-CN"/>
        </w:rPr>
      </w:pPr>
      <w:r>
        <w:t xml:space="preserve">Number of pages: </w:t>
      </w:r>
      <w:r>
        <w:rPr>
          <w:rFonts w:hint="eastAsia"/>
          <w:lang w:val="en-US" w:eastAsia="zh-CN"/>
        </w:rPr>
        <w:t>6</w:t>
      </w:r>
    </w:p>
    <w:p w14:paraId="1D86D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leftChars="200" w:firstLine="420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Tables</w:t>
      </w:r>
      <w:r>
        <w:t>: S1-S</w:t>
      </w:r>
      <w:r>
        <w:rPr>
          <w:rFonts w:hint="eastAsia"/>
          <w:lang w:val="en-US" w:eastAsia="zh-CN"/>
        </w:rPr>
        <w:t>9</w:t>
      </w:r>
    </w:p>
    <w:p w14:paraId="633FDC7A">
      <w:pPr>
        <w:widowControl/>
        <w:jc w:val="left"/>
      </w:pPr>
      <w:r>
        <w:br w:type="page"/>
      </w:r>
    </w:p>
    <w:p w14:paraId="1514FFD6">
      <w:pPr>
        <w:widowControl/>
        <w:jc w:val="left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Table S1 Evaluation of relative standard uncertainty via the calculation-based method</w:t>
      </w:r>
    </w:p>
    <w:tbl>
      <w:tblPr>
        <w:tblStyle w:val="5"/>
        <w:tblW w:w="82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72"/>
        <w:gridCol w:w="1815"/>
      </w:tblGrid>
      <w:tr w14:paraId="31056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47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C3B1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Uncertainty component</w:t>
            </w:r>
          </w:p>
        </w:tc>
        <w:tc>
          <w:tcPr>
            <w:tcW w:w="181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77F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Relative standard uncertainty (%)</w:t>
            </w:r>
          </w:p>
        </w:tc>
      </w:tr>
      <w:tr w14:paraId="2C746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3A94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Uncertainty from coal weighing process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m:oMath>
              <m:sSub>
                <m:sSubPr>
                  <m:ctrlPr>
                    <w:rPr>
                      <w:rFonts w:hint="default" w:ascii="Cambria Math" w:hAnsi="Cambria Math" w:cs="Times New Roman"/>
                      <w:i w:val="0"/>
                      <w:sz w:val="22"/>
                      <w:szCs w:val="22"/>
                    </w:rPr>
                  </m:ctrlPr>
                </m:sSubPr>
                <m:e>
                  <m:r>
                    <m:rPr/>
                    <w:rPr>
                      <w:rFonts w:hint="default" w:cs="Times New Roman"/>
                      <w:sz w:val="22"/>
                      <w:szCs w:val="22"/>
                      <w:lang w:val="en-US" w:eastAsia="zh-CN"/>
                    </w:rPr>
                    <m:t>u</m:t>
                  </m:r>
                  <m:ctrlPr>
                    <w:rPr>
                      <w:rFonts w:hint="default" w:ascii="Cambria Math" w:hAnsi="Cambria Math" w:cs="Times New Roman"/>
                      <w:i w:val="0"/>
                      <w:sz w:val="22"/>
                      <w:szCs w:val="22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hint="default" w:ascii="Cambria Math" w:hAnsi="Cambria Math" w:cs="Times New Roman"/>
                      <w:sz w:val="22"/>
                      <w:szCs w:val="22"/>
                      <w:lang w:val="en-US" w:eastAsia="zh-CN"/>
                    </w:rPr>
                    <m:t>weighing</m:t>
                  </m:r>
                  <m:ctrlPr>
                    <w:rPr>
                      <w:rFonts w:hint="default" w:ascii="Cambria Math" w:hAnsi="Cambria Math" w:cs="Times New Roman"/>
                      <w:sz w:val="22"/>
                      <w:szCs w:val="22"/>
                    </w:rPr>
                  </m:ctrlPr>
                </m:sub>
              </m:sSub>
            </m:oMath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18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6D3B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0.35</w:t>
            </w:r>
          </w:p>
        </w:tc>
      </w:tr>
      <w:tr w14:paraId="17E2D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43F6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Uncertainty due to representativeness of coal sampling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m:oMath>
              <m:sSub>
                <m:sSubPr>
                  <m:ctrlPr>
                    <w:rPr>
                      <w:rFonts w:hint="default" w:ascii="Cambria Math" w:hAnsi="Cambria Math" w:cs="Times New Roman"/>
                      <w:i w:val="0"/>
                      <w:sz w:val="22"/>
                      <w:szCs w:val="22"/>
                    </w:rPr>
                  </m:ctrlPr>
                </m:sSubPr>
                <m:e>
                  <m:r>
                    <m:rPr/>
                    <w:rPr>
                      <w:rFonts w:hint="default" w:cs="Times New Roman"/>
                      <w:sz w:val="22"/>
                      <w:szCs w:val="22"/>
                      <w:lang w:val="en-US" w:eastAsia="zh-CN"/>
                    </w:rPr>
                    <m:t>u</m:t>
                  </m:r>
                  <m:ctrlPr>
                    <w:rPr>
                      <w:rFonts w:hint="default" w:ascii="Cambria Math" w:hAnsi="Cambria Math" w:cs="Times New Roman"/>
                      <w:i w:val="0"/>
                      <w:sz w:val="22"/>
                      <w:szCs w:val="22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hint="default" w:ascii="Cambria Math" w:hAnsi="Cambria Math" w:cs="Times New Roman"/>
                      <w:sz w:val="22"/>
                      <w:szCs w:val="22"/>
                      <w:lang w:val="en-US" w:eastAsia="zh-CN"/>
                    </w:rPr>
                    <m:t>sampling</m:t>
                  </m:r>
                  <m:ctrlPr>
                    <w:rPr>
                      <w:rFonts w:hint="default" w:ascii="Cambria Math" w:hAnsi="Cambria Math" w:cs="Times New Roman"/>
                      <w:sz w:val="22"/>
                      <w:szCs w:val="22"/>
                    </w:rPr>
                  </m:ctrlPr>
                </m:sub>
              </m:sSub>
            </m:oMath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18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978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2.00</w:t>
            </w:r>
          </w:p>
        </w:tc>
      </w:tr>
      <w:tr w14:paraId="2EC20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394B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Uncertainty from moisture measurement on as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received basis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m:oMath>
              <m:sSub>
                <m:sSubPr>
                  <m:ctrlPr>
                    <w:rPr>
                      <w:rFonts w:hint="default" w:ascii="Cambria Math" w:hAnsi="Cambria Math" w:cs="Times New Roman"/>
                      <w:i w:val="0"/>
                      <w:sz w:val="22"/>
                      <w:szCs w:val="22"/>
                    </w:rPr>
                  </m:ctrlPr>
                </m:sSubPr>
                <m:e>
                  <m:r>
                    <m:rPr/>
                    <w:rPr>
                      <w:rFonts w:hint="default" w:cs="Times New Roman"/>
                      <w:sz w:val="22"/>
                      <w:szCs w:val="22"/>
                      <w:lang w:val="en-US" w:eastAsia="zh-CN"/>
                    </w:rPr>
                    <m:t>u</m:t>
                  </m:r>
                  <m:ctrlPr>
                    <w:rPr>
                      <w:rFonts w:hint="default" w:ascii="Cambria Math" w:hAnsi="Cambria Math" w:cs="Times New Roman"/>
                      <w:i w:val="0"/>
                      <w:sz w:val="22"/>
                      <w:szCs w:val="22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hint="default" w:ascii="Cambria Math" w:hAnsi="Cambria Math" w:cs="Times New Roman"/>
                      <w:sz w:val="22"/>
                      <w:szCs w:val="22"/>
                      <w:lang w:val="en-US" w:eastAsia="zh-CN"/>
                    </w:rPr>
                    <m:t>moisture1</m:t>
                  </m:r>
                  <m:ctrlPr>
                    <w:rPr>
                      <w:rFonts w:hint="default" w:ascii="Cambria Math" w:hAnsi="Cambria Math" w:cs="Times New Roman"/>
                      <w:sz w:val="22"/>
                      <w:szCs w:val="22"/>
                    </w:rPr>
                  </m:ctrlPr>
                </m:sub>
              </m:sSub>
            </m:oMath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18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525D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0.42</w:t>
            </w:r>
          </w:p>
        </w:tc>
      </w:tr>
      <w:tr w14:paraId="7A4F2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D8F0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Uncertainty from moisture measurement on air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dried basis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m:oMath>
              <m:sSub>
                <m:sSubPr>
                  <m:ctrlPr>
                    <w:rPr>
                      <w:rFonts w:hint="default" w:ascii="Cambria Math" w:hAnsi="Cambria Math" w:cs="Times New Roman"/>
                      <w:i w:val="0"/>
                      <w:sz w:val="22"/>
                      <w:szCs w:val="22"/>
                    </w:rPr>
                  </m:ctrlPr>
                </m:sSubPr>
                <m:e>
                  <m:r>
                    <m:rPr/>
                    <w:rPr>
                      <w:rFonts w:hint="default" w:cs="Times New Roman"/>
                      <w:sz w:val="22"/>
                      <w:szCs w:val="22"/>
                      <w:lang w:val="en-US" w:eastAsia="zh-CN"/>
                    </w:rPr>
                    <m:t>u</m:t>
                  </m:r>
                  <m:ctrlPr>
                    <w:rPr>
                      <w:rFonts w:hint="default" w:ascii="Cambria Math" w:hAnsi="Cambria Math" w:cs="Times New Roman"/>
                      <w:i w:val="0"/>
                      <w:sz w:val="22"/>
                      <w:szCs w:val="22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hint="default" w:ascii="Cambria Math" w:hAnsi="Cambria Math" w:cs="Times New Roman"/>
                      <w:sz w:val="22"/>
                      <w:szCs w:val="22"/>
                      <w:lang w:val="en-US" w:eastAsia="zh-CN"/>
                    </w:rPr>
                    <m:t>moisture2</m:t>
                  </m:r>
                  <m:ctrlPr>
                    <w:rPr>
                      <w:rFonts w:hint="default" w:ascii="Cambria Math" w:hAnsi="Cambria Math" w:cs="Times New Roman"/>
                      <w:sz w:val="22"/>
                      <w:szCs w:val="22"/>
                    </w:rPr>
                  </m:ctrlPr>
                </m:sub>
              </m:sSub>
            </m:oMath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18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407C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0.42</w:t>
            </w:r>
          </w:p>
        </w:tc>
      </w:tr>
      <w:tr w14:paraId="0D9F8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A891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Uncertainty from elemental carbon content measurement on air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dried basis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m:oMath>
              <m:sSub>
                <m:sSubPr>
                  <m:ctrlPr>
                    <w:rPr>
                      <w:rFonts w:hint="default" w:ascii="Cambria Math" w:hAnsi="Cambria Math" w:cs="Times New Roman"/>
                      <w:i w:val="0"/>
                      <w:sz w:val="22"/>
                      <w:szCs w:val="22"/>
                    </w:rPr>
                  </m:ctrlPr>
                </m:sSubPr>
                <m:e>
                  <m:r>
                    <m:rPr/>
                    <w:rPr>
                      <w:rFonts w:hint="default" w:cs="Times New Roman"/>
                      <w:sz w:val="22"/>
                      <w:szCs w:val="22"/>
                      <w:lang w:val="en-US" w:eastAsia="zh-CN"/>
                    </w:rPr>
                    <m:t>u</m:t>
                  </m:r>
                  <m:ctrlPr>
                    <w:rPr>
                      <w:rFonts w:hint="default" w:ascii="Cambria Math" w:hAnsi="Cambria Math" w:cs="Times New Roman"/>
                      <w:i w:val="0"/>
                      <w:sz w:val="22"/>
                      <w:szCs w:val="22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hint="default" w:ascii="Cambria Math" w:hAnsi="Cambria Math" w:cs="Times New Roman"/>
                      <w:sz w:val="22"/>
                      <w:szCs w:val="22"/>
                      <w:lang w:val="en-US" w:eastAsia="zh-CN"/>
                    </w:rPr>
                    <m:t>carbon</m:t>
                  </m:r>
                  <m:ctrlPr>
                    <w:rPr>
                      <w:rFonts w:hint="default" w:ascii="Cambria Math" w:hAnsi="Cambria Math" w:cs="Times New Roman"/>
                      <w:sz w:val="22"/>
                      <w:szCs w:val="22"/>
                    </w:rPr>
                  </m:ctrlPr>
                </m:sub>
              </m:sSub>
            </m:oMath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18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3C60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0.70</w:t>
            </w:r>
          </w:p>
        </w:tc>
      </w:tr>
      <w:tr w14:paraId="7CBB0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AF7D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Uncertainty from using default values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hAnsi="Cambria Math" w:cs="Times New Roman"/>
                <w:i w:val="0"/>
                <w:sz w:val="22"/>
                <w:szCs w:val="22"/>
                <w:lang w:val="en-US" w:eastAsia="zh-CN"/>
              </w:rPr>
              <w:t>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m:rPr/>
                    <w:rPr>
                      <w:rFonts w:hint="default" w:ascii="Cambria Math" w:hAnsi="Cambria Math" w:cs="Times New Roman"/>
                      <w:sz w:val="22"/>
                      <w:szCs w:val="22"/>
                      <w:lang w:val="en-US" w:eastAsia="zh-CN"/>
                    </w:rPr>
                    <m:t>u</m:t>
                  </m:r>
                  <m:ctrlPr>
                    <w:rPr>
                      <w:rFonts w:ascii="Cambria Math" w:hAnsi="Cambria Math" w:cs="Times New Roman"/>
                      <w:sz w:val="22"/>
                      <w:szCs w:val="22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hint="default" w:ascii="Cambria Math" w:hAnsi="Cambria Math" w:cs="Times New Roman"/>
                      <w:sz w:val="22"/>
                      <w:szCs w:val="22"/>
                      <w:lang w:val="en-US" w:eastAsia="zh-CN"/>
                    </w:rPr>
                    <m:t>default value</m:t>
                  </m:r>
                  <m:ctrlPr>
                    <w:rPr>
                      <w:rFonts w:ascii="Cambria Math" w:hAnsi="Cambria Math" w:cs="Times New Roman"/>
                      <w:sz w:val="22"/>
                      <w:szCs w:val="22"/>
                    </w:rPr>
                  </m:ctrlPr>
                </m:sub>
              </m:sSub>
            </m:oMath>
            <w:r>
              <w:rPr>
                <w:rFonts w:hint="eastAsia" w:hAnsi="Cambria Math" w:cs="Times New Roman"/>
                <w:i w:val="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8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A183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2.30</w:t>
            </w:r>
          </w:p>
        </w:tc>
      </w:tr>
      <w:tr w14:paraId="47D2B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647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AD66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left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Combined uncertainty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(</w:t>
            </w:r>
            <w:r>
              <w:rPr>
                <w:rFonts w:hint="eastAsia" w:eastAsia="Segoe UI" w:cs="Times New Roman"/>
                <w:i/>
                <w:iCs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</w:t>
            </w:r>
            <w:r>
              <w:rPr>
                <w:rFonts w:hint="eastAsia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181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C456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tLeas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6.40</w:t>
            </w:r>
          </w:p>
        </w:tc>
      </w:tr>
    </w:tbl>
    <w:p w14:paraId="0AF0D4A7">
      <w:pPr>
        <w:rPr>
          <w:rFonts w:hint="default" w:ascii="Times New Roman" w:hAnsi="Times New Roman" w:cs="Times New Roman"/>
          <w:sz w:val="22"/>
          <w:szCs w:val="22"/>
        </w:rPr>
      </w:pPr>
    </w:p>
    <w:p w14:paraId="14357DC6">
      <w:pPr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The total systematic uncertainty for each component is determined by applying a root sum square analysis to the coal weighing process, representativeness of coal sampling, moisture measurement on as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noBreakHyphen/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received basis, moisture measurement on air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noBreakHyphen/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dried basis, elemental carbon content measurement on air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noBreakHyphen/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dried basis, and using default values as follows: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7"/>
        <w:gridCol w:w="595"/>
      </w:tblGrid>
      <w:tr w14:paraId="03059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76" w:type="dxa"/>
            <w:vAlign w:val="center"/>
          </w:tcPr>
          <w:p w14:paraId="3A75C15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/>
                <w:iCs/>
                <w:sz w:val="22"/>
                <w:szCs w:val="22"/>
                <w:lang w:val="en-US" w:eastAsia="zh-CN"/>
              </w:rPr>
              <w:t>U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=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sz w:val="22"/>
                  <w:szCs w:val="22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radPr>
                <m:deg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deg>
                <m:e>
                  <m:sSub>
                    <m:sSubPr>
                      <m:ctrlPr>
                        <w:rPr>
                          <w:rFonts w:hint="default" w:ascii="Cambria Math" w:hAnsi="Cambria Math" w:cs="Times New Roman"/>
                          <w:i w:val="0"/>
                          <w:sz w:val="22"/>
                          <w:szCs w:val="22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hint="default" w:ascii="Cambria Math" w:hAnsi="Cambria Math" w:cs="Times New Roman"/>
                              <w:i w:val="0"/>
                              <w:sz w:val="22"/>
                              <w:szCs w:val="22"/>
                            </w:rPr>
                          </m:ctrlPr>
                        </m:sSubPr>
                        <m:e>
                          <m:sSub>
                            <m:sSubPr>
                              <m:ctrlPr>
                                <w:rPr>
                                  <w:rFonts w:hint="default" w:ascii="Cambria Math" w:hAnsi="Cambria Math" w:cs="Times New Roman"/>
                                  <w:i w:val="0"/>
                                  <w:sz w:val="22"/>
                                  <w:szCs w:val="22"/>
                                </w:rPr>
                              </m:ctrlPr>
                            </m:sSubPr>
                            <m:e>
                              <m:r>
                                <m:rPr/>
                                <w:rPr>
                                  <w:rFonts w:hint="default" w:cs="Times New Roman"/>
                                  <w:sz w:val="22"/>
                                  <w:szCs w:val="22"/>
                                  <w:lang w:val="en-US" w:eastAsia="zh-CN"/>
                                </w:rPr>
                                <m:t>u</m:t>
                              </m:r>
                              <m:ctrlPr>
                                <w:rPr>
                                  <w:rFonts w:hint="default" w:ascii="Cambria Math" w:hAnsi="Cambria Math" w:cs="Times New Roman"/>
                                  <w:i w:val="0"/>
                                  <w:sz w:val="22"/>
                                  <w:szCs w:val="22"/>
                                </w:rPr>
                              </m:ctrlP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hint="default" w:ascii="Cambria Math" w:hAnsi="Cambria Math" w:cs="Times New Roman"/>
                                  <w:sz w:val="22"/>
                                  <w:szCs w:val="22"/>
                                  <w:lang w:val="en-US" w:eastAsia="zh-CN"/>
                                </w:rPr>
                                <m:t>weighing</m:t>
                              </m:r>
                              <m:ctrlPr>
                                <w:rPr>
                                  <w:rFonts w:hint="default" w:ascii="Cambria Math" w:hAnsi="Cambria Math" w:cs="Times New Roman"/>
                                  <w:sz w:val="22"/>
                                  <w:szCs w:val="22"/>
                                </w:rPr>
                              </m:ctrlP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2"/>
                              <w:szCs w:val="22"/>
                            </w:rPr>
                            <m:t>+</m:t>
                          </m:r>
                          <m:r>
                            <m:rPr/>
                            <w:rPr>
                              <w:rFonts w:hint="default" w:cs="Times New Roman"/>
                              <w:sz w:val="22"/>
                              <w:szCs w:val="22"/>
                              <w:lang w:val="en-US" w:eastAsia="zh-CN"/>
                            </w:rPr>
                            <m:t>u</m:t>
                          </m:r>
                          <m:ctrlPr>
                            <w:rPr>
                              <w:rFonts w:hint="default" w:ascii="Cambria Math" w:hAnsi="Cambria Math" w:cs="Times New Roman"/>
                              <w:i w:val="0"/>
                              <w:sz w:val="22"/>
                              <w:szCs w:val="22"/>
                            </w:rPr>
                          </m:ctrlP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hint="default" w:ascii="Cambria Math" w:hAnsi="Cambria Math" w:cs="Times New Roman"/>
                              <w:sz w:val="22"/>
                              <w:szCs w:val="22"/>
                              <w:lang w:val="en-US" w:eastAsia="zh-CN"/>
                            </w:rPr>
                            <m:t>sampling</m:t>
                          </m:r>
                          <m:ctrlPr>
                            <w:rPr>
                              <w:rFonts w:hint="default" w:ascii="Cambria Math" w:hAnsi="Cambria Math" w:cs="Times New Roman"/>
                              <w:sz w:val="22"/>
                              <w:szCs w:val="22"/>
                            </w:rPr>
                          </m:ctrlP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hint="default" w:ascii="Cambria Math" w:hAnsi="Cambria Math" w:cs="Times New Roman"/>
                              <w:i w:val="0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hint="default" w:cs="Times New Roman"/>
                              <w:sz w:val="22"/>
                              <w:szCs w:val="22"/>
                              <w:lang w:val="en-US" w:eastAsia="zh-CN"/>
                            </w:rPr>
                            <m:t>u</m:t>
                          </m:r>
                          <m:ctrlPr>
                            <w:rPr>
                              <w:rFonts w:hint="default" w:ascii="Cambria Math" w:hAnsi="Cambria Math" w:cs="Times New Roman"/>
                              <w:i w:val="0"/>
                              <w:sz w:val="22"/>
                              <w:szCs w:val="22"/>
                            </w:rPr>
                          </m:ctrlP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hint="default" w:ascii="Cambria Math" w:hAnsi="Cambria Math" w:cs="Times New Roman"/>
                              <w:sz w:val="22"/>
                              <w:szCs w:val="22"/>
                              <w:lang w:val="en-US" w:eastAsia="zh-CN"/>
                            </w:rPr>
                            <m:t>moisture1</m:t>
                          </m:r>
                          <m:ctrlPr>
                            <w:rPr>
                              <w:rFonts w:hint="default" w:ascii="Cambria Math" w:hAnsi="Cambria Math" w:cs="Times New Roman"/>
                              <w:sz w:val="22"/>
                              <w:szCs w:val="22"/>
                            </w:rPr>
                          </m:ctrlP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  <m:t>+</m:t>
                      </m:r>
                      <m:r>
                        <m:rPr/>
                        <w:rPr>
                          <w:rFonts w:hint="default" w:cs="Times New Roman"/>
                          <w:sz w:val="22"/>
                          <w:szCs w:val="22"/>
                          <w:lang w:val="en-US" w:eastAsia="zh-CN"/>
                        </w:rPr>
                        <m:t>u</m:t>
                      </m:r>
                      <m:ctrlPr>
                        <w:rPr>
                          <w:rFonts w:hint="default" w:ascii="Cambria Math" w:hAnsi="Cambria Math" w:cs="Times New Roman"/>
                          <w:i w:val="0"/>
                          <w:sz w:val="22"/>
                          <w:szCs w:val="22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hint="default" w:ascii="Cambria Math" w:hAnsi="Cambria Math" w:cs="Times New Roman"/>
                          <w:sz w:val="22"/>
                          <w:szCs w:val="22"/>
                          <w:lang w:val="en-US" w:eastAsia="zh-CN"/>
                        </w:rPr>
                        <m:t>moisture2</m:t>
                      </m:r>
                      <m:ctrlPr>
                        <w:rPr>
                          <w:rFonts w:hint="default" w:ascii="Cambria Math" w:hAnsi="Cambria Math" w:cs="Times New Roman"/>
                          <w:sz w:val="22"/>
                          <w:szCs w:val="22"/>
                        </w:rPr>
                      </m:ctrlPr>
                    </m:sub>
                  </m:sSub>
                  <m:r>
                    <m:rPr>
                      <m:nor/>
                      <m:sty m:val="p"/>
                    </m:rPr>
                    <w:rPr>
                      <w:rFonts w:ascii="Cambria Math" w:hAnsi="Cambria Math" w:cs="Times New Roman"/>
                      <w:b w:val="0"/>
                      <w:i w:val="0"/>
                      <w:sz w:val="22"/>
                      <w:szCs w:val="22"/>
                    </w:rPr>
                    <m:t>+</m:t>
                  </m:r>
                  <m:sSub>
                    <m:sSubPr>
                      <m:ctrlPr>
                        <w:rPr>
                          <w:rFonts w:hint="default" w:ascii="Cambria Math" w:hAnsi="Cambria Math" w:cs="Times New Roman"/>
                          <w:i w:val="0"/>
                          <w:sz w:val="22"/>
                          <w:szCs w:val="22"/>
                        </w:rPr>
                      </m:ctrlPr>
                    </m:sSubPr>
                    <m:e>
                      <m:r>
                        <m:rPr/>
                        <w:rPr>
                          <w:rFonts w:hint="default" w:cs="Times New Roman"/>
                          <w:sz w:val="22"/>
                          <w:szCs w:val="22"/>
                          <w:lang w:val="en-US" w:eastAsia="zh-CN"/>
                        </w:rPr>
                        <m:t>u</m:t>
                      </m:r>
                      <m:ctrlPr>
                        <w:rPr>
                          <w:rFonts w:hint="default" w:ascii="Cambria Math" w:hAnsi="Cambria Math" w:cs="Times New Roman"/>
                          <w:i w:val="0"/>
                          <w:sz w:val="22"/>
                          <w:szCs w:val="22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hint="default" w:ascii="Cambria Math" w:hAnsi="Cambria Math" w:cs="Times New Roman"/>
                          <w:sz w:val="22"/>
                          <w:szCs w:val="22"/>
                          <w:lang w:val="en-US" w:eastAsia="zh-CN"/>
                        </w:rPr>
                        <m:t>carbon</m:t>
                      </m:r>
                      <m:ctrlPr>
                        <w:rPr>
                          <w:rFonts w:hint="default" w:ascii="Cambria Math" w:hAnsi="Cambria Math" w:cs="Times New Roman"/>
                          <w:sz w:val="22"/>
                          <w:szCs w:val="22"/>
                        </w:rPr>
                      </m:ctrlP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2"/>
                      <w:szCs w:val="22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</m:ctrlPr>
                    </m:sSubPr>
                    <m:e>
                      <m:r>
                        <m:rPr/>
                        <w:rPr>
                          <w:rFonts w:hint="default" w:ascii="Cambria Math" w:hAnsi="Cambria Math" w:cs="Times New Roman"/>
                          <w:sz w:val="22"/>
                          <w:szCs w:val="22"/>
                          <w:lang w:val="en-US" w:eastAsia="zh-CN"/>
                        </w:rPr>
                        <m:t>u</m:t>
                      </m:r>
                      <m:ctrlP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hint="default" w:ascii="Cambria Math" w:hAnsi="Cambria Math" w:cs="Times New Roman"/>
                          <w:sz w:val="22"/>
                          <w:szCs w:val="22"/>
                          <w:lang w:val="en-US" w:eastAsia="zh-CN"/>
                        </w:rPr>
                        <m:t>default value</m:t>
                      </m:r>
                      <m:ctrlP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</m:ctrlPr>
                    </m:sub>
                  </m:sSub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e>
              </m:rad>
            </m:oMath>
          </w:p>
        </w:tc>
        <w:tc>
          <w:tcPr>
            <w:tcW w:w="546" w:type="dxa"/>
            <w:vAlign w:val="center"/>
          </w:tcPr>
          <w:p w14:paraId="52863E01">
            <w:pPr>
              <w:spacing w:line="360" w:lineRule="auto"/>
              <w:jc w:val="right"/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  <w:t>S1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)</w:t>
            </w:r>
          </w:p>
        </w:tc>
      </w:tr>
    </w:tbl>
    <w:p w14:paraId="17360A51">
      <w:pPr>
        <w:rPr>
          <w:rFonts w:hint="eastAsia" w:ascii="Times New Roman" w:eastAsia="宋体"/>
          <w:b/>
          <w:bCs/>
          <w:sz w:val="22"/>
          <w:szCs w:val="22"/>
          <w:lang w:val="en-US" w:eastAsia="zh-CN"/>
        </w:rPr>
      </w:pPr>
    </w:p>
    <w:p w14:paraId="1A8890EC">
      <w:pPr>
        <w:rPr>
          <w:rFonts w:hint="default"/>
          <w:b/>
          <w:bCs/>
          <w:sz w:val="22"/>
          <w:szCs w:val="22"/>
          <w:lang w:val="en-US"/>
        </w:rPr>
      </w:pP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Table S</w:t>
      </w:r>
      <w:r>
        <w:rPr>
          <w:rFonts w:hint="eastAsia"/>
          <w:b/>
          <w:bCs/>
          <w:sz w:val="22"/>
          <w:szCs w:val="22"/>
          <w:lang w:val="en-US" w:eastAsia="zh-CN"/>
        </w:rPr>
        <w:t>2 Evaluation of relative standard uncertainty via the measurement-based method through comparison tests in March 2025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973"/>
        <w:gridCol w:w="808"/>
        <w:gridCol w:w="1085"/>
        <w:gridCol w:w="847"/>
        <w:gridCol w:w="1141"/>
        <w:gridCol w:w="1175"/>
        <w:gridCol w:w="1338"/>
      </w:tblGrid>
      <w:tr w14:paraId="42D09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77" w:type="pct"/>
            <w:vMerge w:val="restart"/>
            <w:vAlign w:val="center"/>
          </w:tcPr>
          <w:p w14:paraId="33A34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Parameter</w:t>
            </w:r>
          </w:p>
        </w:tc>
        <w:tc>
          <w:tcPr>
            <w:tcW w:w="570" w:type="pct"/>
            <w:vMerge w:val="restart"/>
            <w:vAlign w:val="center"/>
          </w:tcPr>
          <w:p w14:paraId="20CEC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CEMS average value</w:t>
            </w:r>
          </w:p>
        </w:tc>
        <w:tc>
          <w:tcPr>
            <w:tcW w:w="474" w:type="pct"/>
            <w:vMerge w:val="restart"/>
            <w:vAlign w:val="center"/>
          </w:tcPr>
          <w:p w14:paraId="66334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Offset</w:t>
            </w:r>
          </w:p>
        </w:tc>
        <w:tc>
          <w:tcPr>
            <w:tcW w:w="1802" w:type="pct"/>
            <w:gridSpan w:val="3"/>
            <w:vAlign w:val="center"/>
          </w:tcPr>
          <w:p w14:paraId="7DBBF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Systematic Uncertainty</w:t>
            </w:r>
          </w:p>
        </w:tc>
        <w:tc>
          <w:tcPr>
            <w:tcW w:w="689" w:type="pct"/>
            <w:vMerge w:val="restart"/>
            <w:vAlign w:val="center"/>
          </w:tcPr>
          <w:p w14:paraId="7A3A2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Combined standard uncertainty</w:t>
            </w: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 xml:space="preserve"> (%)</w:t>
            </w:r>
          </w:p>
        </w:tc>
        <w:tc>
          <w:tcPr>
            <w:tcW w:w="785" w:type="pct"/>
            <w:vMerge w:val="restart"/>
            <w:vAlign w:val="center"/>
          </w:tcPr>
          <w:p w14:paraId="20719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Combined relative standard uncertainty</w:t>
            </w:r>
          </w:p>
          <w:p w14:paraId="03EA7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(%)</w:t>
            </w:r>
          </w:p>
        </w:tc>
      </w:tr>
      <w:tr w14:paraId="780CC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pct"/>
            <w:vMerge w:val="continue"/>
            <w:vAlign w:val="center"/>
          </w:tcPr>
          <w:p w14:paraId="3D2DD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70" w:type="pct"/>
            <w:vMerge w:val="continue"/>
            <w:vAlign w:val="center"/>
          </w:tcPr>
          <w:p w14:paraId="6971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vMerge w:val="continue"/>
            <w:vAlign w:val="center"/>
          </w:tcPr>
          <w:p w14:paraId="58494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36" w:type="pct"/>
            <w:vAlign w:val="center"/>
          </w:tcPr>
          <w:p w14:paraId="40081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Comparison tests</w:t>
            </w:r>
          </w:p>
        </w:tc>
        <w:tc>
          <w:tcPr>
            <w:tcW w:w="496" w:type="pct"/>
            <w:vAlign w:val="center"/>
          </w:tcPr>
          <w:p w14:paraId="55B2B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Spatial</w:t>
            </w:r>
          </w:p>
        </w:tc>
        <w:tc>
          <w:tcPr>
            <w:tcW w:w="669" w:type="pct"/>
            <w:vAlign w:val="center"/>
          </w:tcPr>
          <w:p w14:paraId="18E5B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Instrumental</w:t>
            </w:r>
          </w:p>
        </w:tc>
        <w:tc>
          <w:tcPr>
            <w:tcW w:w="689" w:type="pct"/>
            <w:vMerge w:val="continue"/>
          </w:tcPr>
          <w:p w14:paraId="6BE5D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85" w:type="pct"/>
            <w:vMerge w:val="continue"/>
          </w:tcPr>
          <w:p w14:paraId="1352D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</w:tr>
      <w:tr w14:paraId="61C09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pct"/>
            <w:vAlign w:val="center"/>
          </w:tcPr>
          <w:p w14:paraId="10595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  <w:p w14:paraId="390E4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(100% load, m/s)</w:t>
            </w:r>
          </w:p>
        </w:tc>
        <w:tc>
          <w:tcPr>
            <w:tcW w:w="570" w:type="pct"/>
            <w:vAlign w:val="center"/>
          </w:tcPr>
          <w:p w14:paraId="630D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18.53</w:t>
            </w:r>
          </w:p>
        </w:tc>
        <w:tc>
          <w:tcPr>
            <w:tcW w:w="474" w:type="pct"/>
            <w:vAlign w:val="center"/>
          </w:tcPr>
          <w:p w14:paraId="42D13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1.59</w:t>
            </w:r>
          </w:p>
        </w:tc>
        <w:tc>
          <w:tcPr>
            <w:tcW w:w="636" w:type="pct"/>
            <w:vAlign w:val="center"/>
          </w:tcPr>
          <w:p w14:paraId="64E9E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0.16</w:t>
            </w:r>
          </w:p>
        </w:tc>
        <w:tc>
          <w:tcPr>
            <w:tcW w:w="496" w:type="pct"/>
            <w:vAlign w:val="center"/>
          </w:tcPr>
          <w:p w14:paraId="46DCB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0.13</w:t>
            </w:r>
          </w:p>
        </w:tc>
        <w:tc>
          <w:tcPr>
            <w:tcW w:w="669" w:type="pct"/>
            <w:vAlign w:val="center"/>
          </w:tcPr>
          <w:p w14:paraId="7DC73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1.02</w:t>
            </w:r>
          </w:p>
        </w:tc>
        <w:tc>
          <w:tcPr>
            <w:tcW w:w="689" w:type="pct"/>
            <w:vAlign w:val="center"/>
          </w:tcPr>
          <w:p w14:paraId="439EE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1.04</w:t>
            </w:r>
          </w:p>
        </w:tc>
        <w:tc>
          <w:tcPr>
            <w:tcW w:w="785" w:type="pct"/>
            <w:vAlign w:val="center"/>
          </w:tcPr>
          <w:p w14:paraId="67F9E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5.60</w:t>
            </w:r>
          </w:p>
        </w:tc>
      </w:tr>
      <w:tr w14:paraId="09070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pct"/>
            <w:vAlign w:val="center"/>
          </w:tcPr>
          <w:p w14:paraId="51C7E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  <w:p w14:paraId="0DC49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(55% load, m/s)</w:t>
            </w:r>
          </w:p>
        </w:tc>
        <w:tc>
          <w:tcPr>
            <w:tcW w:w="570" w:type="pct"/>
            <w:vAlign w:val="center"/>
          </w:tcPr>
          <w:p w14:paraId="77DC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11.99</w:t>
            </w:r>
          </w:p>
        </w:tc>
        <w:tc>
          <w:tcPr>
            <w:tcW w:w="474" w:type="pct"/>
            <w:vAlign w:val="center"/>
          </w:tcPr>
          <w:p w14:paraId="4FB15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0.86</w:t>
            </w:r>
          </w:p>
        </w:tc>
        <w:tc>
          <w:tcPr>
            <w:tcW w:w="636" w:type="pct"/>
            <w:vAlign w:val="center"/>
          </w:tcPr>
          <w:p w14:paraId="2FF98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0.15</w:t>
            </w:r>
          </w:p>
        </w:tc>
        <w:tc>
          <w:tcPr>
            <w:tcW w:w="496" w:type="pct"/>
            <w:vAlign w:val="center"/>
          </w:tcPr>
          <w:p w14:paraId="1654F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0.11</w:t>
            </w:r>
          </w:p>
        </w:tc>
        <w:tc>
          <w:tcPr>
            <w:tcW w:w="669" w:type="pct"/>
            <w:vAlign w:val="center"/>
          </w:tcPr>
          <w:p w14:paraId="5A8C7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0.67</w:t>
            </w:r>
          </w:p>
        </w:tc>
        <w:tc>
          <w:tcPr>
            <w:tcW w:w="689" w:type="pct"/>
            <w:vAlign w:val="center"/>
          </w:tcPr>
          <w:p w14:paraId="76A90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0.69</w:t>
            </w:r>
          </w:p>
        </w:tc>
        <w:tc>
          <w:tcPr>
            <w:tcW w:w="785" w:type="pct"/>
            <w:vAlign w:val="center"/>
          </w:tcPr>
          <w:p w14:paraId="7292D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5.78</w:t>
            </w:r>
          </w:p>
        </w:tc>
      </w:tr>
      <w:tr w14:paraId="25BF1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pct"/>
            <w:vAlign w:val="center"/>
          </w:tcPr>
          <w:p w14:paraId="10516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  <w:p w14:paraId="51A13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(32% </w:t>
            </w:r>
            <w:r>
              <w:rPr>
                <w:sz w:val="22"/>
                <w:szCs w:val="22"/>
                <w:lang w:eastAsia="zh-CN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37% load, m/s)</w:t>
            </w:r>
          </w:p>
        </w:tc>
        <w:tc>
          <w:tcPr>
            <w:tcW w:w="570" w:type="pct"/>
            <w:vAlign w:val="center"/>
          </w:tcPr>
          <w:p w14:paraId="7D0BE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474" w:type="pct"/>
            <w:vAlign w:val="center"/>
          </w:tcPr>
          <w:p w14:paraId="72B40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0.23</w:t>
            </w:r>
          </w:p>
        </w:tc>
        <w:tc>
          <w:tcPr>
            <w:tcW w:w="636" w:type="pct"/>
            <w:vAlign w:val="center"/>
          </w:tcPr>
          <w:p w14:paraId="7EBDD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0.16</w:t>
            </w:r>
          </w:p>
        </w:tc>
        <w:tc>
          <w:tcPr>
            <w:tcW w:w="496" w:type="pct"/>
            <w:vAlign w:val="center"/>
          </w:tcPr>
          <w:p w14:paraId="3BA53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0.27</w:t>
            </w:r>
          </w:p>
        </w:tc>
        <w:tc>
          <w:tcPr>
            <w:tcW w:w="669" w:type="pct"/>
            <w:vAlign w:val="center"/>
          </w:tcPr>
          <w:p w14:paraId="756DA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0.44</w:t>
            </w:r>
          </w:p>
        </w:tc>
        <w:tc>
          <w:tcPr>
            <w:tcW w:w="689" w:type="pct"/>
            <w:vAlign w:val="center"/>
          </w:tcPr>
          <w:p w14:paraId="4DA37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0.55</w:t>
            </w:r>
          </w:p>
        </w:tc>
        <w:tc>
          <w:tcPr>
            <w:tcW w:w="785" w:type="pct"/>
            <w:vAlign w:val="center"/>
          </w:tcPr>
          <w:p w14:paraId="0BE5C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7.61</w:t>
            </w:r>
          </w:p>
        </w:tc>
      </w:tr>
      <w:tr w14:paraId="3E9A0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pct"/>
            <w:vAlign w:val="center"/>
          </w:tcPr>
          <w:p w14:paraId="0B7FA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concentration</w:t>
            </w:r>
          </w:p>
          <w:p w14:paraId="34961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(99% load, %)</w:t>
            </w:r>
          </w:p>
        </w:tc>
        <w:tc>
          <w:tcPr>
            <w:tcW w:w="570" w:type="pct"/>
            <w:vAlign w:val="center"/>
          </w:tcPr>
          <w:p w14:paraId="01063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16.37</w:t>
            </w:r>
          </w:p>
        </w:tc>
        <w:tc>
          <w:tcPr>
            <w:tcW w:w="474" w:type="pct"/>
            <w:vAlign w:val="center"/>
          </w:tcPr>
          <w:p w14:paraId="60CF9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1.12</w:t>
            </w:r>
          </w:p>
        </w:tc>
        <w:tc>
          <w:tcPr>
            <w:tcW w:w="636" w:type="pct"/>
            <w:vAlign w:val="center"/>
          </w:tcPr>
          <w:p w14:paraId="7B61D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0.17</w:t>
            </w:r>
          </w:p>
        </w:tc>
        <w:tc>
          <w:tcPr>
            <w:tcW w:w="496" w:type="pct"/>
            <w:vAlign w:val="center"/>
          </w:tcPr>
          <w:p w14:paraId="5E997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0.13</w:t>
            </w:r>
          </w:p>
        </w:tc>
        <w:tc>
          <w:tcPr>
            <w:tcW w:w="669" w:type="pct"/>
            <w:vAlign w:val="center"/>
          </w:tcPr>
          <w:p w14:paraId="0978C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0.09</w:t>
            </w:r>
          </w:p>
        </w:tc>
        <w:tc>
          <w:tcPr>
            <w:tcW w:w="689" w:type="pct"/>
            <w:vAlign w:val="center"/>
          </w:tcPr>
          <w:p w14:paraId="4A463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0.23</w:t>
            </w:r>
          </w:p>
        </w:tc>
        <w:tc>
          <w:tcPr>
            <w:tcW w:w="785" w:type="pct"/>
            <w:vAlign w:val="center"/>
          </w:tcPr>
          <w:p w14:paraId="07FBD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1.41</w:t>
            </w:r>
          </w:p>
        </w:tc>
      </w:tr>
      <w:tr w14:paraId="7F562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pct"/>
            <w:vAlign w:val="center"/>
          </w:tcPr>
          <w:p w14:paraId="23864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concentration</w:t>
            </w:r>
          </w:p>
          <w:p w14:paraId="4EED2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(55% load, %)</w:t>
            </w:r>
          </w:p>
        </w:tc>
        <w:tc>
          <w:tcPr>
            <w:tcW w:w="570" w:type="pct"/>
            <w:vAlign w:val="center"/>
          </w:tcPr>
          <w:p w14:paraId="76A92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13.78</w:t>
            </w:r>
          </w:p>
        </w:tc>
        <w:tc>
          <w:tcPr>
            <w:tcW w:w="474" w:type="pct"/>
            <w:vAlign w:val="center"/>
          </w:tcPr>
          <w:p w14:paraId="6DB44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0.98</w:t>
            </w:r>
          </w:p>
        </w:tc>
        <w:tc>
          <w:tcPr>
            <w:tcW w:w="636" w:type="pct"/>
            <w:vAlign w:val="center"/>
          </w:tcPr>
          <w:p w14:paraId="0533E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0.17</w:t>
            </w:r>
          </w:p>
        </w:tc>
        <w:tc>
          <w:tcPr>
            <w:tcW w:w="496" w:type="pct"/>
            <w:vAlign w:val="center"/>
          </w:tcPr>
          <w:p w14:paraId="5384E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0.11</w:t>
            </w:r>
          </w:p>
        </w:tc>
        <w:tc>
          <w:tcPr>
            <w:tcW w:w="669" w:type="pct"/>
            <w:vAlign w:val="center"/>
          </w:tcPr>
          <w:p w14:paraId="5E601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0.07</w:t>
            </w:r>
          </w:p>
        </w:tc>
        <w:tc>
          <w:tcPr>
            <w:tcW w:w="689" w:type="pct"/>
            <w:vAlign w:val="center"/>
          </w:tcPr>
          <w:p w14:paraId="7CE20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0.22</w:t>
            </w:r>
          </w:p>
        </w:tc>
        <w:tc>
          <w:tcPr>
            <w:tcW w:w="785" w:type="pct"/>
            <w:vAlign w:val="center"/>
          </w:tcPr>
          <w:p w14:paraId="4446E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1.57</w:t>
            </w:r>
          </w:p>
        </w:tc>
      </w:tr>
      <w:tr w14:paraId="3C95B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pct"/>
            <w:vAlign w:val="center"/>
          </w:tcPr>
          <w:p w14:paraId="73F76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concentration</w:t>
            </w:r>
          </w:p>
          <w:p w14:paraId="7A200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(32%~41% load, %)</w:t>
            </w:r>
          </w:p>
        </w:tc>
        <w:tc>
          <w:tcPr>
            <w:tcW w:w="570" w:type="pct"/>
            <w:vAlign w:val="center"/>
          </w:tcPr>
          <w:p w14:paraId="23DD5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12.03</w:t>
            </w:r>
          </w:p>
        </w:tc>
        <w:tc>
          <w:tcPr>
            <w:tcW w:w="474" w:type="pct"/>
            <w:vAlign w:val="center"/>
          </w:tcPr>
          <w:p w14:paraId="4A1A7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1.33</w:t>
            </w:r>
          </w:p>
        </w:tc>
        <w:tc>
          <w:tcPr>
            <w:tcW w:w="636" w:type="pct"/>
            <w:vAlign w:val="center"/>
          </w:tcPr>
          <w:p w14:paraId="58936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0.25</w:t>
            </w:r>
          </w:p>
        </w:tc>
        <w:tc>
          <w:tcPr>
            <w:tcW w:w="496" w:type="pct"/>
            <w:vAlign w:val="center"/>
          </w:tcPr>
          <w:p w14:paraId="61EC1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0.27</w:t>
            </w:r>
          </w:p>
        </w:tc>
        <w:tc>
          <w:tcPr>
            <w:tcW w:w="669" w:type="pct"/>
            <w:vAlign w:val="center"/>
          </w:tcPr>
          <w:p w14:paraId="6D65D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0.06</w:t>
            </w:r>
          </w:p>
        </w:tc>
        <w:tc>
          <w:tcPr>
            <w:tcW w:w="689" w:type="pct"/>
            <w:vAlign w:val="center"/>
          </w:tcPr>
          <w:p w14:paraId="22582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0.37</w:t>
            </w:r>
          </w:p>
        </w:tc>
        <w:tc>
          <w:tcPr>
            <w:tcW w:w="785" w:type="pct"/>
            <w:vAlign w:val="center"/>
          </w:tcPr>
          <w:p w14:paraId="367FD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2"/>
                <w:szCs w:val="22"/>
                <w:vertAlign w:val="baseline"/>
                <w:lang w:val="en-US" w:eastAsia="zh-CN"/>
              </w:rPr>
              <w:t>3.12</w:t>
            </w:r>
          </w:p>
        </w:tc>
      </w:tr>
    </w:tbl>
    <w:p w14:paraId="5C41B4E5">
      <w:pPr>
        <w:rPr>
          <w:sz w:val="22"/>
          <w:szCs w:val="22"/>
        </w:rPr>
      </w:pPr>
    </w:p>
    <w:p w14:paraId="5BEC91F1">
      <w:pPr>
        <w:rPr>
          <w:rFonts w:hint="default" w:eastAsia="宋体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The combined relative standard uncertainty of CO</w:t>
      </w:r>
      <w:r>
        <w:rPr>
          <w:rFonts w:hint="eastAsia"/>
          <w:sz w:val="22"/>
          <w:szCs w:val="22"/>
          <w:vertAlign w:val="subscript"/>
          <w:lang w:val="en-US" w:eastAsia="zh-CN"/>
        </w:rPr>
        <w:t>2</w:t>
      </w:r>
      <w:r>
        <w:rPr>
          <w:rFonts w:hint="eastAsia"/>
          <w:sz w:val="22"/>
          <w:szCs w:val="22"/>
          <w:lang w:val="en-US" w:eastAsia="zh-CN"/>
        </w:rPr>
        <w:t xml:space="preserve"> emission derived from the measurement-based method (comparison tests in March 2025) under different operating conditions is determined by a root sum square analysis to the gas velocity, CO</w:t>
      </w:r>
      <w:r>
        <w:rPr>
          <w:rFonts w:hint="eastAsia"/>
          <w:sz w:val="22"/>
          <w:szCs w:val="22"/>
          <w:vertAlign w:val="subscript"/>
          <w:lang w:val="en-US" w:eastAsia="zh-CN"/>
        </w:rPr>
        <w:t>2</w:t>
      </w:r>
      <w:r>
        <w:rPr>
          <w:rFonts w:hint="eastAsia"/>
          <w:sz w:val="22"/>
          <w:szCs w:val="22"/>
          <w:lang w:val="en-US" w:eastAsia="zh-CN"/>
        </w:rPr>
        <w:t xml:space="preserve"> concentration uncertainties as follows: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7"/>
        <w:gridCol w:w="595"/>
      </w:tblGrid>
      <w:tr w14:paraId="6933A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27" w:type="dxa"/>
            <w:vAlign w:val="center"/>
          </w:tcPr>
          <w:p w14:paraId="4902995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/>
                <w:iCs/>
                <w:sz w:val="22"/>
                <w:szCs w:val="22"/>
                <w:lang w:val="en-US" w:eastAsia="zh-CN"/>
              </w:rPr>
              <w:t>U</w:t>
            </w:r>
            <w:r>
              <w:rPr>
                <w:rFonts w:hint="eastAsia" w:cs="Times New Roman" w:eastAsiaTheme="minorEastAsia"/>
                <w:i/>
                <w:iCs/>
                <w:sz w:val="22"/>
                <w:szCs w:val="22"/>
                <w:vertAlign w:val="subscript"/>
                <w:lang w:val="en-US" w:eastAsia="zh-CN"/>
              </w:rPr>
              <w:t>high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=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sz w:val="22"/>
                  <w:szCs w:val="22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radPr>
                <m:deg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deg>
                <m:e>
                  <m:sSub>
                    <m:sSubPr>
                      <m:ctrlPr>
                        <w:rPr>
                          <w:rFonts w:hint="default" w:ascii="Cambria Math" w:hAnsi="Cambria Math" w:cs="Times New Roman"/>
                          <w:i w:val="0"/>
                          <w:sz w:val="22"/>
                          <w:szCs w:val="22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hint="default" w:ascii="Cambria Math" w:hAnsi="Cambria Math" w:cs="Times New Roman"/>
                              <w:i w:val="0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hint="default" w:cs="Times New Roman"/>
                              <w:sz w:val="22"/>
                              <w:szCs w:val="22"/>
                              <w:lang w:val="en-US" w:eastAsia="zh-CN"/>
                            </w:rPr>
                            <m:t>u</m:t>
                          </m:r>
                          <m:ctrlPr>
                            <w:rPr>
                              <w:rFonts w:hint="default" w:ascii="Cambria Math" w:hAnsi="Cambria Math" w:cs="Times New Roman"/>
                              <w:i w:val="0"/>
                              <w:sz w:val="22"/>
                              <w:szCs w:val="22"/>
                            </w:rPr>
                          </m:ctrlP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hint="default" w:ascii="Cambria Math" w:hAnsi="Cambria Math" w:cs="Times New Roman"/>
                              <w:sz w:val="22"/>
                              <w:szCs w:val="22"/>
                              <w:lang w:val="en-US" w:eastAsia="zh-CN"/>
                            </w:rPr>
                            <m:t>high velocity</m:t>
                          </m:r>
                          <m:ctrlPr>
                            <w:rPr>
                              <w:rFonts w:hint="default" w:ascii="Cambria Math" w:hAnsi="Cambria Math" w:cs="Times New Roman"/>
                              <w:sz w:val="22"/>
                              <w:szCs w:val="22"/>
                            </w:rPr>
                          </m:ctrlP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  <m:t>+</m:t>
                      </m:r>
                      <m:r>
                        <m:rPr/>
                        <w:rPr>
                          <w:rFonts w:hint="default" w:cs="Times New Roman"/>
                          <w:sz w:val="22"/>
                          <w:szCs w:val="22"/>
                          <w:lang w:val="en-US" w:eastAsia="zh-CN"/>
                        </w:rPr>
                        <m:t>u</m:t>
                      </m:r>
                      <m:ctrlPr>
                        <w:rPr>
                          <w:rFonts w:hint="default" w:ascii="Cambria Math" w:hAnsi="Cambria Math" w:cs="Times New Roman"/>
                          <w:i w:val="0"/>
                          <w:sz w:val="22"/>
                          <w:szCs w:val="22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hint="default" w:ascii="Cambria Math" w:hAnsi="Cambria Math" w:cs="Times New Roman"/>
                          <w:sz w:val="22"/>
                          <w:szCs w:val="22"/>
                          <w:lang w:val="en-US" w:eastAsia="zh-CN"/>
                        </w:rPr>
                        <m:t>high CO2</m:t>
                      </m:r>
                      <m:ctrlPr>
                        <w:rPr>
                          <w:rFonts w:hint="default" w:ascii="Cambria Math" w:hAnsi="Cambria Math" w:cs="Times New Roman"/>
                          <w:sz w:val="22"/>
                          <w:szCs w:val="22"/>
                        </w:rPr>
                      </m:ctrlPr>
                    </m:sub>
                  </m:sSub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e>
              </m:rad>
            </m:oMath>
          </w:p>
        </w:tc>
        <w:tc>
          <w:tcPr>
            <w:tcW w:w="595" w:type="dxa"/>
            <w:vAlign w:val="center"/>
          </w:tcPr>
          <w:p w14:paraId="29A38522">
            <w:pPr>
              <w:spacing w:line="360" w:lineRule="auto"/>
              <w:jc w:val="right"/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  <w:t>S</w:t>
            </w:r>
            <w:r>
              <w:rPr>
                <w:rFonts w:hint="eastAsia" w:cs="Times New Roman" w:eastAsiaTheme="minorEastAsia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)</w:t>
            </w:r>
          </w:p>
        </w:tc>
      </w:tr>
      <w:tr w14:paraId="23DA3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27" w:type="dxa"/>
            <w:vAlign w:val="center"/>
          </w:tcPr>
          <w:p w14:paraId="7E0584C6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/>
                <w:iCs/>
                <w:sz w:val="22"/>
                <w:szCs w:val="22"/>
                <w:lang w:val="en-US" w:eastAsia="zh-CN"/>
              </w:rPr>
              <w:t>U</w:t>
            </w:r>
            <w:r>
              <w:rPr>
                <w:rFonts w:hint="eastAsia" w:cs="Times New Roman" w:eastAsiaTheme="minorEastAsia"/>
                <w:i/>
                <w:iCs/>
                <w:sz w:val="22"/>
                <w:szCs w:val="22"/>
                <w:vertAlign w:val="subscript"/>
                <w:lang w:val="en-US" w:eastAsia="zh-CN"/>
              </w:rPr>
              <w:t>medium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=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sz w:val="22"/>
                  <w:szCs w:val="22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radPr>
                <m:deg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deg>
                <m:e>
                  <m:sSub>
                    <m:sSubPr>
                      <m:ctrlPr>
                        <w:rPr>
                          <w:rFonts w:hint="default" w:ascii="Cambria Math" w:hAnsi="Cambria Math" w:cs="Times New Roman"/>
                          <w:i w:val="0"/>
                          <w:sz w:val="22"/>
                          <w:szCs w:val="22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hint="default" w:ascii="Cambria Math" w:hAnsi="Cambria Math" w:cs="Times New Roman"/>
                              <w:i w:val="0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hint="default" w:cs="Times New Roman"/>
                              <w:sz w:val="22"/>
                              <w:szCs w:val="22"/>
                              <w:lang w:val="en-US" w:eastAsia="zh-CN"/>
                            </w:rPr>
                            <m:t>u</m:t>
                          </m:r>
                          <m:ctrlPr>
                            <w:rPr>
                              <w:rFonts w:hint="default" w:ascii="Cambria Math" w:hAnsi="Cambria Math" w:cs="Times New Roman"/>
                              <w:i w:val="0"/>
                              <w:sz w:val="22"/>
                              <w:szCs w:val="22"/>
                            </w:rPr>
                          </m:ctrlP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hint="default" w:ascii="Cambria Math" w:hAnsi="Cambria Math" w:cs="Times New Roman"/>
                              <w:sz w:val="22"/>
                              <w:szCs w:val="22"/>
                              <w:lang w:val="en-US" w:eastAsia="zh-CN"/>
                            </w:rPr>
                            <m:t>medium velocity</m:t>
                          </m:r>
                          <m:ctrlPr>
                            <w:rPr>
                              <w:rFonts w:hint="default" w:ascii="Cambria Math" w:hAnsi="Cambria Math" w:cs="Times New Roman"/>
                              <w:sz w:val="22"/>
                              <w:szCs w:val="22"/>
                            </w:rPr>
                          </m:ctrlP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  <m:t>+</m:t>
                      </m:r>
                      <m:r>
                        <m:rPr/>
                        <w:rPr>
                          <w:rFonts w:hint="default" w:cs="Times New Roman"/>
                          <w:sz w:val="22"/>
                          <w:szCs w:val="22"/>
                          <w:lang w:val="en-US" w:eastAsia="zh-CN"/>
                        </w:rPr>
                        <m:t>u</m:t>
                      </m:r>
                      <m:ctrlPr>
                        <w:rPr>
                          <w:rFonts w:hint="default" w:ascii="Cambria Math" w:hAnsi="Cambria Math" w:cs="Times New Roman"/>
                          <w:i w:val="0"/>
                          <w:sz w:val="22"/>
                          <w:szCs w:val="22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hint="default" w:ascii="Cambria Math" w:hAnsi="Cambria Math" w:cs="Times New Roman"/>
                          <w:sz w:val="22"/>
                          <w:szCs w:val="22"/>
                          <w:lang w:val="en-US" w:eastAsia="zh-CN"/>
                        </w:rPr>
                        <m:t>medium CO2</m:t>
                      </m:r>
                      <m:ctrlPr>
                        <w:rPr>
                          <w:rFonts w:hint="default" w:ascii="Cambria Math" w:hAnsi="Cambria Math" w:cs="Times New Roman"/>
                          <w:sz w:val="22"/>
                          <w:szCs w:val="22"/>
                        </w:rPr>
                      </m:ctrlPr>
                    </m:sub>
                  </m:sSub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e>
              </m:rad>
            </m:oMath>
          </w:p>
        </w:tc>
        <w:tc>
          <w:tcPr>
            <w:tcW w:w="595" w:type="dxa"/>
            <w:vAlign w:val="center"/>
          </w:tcPr>
          <w:p w14:paraId="6338AE1F">
            <w:pPr>
              <w:spacing w:line="360" w:lineRule="auto"/>
              <w:jc w:val="right"/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  <w:t>S</w:t>
            </w:r>
            <w:r>
              <w:rPr>
                <w:rFonts w:hint="eastAsia" w:cs="Times New Roman" w:eastAsiaTheme="minorEastAsia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)</w:t>
            </w:r>
          </w:p>
        </w:tc>
      </w:tr>
      <w:tr w14:paraId="1CC72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27" w:type="dxa"/>
            <w:vAlign w:val="center"/>
          </w:tcPr>
          <w:p w14:paraId="377ECD2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/>
                <w:iCs/>
                <w:sz w:val="22"/>
                <w:szCs w:val="22"/>
                <w:lang w:val="en-US" w:eastAsia="zh-CN"/>
              </w:rPr>
              <w:t>U</w:t>
            </w:r>
            <w:r>
              <w:rPr>
                <w:rFonts w:hint="eastAsia" w:cs="Times New Roman" w:eastAsiaTheme="minorEastAsia"/>
                <w:i/>
                <w:iCs/>
                <w:sz w:val="22"/>
                <w:szCs w:val="22"/>
                <w:vertAlign w:val="subscript"/>
                <w:lang w:val="en-US" w:eastAsia="zh-CN"/>
              </w:rPr>
              <w:t>low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=</w:t>
            </w:r>
            <m:oMath>
              <m:r>
                <m:rPr>
                  <m:nor/>
                  <m:sty m:val="p"/>
                </m:rPr>
                <w:rPr>
                  <w:rFonts w:hint="default" w:ascii="Times New Roman" w:hAnsi="Times New Roman" w:cs="Times New Roman"/>
                  <w:b w:val="0"/>
                  <w:i w:val="0"/>
                  <w:sz w:val="22"/>
                  <w:szCs w:val="22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radPr>
                <m:deg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deg>
                <m:e>
                  <m:sSub>
                    <m:sSubPr>
                      <m:ctrlPr>
                        <w:rPr>
                          <w:rFonts w:hint="default" w:ascii="Cambria Math" w:hAnsi="Cambria Math" w:cs="Times New Roman"/>
                          <w:i w:val="0"/>
                          <w:sz w:val="22"/>
                          <w:szCs w:val="22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hint="default" w:ascii="Cambria Math" w:hAnsi="Cambria Math" w:cs="Times New Roman"/>
                              <w:i w:val="0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hint="default" w:cs="Times New Roman"/>
                              <w:sz w:val="22"/>
                              <w:szCs w:val="22"/>
                              <w:lang w:val="en-US" w:eastAsia="zh-CN"/>
                            </w:rPr>
                            <m:t>u</m:t>
                          </m:r>
                          <m:ctrlPr>
                            <w:rPr>
                              <w:rFonts w:hint="default" w:ascii="Cambria Math" w:hAnsi="Cambria Math" w:cs="Times New Roman"/>
                              <w:i w:val="0"/>
                              <w:sz w:val="22"/>
                              <w:szCs w:val="22"/>
                            </w:rPr>
                          </m:ctrlP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hint="default" w:ascii="Cambria Math" w:hAnsi="Cambria Math" w:cs="Times New Roman"/>
                              <w:sz w:val="22"/>
                              <w:szCs w:val="22"/>
                              <w:lang w:val="en-US" w:eastAsia="zh-CN"/>
                            </w:rPr>
                            <m:t>low velocity</m:t>
                          </m:r>
                          <m:ctrlPr>
                            <w:rPr>
                              <w:rFonts w:hint="default" w:ascii="Cambria Math" w:hAnsi="Cambria Math" w:cs="Times New Roman"/>
                              <w:sz w:val="22"/>
                              <w:szCs w:val="22"/>
                            </w:rPr>
                          </m:ctrlP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  <m:t>+</m:t>
                      </m:r>
                      <m:r>
                        <m:rPr/>
                        <w:rPr>
                          <w:rFonts w:hint="default" w:cs="Times New Roman"/>
                          <w:sz w:val="22"/>
                          <w:szCs w:val="22"/>
                          <w:lang w:val="en-US" w:eastAsia="zh-CN"/>
                        </w:rPr>
                        <m:t>u</m:t>
                      </m:r>
                      <m:ctrlPr>
                        <w:rPr>
                          <w:rFonts w:hint="default" w:ascii="Cambria Math" w:hAnsi="Cambria Math" w:cs="Times New Roman"/>
                          <w:i w:val="0"/>
                          <w:sz w:val="22"/>
                          <w:szCs w:val="22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hint="default" w:ascii="Cambria Math" w:hAnsi="Cambria Math" w:cs="Times New Roman"/>
                          <w:sz w:val="22"/>
                          <w:szCs w:val="22"/>
                          <w:lang w:val="en-US" w:eastAsia="zh-CN"/>
                        </w:rPr>
                        <m:t>low CO2</m:t>
                      </m:r>
                      <m:ctrlPr>
                        <w:rPr>
                          <w:rFonts w:hint="default" w:ascii="Cambria Math" w:hAnsi="Cambria Math" w:cs="Times New Roman"/>
                          <w:sz w:val="22"/>
                          <w:szCs w:val="22"/>
                        </w:rPr>
                      </m:ctrlPr>
                    </m:sub>
                  </m:sSub>
                  <m:ctrlPr>
                    <w:rPr>
                      <w:rFonts w:hint="default" w:ascii="Cambria Math" w:hAnsi="Cambria Math" w:cs="Times New Roman"/>
                      <w:i/>
                      <w:sz w:val="22"/>
                      <w:szCs w:val="22"/>
                    </w:rPr>
                  </m:ctrlPr>
                </m:e>
              </m:rad>
            </m:oMath>
          </w:p>
        </w:tc>
        <w:tc>
          <w:tcPr>
            <w:tcW w:w="595" w:type="dxa"/>
            <w:vAlign w:val="center"/>
          </w:tcPr>
          <w:p w14:paraId="4FB07C7C">
            <w:pPr>
              <w:spacing w:line="360" w:lineRule="auto"/>
              <w:jc w:val="right"/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  <w:t>S</w:t>
            </w:r>
            <w:r>
              <w:rPr>
                <w:rFonts w:hint="eastAsia" w:cs="Times New Roman" w:eastAsiaTheme="minorEastAsia"/>
                <w:sz w:val="22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 w:eastAsiaTheme="minorEastAsia"/>
                <w:sz w:val="22"/>
                <w:szCs w:val="22"/>
              </w:rPr>
              <w:t>)</w:t>
            </w:r>
          </w:p>
        </w:tc>
      </w:tr>
    </w:tbl>
    <w:p w14:paraId="5BA3E42D">
      <w:pPr>
        <w:rPr>
          <w:sz w:val="22"/>
          <w:szCs w:val="22"/>
        </w:rPr>
      </w:pPr>
    </w:p>
    <w:p w14:paraId="2C0638B5">
      <w:pPr>
        <w:rPr>
          <w:rFonts w:hint="default"/>
          <w:b/>
          <w:bCs/>
          <w:sz w:val="22"/>
          <w:szCs w:val="22"/>
          <w:lang w:val="en-US"/>
        </w:rPr>
      </w:pP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Table S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3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Combined relative standard uncertainty of CO</w:t>
      </w:r>
      <w:r>
        <w:rPr>
          <w:rFonts w:hint="eastAsia"/>
          <w:b/>
          <w:bCs/>
          <w:sz w:val="22"/>
          <w:szCs w:val="22"/>
          <w:vertAlign w:val="subscript"/>
          <w:lang w:val="en-US" w:eastAsia="zh-CN"/>
        </w:rPr>
        <w:t xml:space="preserve">2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emission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derived from the measurement</w:t>
      </w:r>
      <w:r>
        <w:rPr>
          <w:rFonts w:hint="eastAsia"/>
          <w:b/>
          <w:bCs/>
          <w:sz w:val="22"/>
          <w:szCs w:val="22"/>
          <w:lang w:val="en-US" w:eastAsia="zh-CN"/>
        </w:rPr>
        <w:t>-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 xml:space="preserve">based method (comparison tests in March 2025) under different </w:t>
      </w:r>
      <w:r>
        <w:rPr>
          <w:rFonts w:hint="eastAsia"/>
          <w:b/>
          <w:bCs/>
          <w:sz w:val="22"/>
          <w:szCs w:val="22"/>
          <w:lang w:val="en-US" w:eastAsia="zh-CN"/>
        </w:rPr>
        <w:t>o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perating conditions</w:t>
      </w:r>
    </w:p>
    <w:tbl>
      <w:tblPr>
        <w:tblStyle w:val="5"/>
        <w:tblW w:w="8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51"/>
        <w:gridCol w:w="1236"/>
        <w:gridCol w:w="1284"/>
        <w:gridCol w:w="1916"/>
      </w:tblGrid>
      <w:tr w14:paraId="1366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3851" w:type="dxa"/>
            <w:vMerge w:val="restar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F479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Operating conditions</w:t>
            </w:r>
          </w:p>
        </w:tc>
        <w:tc>
          <w:tcPr>
            <w:tcW w:w="2520" w:type="dxa"/>
            <w:gridSpan w:val="2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BC6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Uncertainty component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(%)</w:t>
            </w:r>
          </w:p>
        </w:tc>
        <w:tc>
          <w:tcPr>
            <w:tcW w:w="1916" w:type="dxa"/>
            <w:vMerge w:val="restar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704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Combined relative standard uncertainty (%%, </w:t>
            </w: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=2)</w:t>
            </w:r>
          </w:p>
        </w:tc>
      </w:tr>
      <w:tr w14:paraId="45FCA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3851" w:type="dxa"/>
            <w:vMerge w:val="continue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BF8E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CB0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DE6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</w:p>
        </w:tc>
        <w:tc>
          <w:tcPr>
            <w:tcW w:w="1916" w:type="dxa"/>
            <w:vMerge w:val="continue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366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</w:p>
        </w:tc>
      </w:tr>
      <w:tr w14:paraId="5B978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851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5FFE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High load (≥70% load)</w:t>
            </w:r>
          </w:p>
        </w:tc>
        <w:tc>
          <w:tcPr>
            <w:tcW w:w="12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FAF3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5.60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23BC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1.41</w:t>
            </w:r>
          </w:p>
        </w:tc>
        <w:tc>
          <w:tcPr>
            <w:tcW w:w="191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F42A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11.55</w:t>
            </w:r>
          </w:p>
        </w:tc>
      </w:tr>
      <w:tr w14:paraId="6A263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851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8ADF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Medium load (≥40%load, ≤70% load)</w:t>
            </w:r>
          </w:p>
        </w:tc>
        <w:tc>
          <w:tcPr>
            <w:tcW w:w="12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3875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5.78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CE30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1.57</w:t>
            </w:r>
          </w:p>
        </w:tc>
        <w:tc>
          <w:tcPr>
            <w:tcW w:w="191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E62D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11.98</w:t>
            </w:r>
          </w:p>
        </w:tc>
      </w:tr>
      <w:tr w14:paraId="5B69D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851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5A14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Low load (＜40% load)</w:t>
            </w:r>
          </w:p>
        </w:tc>
        <w:tc>
          <w:tcPr>
            <w:tcW w:w="12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07E0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7.61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179C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3.12</w:t>
            </w:r>
          </w:p>
        </w:tc>
        <w:tc>
          <w:tcPr>
            <w:tcW w:w="191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F984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16.45</w:t>
            </w:r>
          </w:p>
        </w:tc>
      </w:tr>
    </w:tbl>
    <w:p w14:paraId="6B6DE434">
      <w:pPr>
        <w:rPr>
          <w:sz w:val="22"/>
          <w:szCs w:val="22"/>
        </w:rPr>
      </w:pPr>
    </w:p>
    <w:p w14:paraId="4354C205">
      <w:pPr>
        <w:rPr>
          <w:rFonts w:hint="eastAsia" w:eastAsia="宋体"/>
          <w:sz w:val="22"/>
          <w:szCs w:val="22"/>
          <w:lang w:val="en-US" w:eastAsia="zh-CN"/>
        </w:rPr>
      </w:pPr>
      <w:r>
        <w:rPr>
          <w:rFonts w:hint="eastAsia" w:eastAsia="宋体"/>
          <w:sz w:val="22"/>
          <w:szCs w:val="22"/>
          <w:lang w:val="en-US" w:eastAsia="zh-CN"/>
        </w:rPr>
        <w:t xml:space="preserve">Using the results in Table </w:t>
      </w:r>
      <w:r>
        <w:rPr>
          <w:rFonts w:hint="eastAsia"/>
          <w:sz w:val="22"/>
          <w:szCs w:val="22"/>
          <w:lang w:val="en-US" w:eastAsia="zh-CN"/>
        </w:rPr>
        <w:t>S</w:t>
      </w:r>
      <w:r>
        <w:rPr>
          <w:rFonts w:hint="eastAsia" w:eastAsia="宋体"/>
          <w:sz w:val="22"/>
          <w:szCs w:val="22"/>
          <w:lang w:val="en-US" w:eastAsia="zh-CN"/>
        </w:rPr>
        <w:t>3, the overall uncertainty for the measurement</w:t>
      </w:r>
      <w:r>
        <w:rPr>
          <w:rFonts w:hint="eastAsia"/>
          <w:sz w:val="22"/>
          <w:szCs w:val="22"/>
          <w:lang w:val="en-US" w:eastAsia="zh-CN"/>
        </w:rPr>
        <w:t>-</w:t>
      </w:r>
      <w:r>
        <w:rPr>
          <w:rFonts w:hint="eastAsia" w:eastAsia="宋体"/>
          <w:sz w:val="22"/>
          <w:szCs w:val="22"/>
          <w:lang w:val="en-US" w:eastAsia="zh-CN"/>
        </w:rPr>
        <w:t>based method over January</w:t>
      </w:r>
      <w:r>
        <w:rPr>
          <w:rFonts w:hint="eastAsia"/>
          <w:sz w:val="22"/>
          <w:szCs w:val="22"/>
          <w:lang w:val="en-US" w:eastAsia="zh-CN"/>
        </w:rPr>
        <w:t xml:space="preserve"> to </w:t>
      </w:r>
      <w:r>
        <w:rPr>
          <w:rFonts w:hint="eastAsia" w:eastAsia="宋体"/>
          <w:sz w:val="22"/>
          <w:szCs w:val="22"/>
          <w:lang w:val="en-US" w:eastAsia="zh-CN"/>
        </w:rPr>
        <w:t>June was obtained as a weighted average of the load</w:t>
      </w:r>
      <w:r>
        <w:rPr>
          <w:rFonts w:hint="eastAsia"/>
          <w:sz w:val="22"/>
          <w:szCs w:val="22"/>
          <w:lang w:val="en-US" w:eastAsia="zh-CN"/>
        </w:rPr>
        <w:t>-</w:t>
      </w:r>
      <w:r>
        <w:rPr>
          <w:rFonts w:hint="eastAsia" w:eastAsia="宋体"/>
          <w:sz w:val="22"/>
          <w:szCs w:val="22"/>
          <w:lang w:val="en-US" w:eastAsia="zh-CN"/>
        </w:rPr>
        <w:t>specific uncertainties, with weights equal to the hourly fractions of high, medium, and low load operation.</w:t>
      </w:r>
    </w:p>
    <w:p w14:paraId="6E9326A1">
      <w:pPr>
        <w:rPr>
          <w:rFonts w:hint="eastAsia" w:eastAsia="宋体"/>
          <w:sz w:val="22"/>
          <w:szCs w:val="22"/>
          <w:lang w:val="en-US" w:eastAsia="zh-CN"/>
        </w:rPr>
      </w:pPr>
    </w:p>
    <w:p w14:paraId="17CF8EC8">
      <w:pPr>
        <w:rPr>
          <w:rFonts w:hint="eastAsia" w:eastAsia="宋体"/>
          <w:sz w:val="22"/>
          <w:szCs w:val="22"/>
          <w:lang w:val="en-US" w:eastAsia="zh-CN"/>
        </w:rPr>
      </w:pPr>
    </w:p>
    <w:p w14:paraId="087F6C3A">
      <w:pPr>
        <w:rPr>
          <w:rFonts w:hint="default"/>
          <w:b/>
          <w:bCs/>
          <w:sz w:val="22"/>
          <w:szCs w:val="22"/>
          <w:lang w:val="en-US"/>
        </w:rPr>
      </w:pP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Table S</w:t>
      </w:r>
      <w:r>
        <w:rPr>
          <w:rFonts w:hint="eastAsia"/>
          <w:b/>
          <w:bCs/>
          <w:sz w:val="22"/>
          <w:szCs w:val="22"/>
          <w:lang w:val="en-US" w:eastAsia="zh-CN"/>
        </w:rPr>
        <w:t>4 Evaluation of relative standard uncertainty via the measurement-based method through comparison tests in September 2025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832"/>
        <w:gridCol w:w="832"/>
        <w:gridCol w:w="1062"/>
        <w:gridCol w:w="767"/>
        <w:gridCol w:w="1219"/>
        <w:gridCol w:w="1108"/>
        <w:gridCol w:w="1406"/>
      </w:tblGrid>
      <w:tr w14:paraId="48560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60" w:type="pct"/>
            <w:vMerge w:val="restart"/>
            <w:vAlign w:val="center"/>
          </w:tcPr>
          <w:p w14:paraId="23BED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Parameter</w:t>
            </w:r>
          </w:p>
        </w:tc>
        <w:tc>
          <w:tcPr>
            <w:tcW w:w="488" w:type="pct"/>
            <w:vMerge w:val="restart"/>
            <w:vAlign w:val="center"/>
          </w:tcPr>
          <w:p w14:paraId="52DBA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CEMS average value</w:t>
            </w:r>
          </w:p>
        </w:tc>
        <w:tc>
          <w:tcPr>
            <w:tcW w:w="488" w:type="pct"/>
            <w:vMerge w:val="restart"/>
            <w:vAlign w:val="center"/>
          </w:tcPr>
          <w:p w14:paraId="0CF5B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Offset</w:t>
            </w:r>
          </w:p>
        </w:tc>
        <w:tc>
          <w:tcPr>
            <w:tcW w:w="1788" w:type="pct"/>
            <w:gridSpan w:val="3"/>
            <w:vAlign w:val="center"/>
          </w:tcPr>
          <w:p w14:paraId="17986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Systematic Uncertainty</w:t>
            </w:r>
          </w:p>
        </w:tc>
        <w:tc>
          <w:tcPr>
            <w:tcW w:w="650" w:type="pct"/>
            <w:vMerge w:val="restart"/>
            <w:vAlign w:val="center"/>
          </w:tcPr>
          <w:p w14:paraId="6CF07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Combined standard uncertainty (%)</w:t>
            </w:r>
          </w:p>
        </w:tc>
        <w:tc>
          <w:tcPr>
            <w:tcW w:w="824" w:type="pct"/>
            <w:vMerge w:val="restart"/>
            <w:vAlign w:val="center"/>
          </w:tcPr>
          <w:p w14:paraId="5A109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Combined relative standard uncertainty</w:t>
            </w:r>
          </w:p>
          <w:p w14:paraId="684A0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(%)</w:t>
            </w:r>
          </w:p>
        </w:tc>
      </w:tr>
      <w:tr w14:paraId="356C0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Merge w:val="continue"/>
            <w:vAlign w:val="center"/>
          </w:tcPr>
          <w:p w14:paraId="2F695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vMerge w:val="continue"/>
            <w:vAlign w:val="center"/>
          </w:tcPr>
          <w:p w14:paraId="0EEB7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88" w:type="pct"/>
            <w:vMerge w:val="continue"/>
            <w:vAlign w:val="center"/>
          </w:tcPr>
          <w:p w14:paraId="34B2D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23" w:type="pct"/>
            <w:vAlign w:val="center"/>
          </w:tcPr>
          <w:p w14:paraId="01AAE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Comparison tests</w:t>
            </w:r>
          </w:p>
        </w:tc>
        <w:tc>
          <w:tcPr>
            <w:tcW w:w="450" w:type="pct"/>
            <w:vAlign w:val="center"/>
          </w:tcPr>
          <w:p w14:paraId="79772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Spatial</w:t>
            </w:r>
          </w:p>
        </w:tc>
        <w:tc>
          <w:tcPr>
            <w:tcW w:w="715" w:type="pct"/>
            <w:vAlign w:val="center"/>
          </w:tcPr>
          <w:p w14:paraId="378F4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Instrumental</w:t>
            </w:r>
          </w:p>
        </w:tc>
        <w:tc>
          <w:tcPr>
            <w:tcW w:w="650" w:type="pct"/>
            <w:vMerge w:val="continue"/>
          </w:tcPr>
          <w:p w14:paraId="4E95E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824" w:type="pct"/>
            <w:vMerge w:val="continue"/>
          </w:tcPr>
          <w:p w14:paraId="29E50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</w:tr>
      <w:tr w14:paraId="45526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1828F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  <w:p w14:paraId="3D9D9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(100% load, m/s)</w:t>
            </w:r>
          </w:p>
        </w:tc>
        <w:tc>
          <w:tcPr>
            <w:tcW w:w="488" w:type="pct"/>
            <w:vAlign w:val="center"/>
          </w:tcPr>
          <w:p w14:paraId="1414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20.47</w:t>
            </w:r>
          </w:p>
        </w:tc>
        <w:tc>
          <w:tcPr>
            <w:tcW w:w="488" w:type="pct"/>
            <w:vAlign w:val="center"/>
          </w:tcPr>
          <w:p w14:paraId="46AE4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1.54</w:t>
            </w:r>
          </w:p>
        </w:tc>
        <w:tc>
          <w:tcPr>
            <w:tcW w:w="623" w:type="pct"/>
            <w:vAlign w:val="center"/>
          </w:tcPr>
          <w:p w14:paraId="518F7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0.15</w:t>
            </w:r>
          </w:p>
        </w:tc>
        <w:tc>
          <w:tcPr>
            <w:tcW w:w="450" w:type="pct"/>
            <w:vAlign w:val="center"/>
          </w:tcPr>
          <w:p w14:paraId="70302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0.13</w:t>
            </w:r>
          </w:p>
        </w:tc>
        <w:tc>
          <w:tcPr>
            <w:tcW w:w="715" w:type="pct"/>
            <w:vAlign w:val="center"/>
          </w:tcPr>
          <w:p w14:paraId="3A48D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1.14</w:t>
            </w:r>
          </w:p>
        </w:tc>
        <w:tc>
          <w:tcPr>
            <w:tcW w:w="650" w:type="pct"/>
            <w:vAlign w:val="center"/>
          </w:tcPr>
          <w:p w14:paraId="75308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1.15</w:t>
            </w:r>
          </w:p>
        </w:tc>
        <w:tc>
          <w:tcPr>
            <w:tcW w:w="824" w:type="pct"/>
            <w:vAlign w:val="center"/>
          </w:tcPr>
          <w:p w14:paraId="22764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5.63</w:t>
            </w:r>
          </w:p>
        </w:tc>
      </w:tr>
      <w:tr w14:paraId="356C2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48622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  <w:p w14:paraId="1CC20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(51%</w:t>
            </w:r>
            <w:r>
              <w:rPr>
                <w:sz w:val="22"/>
                <w:szCs w:val="22"/>
                <w:lang w:eastAsia="zh-CN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53% load, m/s)</w:t>
            </w:r>
          </w:p>
        </w:tc>
        <w:tc>
          <w:tcPr>
            <w:tcW w:w="488" w:type="pct"/>
            <w:vAlign w:val="center"/>
          </w:tcPr>
          <w:p w14:paraId="2E6B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12.45 </w:t>
            </w:r>
          </w:p>
        </w:tc>
        <w:tc>
          <w:tcPr>
            <w:tcW w:w="488" w:type="pct"/>
            <w:vAlign w:val="center"/>
          </w:tcPr>
          <w:p w14:paraId="35F2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0.43 </w:t>
            </w:r>
          </w:p>
        </w:tc>
        <w:tc>
          <w:tcPr>
            <w:tcW w:w="623" w:type="pct"/>
            <w:vAlign w:val="center"/>
          </w:tcPr>
          <w:p w14:paraId="1B16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450" w:type="pct"/>
            <w:vAlign w:val="center"/>
          </w:tcPr>
          <w:p w14:paraId="146E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715" w:type="pct"/>
            <w:vAlign w:val="center"/>
          </w:tcPr>
          <w:p w14:paraId="02B3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650" w:type="pct"/>
            <w:vAlign w:val="center"/>
          </w:tcPr>
          <w:p w14:paraId="6B564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824" w:type="pct"/>
            <w:vAlign w:val="center"/>
          </w:tcPr>
          <w:p w14:paraId="2BA3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6.30 </w:t>
            </w:r>
          </w:p>
        </w:tc>
      </w:tr>
      <w:tr w14:paraId="4F309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65CCF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concentration</w:t>
            </w:r>
          </w:p>
          <w:p w14:paraId="36961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(99% load, %)</w:t>
            </w:r>
          </w:p>
        </w:tc>
        <w:tc>
          <w:tcPr>
            <w:tcW w:w="488" w:type="pct"/>
            <w:vAlign w:val="center"/>
          </w:tcPr>
          <w:p w14:paraId="09AB4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15.96 </w:t>
            </w:r>
          </w:p>
        </w:tc>
        <w:tc>
          <w:tcPr>
            <w:tcW w:w="488" w:type="pct"/>
            <w:vAlign w:val="center"/>
          </w:tcPr>
          <w:p w14:paraId="6C7E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623" w:type="pct"/>
            <w:vAlign w:val="center"/>
          </w:tcPr>
          <w:p w14:paraId="080AF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450" w:type="pct"/>
            <w:vAlign w:val="center"/>
          </w:tcPr>
          <w:p w14:paraId="10C68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0.13 </w:t>
            </w:r>
          </w:p>
        </w:tc>
        <w:tc>
          <w:tcPr>
            <w:tcW w:w="715" w:type="pct"/>
            <w:vAlign w:val="center"/>
          </w:tcPr>
          <w:p w14:paraId="2752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0.09 </w:t>
            </w:r>
          </w:p>
        </w:tc>
        <w:tc>
          <w:tcPr>
            <w:tcW w:w="650" w:type="pct"/>
            <w:vAlign w:val="center"/>
          </w:tcPr>
          <w:p w14:paraId="2CB6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824" w:type="pct"/>
            <w:vAlign w:val="center"/>
          </w:tcPr>
          <w:p w14:paraId="27533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1.89 </w:t>
            </w:r>
          </w:p>
        </w:tc>
      </w:tr>
      <w:tr w14:paraId="17A99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72ED2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concentration</w:t>
            </w:r>
          </w:p>
          <w:p w14:paraId="3395D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(52%</w:t>
            </w:r>
            <w:r>
              <w:rPr>
                <w:sz w:val="22"/>
                <w:szCs w:val="22"/>
                <w:lang w:eastAsia="zh-CN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54% load, %)</w:t>
            </w:r>
          </w:p>
        </w:tc>
        <w:tc>
          <w:tcPr>
            <w:tcW w:w="488" w:type="pct"/>
            <w:vAlign w:val="center"/>
          </w:tcPr>
          <w:p w14:paraId="2F30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14.21 </w:t>
            </w:r>
          </w:p>
        </w:tc>
        <w:tc>
          <w:tcPr>
            <w:tcW w:w="488" w:type="pct"/>
            <w:vAlign w:val="center"/>
          </w:tcPr>
          <w:p w14:paraId="319F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623" w:type="pct"/>
            <w:vAlign w:val="center"/>
          </w:tcPr>
          <w:p w14:paraId="6EC1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0.18 </w:t>
            </w:r>
          </w:p>
        </w:tc>
        <w:tc>
          <w:tcPr>
            <w:tcW w:w="450" w:type="pct"/>
            <w:vAlign w:val="center"/>
          </w:tcPr>
          <w:p w14:paraId="187B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0.27 </w:t>
            </w:r>
          </w:p>
        </w:tc>
        <w:tc>
          <w:tcPr>
            <w:tcW w:w="715" w:type="pct"/>
            <w:vAlign w:val="center"/>
          </w:tcPr>
          <w:p w14:paraId="7CBC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 </w:t>
            </w:r>
          </w:p>
        </w:tc>
        <w:tc>
          <w:tcPr>
            <w:tcW w:w="650" w:type="pct"/>
            <w:vAlign w:val="center"/>
          </w:tcPr>
          <w:p w14:paraId="3496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824" w:type="pct"/>
            <w:vAlign w:val="center"/>
          </w:tcPr>
          <w:p w14:paraId="5B64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2.38 </w:t>
            </w:r>
          </w:p>
        </w:tc>
      </w:tr>
    </w:tbl>
    <w:p w14:paraId="2D92FF9C">
      <w:pPr>
        <w:rPr>
          <w:rFonts w:hint="eastAsia" w:eastAsia="宋体"/>
          <w:sz w:val="22"/>
          <w:szCs w:val="22"/>
          <w:lang w:val="en-US" w:eastAsia="zh-CN"/>
        </w:rPr>
      </w:pPr>
    </w:p>
    <w:p w14:paraId="4A6D24C7">
      <w:pPr>
        <w:rPr>
          <w:rFonts w:hint="default"/>
          <w:b/>
          <w:bCs/>
          <w:sz w:val="22"/>
          <w:szCs w:val="22"/>
          <w:lang w:val="en-US"/>
        </w:rPr>
      </w:pP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Table S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5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Combined relative standard uncertainty of CO</w:t>
      </w:r>
      <w:r>
        <w:rPr>
          <w:rFonts w:hint="eastAsia"/>
          <w:b/>
          <w:bCs/>
          <w:sz w:val="22"/>
          <w:szCs w:val="22"/>
          <w:vertAlign w:val="subscript"/>
          <w:lang w:val="en-US" w:eastAsia="zh-CN"/>
        </w:rPr>
        <w:t xml:space="preserve">2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emission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 xml:space="preserve">derived from the measurement-based method (comparison tests in 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September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 xml:space="preserve">2025) under different </w:t>
      </w:r>
      <w:r>
        <w:rPr>
          <w:rFonts w:hint="eastAsia"/>
          <w:b/>
          <w:bCs/>
          <w:sz w:val="22"/>
          <w:szCs w:val="22"/>
          <w:lang w:val="en-US" w:eastAsia="zh-CN"/>
        </w:rPr>
        <w:t>o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perating conditions</w:t>
      </w:r>
    </w:p>
    <w:tbl>
      <w:tblPr>
        <w:tblStyle w:val="5"/>
        <w:tblW w:w="8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51"/>
        <w:gridCol w:w="1236"/>
        <w:gridCol w:w="1284"/>
        <w:gridCol w:w="1916"/>
      </w:tblGrid>
      <w:tr w14:paraId="1354B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3851" w:type="dxa"/>
            <w:vMerge w:val="restar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130D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Operating conditions</w:t>
            </w:r>
          </w:p>
        </w:tc>
        <w:tc>
          <w:tcPr>
            <w:tcW w:w="2520" w:type="dxa"/>
            <w:gridSpan w:val="2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922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Uncertainty component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(%)</w:t>
            </w:r>
          </w:p>
        </w:tc>
        <w:tc>
          <w:tcPr>
            <w:tcW w:w="1916" w:type="dxa"/>
            <w:vMerge w:val="restar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E98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Combined relative standard uncertainty (%, </w:t>
            </w: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=2)</w:t>
            </w:r>
          </w:p>
        </w:tc>
      </w:tr>
      <w:tr w14:paraId="4CA28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3851" w:type="dxa"/>
            <w:vMerge w:val="continue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D605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D6C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85A5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</w:p>
        </w:tc>
        <w:tc>
          <w:tcPr>
            <w:tcW w:w="1916" w:type="dxa"/>
            <w:vMerge w:val="continue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0CE7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</w:p>
        </w:tc>
      </w:tr>
      <w:tr w14:paraId="04C6C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851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ACE0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High load (≥70% load)</w:t>
            </w:r>
          </w:p>
        </w:tc>
        <w:tc>
          <w:tcPr>
            <w:tcW w:w="12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0978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5.63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AA88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1.89</w:t>
            </w:r>
          </w:p>
        </w:tc>
        <w:tc>
          <w:tcPr>
            <w:tcW w:w="191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78B2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11.88</w:t>
            </w:r>
          </w:p>
        </w:tc>
      </w:tr>
      <w:tr w14:paraId="47D36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851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5B9A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Medium and low load ( ≤70% load)</w:t>
            </w:r>
          </w:p>
        </w:tc>
        <w:tc>
          <w:tcPr>
            <w:tcW w:w="12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2D31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6.30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C0FA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2.38</w:t>
            </w:r>
          </w:p>
        </w:tc>
        <w:tc>
          <w:tcPr>
            <w:tcW w:w="191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CBFB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13.47</w:t>
            </w:r>
          </w:p>
        </w:tc>
      </w:tr>
    </w:tbl>
    <w:p w14:paraId="2B0671D8">
      <w:pPr>
        <w:rPr>
          <w:rFonts w:hint="eastAsia" w:eastAsia="宋体"/>
          <w:sz w:val="22"/>
          <w:szCs w:val="22"/>
          <w:lang w:val="en-US" w:eastAsia="zh-CN"/>
        </w:rPr>
      </w:pPr>
    </w:p>
    <w:p w14:paraId="6DFDA15A">
      <w:pPr>
        <w:rPr>
          <w:rFonts w:hint="eastAsia" w:eastAsia="宋体"/>
          <w:sz w:val="22"/>
          <w:szCs w:val="22"/>
          <w:lang w:val="en-US" w:eastAsia="zh-CN"/>
        </w:rPr>
      </w:pPr>
      <w:r>
        <w:rPr>
          <w:rFonts w:hint="eastAsia" w:eastAsia="宋体"/>
          <w:sz w:val="22"/>
          <w:szCs w:val="22"/>
          <w:lang w:val="en-US" w:eastAsia="zh-CN"/>
        </w:rPr>
        <w:t xml:space="preserve">Using the results in Table </w:t>
      </w:r>
      <w:r>
        <w:rPr>
          <w:rFonts w:hint="eastAsia"/>
          <w:sz w:val="22"/>
          <w:szCs w:val="22"/>
          <w:lang w:val="en-US" w:eastAsia="zh-CN"/>
        </w:rPr>
        <w:t>S5</w:t>
      </w:r>
      <w:r>
        <w:rPr>
          <w:rFonts w:hint="eastAsia" w:eastAsia="宋体"/>
          <w:sz w:val="22"/>
          <w:szCs w:val="22"/>
          <w:lang w:val="en-US" w:eastAsia="zh-CN"/>
        </w:rPr>
        <w:t>, the overall uncertainty for the measurement</w:t>
      </w:r>
      <w:r>
        <w:rPr>
          <w:rFonts w:hint="eastAsia"/>
          <w:sz w:val="22"/>
          <w:szCs w:val="22"/>
          <w:lang w:val="en-US" w:eastAsia="zh-CN"/>
        </w:rPr>
        <w:t>-</w:t>
      </w:r>
      <w:r>
        <w:rPr>
          <w:rFonts w:hint="eastAsia" w:eastAsia="宋体"/>
          <w:sz w:val="22"/>
          <w:szCs w:val="22"/>
          <w:lang w:val="en-US" w:eastAsia="zh-CN"/>
        </w:rPr>
        <w:t xml:space="preserve">based method over </w:t>
      </w:r>
      <w:r>
        <w:rPr>
          <w:rFonts w:hint="eastAsia"/>
          <w:sz w:val="22"/>
          <w:szCs w:val="22"/>
          <w:lang w:val="en-US" w:eastAsia="zh-CN"/>
        </w:rPr>
        <w:t>July to December</w:t>
      </w:r>
      <w:r>
        <w:rPr>
          <w:rFonts w:hint="eastAsia" w:eastAsia="宋体"/>
          <w:sz w:val="22"/>
          <w:szCs w:val="22"/>
          <w:lang w:val="en-US" w:eastAsia="zh-CN"/>
        </w:rPr>
        <w:t xml:space="preserve"> was obtained as a weighted average of the load</w:t>
      </w:r>
      <w:r>
        <w:rPr>
          <w:rFonts w:hint="eastAsia"/>
          <w:sz w:val="22"/>
          <w:szCs w:val="22"/>
          <w:lang w:val="en-US" w:eastAsia="zh-CN"/>
        </w:rPr>
        <w:t>-</w:t>
      </w:r>
      <w:r>
        <w:rPr>
          <w:rFonts w:hint="eastAsia" w:eastAsia="宋体"/>
          <w:sz w:val="22"/>
          <w:szCs w:val="22"/>
          <w:lang w:val="en-US" w:eastAsia="zh-CN"/>
        </w:rPr>
        <w:t>specific uncertainties, with weights equal to the hourly fractions of high, medium, and low load operation.</w:t>
      </w:r>
    </w:p>
    <w:p w14:paraId="4076D5A4">
      <w:pPr>
        <w:rPr>
          <w:rFonts w:hint="eastAsia" w:eastAsia="宋体"/>
          <w:sz w:val="22"/>
          <w:szCs w:val="22"/>
          <w:lang w:val="en-US" w:eastAsia="zh-CN"/>
        </w:rPr>
      </w:pPr>
    </w:p>
    <w:p w14:paraId="51DA113B">
      <w:pPr>
        <w:rPr>
          <w:rFonts w:hint="eastAsia" w:eastAsia="宋体"/>
          <w:sz w:val="22"/>
          <w:szCs w:val="22"/>
          <w:lang w:val="en-US" w:eastAsia="zh-CN"/>
        </w:rPr>
      </w:pPr>
    </w:p>
    <w:p w14:paraId="1AD613EF">
      <w:pPr>
        <w:rPr>
          <w:rFonts w:hint="eastAsia" w:eastAsia="宋体"/>
          <w:sz w:val="22"/>
          <w:szCs w:val="22"/>
          <w:lang w:val="en-US" w:eastAsia="zh-CN"/>
        </w:rPr>
      </w:pPr>
    </w:p>
    <w:p w14:paraId="2A8DBB31">
      <w:pPr>
        <w:rPr>
          <w:rFonts w:hint="eastAsia" w:eastAsia="宋体"/>
          <w:sz w:val="22"/>
          <w:szCs w:val="22"/>
          <w:lang w:val="en-US" w:eastAsia="zh-CN"/>
        </w:rPr>
      </w:pPr>
    </w:p>
    <w:p w14:paraId="03CA5757">
      <w:pPr>
        <w:rPr>
          <w:rFonts w:hint="eastAsia" w:eastAsia="宋体"/>
          <w:sz w:val="22"/>
          <w:szCs w:val="22"/>
          <w:lang w:val="en-US" w:eastAsia="zh-CN"/>
        </w:rPr>
      </w:pPr>
    </w:p>
    <w:p w14:paraId="128DD69C">
      <w:pPr>
        <w:rPr>
          <w:rFonts w:hint="eastAsia" w:eastAsia="宋体"/>
          <w:sz w:val="22"/>
          <w:szCs w:val="22"/>
          <w:lang w:val="en-US" w:eastAsia="zh-CN"/>
        </w:rPr>
      </w:pPr>
    </w:p>
    <w:p w14:paraId="599005C6">
      <w:pPr>
        <w:rPr>
          <w:rFonts w:hint="eastAsia" w:eastAsia="宋体"/>
          <w:sz w:val="22"/>
          <w:szCs w:val="22"/>
          <w:lang w:val="en-US" w:eastAsia="zh-CN"/>
        </w:rPr>
      </w:pPr>
    </w:p>
    <w:p w14:paraId="1789DA30">
      <w:pPr>
        <w:rPr>
          <w:rFonts w:hint="default"/>
          <w:b/>
          <w:bCs/>
          <w:sz w:val="22"/>
          <w:szCs w:val="22"/>
          <w:lang w:val="en-US"/>
        </w:rPr>
      </w:pP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Table S</w:t>
      </w:r>
      <w:r>
        <w:rPr>
          <w:rFonts w:hint="eastAsia"/>
          <w:b/>
          <w:bCs/>
          <w:sz w:val="22"/>
          <w:szCs w:val="22"/>
          <w:lang w:val="en-US" w:eastAsia="zh-CN"/>
        </w:rPr>
        <w:t>6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 xml:space="preserve"> Combined relative standard uncertainty of CO</w:t>
      </w:r>
      <w:r>
        <w:rPr>
          <w:rFonts w:hint="eastAsia" w:ascii="Times New Roman" w:eastAsia="宋体"/>
          <w:b/>
          <w:bCs/>
          <w:sz w:val="22"/>
          <w:szCs w:val="22"/>
          <w:vertAlign w:val="subscript"/>
          <w:lang w:val="en-US" w:eastAsia="zh-CN"/>
        </w:rPr>
        <w:t xml:space="preserve">2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 xml:space="preserve">emission derived from the 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calibrated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measurement-based method (comparison tests in March 2025) under different operating conditions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832"/>
        <w:gridCol w:w="708"/>
        <w:gridCol w:w="1107"/>
        <w:gridCol w:w="846"/>
        <w:gridCol w:w="1221"/>
        <w:gridCol w:w="1108"/>
        <w:gridCol w:w="1405"/>
      </w:tblGrid>
      <w:tr w14:paraId="27363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60" w:type="pct"/>
            <w:vMerge w:val="restart"/>
            <w:vAlign w:val="center"/>
          </w:tcPr>
          <w:p w14:paraId="05395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Parameter</w:t>
            </w:r>
          </w:p>
        </w:tc>
        <w:tc>
          <w:tcPr>
            <w:tcW w:w="488" w:type="pct"/>
            <w:vMerge w:val="restart"/>
            <w:vAlign w:val="center"/>
          </w:tcPr>
          <w:p w14:paraId="46D6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CEMS average value</w:t>
            </w:r>
          </w:p>
        </w:tc>
        <w:tc>
          <w:tcPr>
            <w:tcW w:w="415" w:type="pct"/>
            <w:vMerge w:val="restart"/>
            <w:vAlign w:val="center"/>
          </w:tcPr>
          <w:p w14:paraId="75A0F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Offset</w:t>
            </w:r>
          </w:p>
        </w:tc>
        <w:tc>
          <w:tcPr>
            <w:tcW w:w="1861" w:type="pct"/>
            <w:gridSpan w:val="3"/>
            <w:vAlign w:val="center"/>
          </w:tcPr>
          <w:p w14:paraId="095D3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Systematic Uncertainty</w:t>
            </w:r>
          </w:p>
        </w:tc>
        <w:tc>
          <w:tcPr>
            <w:tcW w:w="650" w:type="pct"/>
            <w:vMerge w:val="restart"/>
            <w:vAlign w:val="center"/>
          </w:tcPr>
          <w:p w14:paraId="01A9B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Combined standard uncertainty (%)</w:t>
            </w:r>
          </w:p>
        </w:tc>
        <w:tc>
          <w:tcPr>
            <w:tcW w:w="824" w:type="pct"/>
            <w:vMerge w:val="restart"/>
            <w:vAlign w:val="center"/>
          </w:tcPr>
          <w:p w14:paraId="64C6B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Combined relative standard uncertainty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(%)</w:t>
            </w:r>
          </w:p>
        </w:tc>
      </w:tr>
      <w:tr w14:paraId="34F58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Merge w:val="continue"/>
            <w:vAlign w:val="center"/>
          </w:tcPr>
          <w:p w14:paraId="339C4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vMerge w:val="continue"/>
            <w:vAlign w:val="center"/>
          </w:tcPr>
          <w:p w14:paraId="2416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15" w:type="pct"/>
            <w:vMerge w:val="continue"/>
            <w:vAlign w:val="center"/>
          </w:tcPr>
          <w:p w14:paraId="45C3E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49" w:type="pct"/>
            <w:vAlign w:val="center"/>
          </w:tcPr>
          <w:p w14:paraId="1BAD4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Comparison tests</w:t>
            </w:r>
          </w:p>
        </w:tc>
        <w:tc>
          <w:tcPr>
            <w:tcW w:w="496" w:type="pct"/>
            <w:vAlign w:val="center"/>
          </w:tcPr>
          <w:p w14:paraId="22FCE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Spatial</w:t>
            </w:r>
          </w:p>
        </w:tc>
        <w:tc>
          <w:tcPr>
            <w:tcW w:w="714" w:type="pct"/>
            <w:vAlign w:val="center"/>
          </w:tcPr>
          <w:p w14:paraId="03725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Instrumental</w:t>
            </w:r>
          </w:p>
        </w:tc>
        <w:tc>
          <w:tcPr>
            <w:tcW w:w="650" w:type="pct"/>
            <w:vMerge w:val="continue"/>
          </w:tcPr>
          <w:p w14:paraId="2D27C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824" w:type="pct"/>
            <w:vMerge w:val="continue"/>
          </w:tcPr>
          <w:p w14:paraId="2B212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</w:tr>
      <w:tr w14:paraId="601FC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51783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  <w:p w14:paraId="3213B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(100% load, m/s)</w:t>
            </w:r>
          </w:p>
        </w:tc>
        <w:tc>
          <w:tcPr>
            <w:tcW w:w="488" w:type="pct"/>
            <w:vAlign w:val="center"/>
          </w:tcPr>
          <w:p w14:paraId="5DB7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18.53</w:t>
            </w:r>
          </w:p>
        </w:tc>
        <w:tc>
          <w:tcPr>
            <w:tcW w:w="415" w:type="pct"/>
            <w:vAlign w:val="center"/>
          </w:tcPr>
          <w:p w14:paraId="2E82E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1.59</w:t>
            </w:r>
          </w:p>
        </w:tc>
        <w:tc>
          <w:tcPr>
            <w:tcW w:w="649" w:type="pct"/>
            <w:vAlign w:val="center"/>
          </w:tcPr>
          <w:p w14:paraId="47404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0.16</w:t>
            </w:r>
          </w:p>
        </w:tc>
        <w:tc>
          <w:tcPr>
            <w:tcW w:w="496" w:type="pct"/>
            <w:vAlign w:val="center"/>
          </w:tcPr>
          <w:p w14:paraId="0C685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0.07</w:t>
            </w:r>
          </w:p>
        </w:tc>
        <w:tc>
          <w:tcPr>
            <w:tcW w:w="714" w:type="pct"/>
            <w:vAlign w:val="center"/>
          </w:tcPr>
          <w:p w14:paraId="14712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0.34</w:t>
            </w:r>
          </w:p>
        </w:tc>
        <w:tc>
          <w:tcPr>
            <w:tcW w:w="650" w:type="pct"/>
            <w:vAlign w:val="center"/>
          </w:tcPr>
          <w:p w14:paraId="14AEA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0.38</w:t>
            </w:r>
          </w:p>
        </w:tc>
        <w:tc>
          <w:tcPr>
            <w:tcW w:w="824" w:type="pct"/>
            <w:vAlign w:val="center"/>
          </w:tcPr>
          <w:p w14:paraId="08057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2.04</w:t>
            </w:r>
          </w:p>
        </w:tc>
      </w:tr>
      <w:tr w14:paraId="5C778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514B8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  <w:p w14:paraId="0A69F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(55% load, m/s)</w:t>
            </w:r>
          </w:p>
        </w:tc>
        <w:tc>
          <w:tcPr>
            <w:tcW w:w="488" w:type="pct"/>
            <w:vAlign w:val="center"/>
          </w:tcPr>
          <w:p w14:paraId="7F24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11.99</w:t>
            </w:r>
          </w:p>
        </w:tc>
        <w:tc>
          <w:tcPr>
            <w:tcW w:w="415" w:type="pct"/>
            <w:vAlign w:val="center"/>
          </w:tcPr>
          <w:p w14:paraId="6839E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0.86</w:t>
            </w:r>
          </w:p>
        </w:tc>
        <w:tc>
          <w:tcPr>
            <w:tcW w:w="649" w:type="pct"/>
            <w:vAlign w:val="center"/>
          </w:tcPr>
          <w:p w14:paraId="7336B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0.15</w:t>
            </w:r>
          </w:p>
        </w:tc>
        <w:tc>
          <w:tcPr>
            <w:tcW w:w="496" w:type="pct"/>
            <w:vAlign w:val="center"/>
          </w:tcPr>
          <w:p w14:paraId="052CE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0.06</w:t>
            </w:r>
          </w:p>
        </w:tc>
        <w:tc>
          <w:tcPr>
            <w:tcW w:w="714" w:type="pct"/>
            <w:vAlign w:val="center"/>
          </w:tcPr>
          <w:p w14:paraId="4BA12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0.22</w:t>
            </w:r>
          </w:p>
        </w:tc>
        <w:tc>
          <w:tcPr>
            <w:tcW w:w="650" w:type="pct"/>
            <w:vAlign w:val="center"/>
          </w:tcPr>
          <w:p w14:paraId="5CDDF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0.27</w:t>
            </w:r>
          </w:p>
        </w:tc>
        <w:tc>
          <w:tcPr>
            <w:tcW w:w="824" w:type="pct"/>
            <w:vAlign w:val="center"/>
          </w:tcPr>
          <w:p w14:paraId="5AE9C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2.28</w:t>
            </w:r>
          </w:p>
        </w:tc>
      </w:tr>
      <w:tr w14:paraId="41FE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52DCA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  <w:p w14:paraId="373A3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(32%</w:t>
            </w:r>
            <w:r>
              <w:rPr>
                <w:sz w:val="22"/>
                <w:szCs w:val="22"/>
                <w:lang w:eastAsia="zh-CN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37% load, m/s)</w:t>
            </w:r>
          </w:p>
        </w:tc>
        <w:tc>
          <w:tcPr>
            <w:tcW w:w="488" w:type="pct"/>
            <w:vAlign w:val="center"/>
          </w:tcPr>
          <w:p w14:paraId="1905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415" w:type="pct"/>
            <w:vAlign w:val="center"/>
          </w:tcPr>
          <w:p w14:paraId="7009E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0.23</w:t>
            </w:r>
          </w:p>
        </w:tc>
        <w:tc>
          <w:tcPr>
            <w:tcW w:w="649" w:type="pct"/>
            <w:vAlign w:val="center"/>
          </w:tcPr>
          <w:p w14:paraId="26936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0.16</w:t>
            </w:r>
          </w:p>
        </w:tc>
        <w:tc>
          <w:tcPr>
            <w:tcW w:w="496" w:type="pct"/>
            <w:vAlign w:val="center"/>
          </w:tcPr>
          <w:p w14:paraId="3DF76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0.15</w:t>
            </w:r>
          </w:p>
        </w:tc>
        <w:tc>
          <w:tcPr>
            <w:tcW w:w="714" w:type="pct"/>
            <w:vAlign w:val="center"/>
          </w:tcPr>
          <w:p w14:paraId="5A171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0.15</w:t>
            </w:r>
          </w:p>
        </w:tc>
        <w:tc>
          <w:tcPr>
            <w:tcW w:w="650" w:type="pct"/>
            <w:vAlign w:val="center"/>
          </w:tcPr>
          <w:p w14:paraId="16039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0.26</w:t>
            </w:r>
          </w:p>
        </w:tc>
        <w:tc>
          <w:tcPr>
            <w:tcW w:w="824" w:type="pct"/>
            <w:vAlign w:val="center"/>
          </w:tcPr>
          <w:p w14:paraId="6BF79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3.68</w:t>
            </w:r>
          </w:p>
        </w:tc>
      </w:tr>
      <w:tr w14:paraId="237B9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7F4E9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concentration</w:t>
            </w:r>
          </w:p>
          <w:p w14:paraId="177CF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(99% load, %)</w:t>
            </w:r>
          </w:p>
        </w:tc>
        <w:tc>
          <w:tcPr>
            <w:tcW w:w="488" w:type="pct"/>
            <w:vAlign w:val="center"/>
          </w:tcPr>
          <w:p w14:paraId="76908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16.37</w:t>
            </w:r>
          </w:p>
        </w:tc>
        <w:tc>
          <w:tcPr>
            <w:tcW w:w="415" w:type="pct"/>
            <w:vAlign w:val="center"/>
          </w:tcPr>
          <w:p w14:paraId="3454A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1.12</w:t>
            </w:r>
          </w:p>
        </w:tc>
        <w:tc>
          <w:tcPr>
            <w:tcW w:w="649" w:type="pct"/>
            <w:vAlign w:val="center"/>
          </w:tcPr>
          <w:p w14:paraId="49963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0.17</w:t>
            </w:r>
          </w:p>
        </w:tc>
        <w:tc>
          <w:tcPr>
            <w:tcW w:w="496" w:type="pct"/>
            <w:vAlign w:val="center"/>
          </w:tcPr>
          <w:p w14:paraId="64615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0.13</w:t>
            </w:r>
          </w:p>
        </w:tc>
        <w:tc>
          <w:tcPr>
            <w:tcW w:w="714" w:type="pct"/>
            <w:vAlign w:val="center"/>
          </w:tcPr>
          <w:p w14:paraId="679C4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0.18</w:t>
            </w:r>
          </w:p>
        </w:tc>
        <w:tc>
          <w:tcPr>
            <w:tcW w:w="650" w:type="pct"/>
            <w:vAlign w:val="center"/>
          </w:tcPr>
          <w:p w14:paraId="3D0DA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0.28</w:t>
            </w:r>
          </w:p>
        </w:tc>
        <w:tc>
          <w:tcPr>
            <w:tcW w:w="824" w:type="pct"/>
            <w:vAlign w:val="center"/>
          </w:tcPr>
          <w:p w14:paraId="79B09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1.69</w:t>
            </w:r>
          </w:p>
        </w:tc>
      </w:tr>
      <w:tr w14:paraId="62598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3DA9E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concentration</w:t>
            </w:r>
          </w:p>
          <w:p w14:paraId="70710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(55% load, %)</w:t>
            </w:r>
          </w:p>
        </w:tc>
        <w:tc>
          <w:tcPr>
            <w:tcW w:w="488" w:type="pct"/>
            <w:vAlign w:val="center"/>
          </w:tcPr>
          <w:p w14:paraId="5DC6A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13.78</w:t>
            </w:r>
          </w:p>
        </w:tc>
        <w:tc>
          <w:tcPr>
            <w:tcW w:w="415" w:type="pct"/>
            <w:vAlign w:val="center"/>
          </w:tcPr>
          <w:p w14:paraId="1FDB0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0.98</w:t>
            </w:r>
          </w:p>
        </w:tc>
        <w:tc>
          <w:tcPr>
            <w:tcW w:w="649" w:type="pct"/>
            <w:vAlign w:val="center"/>
          </w:tcPr>
          <w:p w14:paraId="2C729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0.17</w:t>
            </w:r>
          </w:p>
        </w:tc>
        <w:tc>
          <w:tcPr>
            <w:tcW w:w="496" w:type="pct"/>
            <w:vAlign w:val="center"/>
          </w:tcPr>
          <w:p w14:paraId="5124D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0.11</w:t>
            </w:r>
          </w:p>
        </w:tc>
        <w:tc>
          <w:tcPr>
            <w:tcW w:w="714" w:type="pct"/>
            <w:vAlign w:val="center"/>
          </w:tcPr>
          <w:p w14:paraId="4608F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0.15</w:t>
            </w:r>
          </w:p>
        </w:tc>
        <w:tc>
          <w:tcPr>
            <w:tcW w:w="650" w:type="pct"/>
            <w:vAlign w:val="center"/>
          </w:tcPr>
          <w:p w14:paraId="53D9E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0.25</w:t>
            </w:r>
          </w:p>
        </w:tc>
        <w:tc>
          <w:tcPr>
            <w:tcW w:w="824" w:type="pct"/>
            <w:vAlign w:val="center"/>
          </w:tcPr>
          <w:p w14:paraId="40690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1.82</w:t>
            </w:r>
          </w:p>
        </w:tc>
      </w:tr>
      <w:tr w14:paraId="5904A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09138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concentration</w:t>
            </w:r>
          </w:p>
          <w:p w14:paraId="38873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(32%</w:t>
            </w:r>
            <w:r>
              <w:rPr>
                <w:sz w:val="22"/>
                <w:szCs w:val="22"/>
                <w:lang w:eastAsia="zh-CN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41% load, %)</w:t>
            </w:r>
          </w:p>
        </w:tc>
        <w:tc>
          <w:tcPr>
            <w:tcW w:w="488" w:type="pct"/>
            <w:vAlign w:val="center"/>
          </w:tcPr>
          <w:p w14:paraId="02FC0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12.03</w:t>
            </w:r>
          </w:p>
        </w:tc>
        <w:tc>
          <w:tcPr>
            <w:tcW w:w="415" w:type="pct"/>
            <w:vAlign w:val="center"/>
          </w:tcPr>
          <w:p w14:paraId="66369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1.33</w:t>
            </w:r>
          </w:p>
        </w:tc>
        <w:tc>
          <w:tcPr>
            <w:tcW w:w="649" w:type="pct"/>
            <w:vAlign w:val="center"/>
          </w:tcPr>
          <w:p w14:paraId="2B92E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0.25</w:t>
            </w:r>
          </w:p>
        </w:tc>
        <w:tc>
          <w:tcPr>
            <w:tcW w:w="496" w:type="pct"/>
            <w:vAlign w:val="center"/>
          </w:tcPr>
          <w:p w14:paraId="613F8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0.27</w:t>
            </w:r>
          </w:p>
        </w:tc>
        <w:tc>
          <w:tcPr>
            <w:tcW w:w="714" w:type="pct"/>
            <w:vAlign w:val="center"/>
          </w:tcPr>
          <w:p w14:paraId="31566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0.12</w:t>
            </w:r>
          </w:p>
        </w:tc>
        <w:tc>
          <w:tcPr>
            <w:tcW w:w="650" w:type="pct"/>
            <w:vAlign w:val="center"/>
          </w:tcPr>
          <w:p w14:paraId="7B4DE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0.39</w:t>
            </w:r>
          </w:p>
        </w:tc>
        <w:tc>
          <w:tcPr>
            <w:tcW w:w="824" w:type="pct"/>
            <w:vAlign w:val="center"/>
          </w:tcPr>
          <w:p w14:paraId="4A70C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3.24</w:t>
            </w:r>
          </w:p>
        </w:tc>
      </w:tr>
    </w:tbl>
    <w:p w14:paraId="2E0B15C5">
      <w:pPr>
        <w:rPr>
          <w:rFonts w:hint="eastAsia" w:eastAsia="宋体"/>
          <w:sz w:val="22"/>
          <w:szCs w:val="22"/>
          <w:lang w:val="en-US" w:eastAsia="zh-CN"/>
        </w:rPr>
      </w:pPr>
    </w:p>
    <w:p w14:paraId="78A27919">
      <w:pPr>
        <w:rPr>
          <w:rFonts w:hint="default"/>
          <w:b/>
          <w:bCs/>
          <w:sz w:val="22"/>
          <w:szCs w:val="22"/>
          <w:lang w:val="en-US"/>
        </w:rPr>
      </w:pP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Table S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7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Combined relative standard uncertainty of CO</w:t>
      </w:r>
      <w:r>
        <w:rPr>
          <w:rFonts w:hint="eastAsia"/>
          <w:b/>
          <w:bCs/>
          <w:sz w:val="22"/>
          <w:szCs w:val="22"/>
          <w:vertAlign w:val="subscript"/>
          <w:lang w:val="en-US" w:eastAsia="zh-CN"/>
        </w:rPr>
        <w:t xml:space="preserve">2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emission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 xml:space="preserve">derived from the 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calibrated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measurement</w:t>
      </w:r>
      <w:r>
        <w:rPr>
          <w:rFonts w:hint="eastAsia"/>
          <w:b/>
          <w:bCs/>
          <w:sz w:val="22"/>
          <w:szCs w:val="22"/>
          <w:lang w:val="en-US" w:eastAsia="zh-CN"/>
        </w:rPr>
        <w:t>-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 xml:space="preserve">based method (comparison tests in March 2025) under different </w:t>
      </w:r>
      <w:r>
        <w:rPr>
          <w:rFonts w:hint="eastAsia"/>
          <w:b/>
          <w:bCs/>
          <w:sz w:val="22"/>
          <w:szCs w:val="22"/>
          <w:lang w:val="en-US" w:eastAsia="zh-CN"/>
        </w:rPr>
        <w:t>o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perating conditions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51"/>
        <w:gridCol w:w="1267"/>
        <w:gridCol w:w="1318"/>
        <w:gridCol w:w="1965"/>
      </w:tblGrid>
      <w:tr w14:paraId="19B16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2323" w:type="pct"/>
            <w:vMerge w:val="restar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F9AA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Operating conditions</w:t>
            </w:r>
          </w:p>
        </w:tc>
        <w:tc>
          <w:tcPr>
            <w:tcW w:w="1520" w:type="pct"/>
            <w:gridSpan w:val="2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C96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Uncertainty component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(%)</w:t>
            </w:r>
          </w:p>
        </w:tc>
        <w:tc>
          <w:tcPr>
            <w:tcW w:w="1155" w:type="pct"/>
            <w:vMerge w:val="restar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A713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Combined relative standard uncertainty (%%, </w:t>
            </w: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=2)</w:t>
            </w:r>
          </w:p>
        </w:tc>
      </w:tr>
      <w:tr w14:paraId="733F3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2323" w:type="pct"/>
            <w:vMerge w:val="continue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2593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</w:p>
        </w:tc>
        <w:tc>
          <w:tcPr>
            <w:tcW w:w="745" w:type="pc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6C72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</w:tc>
        <w:tc>
          <w:tcPr>
            <w:tcW w:w="774" w:type="pc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D27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</w:p>
        </w:tc>
        <w:tc>
          <w:tcPr>
            <w:tcW w:w="1155" w:type="pct"/>
            <w:vMerge w:val="continue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AFDB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</w:p>
        </w:tc>
      </w:tr>
      <w:tr w14:paraId="35B4F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23" w:type="pc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A88A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High load (≥70% load)</w:t>
            </w:r>
          </w:p>
        </w:tc>
        <w:tc>
          <w:tcPr>
            <w:tcW w:w="745" w:type="pct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C092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2.04</w:t>
            </w:r>
          </w:p>
        </w:tc>
        <w:tc>
          <w:tcPr>
            <w:tcW w:w="774" w:type="pct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F25F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1.69</w:t>
            </w:r>
          </w:p>
        </w:tc>
        <w:tc>
          <w:tcPr>
            <w:tcW w:w="1155" w:type="pct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CA4A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5.30</w:t>
            </w:r>
          </w:p>
        </w:tc>
      </w:tr>
      <w:tr w14:paraId="7EE5B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23" w:type="pc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AFB6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Medium load (≥40%load, ≤70% load)</w:t>
            </w:r>
          </w:p>
        </w:tc>
        <w:tc>
          <w:tcPr>
            <w:tcW w:w="745" w:type="pct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F5C4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2.28</w:t>
            </w:r>
          </w:p>
        </w:tc>
        <w:tc>
          <w:tcPr>
            <w:tcW w:w="774" w:type="pct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D016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1.82</w:t>
            </w:r>
          </w:p>
        </w:tc>
        <w:tc>
          <w:tcPr>
            <w:tcW w:w="1155" w:type="pct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B86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5.84</w:t>
            </w:r>
          </w:p>
        </w:tc>
      </w:tr>
      <w:tr w14:paraId="5FEC0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23" w:type="pc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6A87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Low load (＜40% load)</w:t>
            </w:r>
          </w:p>
        </w:tc>
        <w:tc>
          <w:tcPr>
            <w:tcW w:w="745" w:type="pct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E444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3.68</w:t>
            </w:r>
          </w:p>
        </w:tc>
        <w:tc>
          <w:tcPr>
            <w:tcW w:w="774" w:type="pct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8F51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3.24</w:t>
            </w:r>
          </w:p>
        </w:tc>
        <w:tc>
          <w:tcPr>
            <w:tcW w:w="1155" w:type="pct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69BE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9.80</w:t>
            </w:r>
          </w:p>
        </w:tc>
      </w:tr>
    </w:tbl>
    <w:p w14:paraId="0CCADC46">
      <w:pPr>
        <w:rPr>
          <w:rFonts w:hint="eastAsia" w:eastAsia="宋体"/>
          <w:sz w:val="22"/>
          <w:szCs w:val="22"/>
          <w:lang w:val="en-US" w:eastAsia="zh-CN"/>
        </w:rPr>
      </w:pPr>
    </w:p>
    <w:p w14:paraId="2872FED0">
      <w:pPr>
        <w:rPr>
          <w:rFonts w:hint="eastAsia" w:eastAsia="宋体"/>
          <w:sz w:val="22"/>
          <w:szCs w:val="22"/>
          <w:lang w:val="en-US" w:eastAsia="zh-CN"/>
        </w:rPr>
      </w:pPr>
      <w:r>
        <w:rPr>
          <w:rFonts w:hint="eastAsia" w:eastAsia="宋体"/>
          <w:sz w:val="22"/>
          <w:szCs w:val="22"/>
          <w:lang w:val="en-US" w:eastAsia="zh-CN"/>
        </w:rPr>
        <w:t xml:space="preserve">Using the results in Table </w:t>
      </w:r>
      <w:r>
        <w:rPr>
          <w:rFonts w:hint="eastAsia" w:ascii="Times New Roman" w:eastAsia="宋体"/>
          <w:sz w:val="22"/>
          <w:szCs w:val="22"/>
          <w:lang w:val="en-US" w:eastAsia="zh-CN"/>
        </w:rPr>
        <w:t>S</w:t>
      </w:r>
      <w:r>
        <w:rPr>
          <w:rFonts w:hint="eastAsia"/>
          <w:sz w:val="22"/>
          <w:szCs w:val="22"/>
          <w:lang w:val="en-US" w:eastAsia="zh-CN"/>
        </w:rPr>
        <w:t>7</w:t>
      </w:r>
      <w:r>
        <w:rPr>
          <w:rFonts w:hint="eastAsia" w:eastAsia="宋体"/>
          <w:sz w:val="22"/>
          <w:szCs w:val="22"/>
          <w:lang w:val="en-US" w:eastAsia="zh-CN"/>
        </w:rPr>
        <w:t xml:space="preserve">, the overall uncertainty for the </w:t>
      </w:r>
      <w:r>
        <w:rPr>
          <w:rFonts w:hint="eastAsia"/>
          <w:sz w:val="22"/>
          <w:szCs w:val="22"/>
          <w:lang w:val="en-US" w:eastAsia="zh-CN"/>
        </w:rPr>
        <w:t xml:space="preserve">calibrated </w:t>
      </w:r>
      <w:r>
        <w:rPr>
          <w:rFonts w:hint="eastAsia" w:eastAsia="宋体"/>
          <w:sz w:val="22"/>
          <w:szCs w:val="22"/>
          <w:lang w:val="en-US" w:eastAsia="zh-CN"/>
        </w:rPr>
        <w:t>measurement</w:t>
      </w:r>
      <w:r>
        <w:rPr>
          <w:rFonts w:hint="eastAsia" w:ascii="Times New Roman" w:eastAsia="宋体"/>
          <w:sz w:val="22"/>
          <w:szCs w:val="22"/>
          <w:lang w:val="en-US" w:eastAsia="zh-CN"/>
        </w:rPr>
        <w:t>-</w:t>
      </w:r>
      <w:r>
        <w:rPr>
          <w:rFonts w:hint="eastAsia" w:eastAsia="宋体"/>
          <w:sz w:val="22"/>
          <w:szCs w:val="22"/>
          <w:lang w:val="en-US" w:eastAsia="zh-CN"/>
        </w:rPr>
        <w:t>based method over January</w:t>
      </w:r>
      <w:r>
        <w:rPr>
          <w:rFonts w:hint="eastAsia" w:ascii="Times New Roman" w:eastAsia="宋体"/>
          <w:sz w:val="22"/>
          <w:szCs w:val="22"/>
          <w:lang w:val="en-US" w:eastAsia="zh-CN"/>
        </w:rPr>
        <w:t xml:space="preserve"> to </w:t>
      </w:r>
      <w:r>
        <w:rPr>
          <w:rFonts w:hint="eastAsia" w:eastAsia="宋体"/>
          <w:sz w:val="22"/>
          <w:szCs w:val="22"/>
          <w:lang w:val="en-US" w:eastAsia="zh-CN"/>
        </w:rPr>
        <w:t>June was obtained as a weighted average of the load</w:t>
      </w:r>
      <w:r>
        <w:rPr>
          <w:rFonts w:hint="eastAsia" w:ascii="Times New Roman" w:eastAsia="宋体"/>
          <w:sz w:val="22"/>
          <w:szCs w:val="22"/>
          <w:lang w:val="en-US" w:eastAsia="zh-CN"/>
        </w:rPr>
        <w:t>-</w:t>
      </w:r>
      <w:r>
        <w:rPr>
          <w:rFonts w:hint="eastAsia" w:eastAsia="宋体"/>
          <w:sz w:val="22"/>
          <w:szCs w:val="22"/>
          <w:lang w:val="en-US" w:eastAsia="zh-CN"/>
        </w:rPr>
        <w:t>specific uncertainties, with weights equal to the hourly fractions of high, medium, and low load operation.</w:t>
      </w:r>
    </w:p>
    <w:p w14:paraId="501FC545">
      <w:pPr>
        <w:rPr>
          <w:rFonts w:hint="eastAsia" w:eastAsia="宋体"/>
          <w:sz w:val="22"/>
          <w:szCs w:val="22"/>
          <w:lang w:val="en-US" w:eastAsia="zh-CN"/>
        </w:rPr>
      </w:pPr>
    </w:p>
    <w:p w14:paraId="45DCAAB9">
      <w:pPr>
        <w:rPr>
          <w:rFonts w:hint="default"/>
          <w:b/>
          <w:bCs/>
          <w:sz w:val="22"/>
          <w:szCs w:val="22"/>
          <w:lang w:val="en-US"/>
        </w:rPr>
      </w:pP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Table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S</w:t>
      </w:r>
      <w:r>
        <w:rPr>
          <w:rFonts w:hint="eastAsia"/>
          <w:b/>
          <w:bCs/>
          <w:sz w:val="22"/>
          <w:szCs w:val="22"/>
          <w:lang w:val="en-US" w:eastAsia="zh-CN"/>
        </w:rPr>
        <w:t>8 Evaluation of relative standard uncertainty via the calibrated measurement-based method through comparison tests in September 2025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832"/>
        <w:gridCol w:w="762"/>
        <w:gridCol w:w="1072"/>
        <w:gridCol w:w="992"/>
        <w:gridCol w:w="1048"/>
        <w:gridCol w:w="1114"/>
        <w:gridCol w:w="1406"/>
      </w:tblGrid>
      <w:tr w14:paraId="497B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60" w:type="pct"/>
            <w:vMerge w:val="restart"/>
            <w:vAlign w:val="center"/>
          </w:tcPr>
          <w:p w14:paraId="1F980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Parameter</w:t>
            </w:r>
          </w:p>
        </w:tc>
        <w:tc>
          <w:tcPr>
            <w:tcW w:w="488" w:type="pct"/>
            <w:vMerge w:val="restart"/>
            <w:vAlign w:val="center"/>
          </w:tcPr>
          <w:p w14:paraId="11738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CEMS average value</w:t>
            </w:r>
          </w:p>
        </w:tc>
        <w:tc>
          <w:tcPr>
            <w:tcW w:w="447" w:type="pct"/>
            <w:vMerge w:val="restart"/>
            <w:vAlign w:val="center"/>
          </w:tcPr>
          <w:p w14:paraId="56816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Offset</w:t>
            </w:r>
          </w:p>
        </w:tc>
        <w:tc>
          <w:tcPr>
            <w:tcW w:w="1825" w:type="pct"/>
            <w:gridSpan w:val="3"/>
            <w:vAlign w:val="center"/>
          </w:tcPr>
          <w:p w14:paraId="11303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Systematic Uncertainty</w:t>
            </w:r>
          </w:p>
        </w:tc>
        <w:tc>
          <w:tcPr>
            <w:tcW w:w="653" w:type="pct"/>
            <w:vMerge w:val="restart"/>
            <w:vAlign w:val="center"/>
          </w:tcPr>
          <w:p w14:paraId="149CF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Combined standard uncertainty (%)</w:t>
            </w:r>
          </w:p>
        </w:tc>
        <w:tc>
          <w:tcPr>
            <w:tcW w:w="824" w:type="pct"/>
            <w:vMerge w:val="restart"/>
            <w:vAlign w:val="center"/>
          </w:tcPr>
          <w:p w14:paraId="4EE1D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  <w:t>Combined relative standard uncertainty</w:t>
            </w:r>
          </w:p>
          <w:p w14:paraId="7B6EF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(%)</w:t>
            </w:r>
          </w:p>
        </w:tc>
      </w:tr>
      <w:tr w14:paraId="6FA08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Merge w:val="continue"/>
            <w:vAlign w:val="center"/>
          </w:tcPr>
          <w:p w14:paraId="38605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88" w:type="pct"/>
            <w:vMerge w:val="continue"/>
            <w:vAlign w:val="center"/>
          </w:tcPr>
          <w:p w14:paraId="5274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7" w:type="pct"/>
            <w:vMerge w:val="continue"/>
            <w:vAlign w:val="center"/>
          </w:tcPr>
          <w:p w14:paraId="065AA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28" w:type="pct"/>
            <w:vAlign w:val="center"/>
          </w:tcPr>
          <w:p w14:paraId="43573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Comparison tests</w:t>
            </w:r>
          </w:p>
        </w:tc>
        <w:tc>
          <w:tcPr>
            <w:tcW w:w="582" w:type="pct"/>
            <w:vAlign w:val="center"/>
          </w:tcPr>
          <w:p w14:paraId="62615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Spatial</w:t>
            </w:r>
          </w:p>
        </w:tc>
        <w:tc>
          <w:tcPr>
            <w:tcW w:w="614" w:type="pct"/>
            <w:vAlign w:val="center"/>
          </w:tcPr>
          <w:p w14:paraId="50EA7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Instrumental</w:t>
            </w:r>
          </w:p>
        </w:tc>
        <w:tc>
          <w:tcPr>
            <w:tcW w:w="653" w:type="pct"/>
            <w:vMerge w:val="continue"/>
          </w:tcPr>
          <w:p w14:paraId="203E9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824" w:type="pct"/>
            <w:vMerge w:val="continue"/>
          </w:tcPr>
          <w:p w14:paraId="4AB48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</w:rPr>
            </w:pPr>
          </w:p>
        </w:tc>
      </w:tr>
      <w:tr w14:paraId="3B8FA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5CA90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  <w:p w14:paraId="5E5F0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(100% load, m/s)</w:t>
            </w:r>
          </w:p>
        </w:tc>
        <w:tc>
          <w:tcPr>
            <w:tcW w:w="488" w:type="pct"/>
            <w:vAlign w:val="center"/>
          </w:tcPr>
          <w:p w14:paraId="0FB0C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20.47</w:t>
            </w:r>
          </w:p>
        </w:tc>
        <w:tc>
          <w:tcPr>
            <w:tcW w:w="447" w:type="pct"/>
            <w:vAlign w:val="center"/>
          </w:tcPr>
          <w:p w14:paraId="777B5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1.54</w:t>
            </w:r>
          </w:p>
        </w:tc>
        <w:tc>
          <w:tcPr>
            <w:tcW w:w="628" w:type="pct"/>
            <w:vAlign w:val="center"/>
          </w:tcPr>
          <w:p w14:paraId="40EC1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0.15</w:t>
            </w:r>
          </w:p>
        </w:tc>
        <w:tc>
          <w:tcPr>
            <w:tcW w:w="582" w:type="pct"/>
            <w:vAlign w:val="center"/>
          </w:tcPr>
          <w:p w14:paraId="14FEC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0.12</w:t>
            </w:r>
          </w:p>
        </w:tc>
        <w:tc>
          <w:tcPr>
            <w:tcW w:w="614" w:type="pct"/>
            <w:vAlign w:val="center"/>
          </w:tcPr>
          <w:p w14:paraId="4BD36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0.37</w:t>
            </w:r>
          </w:p>
        </w:tc>
        <w:tc>
          <w:tcPr>
            <w:tcW w:w="653" w:type="pct"/>
            <w:vAlign w:val="center"/>
          </w:tcPr>
          <w:p w14:paraId="40F49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0.42</w:t>
            </w:r>
          </w:p>
        </w:tc>
        <w:tc>
          <w:tcPr>
            <w:tcW w:w="824" w:type="pct"/>
            <w:vAlign w:val="center"/>
          </w:tcPr>
          <w:p w14:paraId="70CBD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2.05</w:t>
            </w:r>
          </w:p>
        </w:tc>
      </w:tr>
      <w:tr w14:paraId="32C12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6DC65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  <w:p w14:paraId="565D7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(51%</w:t>
            </w:r>
            <w:r>
              <w:rPr>
                <w:sz w:val="22"/>
                <w:szCs w:val="22"/>
                <w:lang w:eastAsia="zh-CN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53% load, m/s)</w:t>
            </w:r>
          </w:p>
        </w:tc>
        <w:tc>
          <w:tcPr>
            <w:tcW w:w="488" w:type="pct"/>
            <w:vAlign w:val="center"/>
          </w:tcPr>
          <w:p w14:paraId="04854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12.45 </w:t>
            </w:r>
          </w:p>
        </w:tc>
        <w:tc>
          <w:tcPr>
            <w:tcW w:w="447" w:type="pct"/>
            <w:vAlign w:val="center"/>
          </w:tcPr>
          <w:p w14:paraId="4554A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bookmarkStart w:id="6" w:name="_GoBack"/>
            <w:bookmarkEnd w:id="6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628" w:type="pct"/>
            <w:vAlign w:val="center"/>
          </w:tcPr>
          <w:p w14:paraId="6AE7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0.14 </w:t>
            </w:r>
          </w:p>
        </w:tc>
        <w:tc>
          <w:tcPr>
            <w:tcW w:w="582" w:type="pct"/>
            <w:vAlign w:val="center"/>
          </w:tcPr>
          <w:p w14:paraId="228A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14" w:type="pct"/>
            <w:vAlign w:val="center"/>
          </w:tcPr>
          <w:p w14:paraId="5305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53" w:type="pct"/>
            <w:vAlign w:val="center"/>
          </w:tcPr>
          <w:p w14:paraId="1AD47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24" w:type="pct"/>
            <w:vAlign w:val="center"/>
          </w:tcPr>
          <w:p w14:paraId="7A78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58D34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1AFC9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concentration</w:t>
            </w:r>
          </w:p>
          <w:p w14:paraId="3F5A7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(99% load, %)</w:t>
            </w:r>
          </w:p>
        </w:tc>
        <w:tc>
          <w:tcPr>
            <w:tcW w:w="488" w:type="pct"/>
            <w:vAlign w:val="center"/>
          </w:tcPr>
          <w:p w14:paraId="22B2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15.96 </w:t>
            </w:r>
          </w:p>
        </w:tc>
        <w:tc>
          <w:tcPr>
            <w:tcW w:w="447" w:type="pct"/>
            <w:vAlign w:val="center"/>
          </w:tcPr>
          <w:p w14:paraId="3831F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628" w:type="pct"/>
            <w:vAlign w:val="center"/>
          </w:tcPr>
          <w:p w14:paraId="63D7F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582" w:type="pct"/>
            <w:vAlign w:val="center"/>
          </w:tcPr>
          <w:p w14:paraId="37A8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14" w:type="pct"/>
            <w:vAlign w:val="center"/>
          </w:tcPr>
          <w:p w14:paraId="0DB1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53" w:type="pct"/>
            <w:vAlign w:val="center"/>
          </w:tcPr>
          <w:p w14:paraId="10F5B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24" w:type="pct"/>
            <w:vAlign w:val="center"/>
          </w:tcPr>
          <w:p w14:paraId="6BD7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 w14:paraId="449C9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pct"/>
            <w:vAlign w:val="center"/>
          </w:tcPr>
          <w:p w14:paraId="4BDAA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concentration</w:t>
            </w:r>
          </w:p>
          <w:p w14:paraId="14720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(52%</w:t>
            </w:r>
            <w:r>
              <w:rPr>
                <w:sz w:val="22"/>
                <w:szCs w:val="22"/>
                <w:lang w:eastAsia="zh-CN"/>
              </w:rPr>
              <w:t>–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54% load, %)</w:t>
            </w:r>
          </w:p>
        </w:tc>
        <w:tc>
          <w:tcPr>
            <w:tcW w:w="488" w:type="pct"/>
            <w:vAlign w:val="center"/>
          </w:tcPr>
          <w:p w14:paraId="5425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14.21 </w:t>
            </w:r>
          </w:p>
        </w:tc>
        <w:tc>
          <w:tcPr>
            <w:tcW w:w="447" w:type="pct"/>
            <w:vAlign w:val="center"/>
          </w:tcPr>
          <w:p w14:paraId="3419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628" w:type="pct"/>
            <w:vAlign w:val="center"/>
          </w:tcPr>
          <w:p w14:paraId="5BD8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0.18 </w:t>
            </w:r>
          </w:p>
        </w:tc>
        <w:tc>
          <w:tcPr>
            <w:tcW w:w="582" w:type="pct"/>
            <w:vAlign w:val="center"/>
          </w:tcPr>
          <w:p w14:paraId="04AB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14" w:type="pct"/>
            <w:vAlign w:val="center"/>
          </w:tcPr>
          <w:p w14:paraId="46165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53" w:type="pct"/>
            <w:vAlign w:val="center"/>
          </w:tcPr>
          <w:p w14:paraId="7094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24" w:type="pct"/>
            <w:vAlign w:val="center"/>
          </w:tcPr>
          <w:p w14:paraId="315E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0FF54A0C">
      <w:pPr>
        <w:rPr>
          <w:rFonts w:hint="eastAsia" w:eastAsia="宋体"/>
          <w:sz w:val="22"/>
          <w:szCs w:val="22"/>
          <w:lang w:val="en-US" w:eastAsia="zh-CN"/>
        </w:rPr>
      </w:pPr>
    </w:p>
    <w:p w14:paraId="75D4B653">
      <w:pPr>
        <w:rPr>
          <w:rFonts w:hint="default"/>
          <w:b/>
          <w:bCs/>
          <w:sz w:val="22"/>
          <w:szCs w:val="22"/>
          <w:lang w:val="en-US"/>
        </w:rPr>
      </w:pP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Table S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9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Combined relative standard uncertainty of CO</w:t>
      </w:r>
      <w:r>
        <w:rPr>
          <w:rFonts w:hint="eastAsia"/>
          <w:b/>
          <w:bCs/>
          <w:sz w:val="22"/>
          <w:szCs w:val="22"/>
          <w:vertAlign w:val="subscript"/>
          <w:lang w:val="en-US" w:eastAsia="zh-CN"/>
        </w:rPr>
        <w:t xml:space="preserve">2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emission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derived from the measurement</w:t>
      </w:r>
      <w:r>
        <w:rPr>
          <w:rFonts w:hint="eastAsia"/>
          <w:b/>
          <w:bCs/>
          <w:sz w:val="22"/>
          <w:szCs w:val="22"/>
          <w:lang w:val="en-US" w:eastAsia="zh-CN"/>
        </w:rPr>
        <w:t>-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 xml:space="preserve">based method (comparison tests in 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September 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 xml:space="preserve">2025) under different </w:t>
      </w:r>
      <w:r>
        <w:rPr>
          <w:rFonts w:hint="eastAsia"/>
          <w:b/>
          <w:bCs/>
          <w:sz w:val="22"/>
          <w:szCs w:val="22"/>
          <w:lang w:val="en-US" w:eastAsia="zh-CN"/>
        </w:rPr>
        <w:t>o</w:t>
      </w:r>
      <w:r>
        <w:rPr>
          <w:rFonts w:hint="eastAsia" w:ascii="Times New Roman" w:eastAsia="宋体"/>
          <w:b/>
          <w:bCs/>
          <w:sz w:val="22"/>
          <w:szCs w:val="22"/>
          <w:lang w:val="en-US" w:eastAsia="zh-CN"/>
        </w:rPr>
        <w:t>perating conditions</w:t>
      </w:r>
    </w:p>
    <w:tbl>
      <w:tblPr>
        <w:tblStyle w:val="5"/>
        <w:tblW w:w="8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51"/>
        <w:gridCol w:w="1236"/>
        <w:gridCol w:w="1284"/>
        <w:gridCol w:w="1916"/>
      </w:tblGrid>
      <w:tr w14:paraId="35EA2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3851" w:type="dxa"/>
            <w:vMerge w:val="restar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CC48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Operating conditions</w:t>
            </w:r>
          </w:p>
        </w:tc>
        <w:tc>
          <w:tcPr>
            <w:tcW w:w="2520" w:type="dxa"/>
            <w:gridSpan w:val="2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E56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Uncertainty component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 (%)</w:t>
            </w:r>
          </w:p>
        </w:tc>
        <w:tc>
          <w:tcPr>
            <w:tcW w:w="1916" w:type="dxa"/>
            <w:vMerge w:val="restar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019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Combined relative standard uncertainty </w:t>
            </w:r>
          </w:p>
          <w:p w14:paraId="65CE0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 xml:space="preserve">(%, </w:t>
            </w: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=2)</w:t>
            </w:r>
          </w:p>
        </w:tc>
      </w:tr>
      <w:tr w14:paraId="62885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3851" w:type="dxa"/>
            <w:vMerge w:val="continue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84FE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9B7F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Velocity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23F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subscript"/>
                <w:lang w:val="en-US" w:eastAsia="zh-CN"/>
              </w:rPr>
              <w:t>2</w:t>
            </w:r>
          </w:p>
        </w:tc>
        <w:tc>
          <w:tcPr>
            <w:tcW w:w="1916" w:type="dxa"/>
            <w:vMerge w:val="continue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ECDA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</w:p>
        </w:tc>
      </w:tr>
      <w:tr w14:paraId="22192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851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4FAE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High load (≥70% load)</w:t>
            </w:r>
          </w:p>
        </w:tc>
        <w:tc>
          <w:tcPr>
            <w:tcW w:w="12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DE30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2.05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1484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1.97</w:t>
            </w:r>
          </w:p>
        </w:tc>
        <w:tc>
          <w:tcPr>
            <w:tcW w:w="191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1132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5.69</w:t>
            </w:r>
          </w:p>
        </w:tc>
      </w:tr>
      <w:tr w14:paraId="2313E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851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F685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Medium and low load ( ≤70% load)</w:t>
            </w:r>
          </w:p>
        </w:tc>
        <w:tc>
          <w:tcPr>
            <w:tcW w:w="12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28FA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2.49</w:t>
            </w:r>
          </w:p>
        </w:tc>
        <w:tc>
          <w:tcPr>
            <w:tcW w:w="128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DCB0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1.67</w:t>
            </w:r>
          </w:p>
        </w:tc>
        <w:tc>
          <w:tcPr>
            <w:tcW w:w="191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F72A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6.01</w:t>
            </w:r>
          </w:p>
        </w:tc>
      </w:tr>
    </w:tbl>
    <w:p w14:paraId="61E6D0E1">
      <w:pPr>
        <w:rPr>
          <w:rFonts w:hint="eastAsia" w:eastAsia="宋体"/>
          <w:sz w:val="22"/>
          <w:szCs w:val="22"/>
          <w:lang w:val="en-US" w:eastAsia="zh-CN"/>
        </w:rPr>
      </w:pPr>
    </w:p>
    <w:p w14:paraId="72DD781C">
      <w:pPr>
        <w:rPr>
          <w:rFonts w:hint="eastAsia" w:eastAsia="宋体"/>
          <w:sz w:val="22"/>
          <w:szCs w:val="22"/>
          <w:lang w:val="en-US" w:eastAsia="zh-CN"/>
        </w:rPr>
      </w:pPr>
      <w:r>
        <w:rPr>
          <w:rFonts w:hint="eastAsia" w:eastAsia="宋体"/>
          <w:sz w:val="22"/>
          <w:szCs w:val="22"/>
          <w:lang w:val="en-US" w:eastAsia="zh-CN"/>
        </w:rPr>
        <w:t xml:space="preserve">Using the results in Table </w:t>
      </w:r>
      <w:r>
        <w:rPr>
          <w:rFonts w:hint="eastAsia"/>
          <w:sz w:val="22"/>
          <w:szCs w:val="22"/>
          <w:lang w:val="en-US" w:eastAsia="zh-CN"/>
        </w:rPr>
        <w:t>S9</w:t>
      </w:r>
      <w:r>
        <w:rPr>
          <w:rFonts w:hint="eastAsia" w:eastAsia="宋体"/>
          <w:sz w:val="22"/>
          <w:szCs w:val="22"/>
          <w:lang w:val="en-US" w:eastAsia="zh-CN"/>
        </w:rPr>
        <w:t xml:space="preserve">, the overall uncertainty for the </w:t>
      </w:r>
      <w:r>
        <w:rPr>
          <w:rFonts w:hint="eastAsia"/>
          <w:sz w:val="22"/>
          <w:szCs w:val="22"/>
          <w:lang w:val="en-US" w:eastAsia="zh-CN"/>
        </w:rPr>
        <w:t xml:space="preserve">calibrated </w:t>
      </w:r>
      <w:r>
        <w:rPr>
          <w:rFonts w:hint="eastAsia" w:eastAsia="宋体"/>
          <w:sz w:val="22"/>
          <w:szCs w:val="22"/>
          <w:lang w:val="en-US" w:eastAsia="zh-CN"/>
        </w:rPr>
        <w:t>measurement</w:t>
      </w:r>
      <w:r>
        <w:rPr>
          <w:rFonts w:hint="eastAsia"/>
          <w:sz w:val="22"/>
          <w:szCs w:val="22"/>
          <w:lang w:val="en-US" w:eastAsia="zh-CN"/>
        </w:rPr>
        <w:t>-</w:t>
      </w:r>
      <w:r>
        <w:rPr>
          <w:rFonts w:hint="eastAsia" w:eastAsia="宋体"/>
          <w:sz w:val="22"/>
          <w:szCs w:val="22"/>
          <w:lang w:val="en-US" w:eastAsia="zh-CN"/>
        </w:rPr>
        <w:t xml:space="preserve">based method over </w:t>
      </w:r>
      <w:r>
        <w:rPr>
          <w:rFonts w:hint="eastAsia"/>
          <w:sz w:val="22"/>
          <w:szCs w:val="22"/>
          <w:lang w:val="en-US" w:eastAsia="zh-CN"/>
        </w:rPr>
        <w:t>July to December</w:t>
      </w:r>
      <w:r>
        <w:rPr>
          <w:rFonts w:hint="eastAsia" w:eastAsia="宋体"/>
          <w:sz w:val="22"/>
          <w:szCs w:val="22"/>
          <w:lang w:val="en-US" w:eastAsia="zh-CN"/>
        </w:rPr>
        <w:t xml:space="preserve"> was obtained as a weighted average of the load</w:t>
      </w:r>
      <w:r>
        <w:rPr>
          <w:rFonts w:hint="eastAsia"/>
          <w:sz w:val="22"/>
          <w:szCs w:val="22"/>
          <w:lang w:val="en-US" w:eastAsia="zh-CN"/>
        </w:rPr>
        <w:t>-</w:t>
      </w:r>
      <w:r>
        <w:rPr>
          <w:rFonts w:hint="eastAsia" w:eastAsia="宋体"/>
          <w:sz w:val="22"/>
          <w:szCs w:val="22"/>
          <w:lang w:val="en-US" w:eastAsia="zh-CN"/>
        </w:rPr>
        <w:t>specific uncertainties, with weights equal to the hourly fractions of high, medium, and low load operation.</w:t>
      </w:r>
    </w:p>
    <w:p w14:paraId="02255030">
      <w:pPr>
        <w:rPr>
          <w:rFonts w:hint="eastAsia" w:eastAsia="宋体"/>
          <w:sz w:val="22"/>
          <w:szCs w:val="2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116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EA79F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EA79F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32165"/>
    <w:rsid w:val="00155658"/>
    <w:rsid w:val="002C6531"/>
    <w:rsid w:val="00356BF1"/>
    <w:rsid w:val="0038441E"/>
    <w:rsid w:val="003B13C4"/>
    <w:rsid w:val="004D5EA5"/>
    <w:rsid w:val="00771ACA"/>
    <w:rsid w:val="00AD603C"/>
    <w:rsid w:val="00B5417D"/>
    <w:rsid w:val="00C32FD3"/>
    <w:rsid w:val="00EB0C58"/>
    <w:rsid w:val="00FA38BD"/>
    <w:rsid w:val="0117673E"/>
    <w:rsid w:val="01400D8D"/>
    <w:rsid w:val="01417B8E"/>
    <w:rsid w:val="01492DFE"/>
    <w:rsid w:val="014D2402"/>
    <w:rsid w:val="019E2718"/>
    <w:rsid w:val="01EA6213"/>
    <w:rsid w:val="01EE00CF"/>
    <w:rsid w:val="01F053AC"/>
    <w:rsid w:val="02045E53"/>
    <w:rsid w:val="020F4ADB"/>
    <w:rsid w:val="024E0BB2"/>
    <w:rsid w:val="025E5084"/>
    <w:rsid w:val="029A5F34"/>
    <w:rsid w:val="02B50726"/>
    <w:rsid w:val="02D25001"/>
    <w:rsid w:val="02D93965"/>
    <w:rsid w:val="02F0273C"/>
    <w:rsid w:val="03011DB7"/>
    <w:rsid w:val="03373831"/>
    <w:rsid w:val="03483413"/>
    <w:rsid w:val="03573B88"/>
    <w:rsid w:val="035F492C"/>
    <w:rsid w:val="038023C6"/>
    <w:rsid w:val="0382122E"/>
    <w:rsid w:val="03CD78B6"/>
    <w:rsid w:val="03FE6AC8"/>
    <w:rsid w:val="03FF246F"/>
    <w:rsid w:val="040F0F2A"/>
    <w:rsid w:val="0413631C"/>
    <w:rsid w:val="041D389E"/>
    <w:rsid w:val="04297794"/>
    <w:rsid w:val="042C6F9A"/>
    <w:rsid w:val="044078F3"/>
    <w:rsid w:val="046501AE"/>
    <w:rsid w:val="046D11CB"/>
    <w:rsid w:val="047B73C0"/>
    <w:rsid w:val="04870534"/>
    <w:rsid w:val="048A42E4"/>
    <w:rsid w:val="048A575A"/>
    <w:rsid w:val="04AD6BDA"/>
    <w:rsid w:val="04B34EFE"/>
    <w:rsid w:val="04C873E4"/>
    <w:rsid w:val="04E377CC"/>
    <w:rsid w:val="04FF77CB"/>
    <w:rsid w:val="051C2E0D"/>
    <w:rsid w:val="05227593"/>
    <w:rsid w:val="0524470D"/>
    <w:rsid w:val="054966E8"/>
    <w:rsid w:val="0550686D"/>
    <w:rsid w:val="05863C25"/>
    <w:rsid w:val="0589123D"/>
    <w:rsid w:val="059943D9"/>
    <w:rsid w:val="05B75FC6"/>
    <w:rsid w:val="05D71CCA"/>
    <w:rsid w:val="05DA41BB"/>
    <w:rsid w:val="05E401EB"/>
    <w:rsid w:val="05EB057E"/>
    <w:rsid w:val="06326BB6"/>
    <w:rsid w:val="065611E9"/>
    <w:rsid w:val="065F443F"/>
    <w:rsid w:val="067E2E92"/>
    <w:rsid w:val="068F128E"/>
    <w:rsid w:val="069A5147"/>
    <w:rsid w:val="06A27D82"/>
    <w:rsid w:val="06CA5E88"/>
    <w:rsid w:val="07031F60"/>
    <w:rsid w:val="07250901"/>
    <w:rsid w:val="074D0B4B"/>
    <w:rsid w:val="07537DB5"/>
    <w:rsid w:val="07715AAB"/>
    <w:rsid w:val="07777916"/>
    <w:rsid w:val="07AB071E"/>
    <w:rsid w:val="07D05282"/>
    <w:rsid w:val="07D63618"/>
    <w:rsid w:val="07F3257E"/>
    <w:rsid w:val="07F7715E"/>
    <w:rsid w:val="07FB33B4"/>
    <w:rsid w:val="08186A08"/>
    <w:rsid w:val="081971AF"/>
    <w:rsid w:val="08443DE4"/>
    <w:rsid w:val="085333A0"/>
    <w:rsid w:val="08600EA9"/>
    <w:rsid w:val="086939B3"/>
    <w:rsid w:val="0869448C"/>
    <w:rsid w:val="0874654C"/>
    <w:rsid w:val="08C80783"/>
    <w:rsid w:val="08CD4642"/>
    <w:rsid w:val="08FE6214"/>
    <w:rsid w:val="092C732C"/>
    <w:rsid w:val="0935198D"/>
    <w:rsid w:val="09431E71"/>
    <w:rsid w:val="095E1336"/>
    <w:rsid w:val="09816D52"/>
    <w:rsid w:val="09E9467A"/>
    <w:rsid w:val="09F6001E"/>
    <w:rsid w:val="0A1646EB"/>
    <w:rsid w:val="0A1E07BD"/>
    <w:rsid w:val="0A327ACB"/>
    <w:rsid w:val="0A374116"/>
    <w:rsid w:val="0A6234FB"/>
    <w:rsid w:val="0A7031D2"/>
    <w:rsid w:val="0A8046B2"/>
    <w:rsid w:val="0ACC5816"/>
    <w:rsid w:val="0AF0102C"/>
    <w:rsid w:val="0B224DC6"/>
    <w:rsid w:val="0B2312C6"/>
    <w:rsid w:val="0B2C3473"/>
    <w:rsid w:val="0B4D3319"/>
    <w:rsid w:val="0B877EBE"/>
    <w:rsid w:val="0BA0250C"/>
    <w:rsid w:val="0BA574B6"/>
    <w:rsid w:val="0BBC7E87"/>
    <w:rsid w:val="0BE53C10"/>
    <w:rsid w:val="0BF70001"/>
    <w:rsid w:val="0C0424D8"/>
    <w:rsid w:val="0C0E654C"/>
    <w:rsid w:val="0C3A4BA0"/>
    <w:rsid w:val="0C5050E3"/>
    <w:rsid w:val="0C6211D5"/>
    <w:rsid w:val="0C7C1E87"/>
    <w:rsid w:val="0CC91CEE"/>
    <w:rsid w:val="0CE52260"/>
    <w:rsid w:val="0D145226"/>
    <w:rsid w:val="0D3934BF"/>
    <w:rsid w:val="0D4E3017"/>
    <w:rsid w:val="0D546E94"/>
    <w:rsid w:val="0D6608D3"/>
    <w:rsid w:val="0D6A2C34"/>
    <w:rsid w:val="0D6D5036"/>
    <w:rsid w:val="0D6F2837"/>
    <w:rsid w:val="0D987429"/>
    <w:rsid w:val="0DA8103F"/>
    <w:rsid w:val="0DB937C0"/>
    <w:rsid w:val="0DBC3F5E"/>
    <w:rsid w:val="0DD91BFD"/>
    <w:rsid w:val="0DF27CFA"/>
    <w:rsid w:val="0E025D48"/>
    <w:rsid w:val="0E042376"/>
    <w:rsid w:val="0E5E48C6"/>
    <w:rsid w:val="0E7A2D8F"/>
    <w:rsid w:val="0E861711"/>
    <w:rsid w:val="0E90666F"/>
    <w:rsid w:val="0EBB7A53"/>
    <w:rsid w:val="0EBC5DFD"/>
    <w:rsid w:val="0ECE6408"/>
    <w:rsid w:val="0EE23012"/>
    <w:rsid w:val="0EE553EB"/>
    <w:rsid w:val="0F0A18D6"/>
    <w:rsid w:val="0F18116B"/>
    <w:rsid w:val="0F255011"/>
    <w:rsid w:val="0F272377"/>
    <w:rsid w:val="0F7122EA"/>
    <w:rsid w:val="0F987E04"/>
    <w:rsid w:val="0FA867C0"/>
    <w:rsid w:val="0FF41DDA"/>
    <w:rsid w:val="101633E4"/>
    <w:rsid w:val="101D76C8"/>
    <w:rsid w:val="105276FC"/>
    <w:rsid w:val="107A4EF6"/>
    <w:rsid w:val="10B155AA"/>
    <w:rsid w:val="10F84DBC"/>
    <w:rsid w:val="110928B4"/>
    <w:rsid w:val="11414659"/>
    <w:rsid w:val="115A3AE7"/>
    <w:rsid w:val="116D000F"/>
    <w:rsid w:val="11841FF8"/>
    <w:rsid w:val="11844F7F"/>
    <w:rsid w:val="118D7E17"/>
    <w:rsid w:val="11FA2C92"/>
    <w:rsid w:val="121D0C16"/>
    <w:rsid w:val="1223054E"/>
    <w:rsid w:val="125F48DF"/>
    <w:rsid w:val="12704C63"/>
    <w:rsid w:val="12833754"/>
    <w:rsid w:val="128B3251"/>
    <w:rsid w:val="12975D5A"/>
    <w:rsid w:val="129C0C98"/>
    <w:rsid w:val="12CC7AF2"/>
    <w:rsid w:val="12EF15FF"/>
    <w:rsid w:val="12F14EDA"/>
    <w:rsid w:val="12F77C60"/>
    <w:rsid w:val="130349EB"/>
    <w:rsid w:val="13040410"/>
    <w:rsid w:val="130F7DA0"/>
    <w:rsid w:val="131113B9"/>
    <w:rsid w:val="131A407C"/>
    <w:rsid w:val="13243CA0"/>
    <w:rsid w:val="135D1BB3"/>
    <w:rsid w:val="13786296"/>
    <w:rsid w:val="13B30FF9"/>
    <w:rsid w:val="13B7171B"/>
    <w:rsid w:val="13B92C91"/>
    <w:rsid w:val="13E86A02"/>
    <w:rsid w:val="13EB5EC8"/>
    <w:rsid w:val="14942B30"/>
    <w:rsid w:val="14A97F56"/>
    <w:rsid w:val="14B2710B"/>
    <w:rsid w:val="14CC4197"/>
    <w:rsid w:val="14EC478F"/>
    <w:rsid w:val="14ED480B"/>
    <w:rsid w:val="14EF4B38"/>
    <w:rsid w:val="14FD3C1A"/>
    <w:rsid w:val="15000AB2"/>
    <w:rsid w:val="1505158A"/>
    <w:rsid w:val="150D6C92"/>
    <w:rsid w:val="151B4D60"/>
    <w:rsid w:val="151E2FAF"/>
    <w:rsid w:val="152B15FB"/>
    <w:rsid w:val="153048A1"/>
    <w:rsid w:val="154C288E"/>
    <w:rsid w:val="1557732D"/>
    <w:rsid w:val="15655C97"/>
    <w:rsid w:val="15657272"/>
    <w:rsid w:val="156C676A"/>
    <w:rsid w:val="159B7967"/>
    <w:rsid w:val="15D95E79"/>
    <w:rsid w:val="15F9724C"/>
    <w:rsid w:val="162E5371"/>
    <w:rsid w:val="16452BBA"/>
    <w:rsid w:val="164C5D61"/>
    <w:rsid w:val="165304BE"/>
    <w:rsid w:val="1653441B"/>
    <w:rsid w:val="165A39A8"/>
    <w:rsid w:val="16921052"/>
    <w:rsid w:val="16A70127"/>
    <w:rsid w:val="16C65900"/>
    <w:rsid w:val="16C927E8"/>
    <w:rsid w:val="16D02C7F"/>
    <w:rsid w:val="170B7FEF"/>
    <w:rsid w:val="17433C5A"/>
    <w:rsid w:val="175D158B"/>
    <w:rsid w:val="177E634B"/>
    <w:rsid w:val="17A63FA8"/>
    <w:rsid w:val="17D2722C"/>
    <w:rsid w:val="17DA70AD"/>
    <w:rsid w:val="17E54A02"/>
    <w:rsid w:val="180A4FEE"/>
    <w:rsid w:val="181365A5"/>
    <w:rsid w:val="18205D17"/>
    <w:rsid w:val="18356E46"/>
    <w:rsid w:val="18374FE0"/>
    <w:rsid w:val="183B0E55"/>
    <w:rsid w:val="18405612"/>
    <w:rsid w:val="18512847"/>
    <w:rsid w:val="18DF3222"/>
    <w:rsid w:val="18EA6381"/>
    <w:rsid w:val="18F51DB2"/>
    <w:rsid w:val="192A33E4"/>
    <w:rsid w:val="1930452B"/>
    <w:rsid w:val="19BB7EF0"/>
    <w:rsid w:val="19FE08CD"/>
    <w:rsid w:val="1A243E44"/>
    <w:rsid w:val="1A2B53F3"/>
    <w:rsid w:val="1A55500C"/>
    <w:rsid w:val="1A6920CA"/>
    <w:rsid w:val="1A722425"/>
    <w:rsid w:val="1A7E1ABD"/>
    <w:rsid w:val="1AB90641"/>
    <w:rsid w:val="1ACB1A35"/>
    <w:rsid w:val="1AD60B41"/>
    <w:rsid w:val="1AD95D7E"/>
    <w:rsid w:val="1AE2186C"/>
    <w:rsid w:val="1AF56B46"/>
    <w:rsid w:val="1B1500B3"/>
    <w:rsid w:val="1B250B6A"/>
    <w:rsid w:val="1B496E6A"/>
    <w:rsid w:val="1B5C578B"/>
    <w:rsid w:val="1B744165"/>
    <w:rsid w:val="1B9243CC"/>
    <w:rsid w:val="1B9C3C37"/>
    <w:rsid w:val="1BC5531A"/>
    <w:rsid w:val="1BCA4141"/>
    <w:rsid w:val="1BCC7695"/>
    <w:rsid w:val="1BF27383"/>
    <w:rsid w:val="1BFC3EB2"/>
    <w:rsid w:val="1C281B11"/>
    <w:rsid w:val="1C306448"/>
    <w:rsid w:val="1C3C4D04"/>
    <w:rsid w:val="1C675157"/>
    <w:rsid w:val="1C835694"/>
    <w:rsid w:val="1C8D302D"/>
    <w:rsid w:val="1CC35867"/>
    <w:rsid w:val="1CCF3FB4"/>
    <w:rsid w:val="1CE41EA1"/>
    <w:rsid w:val="1D2C37CB"/>
    <w:rsid w:val="1D2D7103"/>
    <w:rsid w:val="1D2E5B4F"/>
    <w:rsid w:val="1D3F7112"/>
    <w:rsid w:val="1D426966"/>
    <w:rsid w:val="1D5435C1"/>
    <w:rsid w:val="1D602328"/>
    <w:rsid w:val="1D836E96"/>
    <w:rsid w:val="1D8E0841"/>
    <w:rsid w:val="1D9C5730"/>
    <w:rsid w:val="1DB21FDA"/>
    <w:rsid w:val="1DC255B6"/>
    <w:rsid w:val="1DC76B94"/>
    <w:rsid w:val="1DCC2252"/>
    <w:rsid w:val="1E002D04"/>
    <w:rsid w:val="1E0F1DC0"/>
    <w:rsid w:val="1E12738F"/>
    <w:rsid w:val="1E3022B7"/>
    <w:rsid w:val="1E3B3194"/>
    <w:rsid w:val="1E3B7CCC"/>
    <w:rsid w:val="1E495751"/>
    <w:rsid w:val="1E4C1C9B"/>
    <w:rsid w:val="1E5310C7"/>
    <w:rsid w:val="1E5C61BD"/>
    <w:rsid w:val="1EB524B7"/>
    <w:rsid w:val="1EBA325B"/>
    <w:rsid w:val="1EBE55AE"/>
    <w:rsid w:val="1ED74554"/>
    <w:rsid w:val="1EE813D9"/>
    <w:rsid w:val="1EEB3D1B"/>
    <w:rsid w:val="1EEF285C"/>
    <w:rsid w:val="1EF55729"/>
    <w:rsid w:val="1F043EAC"/>
    <w:rsid w:val="1F0A0B0C"/>
    <w:rsid w:val="1F3E4AD7"/>
    <w:rsid w:val="1F4D46C5"/>
    <w:rsid w:val="1F604708"/>
    <w:rsid w:val="1F74219C"/>
    <w:rsid w:val="1F794953"/>
    <w:rsid w:val="1F866073"/>
    <w:rsid w:val="1F8E1A67"/>
    <w:rsid w:val="1FAF3A62"/>
    <w:rsid w:val="1FBA2C56"/>
    <w:rsid w:val="1FC96CAD"/>
    <w:rsid w:val="1FD92077"/>
    <w:rsid w:val="1FE90BAE"/>
    <w:rsid w:val="1FED13DC"/>
    <w:rsid w:val="20286583"/>
    <w:rsid w:val="202F059C"/>
    <w:rsid w:val="203137B5"/>
    <w:rsid w:val="204A69DC"/>
    <w:rsid w:val="209C0900"/>
    <w:rsid w:val="20A66923"/>
    <w:rsid w:val="20AE2F4D"/>
    <w:rsid w:val="20E119DF"/>
    <w:rsid w:val="20E56146"/>
    <w:rsid w:val="212D38AA"/>
    <w:rsid w:val="21337F47"/>
    <w:rsid w:val="213F2CAB"/>
    <w:rsid w:val="2155195F"/>
    <w:rsid w:val="216C09A3"/>
    <w:rsid w:val="216E782A"/>
    <w:rsid w:val="21740A12"/>
    <w:rsid w:val="21792A1A"/>
    <w:rsid w:val="217A6FCE"/>
    <w:rsid w:val="219263AA"/>
    <w:rsid w:val="21D623A9"/>
    <w:rsid w:val="21E4596C"/>
    <w:rsid w:val="21EF706B"/>
    <w:rsid w:val="22352957"/>
    <w:rsid w:val="22573A91"/>
    <w:rsid w:val="22632BB7"/>
    <w:rsid w:val="227049D1"/>
    <w:rsid w:val="227B0388"/>
    <w:rsid w:val="22A12E05"/>
    <w:rsid w:val="22D80CEB"/>
    <w:rsid w:val="22EA5969"/>
    <w:rsid w:val="22F66C60"/>
    <w:rsid w:val="23144387"/>
    <w:rsid w:val="231D24E3"/>
    <w:rsid w:val="23256C77"/>
    <w:rsid w:val="232D201F"/>
    <w:rsid w:val="23793D48"/>
    <w:rsid w:val="237A2F59"/>
    <w:rsid w:val="23951FEA"/>
    <w:rsid w:val="23A812DE"/>
    <w:rsid w:val="23C86365"/>
    <w:rsid w:val="23E70E7F"/>
    <w:rsid w:val="242565A4"/>
    <w:rsid w:val="242A1C9E"/>
    <w:rsid w:val="242B0A77"/>
    <w:rsid w:val="24B56E75"/>
    <w:rsid w:val="24D377A4"/>
    <w:rsid w:val="24DC667F"/>
    <w:rsid w:val="24E96F2A"/>
    <w:rsid w:val="24FF6C76"/>
    <w:rsid w:val="251E32FA"/>
    <w:rsid w:val="252B7FC4"/>
    <w:rsid w:val="257832A0"/>
    <w:rsid w:val="258C4171"/>
    <w:rsid w:val="258D1412"/>
    <w:rsid w:val="25A54AAA"/>
    <w:rsid w:val="25B229DB"/>
    <w:rsid w:val="25B31D7B"/>
    <w:rsid w:val="25CF67F4"/>
    <w:rsid w:val="25D44C6C"/>
    <w:rsid w:val="25EB0C9E"/>
    <w:rsid w:val="25F72FB0"/>
    <w:rsid w:val="2601765A"/>
    <w:rsid w:val="26036E99"/>
    <w:rsid w:val="262954F8"/>
    <w:rsid w:val="2638616A"/>
    <w:rsid w:val="26444AA5"/>
    <w:rsid w:val="266D7385"/>
    <w:rsid w:val="268E0511"/>
    <w:rsid w:val="26B06F5F"/>
    <w:rsid w:val="26B21FC7"/>
    <w:rsid w:val="26BA68F7"/>
    <w:rsid w:val="270F0A5E"/>
    <w:rsid w:val="27124478"/>
    <w:rsid w:val="271E621D"/>
    <w:rsid w:val="272C05D7"/>
    <w:rsid w:val="272C16BA"/>
    <w:rsid w:val="27395290"/>
    <w:rsid w:val="273F6C96"/>
    <w:rsid w:val="274C20C6"/>
    <w:rsid w:val="27644849"/>
    <w:rsid w:val="27812B3E"/>
    <w:rsid w:val="27BB1A8B"/>
    <w:rsid w:val="27C1526A"/>
    <w:rsid w:val="27CF06ED"/>
    <w:rsid w:val="27CF5D37"/>
    <w:rsid w:val="27DD37C5"/>
    <w:rsid w:val="28044477"/>
    <w:rsid w:val="280C3380"/>
    <w:rsid w:val="28112E8A"/>
    <w:rsid w:val="28466A74"/>
    <w:rsid w:val="287F0356"/>
    <w:rsid w:val="289424C7"/>
    <w:rsid w:val="28A231D5"/>
    <w:rsid w:val="28AD3C32"/>
    <w:rsid w:val="29261CD3"/>
    <w:rsid w:val="292B3CC6"/>
    <w:rsid w:val="293A1898"/>
    <w:rsid w:val="298505A2"/>
    <w:rsid w:val="298970DB"/>
    <w:rsid w:val="298D669E"/>
    <w:rsid w:val="29A41005"/>
    <w:rsid w:val="29BD4E21"/>
    <w:rsid w:val="29CA0B97"/>
    <w:rsid w:val="29CD27F0"/>
    <w:rsid w:val="29E03593"/>
    <w:rsid w:val="29EC4EA9"/>
    <w:rsid w:val="29FF498C"/>
    <w:rsid w:val="2A2B39A0"/>
    <w:rsid w:val="2A3E267A"/>
    <w:rsid w:val="2A496408"/>
    <w:rsid w:val="2A756198"/>
    <w:rsid w:val="2A867D33"/>
    <w:rsid w:val="2A9C2D33"/>
    <w:rsid w:val="2AB317D2"/>
    <w:rsid w:val="2AC633CF"/>
    <w:rsid w:val="2AD561D6"/>
    <w:rsid w:val="2B0C0CF1"/>
    <w:rsid w:val="2B0C10B8"/>
    <w:rsid w:val="2B1B79DA"/>
    <w:rsid w:val="2B363B77"/>
    <w:rsid w:val="2B3F4F86"/>
    <w:rsid w:val="2B4F6359"/>
    <w:rsid w:val="2B6208CE"/>
    <w:rsid w:val="2B6A0AB1"/>
    <w:rsid w:val="2B7B0FC3"/>
    <w:rsid w:val="2B7E4AAA"/>
    <w:rsid w:val="2B880D54"/>
    <w:rsid w:val="2B9B73D9"/>
    <w:rsid w:val="2BA1006B"/>
    <w:rsid w:val="2BA90B57"/>
    <w:rsid w:val="2BB25930"/>
    <w:rsid w:val="2BBC0BA2"/>
    <w:rsid w:val="2BBC2594"/>
    <w:rsid w:val="2C0E0D23"/>
    <w:rsid w:val="2C183D4A"/>
    <w:rsid w:val="2C213B2F"/>
    <w:rsid w:val="2C62375A"/>
    <w:rsid w:val="2C735F4C"/>
    <w:rsid w:val="2C8B00DB"/>
    <w:rsid w:val="2C923581"/>
    <w:rsid w:val="2C965B15"/>
    <w:rsid w:val="2CA3377B"/>
    <w:rsid w:val="2CC24314"/>
    <w:rsid w:val="2CD66A88"/>
    <w:rsid w:val="2CFE3527"/>
    <w:rsid w:val="2D0B2E58"/>
    <w:rsid w:val="2D0F4285"/>
    <w:rsid w:val="2D3B155B"/>
    <w:rsid w:val="2D6762C1"/>
    <w:rsid w:val="2D74208E"/>
    <w:rsid w:val="2D8321A1"/>
    <w:rsid w:val="2D94525E"/>
    <w:rsid w:val="2DAB7052"/>
    <w:rsid w:val="2DC5137E"/>
    <w:rsid w:val="2DDE5036"/>
    <w:rsid w:val="2DED373B"/>
    <w:rsid w:val="2DF923A1"/>
    <w:rsid w:val="2DFE7F4F"/>
    <w:rsid w:val="2E432D8B"/>
    <w:rsid w:val="2E613D4F"/>
    <w:rsid w:val="2E9743C6"/>
    <w:rsid w:val="2ED07E1C"/>
    <w:rsid w:val="2F4C4DEC"/>
    <w:rsid w:val="2F520E02"/>
    <w:rsid w:val="2F5E20FE"/>
    <w:rsid w:val="2F7060DB"/>
    <w:rsid w:val="2F7E0CFF"/>
    <w:rsid w:val="2F90186B"/>
    <w:rsid w:val="300136E6"/>
    <w:rsid w:val="300510DF"/>
    <w:rsid w:val="303B3B47"/>
    <w:rsid w:val="309117EF"/>
    <w:rsid w:val="30C05643"/>
    <w:rsid w:val="30F77ABC"/>
    <w:rsid w:val="31016FF7"/>
    <w:rsid w:val="31204979"/>
    <w:rsid w:val="314D68EC"/>
    <w:rsid w:val="317734FE"/>
    <w:rsid w:val="317C4629"/>
    <w:rsid w:val="31BB1D2C"/>
    <w:rsid w:val="31CC4E5C"/>
    <w:rsid w:val="31F53022"/>
    <w:rsid w:val="32061737"/>
    <w:rsid w:val="321018AD"/>
    <w:rsid w:val="321229BC"/>
    <w:rsid w:val="32182150"/>
    <w:rsid w:val="326A5DD5"/>
    <w:rsid w:val="327E7CAB"/>
    <w:rsid w:val="32A80AC8"/>
    <w:rsid w:val="32AB54E0"/>
    <w:rsid w:val="32EC4290"/>
    <w:rsid w:val="335D48E6"/>
    <w:rsid w:val="338A42E1"/>
    <w:rsid w:val="338B1137"/>
    <w:rsid w:val="338B7851"/>
    <w:rsid w:val="339A5C4D"/>
    <w:rsid w:val="339B1F83"/>
    <w:rsid w:val="339D32F3"/>
    <w:rsid w:val="33A5650C"/>
    <w:rsid w:val="33DE3BAD"/>
    <w:rsid w:val="33E13288"/>
    <w:rsid w:val="33EA2354"/>
    <w:rsid w:val="340D03BB"/>
    <w:rsid w:val="348108AC"/>
    <w:rsid w:val="34816109"/>
    <w:rsid w:val="348A4407"/>
    <w:rsid w:val="349B7759"/>
    <w:rsid w:val="34A12BF9"/>
    <w:rsid w:val="34C07A9F"/>
    <w:rsid w:val="34D514CB"/>
    <w:rsid w:val="34DF2B27"/>
    <w:rsid w:val="350E6FCA"/>
    <w:rsid w:val="351C06A1"/>
    <w:rsid w:val="353B4869"/>
    <w:rsid w:val="35777939"/>
    <w:rsid w:val="357E76DD"/>
    <w:rsid w:val="35DA2BF3"/>
    <w:rsid w:val="360068BB"/>
    <w:rsid w:val="36011D41"/>
    <w:rsid w:val="36045D9C"/>
    <w:rsid w:val="360D5BA8"/>
    <w:rsid w:val="36144227"/>
    <w:rsid w:val="362F07A3"/>
    <w:rsid w:val="3647451C"/>
    <w:rsid w:val="36953CEB"/>
    <w:rsid w:val="3696235A"/>
    <w:rsid w:val="36A053E7"/>
    <w:rsid w:val="36B23059"/>
    <w:rsid w:val="36CF165B"/>
    <w:rsid w:val="36FA4102"/>
    <w:rsid w:val="371C60E8"/>
    <w:rsid w:val="37210DA0"/>
    <w:rsid w:val="372C0A10"/>
    <w:rsid w:val="37380EFB"/>
    <w:rsid w:val="375E6974"/>
    <w:rsid w:val="3766401B"/>
    <w:rsid w:val="37773B0C"/>
    <w:rsid w:val="378C567A"/>
    <w:rsid w:val="37A2350C"/>
    <w:rsid w:val="37A734C6"/>
    <w:rsid w:val="37B1162E"/>
    <w:rsid w:val="37D84221"/>
    <w:rsid w:val="37FE4B52"/>
    <w:rsid w:val="381373C5"/>
    <w:rsid w:val="38154601"/>
    <w:rsid w:val="38277211"/>
    <w:rsid w:val="38283467"/>
    <w:rsid w:val="386D4AD2"/>
    <w:rsid w:val="38783580"/>
    <w:rsid w:val="38933908"/>
    <w:rsid w:val="38944809"/>
    <w:rsid w:val="38A51C93"/>
    <w:rsid w:val="390E38AF"/>
    <w:rsid w:val="392659E1"/>
    <w:rsid w:val="39313CBA"/>
    <w:rsid w:val="394554F3"/>
    <w:rsid w:val="39495118"/>
    <w:rsid w:val="396B2385"/>
    <w:rsid w:val="39824EC9"/>
    <w:rsid w:val="39E12DFF"/>
    <w:rsid w:val="39E80D0A"/>
    <w:rsid w:val="3A6D130B"/>
    <w:rsid w:val="3A767971"/>
    <w:rsid w:val="3A850B77"/>
    <w:rsid w:val="3A931A19"/>
    <w:rsid w:val="3AA35AA6"/>
    <w:rsid w:val="3ACE07FD"/>
    <w:rsid w:val="3AD331DF"/>
    <w:rsid w:val="3AD92693"/>
    <w:rsid w:val="3B4B3942"/>
    <w:rsid w:val="3B9C4B4F"/>
    <w:rsid w:val="3BD81166"/>
    <w:rsid w:val="3C105F0F"/>
    <w:rsid w:val="3C125304"/>
    <w:rsid w:val="3C1E11FA"/>
    <w:rsid w:val="3C2F503B"/>
    <w:rsid w:val="3C3C26BB"/>
    <w:rsid w:val="3C58406F"/>
    <w:rsid w:val="3C7617F3"/>
    <w:rsid w:val="3C943701"/>
    <w:rsid w:val="3CAA05F4"/>
    <w:rsid w:val="3CB2202B"/>
    <w:rsid w:val="3D18759F"/>
    <w:rsid w:val="3D3B4408"/>
    <w:rsid w:val="3D3D3597"/>
    <w:rsid w:val="3D513EB5"/>
    <w:rsid w:val="3D7F382F"/>
    <w:rsid w:val="3DA13540"/>
    <w:rsid w:val="3DCE3CCE"/>
    <w:rsid w:val="3DEE08F9"/>
    <w:rsid w:val="3DF43911"/>
    <w:rsid w:val="3E216694"/>
    <w:rsid w:val="3E2607ED"/>
    <w:rsid w:val="3E3A4830"/>
    <w:rsid w:val="3E4D0547"/>
    <w:rsid w:val="3E5B15DB"/>
    <w:rsid w:val="3E710AC0"/>
    <w:rsid w:val="3EA5216E"/>
    <w:rsid w:val="3EC43826"/>
    <w:rsid w:val="3EDB221C"/>
    <w:rsid w:val="3EE359E8"/>
    <w:rsid w:val="3EF73792"/>
    <w:rsid w:val="3F281333"/>
    <w:rsid w:val="3F6C7ECE"/>
    <w:rsid w:val="3F745C8B"/>
    <w:rsid w:val="3F87243F"/>
    <w:rsid w:val="3FD64A32"/>
    <w:rsid w:val="40343D4D"/>
    <w:rsid w:val="404C551E"/>
    <w:rsid w:val="409D0057"/>
    <w:rsid w:val="40A72962"/>
    <w:rsid w:val="40B83503"/>
    <w:rsid w:val="40BA72C4"/>
    <w:rsid w:val="40C05C59"/>
    <w:rsid w:val="41382F84"/>
    <w:rsid w:val="413A32FF"/>
    <w:rsid w:val="413F17CA"/>
    <w:rsid w:val="414A50AF"/>
    <w:rsid w:val="41624A1D"/>
    <w:rsid w:val="416D2A67"/>
    <w:rsid w:val="418045E7"/>
    <w:rsid w:val="418E63DC"/>
    <w:rsid w:val="41D95A67"/>
    <w:rsid w:val="41DC6398"/>
    <w:rsid w:val="42476A1D"/>
    <w:rsid w:val="42775B3A"/>
    <w:rsid w:val="428300E0"/>
    <w:rsid w:val="429D28C1"/>
    <w:rsid w:val="42A955BC"/>
    <w:rsid w:val="42AD2987"/>
    <w:rsid w:val="42BA69C8"/>
    <w:rsid w:val="42CE64A1"/>
    <w:rsid w:val="42E04D47"/>
    <w:rsid w:val="43034954"/>
    <w:rsid w:val="430F54F9"/>
    <w:rsid w:val="436F64F8"/>
    <w:rsid w:val="437903AC"/>
    <w:rsid w:val="437E1DA4"/>
    <w:rsid w:val="43AA6218"/>
    <w:rsid w:val="43AC0792"/>
    <w:rsid w:val="43BD2A2F"/>
    <w:rsid w:val="43EB1E2A"/>
    <w:rsid w:val="44095C00"/>
    <w:rsid w:val="44152594"/>
    <w:rsid w:val="447E6297"/>
    <w:rsid w:val="44861A2D"/>
    <w:rsid w:val="4497237B"/>
    <w:rsid w:val="4499336A"/>
    <w:rsid w:val="449A449A"/>
    <w:rsid w:val="44C5261F"/>
    <w:rsid w:val="450E35BB"/>
    <w:rsid w:val="45214E55"/>
    <w:rsid w:val="452E1696"/>
    <w:rsid w:val="453B3D52"/>
    <w:rsid w:val="453F399C"/>
    <w:rsid w:val="45FF17EE"/>
    <w:rsid w:val="46283D77"/>
    <w:rsid w:val="46476E87"/>
    <w:rsid w:val="46541B0B"/>
    <w:rsid w:val="466C1822"/>
    <w:rsid w:val="468E6862"/>
    <w:rsid w:val="46BB0004"/>
    <w:rsid w:val="46E37EE4"/>
    <w:rsid w:val="46F96DC1"/>
    <w:rsid w:val="473041FB"/>
    <w:rsid w:val="4738011B"/>
    <w:rsid w:val="474D1971"/>
    <w:rsid w:val="479C2541"/>
    <w:rsid w:val="47CE39F0"/>
    <w:rsid w:val="47D21ECE"/>
    <w:rsid w:val="47D91165"/>
    <w:rsid w:val="47E84761"/>
    <w:rsid w:val="47EC35F1"/>
    <w:rsid w:val="47F521A6"/>
    <w:rsid w:val="481579DC"/>
    <w:rsid w:val="485B7E00"/>
    <w:rsid w:val="486346E1"/>
    <w:rsid w:val="488351EA"/>
    <w:rsid w:val="48C455D3"/>
    <w:rsid w:val="48D66617"/>
    <w:rsid w:val="49061A89"/>
    <w:rsid w:val="490D4F73"/>
    <w:rsid w:val="493D58DD"/>
    <w:rsid w:val="4945432D"/>
    <w:rsid w:val="49905280"/>
    <w:rsid w:val="49B34AAF"/>
    <w:rsid w:val="49CC2660"/>
    <w:rsid w:val="49DA6174"/>
    <w:rsid w:val="4A2B78A3"/>
    <w:rsid w:val="4A2F31A0"/>
    <w:rsid w:val="4A332165"/>
    <w:rsid w:val="4A354B99"/>
    <w:rsid w:val="4A642911"/>
    <w:rsid w:val="4A6D4C55"/>
    <w:rsid w:val="4A857FAB"/>
    <w:rsid w:val="4AA17F1B"/>
    <w:rsid w:val="4AB74160"/>
    <w:rsid w:val="4ACB26D5"/>
    <w:rsid w:val="4AFA1158"/>
    <w:rsid w:val="4B2632FE"/>
    <w:rsid w:val="4B45785C"/>
    <w:rsid w:val="4B831EC1"/>
    <w:rsid w:val="4BE3715B"/>
    <w:rsid w:val="4C0970ED"/>
    <w:rsid w:val="4C4E00DA"/>
    <w:rsid w:val="4C51463C"/>
    <w:rsid w:val="4C622C7A"/>
    <w:rsid w:val="4C6C5633"/>
    <w:rsid w:val="4CAB3582"/>
    <w:rsid w:val="4CC44C05"/>
    <w:rsid w:val="4CCB159F"/>
    <w:rsid w:val="4CD01739"/>
    <w:rsid w:val="4CD85E65"/>
    <w:rsid w:val="4D044413"/>
    <w:rsid w:val="4D0C1DC1"/>
    <w:rsid w:val="4D1A1927"/>
    <w:rsid w:val="4D211F60"/>
    <w:rsid w:val="4D27359B"/>
    <w:rsid w:val="4D3A5D1E"/>
    <w:rsid w:val="4D6B16DA"/>
    <w:rsid w:val="4D821210"/>
    <w:rsid w:val="4D986739"/>
    <w:rsid w:val="4DA1334D"/>
    <w:rsid w:val="4DA67416"/>
    <w:rsid w:val="4DAC3AA6"/>
    <w:rsid w:val="4DE73B10"/>
    <w:rsid w:val="4E043EDD"/>
    <w:rsid w:val="4E1E7671"/>
    <w:rsid w:val="4E260FA3"/>
    <w:rsid w:val="4E2D7F61"/>
    <w:rsid w:val="4E4E2F3A"/>
    <w:rsid w:val="4E5523E4"/>
    <w:rsid w:val="4E743AFC"/>
    <w:rsid w:val="4E9604D9"/>
    <w:rsid w:val="4ED54978"/>
    <w:rsid w:val="4EDB31A1"/>
    <w:rsid w:val="4EE15D33"/>
    <w:rsid w:val="4F20411A"/>
    <w:rsid w:val="4F2E0E0B"/>
    <w:rsid w:val="4F3F0645"/>
    <w:rsid w:val="4F4E607D"/>
    <w:rsid w:val="4F7D082C"/>
    <w:rsid w:val="4F890E7D"/>
    <w:rsid w:val="4F9D09E1"/>
    <w:rsid w:val="4FB80146"/>
    <w:rsid w:val="4FCC07A8"/>
    <w:rsid w:val="4FD54019"/>
    <w:rsid w:val="50045AFA"/>
    <w:rsid w:val="50237A21"/>
    <w:rsid w:val="503004C3"/>
    <w:rsid w:val="504E09F4"/>
    <w:rsid w:val="50574197"/>
    <w:rsid w:val="50650662"/>
    <w:rsid w:val="506753EF"/>
    <w:rsid w:val="508149E0"/>
    <w:rsid w:val="50873F4E"/>
    <w:rsid w:val="50AB6AEF"/>
    <w:rsid w:val="50AD3DB7"/>
    <w:rsid w:val="50C21C7A"/>
    <w:rsid w:val="50E16DB8"/>
    <w:rsid w:val="50EA0DF5"/>
    <w:rsid w:val="50EC2B32"/>
    <w:rsid w:val="51040974"/>
    <w:rsid w:val="51326E1B"/>
    <w:rsid w:val="513C0E2B"/>
    <w:rsid w:val="514261AF"/>
    <w:rsid w:val="51712231"/>
    <w:rsid w:val="51BD4675"/>
    <w:rsid w:val="51BE1955"/>
    <w:rsid w:val="51C373A7"/>
    <w:rsid w:val="51CE6D00"/>
    <w:rsid w:val="51DB3258"/>
    <w:rsid w:val="51FD661B"/>
    <w:rsid w:val="520B1AAD"/>
    <w:rsid w:val="522A26AA"/>
    <w:rsid w:val="52463E21"/>
    <w:rsid w:val="524F15E3"/>
    <w:rsid w:val="525A7FA1"/>
    <w:rsid w:val="527A40CA"/>
    <w:rsid w:val="527C54FC"/>
    <w:rsid w:val="52946FDD"/>
    <w:rsid w:val="5295077F"/>
    <w:rsid w:val="530E702C"/>
    <w:rsid w:val="533A1935"/>
    <w:rsid w:val="534A7F32"/>
    <w:rsid w:val="539C077B"/>
    <w:rsid w:val="539E5CDC"/>
    <w:rsid w:val="541C62CD"/>
    <w:rsid w:val="542E4D92"/>
    <w:rsid w:val="54377D60"/>
    <w:rsid w:val="543B0E69"/>
    <w:rsid w:val="54580BE2"/>
    <w:rsid w:val="546038E7"/>
    <w:rsid w:val="54901DBC"/>
    <w:rsid w:val="54945E3F"/>
    <w:rsid w:val="549D2262"/>
    <w:rsid w:val="54CB3308"/>
    <w:rsid w:val="54CD2496"/>
    <w:rsid w:val="5511408C"/>
    <w:rsid w:val="55AB557D"/>
    <w:rsid w:val="55C40E60"/>
    <w:rsid w:val="560F7CFB"/>
    <w:rsid w:val="56173136"/>
    <w:rsid w:val="56430979"/>
    <w:rsid w:val="564C4CC2"/>
    <w:rsid w:val="56547E3E"/>
    <w:rsid w:val="56552EF1"/>
    <w:rsid w:val="56735488"/>
    <w:rsid w:val="56AB7A29"/>
    <w:rsid w:val="56AF1C49"/>
    <w:rsid w:val="56C95153"/>
    <w:rsid w:val="56CB4879"/>
    <w:rsid w:val="56D27A54"/>
    <w:rsid w:val="56E11518"/>
    <w:rsid w:val="56FD6278"/>
    <w:rsid w:val="56FE0B98"/>
    <w:rsid w:val="5714693E"/>
    <w:rsid w:val="57191B56"/>
    <w:rsid w:val="572161DB"/>
    <w:rsid w:val="572B275A"/>
    <w:rsid w:val="572E2DAA"/>
    <w:rsid w:val="573657F9"/>
    <w:rsid w:val="574A39A6"/>
    <w:rsid w:val="575E0F3C"/>
    <w:rsid w:val="576907EC"/>
    <w:rsid w:val="57772233"/>
    <w:rsid w:val="57A23F4A"/>
    <w:rsid w:val="57C4051D"/>
    <w:rsid w:val="57E17FBA"/>
    <w:rsid w:val="57E62AC2"/>
    <w:rsid w:val="57E87227"/>
    <w:rsid w:val="5810772F"/>
    <w:rsid w:val="58287C2B"/>
    <w:rsid w:val="585B40F0"/>
    <w:rsid w:val="58642D3C"/>
    <w:rsid w:val="587D3437"/>
    <w:rsid w:val="588F356B"/>
    <w:rsid w:val="58A96468"/>
    <w:rsid w:val="58E23662"/>
    <w:rsid w:val="58E33CEB"/>
    <w:rsid w:val="59133303"/>
    <w:rsid w:val="592743F5"/>
    <w:rsid w:val="592A2445"/>
    <w:rsid w:val="5960230F"/>
    <w:rsid w:val="59B82C0D"/>
    <w:rsid w:val="59C83E99"/>
    <w:rsid w:val="5A0D3789"/>
    <w:rsid w:val="5A1C3314"/>
    <w:rsid w:val="5A1E7FA3"/>
    <w:rsid w:val="5A2B22EF"/>
    <w:rsid w:val="5A4A4E95"/>
    <w:rsid w:val="5A4C78CA"/>
    <w:rsid w:val="5A6F0370"/>
    <w:rsid w:val="5A8C0E92"/>
    <w:rsid w:val="5AB22D48"/>
    <w:rsid w:val="5AC334F0"/>
    <w:rsid w:val="5ACD39D4"/>
    <w:rsid w:val="5AE442CB"/>
    <w:rsid w:val="5AFA12E5"/>
    <w:rsid w:val="5B013D81"/>
    <w:rsid w:val="5B266C40"/>
    <w:rsid w:val="5B5C53F3"/>
    <w:rsid w:val="5B7911B1"/>
    <w:rsid w:val="5B8A12E5"/>
    <w:rsid w:val="5B9476F8"/>
    <w:rsid w:val="5B96671C"/>
    <w:rsid w:val="5BEA417F"/>
    <w:rsid w:val="5BEC1AD7"/>
    <w:rsid w:val="5C487D2A"/>
    <w:rsid w:val="5C9C5E16"/>
    <w:rsid w:val="5CA97BBB"/>
    <w:rsid w:val="5CAF547E"/>
    <w:rsid w:val="5CB2187F"/>
    <w:rsid w:val="5CBA754D"/>
    <w:rsid w:val="5CBB2D2E"/>
    <w:rsid w:val="5D10314B"/>
    <w:rsid w:val="5D3E1263"/>
    <w:rsid w:val="5D4433B6"/>
    <w:rsid w:val="5D5472D5"/>
    <w:rsid w:val="5D7F0432"/>
    <w:rsid w:val="5D957BD2"/>
    <w:rsid w:val="5DA822F9"/>
    <w:rsid w:val="5DC12D72"/>
    <w:rsid w:val="5DC55B33"/>
    <w:rsid w:val="5DF178F6"/>
    <w:rsid w:val="5E4301E4"/>
    <w:rsid w:val="5E6B7683"/>
    <w:rsid w:val="5E7443AB"/>
    <w:rsid w:val="5E88169C"/>
    <w:rsid w:val="5E9E4289"/>
    <w:rsid w:val="5EB56D43"/>
    <w:rsid w:val="5EBD5B0D"/>
    <w:rsid w:val="5ED52E57"/>
    <w:rsid w:val="5EE93FDC"/>
    <w:rsid w:val="5F1539F4"/>
    <w:rsid w:val="5F1C558D"/>
    <w:rsid w:val="5F6777FF"/>
    <w:rsid w:val="5F74713D"/>
    <w:rsid w:val="5FB96E19"/>
    <w:rsid w:val="5FC933B4"/>
    <w:rsid w:val="5FCC7C28"/>
    <w:rsid w:val="5FD70408"/>
    <w:rsid w:val="5FDF6E4A"/>
    <w:rsid w:val="5FF03C1D"/>
    <w:rsid w:val="60050C52"/>
    <w:rsid w:val="605177B9"/>
    <w:rsid w:val="605976FA"/>
    <w:rsid w:val="60716DDB"/>
    <w:rsid w:val="60771A5A"/>
    <w:rsid w:val="60AB34C1"/>
    <w:rsid w:val="60C26EE8"/>
    <w:rsid w:val="60DC2FAC"/>
    <w:rsid w:val="611C147A"/>
    <w:rsid w:val="612E3F28"/>
    <w:rsid w:val="616B4EE9"/>
    <w:rsid w:val="61B26849"/>
    <w:rsid w:val="61B71177"/>
    <w:rsid w:val="61C955FD"/>
    <w:rsid w:val="61F84EA5"/>
    <w:rsid w:val="622E139D"/>
    <w:rsid w:val="622E363E"/>
    <w:rsid w:val="62371D74"/>
    <w:rsid w:val="626C2554"/>
    <w:rsid w:val="626E44EC"/>
    <w:rsid w:val="62A34970"/>
    <w:rsid w:val="62AD4E5D"/>
    <w:rsid w:val="62BF0A61"/>
    <w:rsid w:val="62C77B6E"/>
    <w:rsid w:val="62DB494B"/>
    <w:rsid w:val="62E02A36"/>
    <w:rsid w:val="62F41A14"/>
    <w:rsid w:val="630E5001"/>
    <w:rsid w:val="63267E56"/>
    <w:rsid w:val="63376139"/>
    <w:rsid w:val="634A1B87"/>
    <w:rsid w:val="634A37EB"/>
    <w:rsid w:val="637C4C57"/>
    <w:rsid w:val="638805AE"/>
    <w:rsid w:val="63AB387E"/>
    <w:rsid w:val="63B07D2A"/>
    <w:rsid w:val="63D07439"/>
    <w:rsid w:val="63E96686"/>
    <w:rsid w:val="644B022A"/>
    <w:rsid w:val="646B37CD"/>
    <w:rsid w:val="648B2BA5"/>
    <w:rsid w:val="64C255D8"/>
    <w:rsid w:val="64C43D1C"/>
    <w:rsid w:val="64CB7AFF"/>
    <w:rsid w:val="64D3347F"/>
    <w:rsid w:val="64D5468F"/>
    <w:rsid w:val="64DA4535"/>
    <w:rsid w:val="654044EF"/>
    <w:rsid w:val="6566397C"/>
    <w:rsid w:val="656B33D9"/>
    <w:rsid w:val="65726A64"/>
    <w:rsid w:val="65831215"/>
    <w:rsid w:val="65975CDE"/>
    <w:rsid w:val="659A0532"/>
    <w:rsid w:val="65AE5FC8"/>
    <w:rsid w:val="66021693"/>
    <w:rsid w:val="66467D4B"/>
    <w:rsid w:val="666501E6"/>
    <w:rsid w:val="66826F90"/>
    <w:rsid w:val="66CC264F"/>
    <w:rsid w:val="66ED58A1"/>
    <w:rsid w:val="66FF55A5"/>
    <w:rsid w:val="671A751F"/>
    <w:rsid w:val="6721570C"/>
    <w:rsid w:val="676C0F31"/>
    <w:rsid w:val="677D408C"/>
    <w:rsid w:val="678D291F"/>
    <w:rsid w:val="67B31C1B"/>
    <w:rsid w:val="67EF6E6D"/>
    <w:rsid w:val="67F91A97"/>
    <w:rsid w:val="67FA5148"/>
    <w:rsid w:val="682124D4"/>
    <w:rsid w:val="68270967"/>
    <w:rsid w:val="682C3995"/>
    <w:rsid w:val="683A590B"/>
    <w:rsid w:val="683E3FD1"/>
    <w:rsid w:val="68415F73"/>
    <w:rsid w:val="6860298C"/>
    <w:rsid w:val="68626B56"/>
    <w:rsid w:val="68C347B0"/>
    <w:rsid w:val="68CE63F1"/>
    <w:rsid w:val="68E54E95"/>
    <w:rsid w:val="68E74FA1"/>
    <w:rsid w:val="69326A22"/>
    <w:rsid w:val="693F607E"/>
    <w:rsid w:val="69535439"/>
    <w:rsid w:val="695F7352"/>
    <w:rsid w:val="696B4E3B"/>
    <w:rsid w:val="69BC364D"/>
    <w:rsid w:val="69BF12C2"/>
    <w:rsid w:val="69C9173A"/>
    <w:rsid w:val="69EF25E6"/>
    <w:rsid w:val="69F05C67"/>
    <w:rsid w:val="6A023054"/>
    <w:rsid w:val="6A3C5FED"/>
    <w:rsid w:val="6A4946F9"/>
    <w:rsid w:val="6A6229ED"/>
    <w:rsid w:val="6A69405F"/>
    <w:rsid w:val="6A886ACD"/>
    <w:rsid w:val="6A987384"/>
    <w:rsid w:val="6AA87672"/>
    <w:rsid w:val="6B037A62"/>
    <w:rsid w:val="6B153ADE"/>
    <w:rsid w:val="6B2D68F5"/>
    <w:rsid w:val="6B2F2C3B"/>
    <w:rsid w:val="6B445B62"/>
    <w:rsid w:val="6B4B0C7C"/>
    <w:rsid w:val="6B4C266D"/>
    <w:rsid w:val="6B665FE4"/>
    <w:rsid w:val="6B7E5F5B"/>
    <w:rsid w:val="6BCD723F"/>
    <w:rsid w:val="6BDD209A"/>
    <w:rsid w:val="6BEA7335"/>
    <w:rsid w:val="6C4636CD"/>
    <w:rsid w:val="6C985F21"/>
    <w:rsid w:val="6CA36FF2"/>
    <w:rsid w:val="6CC50366"/>
    <w:rsid w:val="6CD90704"/>
    <w:rsid w:val="6CEF49DA"/>
    <w:rsid w:val="6CF31559"/>
    <w:rsid w:val="6D2A6344"/>
    <w:rsid w:val="6D455FD5"/>
    <w:rsid w:val="6D521372"/>
    <w:rsid w:val="6D6C4DF4"/>
    <w:rsid w:val="6D8049A0"/>
    <w:rsid w:val="6D9923DD"/>
    <w:rsid w:val="6DA76959"/>
    <w:rsid w:val="6DAC01F8"/>
    <w:rsid w:val="6DC75B83"/>
    <w:rsid w:val="6DF07613"/>
    <w:rsid w:val="6E402F74"/>
    <w:rsid w:val="6E5D67E0"/>
    <w:rsid w:val="6E680D0A"/>
    <w:rsid w:val="6EAD3A07"/>
    <w:rsid w:val="6EB30C82"/>
    <w:rsid w:val="6EB3303F"/>
    <w:rsid w:val="6EBA0A25"/>
    <w:rsid w:val="6ED00F45"/>
    <w:rsid w:val="6ED13133"/>
    <w:rsid w:val="6EF16F2C"/>
    <w:rsid w:val="6F0A6AD1"/>
    <w:rsid w:val="6F3E5DD3"/>
    <w:rsid w:val="6F414BF8"/>
    <w:rsid w:val="6F48408F"/>
    <w:rsid w:val="6F567312"/>
    <w:rsid w:val="6F6B6E76"/>
    <w:rsid w:val="6F9D39F9"/>
    <w:rsid w:val="6FBF0CBE"/>
    <w:rsid w:val="6FE62A3C"/>
    <w:rsid w:val="700551E5"/>
    <w:rsid w:val="701C519F"/>
    <w:rsid w:val="70425469"/>
    <w:rsid w:val="70761FC0"/>
    <w:rsid w:val="707B687B"/>
    <w:rsid w:val="70895E09"/>
    <w:rsid w:val="7099510F"/>
    <w:rsid w:val="70AB6999"/>
    <w:rsid w:val="714E385F"/>
    <w:rsid w:val="71761CBC"/>
    <w:rsid w:val="719705F5"/>
    <w:rsid w:val="71CC489C"/>
    <w:rsid w:val="71E40C1B"/>
    <w:rsid w:val="71EB2D4B"/>
    <w:rsid w:val="71FA1089"/>
    <w:rsid w:val="723123AE"/>
    <w:rsid w:val="72635E85"/>
    <w:rsid w:val="726725EF"/>
    <w:rsid w:val="726927BA"/>
    <w:rsid w:val="729447A4"/>
    <w:rsid w:val="72BE0029"/>
    <w:rsid w:val="72C43394"/>
    <w:rsid w:val="72D57472"/>
    <w:rsid w:val="72D803F5"/>
    <w:rsid w:val="72FA6ED8"/>
    <w:rsid w:val="73143950"/>
    <w:rsid w:val="732E7833"/>
    <w:rsid w:val="73640DA9"/>
    <w:rsid w:val="73762A71"/>
    <w:rsid w:val="739D114F"/>
    <w:rsid w:val="73F10C52"/>
    <w:rsid w:val="74003BB8"/>
    <w:rsid w:val="74030C5C"/>
    <w:rsid w:val="740764C4"/>
    <w:rsid w:val="74233622"/>
    <w:rsid w:val="743C320D"/>
    <w:rsid w:val="7457248A"/>
    <w:rsid w:val="748F437B"/>
    <w:rsid w:val="74A075EE"/>
    <w:rsid w:val="74C846A5"/>
    <w:rsid w:val="74D54B8C"/>
    <w:rsid w:val="74E54611"/>
    <w:rsid w:val="74E66F97"/>
    <w:rsid w:val="74FA6BCA"/>
    <w:rsid w:val="75520687"/>
    <w:rsid w:val="756C3F48"/>
    <w:rsid w:val="75706D9F"/>
    <w:rsid w:val="7573229C"/>
    <w:rsid w:val="75941A49"/>
    <w:rsid w:val="75AF39FB"/>
    <w:rsid w:val="75B229AC"/>
    <w:rsid w:val="75D17B09"/>
    <w:rsid w:val="761D5FB0"/>
    <w:rsid w:val="76384849"/>
    <w:rsid w:val="764837C2"/>
    <w:rsid w:val="76616902"/>
    <w:rsid w:val="7672246C"/>
    <w:rsid w:val="767765A4"/>
    <w:rsid w:val="76816947"/>
    <w:rsid w:val="768D595C"/>
    <w:rsid w:val="76A81E78"/>
    <w:rsid w:val="76A957FA"/>
    <w:rsid w:val="76CD3D30"/>
    <w:rsid w:val="76D87530"/>
    <w:rsid w:val="76F835BB"/>
    <w:rsid w:val="77106CCA"/>
    <w:rsid w:val="771C615D"/>
    <w:rsid w:val="773453A5"/>
    <w:rsid w:val="77395E4B"/>
    <w:rsid w:val="77610C1B"/>
    <w:rsid w:val="778514E1"/>
    <w:rsid w:val="77A81C37"/>
    <w:rsid w:val="77AD229F"/>
    <w:rsid w:val="77C102AB"/>
    <w:rsid w:val="77C45044"/>
    <w:rsid w:val="77E51F05"/>
    <w:rsid w:val="78185266"/>
    <w:rsid w:val="782D1D2A"/>
    <w:rsid w:val="785633F8"/>
    <w:rsid w:val="7860774B"/>
    <w:rsid w:val="78730464"/>
    <w:rsid w:val="789C37ED"/>
    <w:rsid w:val="78B47B29"/>
    <w:rsid w:val="78E80676"/>
    <w:rsid w:val="78FB45AA"/>
    <w:rsid w:val="79123CFF"/>
    <w:rsid w:val="791414CC"/>
    <w:rsid w:val="79180AA3"/>
    <w:rsid w:val="79305D9E"/>
    <w:rsid w:val="794778C4"/>
    <w:rsid w:val="79497822"/>
    <w:rsid w:val="79515BAD"/>
    <w:rsid w:val="7965511D"/>
    <w:rsid w:val="796F0C1B"/>
    <w:rsid w:val="797C182B"/>
    <w:rsid w:val="799B460E"/>
    <w:rsid w:val="7A0C2F62"/>
    <w:rsid w:val="7A0D19FF"/>
    <w:rsid w:val="7A237DDF"/>
    <w:rsid w:val="7A6D27BA"/>
    <w:rsid w:val="7A8506E7"/>
    <w:rsid w:val="7A885F35"/>
    <w:rsid w:val="7ACD5BDC"/>
    <w:rsid w:val="7ACF201F"/>
    <w:rsid w:val="7AD17722"/>
    <w:rsid w:val="7ADC1632"/>
    <w:rsid w:val="7AF745AA"/>
    <w:rsid w:val="7B686CAD"/>
    <w:rsid w:val="7B6E5950"/>
    <w:rsid w:val="7B74156D"/>
    <w:rsid w:val="7B7D4202"/>
    <w:rsid w:val="7B8E6218"/>
    <w:rsid w:val="7B916EDB"/>
    <w:rsid w:val="7C161DFC"/>
    <w:rsid w:val="7C2224C5"/>
    <w:rsid w:val="7C237632"/>
    <w:rsid w:val="7C2D2E5E"/>
    <w:rsid w:val="7C433604"/>
    <w:rsid w:val="7C4B2553"/>
    <w:rsid w:val="7C4E1C8D"/>
    <w:rsid w:val="7C5A3114"/>
    <w:rsid w:val="7C691838"/>
    <w:rsid w:val="7C740168"/>
    <w:rsid w:val="7C9D49A2"/>
    <w:rsid w:val="7CA924CD"/>
    <w:rsid w:val="7CBF19A2"/>
    <w:rsid w:val="7CCF3994"/>
    <w:rsid w:val="7CD36E69"/>
    <w:rsid w:val="7CDD7957"/>
    <w:rsid w:val="7D025F61"/>
    <w:rsid w:val="7D275F29"/>
    <w:rsid w:val="7D4860D1"/>
    <w:rsid w:val="7D541CBA"/>
    <w:rsid w:val="7DA04521"/>
    <w:rsid w:val="7DE64072"/>
    <w:rsid w:val="7E06464F"/>
    <w:rsid w:val="7E1E6451"/>
    <w:rsid w:val="7E1F3FB4"/>
    <w:rsid w:val="7E3C3281"/>
    <w:rsid w:val="7E4639E5"/>
    <w:rsid w:val="7E6E607E"/>
    <w:rsid w:val="7EA1251A"/>
    <w:rsid w:val="7EB16AE7"/>
    <w:rsid w:val="7EBC52BE"/>
    <w:rsid w:val="7EBC598D"/>
    <w:rsid w:val="7EC97423"/>
    <w:rsid w:val="7EF063B9"/>
    <w:rsid w:val="7F0D1D41"/>
    <w:rsid w:val="7F1B2AF6"/>
    <w:rsid w:val="7F4145BF"/>
    <w:rsid w:val="7F467D27"/>
    <w:rsid w:val="7F6D3F66"/>
    <w:rsid w:val="7F735F98"/>
    <w:rsid w:val="7F89347D"/>
    <w:rsid w:val="7F924CC7"/>
    <w:rsid w:val="7F997A92"/>
    <w:rsid w:val="7F9B74A5"/>
    <w:rsid w:val="7FFB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left"/>
      <w:outlineLvl w:val="0"/>
    </w:pPr>
    <w:rPr>
      <w:rFonts w:eastAsia="Times New Roman" w:cs="Times New Roman"/>
      <w:b/>
      <w:bCs/>
      <w:sz w:val="32"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HTML Code"/>
    <w:basedOn w:val="7"/>
    <w:qFormat/>
    <w:uiPriority w:val="0"/>
    <w:rPr>
      <w:rFonts w:ascii="Courier New" w:hAnsi="Courier New"/>
      <w:sz w:val="20"/>
    </w:rPr>
  </w:style>
  <w:style w:type="paragraph" w:customStyle="1" w:styleId="10">
    <w:name w:val="内容"/>
    <w:basedOn w:val="1"/>
    <w:qFormat/>
    <w:uiPriority w:val="0"/>
    <w:pPr>
      <w:spacing w:line="360" w:lineRule="auto"/>
      <w:ind w:firstLine="200" w:firstLineChars="200"/>
      <w:jc w:val="left"/>
    </w:pPr>
    <w:rPr>
      <w:rFonts w:eastAsia="Times New Roman" w:cs="Times New Roman"/>
      <w:bCs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825</Words>
  <Characters>4845</Characters>
  <Lines>0</Lines>
  <Paragraphs>0</Paragraphs>
  <TotalTime>0</TotalTime>
  <ScaleCrop>false</ScaleCrop>
  <LinksUpToDate>false</LinksUpToDate>
  <CharactersWithSpaces>5434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2026-08-06T08:08:00Z</dcterms:created>
  <dc:creator>WPS_1499004857</dc:creator>
  <cp:lastModifiedBy>WPS_1499004857</cp:lastModifiedBy>
  <dcterms:modified xsi:type="dcterms:W3CDTF">2026-09-06T08:05:55Z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3B3CBB8188AA4B4CA9FA54BF5BF20E94_11</vt:lpwstr>
  </property>
  <property fmtid="{D5CDD505-2E9C-101B-9397-08002B2CF9AE}" pid="4" name="KSOTemplateDocerSaveRecord">
    <vt:lpwstr>eyJoZGlkIjoiZWI4NjA4YThkYmI5ZTdmNjc2YWRjZjE1ZGFlNTE0ZDMiLCJ1c2VySWQiOiIyODg2ODgyNzMifQ==</vt:lpwstr>
  </property>
</Properties>
</file>