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color w:val="000000"/>
        </w:rPr>
        <w:t>CARE Checklist – Completed for BMC Neurology Submission</w:t>
      </w:r>
    </w:p>
    <w:p>
      <w:r>
        <w:t>Manuscript: Fourth ventricular cerebral sparganosis mimicking ependymoma with obstructive hydrocephalus: a case report</w:t>
      </w:r>
    </w:p>
    <w:p>
      <w:r>
        <w:t>This checklist follows the CARE case-report framework. Locations are given by manuscript section/table rather than exact line numbers so they remain valid after final author/affiliation details are inserted.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rPr>
                <w:b/>
              </w:rPr>
              <w:t>CARE item</w:t>
            </w:r>
          </w:p>
        </w:tc>
        <w:tc>
          <w:tcPr>
            <w:tcW w:type="dxa" w:w="3120"/>
          </w:tcPr>
          <w:p>
            <w:r>
              <w:rPr>
                <w:b/>
              </w:rPr>
              <w:t>How addressed</w:t>
            </w:r>
          </w:p>
        </w:tc>
        <w:tc>
          <w:tcPr>
            <w:tcW w:type="dxa" w:w="3120"/>
          </w:tcPr>
          <w:p>
            <w:r>
              <w:rPr>
                <w:b/>
              </w:rPr>
              <w:t>Reported in manuscript</w:t>
            </w:r>
          </w:p>
        </w:tc>
      </w:tr>
      <w:tr>
        <w:tc>
          <w:tcPr>
            <w:tcW w:type="dxa" w:w="3120"/>
          </w:tcPr>
          <w:p>
            <w:pPr>
              <w:spacing w:line="240" w:lineRule="auto"/>
            </w:pPr>
            <w:r>
              <w:t>1. Title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Diagnosis/primary focus and “case report” in the title.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Title page</w:t>
            </w:r>
          </w:p>
        </w:tc>
      </w:tr>
      <w:tr>
        <w:tc>
          <w:tcPr>
            <w:tcW w:type="dxa" w:w="3120"/>
          </w:tcPr>
          <w:p>
            <w:pPr>
              <w:spacing w:line="240" w:lineRule="auto"/>
            </w:pPr>
            <w:r>
              <w:t>2. Keywords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Key terms identifying the diagnosis and article type.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Keywords (5 terms)</w:t>
            </w:r>
          </w:p>
        </w:tc>
      </w:tr>
      <w:tr>
        <w:tc>
          <w:tcPr>
            <w:tcW w:type="dxa" w:w="3120"/>
          </w:tcPr>
          <w:p>
            <w:pPr>
              <w:spacing w:line="240" w:lineRule="auto"/>
            </w:pPr>
            <w:r>
              <w:t>3a. Abstract—uniqueness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Explains why the ventricular presentation is unusual.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Abstract—Background</w:t>
            </w:r>
          </w:p>
        </w:tc>
      </w:tr>
      <w:tr>
        <w:tc>
          <w:tcPr>
            <w:tcW w:type="dxa" w:w="3120"/>
          </w:tcPr>
          <w:p>
            <w:pPr>
              <w:spacing w:line="240" w:lineRule="auto"/>
            </w:pPr>
            <w:r>
              <w:t>3b. Abstract—symptoms/findings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Summarizes main concerns and important clinical findings.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Abstract—Case presentation</w:t>
            </w:r>
          </w:p>
        </w:tc>
      </w:tr>
      <w:tr>
        <w:tc>
          <w:tcPr>
            <w:tcW w:type="dxa" w:w="3120"/>
          </w:tcPr>
          <w:p>
            <w:pPr>
              <w:spacing w:line="240" w:lineRule="auto"/>
            </w:pPr>
            <w:r>
              <w:t>3c. Abstract—diagnosis/intervention/outcome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Reports operative findings, histopathological diagnosis, treatment, and outcome.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Abstract—Case presentation</w:t>
            </w:r>
          </w:p>
        </w:tc>
      </w:tr>
      <w:tr>
        <w:tc>
          <w:tcPr>
            <w:tcW w:type="dxa" w:w="3120"/>
          </w:tcPr>
          <w:p>
            <w:pPr>
              <w:spacing w:line="240" w:lineRule="auto"/>
            </w:pPr>
            <w:r>
              <w:t>3d. Abstract—take-away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States the main diagnostic lesson.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Abstract—Conclusions</w:t>
            </w:r>
          </w:p>
        </w:tc>
      </w:tr>
      <w:tr>
        <w:tc>
          <w:tcPr>
            <w:tcW w:type="dxa" w:w="3120"/>
          </w:tcPr>
          <w:p>
            <w:pPr>
              <w:spacing w:line="240" w:lineRule="auto"/>
            </w:pPr>
            <w:r>
              <w:t>4. Introduction/Background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Summarizes rarity, typical imaging, ventricular involvement, and rationale for reporting.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Background</w:t>
            </w:r>
          </w:p>
        </w:tc>
      </w:tr>
      <w:tr>
        <w:tc>
          <w:tcPr>
            <w:tcW w:type="dxa" w:w="3120"/>
          </w:tcPr>
          <w:p>
            <w:pPr>
              <w:spacing w:line="240" w:lineRule="auto"/>
            </w:pPr>
            <w:r>
              <w:t>5. Patient information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Provides de-identified demographic information, symptoms, medical history, and exposure history.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Case presentation, paragraphs 1–2</w:t>
            </w:r>
          </w:p>
        </w:tc>
      </w:tr>
      <w:tr>
        <w:tc>
          <w:tcPr>
            <w:tcW w:type="dxa" w:w="3120"/>
          </w:tcPr>
          <w:p>
            <w:pPr>
              <w:spacing w:line="240" w:lineRule="auto"/>
            </w:pPr>
            <w:r>
              <w:t>6. Clinical findings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Reports vital signs and neurological examination.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Case presentation, paragraph 3</w:t>
            </w:r>
          </w:p>
        </w:tc>
      </w:tr>
      <w:tr>
        <w:tc>
          <w:tcPr>
            <w:tcW w:type="dxa" w:w="3120"/>
          </w:tcPr>
          <w:p>
            <w:pPr>
              <w:spacing w:line="240" w:lineRule="auto"/>
            </w:pPr>
            <w:r>
              <w:t>7. Timeline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Chronological presentation of key events.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Table 1</w:t>
            </w:r>
          </w:p>
        </w:tc>
      </w:tr>
      <w:tr>
        <w:tc>
          <w:tcPr>
            <w:tcW w:type="dxa" w:w="3120"/>
          </w:tcPr>
          <w:p>
            <w:pPr>
              <w:spacing w:line="240" w:lineRule="auto"/>
            </w:pPr>
            <w:r>
              <w:t>8. Diagnostic assessment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Includes laboratory testing, MRI, differential diagnoses, diagnostic limitations, and final pathology.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Case presentation, paragraphs 4–7</w:t>
            </w:r>
          </w:p>
        </w:tc>
      </w:tr>
      <w:tr>
        <w:tc>
          <w:tcPr>
            <w:tcW w:type="dxa" w:w="3120"/>
          </w:tcPr>
          <w:p>
            <w:pPr>
              <w:spacing w:line="240" w:lineRule="auto"/>
            </w:pPr>
            <w:r>
              <w:t>9. Therapeutic intervention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Reports microsurgical resection and postoperative medications with dose/duration.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Case presentation, paragraphs 6 and 8</w:t>
            </w:r>
          </w:p>
        </w:tc>
      </w:tr>
      <w:tr>
        <w:tc>
          <w:tcPr>
            <w:tcW w:type="dxa" w:w="3120"/>
          </w:tcPr>
          <w:p>
            <w:pPr>
              <w:spacing w:line="240" w:lineRule="auto"/>
            </w:pPr>
            <w:r>
              <w:t>10. Follow-up and outcomes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Reports postoperative course, symptom resolution, and 5-month MRI outcome.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Case presentation, paragraph 8; Table 1</w:t>
            </w:r>
          </w:p>
        </w:tc>
      </w:tr>
      <w:tr>
        <w:tc>
          <w:tcPr>
            <w:tcW w:type="dxa" w:w="3120"/>
          </w:tcPr>
          <w:p>
            <w:pPr>
              <w:spacing w:line="240" w:lineRule="auto"/>
            </w:pPr>
            <w:r>
              <w:t>11a. Discussion—strengths/limitations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Explicitly addresses strengths and limitations.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Discussion and Conclusions, final paragraph</w:t>
            </w:r>
          </w:p>
        </w:tc>
      </w:tr>
      <w:tr>
        <w:tc>
          <w:tcPr>
            <w:tcW w:type="dxa" w:w="3120"/>
          </w:tcPr>
          <w:p>
            <w:pPr>
              <w:spacing w:line="240" w:lineRule="auto"/>
            </w:pPr>
            <w:r>
              <w:t>11b. Discussion—literature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Reviews relevant cerebral and ventricular sparganosis literature.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Discussion and Conclusions; Table 2</w:t>
            </w:r>
          </w:p>
        </w:tc>
      </w:tr>
      <w:tr>
        <w:tc>
          <w:tcPr>
            <w:tcW w:type="dxa" w:w="3120"/>
          </w:tcPr>
          <w:p>
            <w:pPr>
              <w:spacing w:line="240" w:lineRule="auto"/>
            </w:pPr>
            <w:r>
              <w:t>11c. Discussion—rationale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Explains diagnostic reasoning and interpretation of operative/pathological findings.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Discussion and Conclusions</w:t>
            </w:r>
          </w:p>
        </w:tc>
      </w:tr>
      <w:tr>
        <w:tc>
          <w:tcPr>
            <w:tcW w:type="dxa" w:w="3120"/>
          </w:tcPr>
          <w:p>
            <w:pPr>
              <w:spacing w:line="240" w:lineRule="auto"/>
            </w:pPr>
            <w:r>
              <w:t>11d. Discussion—take-away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Provides a one-paragraph clinical conclusion without overclaiming treatment efficacy.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Discussion and Conclusions, final paragraph</w:t>
            </w:r>
          </w:p>
        </w:tc>
      </w:tr>
      <w:tr>
        <w:tc>
          <w:tcPr>
            <w:tcW w:type="dxa" w:w="3120"/>
          </w:tcPr>
          <w:p>
            <w:pPr>
              <w:spacing w:line="240" w:lineRule="auto"/>
            </w:pPr>
            <w:r>
              <w:t>12. Patient perspective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Formal narrative perspective was not collected; symptom resolution reported at follow-up.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Patient perspective</w:t>
            </w:r>
          </w:p>
        </w:tc>
      </w:tr>
      <w:tr>
        <w:tc>
          <w:tcPr>
            <w:tcW w:type="dxa" w:w="3120"/>
          </w:tcPr>
          <w:p>
            <w:pPr>
              <w:spacing w:line="240" w:lineRule="auto"/>
            </w:pPr>
            <w:r>
              <w:t>13. Informed consent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Written consent for publication and images obtained.</w:t>
            </w:r>
          </w:p>
        </w:tc>
        <w:tc>
          <w:tcPr>
            <w:tcW w:type="dxa" w:w="3120"/>
          </w:tcPr>
          <w:p>
            <w:pPr>
              <w:spacing w:line="240" w:lineRule="auto"/>
            </w:pPr>
            <w:r>
              <w:t>Declarations—Consent for publication</w:t>
            </w:r>
          </w:p>
        </w:tc>
      </w:tr>
    </w:tbl>
    <w:p>
      <w:r>
        <w:t>Consent obtained: Yes.</w:t>
      </w:r>
    </w:p>
    <w:p>
      <w:r>
        <w:t>Note for authors before upload: retain the signed patient consent form in institutional records; do not upload it unless requested by the journal.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