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9598" w14:textId="499A26F4" w:rsidR="00AA4E0F" w:rsidRDefault="00AA4E0F" w:rsidP="00AA4E0F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4A157EE" wp14:editId="1B730775">
            <wp:extent cx="6122035" cy="5408295"/>
            <wp:effectExtent l="0" t="0" r="0" b="1905"/>
            <wp:docPr id="8928238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540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70723" w14:textId="1B97A7C3" w:rsidR="00AA4E0F" w:rsidRPr="00037EB8" w:rsidRDefault="00AA4E0F" w:rsidP="00AA4E0F">
      <w:pPr>
        <w:spacing w:line="360" w:lineRule="auto"/>
        <w:rPr>
          <w:rFonts w:ascii="Arial" w:hAnsi="Arial"/>
        </w:rPr>
      </w:pPr>
      <w:r w:rsidRPr="00037EB8">
        <w:rPr>
          <w:rFonts w:ascii="Arial" w:hAnsi="Arial"/>
          <w:b/>
          <w:bCs/>
        </w:rPr>
        <w:t>S</w:t>
      </w:r>
      <w:r w:rsidRPr="00037EB8">
        <w:rPr>
          <w:rFonts w:ascii="Arial" w:hAnsi="Arial"/>
          <w:b/>
          <w:bCs/>
          <w:lang w:eastAsia="zh-CN"/>
        </w:rPr>
        <w:t>1</w:t>
      </w:r>
      <w:r w:rsidRPr="00037EB8">
        <w:rPr>
          <w:rFonts w:ascii="Arial" w:hAnsi="Arial"/>
          <w:b/>
          <w:bCs/>
        </w:rPr>
        <w:t xml:space="preserve"> Fig. Leave-one-out sensitivity analysis forest plot.</w:t>
      </w:r>
      <w:r w:rsidRPr="00037EB8">
        <w:rPr>
          <w:rFonts w:ascii="Arial" w:hAnsi="Arial"/>
        </w:rPr>
        <w:t xml:space="preserve"> Each row represents the inverse-variance-weighted estimate obtained when the corresponding SNP was excluded; the bottom row ('All') shows the full estimate across all six instruments.</w:t>
      </w:r>
    </w:p>
    <w:p w14:paraId="43C0A4FD" w14:textId="576E4A56" w:rsidR="00AA4E0F" w:rsidRPr="00037EB8" w:rsidRDefault="00AA4E0F" w:rsidP="00AA4E0F">
      <w:pPr>
        <w:spacing w:line="360" w:lineRule="auto"/>
        <w:rPr>
          <w:rFonts w:ascii="Arial" w:hAnsi="Arial"/>
          <w:b/>
          <w:bCs/>
        </w:rPr>
      </w:pPr>
      <w:r w:rsidRPr="00037EB8">
        <w:rPr>
          <w:rFonts w:ascii="Arial" w:hAnsi="Arial"/>
          <w:noProof/>
        </w:rPr>
        <w:drawing>
          <wp:inline distT="0" distB="0" distL="0" distR="0" wp14:anchorId="032BC0A0" wp14:editId="6D601E30">
            <wp:extent cx="6122035" cy="4679315"/>
            <wp:effectExtent l="0" t="0" r="0" b="6985"/>
            <wp:docPr id="18843501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467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9C13A" w14:textId="6B76B312" w:rsidR="00AA4E0F" w:rsidRPr="00037EB8" w:rsidRDefault="00AA4E0F" w:rsidP="00AA4E0F">
      <w:pPr>
        <w:spacing w:line="360" w:lineRule="auto"/>
        <w:rPr>
          <w:rFonts w:ascii="Arial" w:hAnsi="Arial"/>
        </w:rPr>
      </w:pPr>
      <w:r w:rsidRPr="00037EB8">
        <w:rPr>
          <w:rFonts w:ascii="Arial" w:hAnsi="Arial"/>
          <w:b/>
          <w:bCs/>
        </w:rPr>
        <w:t>S</w:t>
      </w:r>
      <w:r w:rsidRPr="00037EB8">
        <w:rPr>
          <w:rFonts w:ascii="Arial" w:hAnsi="Arial"/>
          <w:b/>
          <w:bCs/>
          <w:lang w:eastAsia="zh-CN"/>
        </w:rPr>
        <w:t>2</w:t>
      </w:r>
      <w:r w:rsidRPr="00037EB8">
        <w:rPr>
          <w:rFonts w:ascii="Arial" w:hAnsi="Arial"/>
          <w:b/>
          <w:bCs/>
        </w:rPr>
        <w:t xml:space="preserve"> Fig. Funnel plot.</w:t>
      </w:r>
      <w:r w:rsidRPr="00037EB8">
        <w:rPr>
          <w:rFonts w:ascii="Arial" w:hAnsi="Arial"/>
        </w:rPr>
        <w:t xml:space="preserve"> Each point represents a single instrumental variable; point size reflects precision (1/SE). The black line is the inverse-variance-weighted regression fit.</w:t>
      </w:r>
    </w:p>
    <w:p w14:paraId="684F6767" w14:textId="77777777" w:rsidR="00703645" w:rsidRPr="00037EB8" w:rsidRDefault="00703645">
      <w:pPr>
        <w:rPr>
          <w:rFonts w:ascii="Arial" w:hAnsi="Arial"/>
        </w:rPr>
      </w:pPr>
    </w:p>
    <w:p w14:paraId="493ECF28" w14:textId="123904DA" w:rsidR="001B393D" w:rsidRPr="00037EB8" w:rsidRDefault="007A576A">
      <w:pPr>
        <w:rPr>
          <w:rFonts w:ascii="Arial" w:hAnsi="Arial"/>
        </w:rPr>
      </w:pPr>
      <w:r w:rsidRPr="00037EB8">
        <w:rPr>
          <w:rFonts w:ascii="Arial" w:hAnsi="Arial"/>
          <w:noProof/>
        </w:rPr>
        <w:drawing>
          <wp:inline distT="0" distB="0" distL="0" distR="0" wp14:anchorId="070D2186" wp14:editId="5ECDA4D2">
            <wp:extent cx="6122035" cy="4894580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489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E0B39" w14:textId="71D56B01" w:rsidR="001B393D" w:rsidRPr="00037EB8" w:rsidRDefault="001B393D" w:rsidP="001B393D">
      <w:pPr>
        <w:spacing w:line="360" w:lineRule="auto"/>
        <w:rPr>
          <w:rFonts w:ascii="Arial" w:hAnsi="Arial"/>
        </w:rPr>
      </w:pPr>
      <w:r w:rsidRPr="00037EB8">
        <w:rPr>
          <w:rFonts w:ascii="Arial" w:hAnsi="Arial"/>
          <w:b/>
          <w:bCs/>
        </w:rPr>
        <w:t>S</w:t>
      </w:r>
      <w:r w:rsidR="00AA4E0F" w:rsidRPr="00037EB8">
        <w:rPr>
          <w:rFonts w:ascii="Arial" w:hAnsi="Arial"/>
          <w:b/>
          <w:bCs/>
          <w:lang w:eastAsia="zh-CN"/>
        </w:rPr>
        <w:t>3</w:t>
      </w:r>
      <w:r w:rsidR="00596CCF" w:rsidRPr="00037EB8">
        <w:rPr>
          <w:rFonts w:ascii="Arial" w:hAnsi="Arial"/>
          <w:b/>
          <w:bCs/>
        </w:rPr>
        <w:t xml:space="preserve"> Fig</w:t>
      </w:r>
      <w:r w:rsidRPr="00037EB8">
        <w:rPr>
          <w:rFonts w:ascii="Arial" w:hAnsi="Arial"/>
          <w:b/>
          <w:bCs/>
        </w:rPr>
        <w:t>.Example CellChat communication heatmap</w:t>
      </w:r>
      <w:r w:rsidR="00596CCF" w:rsidRPr="00037EB8">
        <w:rPr>
          <w:rFonts w:ascii="Arial" w:hAnsi="Arial"/>
          <w:b/>
          <w:bCs/>
          <w:lang w:eastAsia="zh-CN"/>
        </w:rPr>
        <w:t>.</w:t>
      </w:r>
      <w:r w:rsidRPr="00037EB8">
        <w:rPr>
          <w:rFonts w:ascii="Arial" w:hAnsi="Arial"/>
        </w:rPr>
        <w:t xml:space="preserve"> </w:t>
      </w:r>
      <w:r w:rsidR="00596CCF" w:rsidRPr="00037EB8">
        <w:rPr>
          <w:rFonts w:ascii="Arial" w:hAnsi="Arial"/>
        </w:rPr>
        <w:t xml:space="preserve">Example CellChat communication heatmap </w:t>
      </w:r>
      <w:r w:rsidRPr="00037EB8">
        <w:rPr>
          <w:rFonts w:ascii="Arial" w:hAnsi="Arial"/>
        </w:rPr>
        <w:t>for one GSE163558 sample, illustrating the per-sample ligand-receptor probability matrix underlying the aggregated tumor→stroma analysis. Data source: GEO GSE163558.</w:t>
      </w:r>
    </w:p>
    <w:p w14:paraId="7E62CA31" w14:textId="77777777" w:rsidR="002E6E6D" w:rsidRPr="00037EB8" w:rsidRDefault="002E6E6D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1915"/>
        <w:gridCol w:w="2495"/>
        <w:gridCol w:w="1909"/>
      </w:tblGrid>
      <w:tr w:rsidR="007E056B" w:rsidRPr="00037EB8" w14:paraId="3DF596E8" w14:textId="77777777" w:rsidTr="007E056B">
        <w:tc>
          <w:tcPr>
            <w:tcW w:w="2076" w:type="dxa"/>
          </w:tcPr>
          <w:p w14:paraId="2C3936F3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  <w:b/>
              </w:rPr>
              <w:t>Excluded SNP</w:t>
            </w:r>
          </w:p>
        </w:tc>
        <w:tc>
          <w:tcPr>
            <w:tcW w:w="2076" w:type="dxa"/>
          </w:tcPr>
          <w:p w14:paraId="29FDC4D2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  <w:b/>
              </w:rPr>
              <w:t>β (SE)</w:t>
            </w:r>
          </w:p>
        </w:tc>
        <w:tc>
          <w:tcPr>
            <w:tcW w:w="2789" w:type="dxa"/>
          </w:tcPr>
          <w:p w14:paraId="07747D24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  <w:b/>
              </w:rPr>
              <w:t>OR (95% CI)</w:t>
            </w:r>
          </w:p>
        </w:tc>
        <w:tc>
          <w:tcPr>
            <w:tcW w:w="2126" w:type="dxa"/>
          </w:tcPr>
          <w:p w14:paraId="1AF1812F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  <w:b/>
              </w:rPr>
              <w:t>P-value</w:t>
            </w:r>
          </w:p>
        </w:tc>
      </w:tr>
      <w:tr w:rsidR="007E056B" w:rsidRPr="00037EB8" w14:paraId="160A4E6B" w14:textId="77777777" w:rsidTr="007E056B">
        <w:tc>
          <w:tcPr>
            <w:tcW w:w="2076" w:type="dxa"/>
          </w:tcPr>
          <w:p w14:paraId="11AB09EA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rs2978977</w:t>
            </w:r>
          </w:p>
        </w:tc>
        <w:tc>
          <w:tcPr>
            <w:tcW w:w="2076" w:type="dxa"/>
          </w:tcPr>
          <w:p w14:paraId="69A8225C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−0.0417 (0.0090)</w:t>
            </w:r>
          </w:p>
        </w:tc>
        <w:tc>
          <w:tcPr>
            <w:tcW w:w="2789" w:type="dxa"/>
          </w:tcPr>
          <w:p w14:paraId="723B00C8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0.959 (0.942–0.976)</w:t>
            </w:r>
          </w:p>
        </w:tc>
        <w:tc>
          <w:tcPr>
            <w:tcW w:w="2126" w:type="dxa"/>
          </w:tcPr>
          <w:p w14:paraId="5C99DEEF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3.32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⁶</w:t>
            </w:r>
          </w:p>
        </w:tc>
      </w:tr>
      <w:tr w:rsidR="007E056B" w:rsidRPr="00037EB8" w14:paraId="59B5A331" w14:textId="77777777" w:rsidTr="007E056B">
        <w:tc>
          <w:tcPr>
            <w:tcW w:w="2076" w:type="dxa"/>
          </w:tcPr>
          <w:p w14:paraId="246F1F50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rs3805495</w:t>
            </w:r>
          </w:p>
        </w:tc>
        <w:tc>
          <w:tcPr>
            <w:tcW w:w="2076" w:type="dxa"/>
          </w:tcPr>
          <w:p w14:paraId="5610FBA1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−0.0324 (0.0115)</w:t>
            </w:r>
          </w:p>
        </w:tc>
        <w:tc>
          <w:tcPr>
            <w:tcW w:w="2789" w:type="dxa"/>
          </w:tcPr>
          <w:p w14:paraId="649238D6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0.968 (0.947–0.990)</w:t>
            </w:r>
          </w:p>
        </w:tc>
        <w:tc>
          <w:tcPr>
            <w:tcW w:w="2126" w:type="dxa"/>
          </w:tcPr>
          <w:p w14:paraId="589B526A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4.64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³</w:t>
            </w:r>
          </w:p>
        </w:tc>
      </w:tr>
      <w:tr w:rsidR="007E056B" w:rsidRPr="00037EB8" w14:paraId="045B5062" w14:textId="77777777" w:rsidTr="007E056B">
        <w:tc>
          <w:tcPr>
            <w:tcW w:w="2076" w:type="dxa"/>
          </w:tcPr>
          <w:p w14:paraId="28428437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rs3997848</w:t>
            </w:r>
          </w:p>
        </w:tc>
        <w:tc>
          <w:tcPr>
            <w:tcW w:w="2076" w:type="dxa"/>
          </w:tcPr>
          <w:p w14:paraId="1AD6FDA9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−0.0278 (0.0069)</w:t>
            </w:r>
          </w:p>
        </w:tc>
        <w:tc>
          <w:tcPr>
            <w:tcW w:w="2789" w:type="dxa"/>
          </w:tcPr>
          <w:p w14:paraId="44CE0167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0.973 (0.960–0.986)</w:t>
            </w:r>
          </w:p>
        </w:tc>
        <w:tc>
          <w:tcPr>
            <w:tcW w:w="2126" w:type="dxa"/>
          </w:tcPr>
          <w:p w14:paraId="2E18B16C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4.99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⁵</w:t>
            </w:r>
          </w:p>
        </w:tc>
      </w:tr>
      <w:tr w:rsidR="007E056B" w:rsidRPr="00037EB8" w14:paraId="4EAEBBB4" w14:textId="77777777" w:rsidTr="007E056B">
        <w:tc>
          <w:tcPr>
            <w:tcW w:w="2076" w:type="dxa"/>
          </w:tcPr>
          <w:p w14:paraId="3E277267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rs72690905</w:t>
            </w:r>
          </w:p>
        </w:tc>
        <w:tc>
          <w:tcPr>
            <w:tcW w:w="2076" w:type="dxa"/>
          </w:tcPr>
          <w:p w14:paraId="0A5CB91B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−0.0326 (0.0110)</w:t>
            </w:r>
          </w:p>
        </w:tc>
        <w:tc>
          <w:tcPr>
            <w:tcW w:w="2789" w:type="dxa"/>
          </w:tcPr>
          <w:p w14:paraId="2235F290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0.968 (0.947–0.989)</w:t>
            </w:r>
          </w:p>
        </w:tc>
        <w:tc>
          <w:tcPr>
            <w:tcW w:w="2126" w:type="dxa"/>
          </w:tcPr>
          <w:p w14:paraId="0AA7492B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3.00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³</w:t>
            </w:r>
          </w:p>
        </w:tc>
      </w:tr>
      <w:tr w:rsidR="007E056B" w:rsidRPr="00037EB8" w14:paraId="65D73529" w14:textId="77777777" w:rsidTr="007E056B">
        <w:tc>
          <w:tcPr>
            <w:tcW w:w="2076" w:type="dxa"/>
          </w:tcPr>
          <w:p w14:paraId="2063D45D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rs7542186</w:t>
            </w:r>
          </w:p>
        </w:tc>
        <w:tc>
          <w:tcPr>
            <w:tcW w:w="2076" w:type="dxa"/>
          </w:tcPr>
          <w:p w14:paraId="30D6C3CF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−0.0317 (0.0117)</w:t>
            </w:r>
          </w:p>
        </w:tc>
        <w:tc>
          <w:tcPr>
            <w:tcW w:w="2789" w:type="dxa"/>
          </w:tcPr>
          <w:p w14:paraId="3A22B5BD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0.969 (0.947–0.991)</w:t>
            </w:r>
          </w:p>
        </w:tc>
        <w:tc>
          <w:tcPr>
            <w:tcW w:w="2126" w:type="dxa"/>
          </w:tcPr>
          <w:p w14:paraId="60A2EFD2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6.67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³</w:t>
            </w:r>
          </w:p>
        </w:tc>
      </w:tr>
      <w:tr w:rsidR="007E056B" w:rsidRPr="00037EB8" w14:paraId="47B77E89" w14:textId="77777777" w:rsidTr="007E056B">
        <w:tc>
          <w:tcPr>
            <w:tcW w:w="2076" w:type="dxa"/>
          </w:tcPr>
          <w:p w14:paraId="0C1F58FD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rs760077</w:t>
            </w:r>
          </w:p>
        </w:tc>
        <w:tc>
          <w:tcPr>
            <w:tcW w:w="2076" w:type="dxa"/>
          </w:tcPr>
          <w:p w14:paraId="29A59563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−0.0285 (0.0145)</w:t>
            </w:r>
          </w:p>
        </w:tc>
        <w:tc>
          <w:tcPr>
            <w:tcW w:w="2789" w:type="dxa"/>
          </w:tcPr>
          <w:p w14:paraId="5060C8A3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0.972 (0.945–1.000)</w:t>
            </w:r>
          </w:p>
        </w:tc>
        <w:tc>
          <w:tcPr>
            <w:tcW w:w="2126" w:type="dxa"/>
          </w:tcPr>
          <w:p w14:paraId="2BFDEE9B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5.01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²</w:t>
            </w:r>
          </w:p>
        </w:tc>
      </w:tr>
      <w:tr w:rsidR="007E056B" w:rsidRPr="00037EB8" w14:paraId="41A43FB0" w14:textId="77777777" w:rsidTr="007E056B">
        <w:tc>
          <w:tcPr>
            <w:tcW w:w="2076" w:type="dxa"/>
          </w:tcPr>
          <w:p w14:paraId="657E1985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All (6 IVs)</w:t>
            </w:r>
          </w:p>
        </w:tc>
        <w:tc>
          <w:tcPr>
            <w:tcW w:w="2076" w:type="dxa"/>
          </w:tcPr>
          <w:p w14:paraId="31A5F5A8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−0.0324 (0.0098)</w:t>
            </w:r>
          </w:p>
        </w:tc>
        <w:tc>
          <w:tcPr>
            <w:tcW w:w="2789" w:type="dxa"/>
          </w:tcPr>
          <w:p w14:paraId="46CE0EEA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0.968 (0.950–0.987)</w:t>
            </w:r>
          </w:p>
        </w:tc>
        <w:tc>
          <w:tcPr>
            <w:tcW w:w="2126" w:type="dxa"/>
          </w:tcPr>
          <w:p w14:paraId="6A1EFB86" w14:textId="77777777" w:rsidR="007E056B" w:rsidRPr="00037EB8" w:rsidRDefault="007E056B" w:rsidP="006A3944">
            <w:pPr>
              <w:rPr>
                <w:rFonts w:ascii="Arial" w:hAnsi="Arial"/>
              </w:rPr>
            </w:pPr>
            <w:r w:rsidRPr="00037EB8">
              <w:rPr>
                <w:rFonts w:ascii="Arial" w:hAnsi="Arial"/>
              </w:rPr>
              <w:t>9.51 × 10</w:t>
            </w:r>
            <w:r w:rsidRPr="00037EB8">
              <w:rPr>
                <w:rFonts w:ascii="Cambria Math" w:hAnsi="Cambria Math" w:cs="Cambria Math"/>
              </w:rPr>
              <w:t>⁻</w:t>
            </w:r>
            <w:r w:rsidRPr="00037EB8">
              <w:rPr>
                <w:rFonts w:ascii="Arial" w:hAnsi="Arial"/>
              </w:rPr>
              <w:t>⁴</w:t>
            </w:r>
          </w:p>
        </w:tc>
      </w:tr>
    </w:tbl>
    <w:p w14:paraId="051F5350" w14:textId="77777777" w:rsidR="007E056B" w:rsidRPr="00037EB8" w:rsidRDefault="007E056B" w:rsidP="007E056B">
      <w:pPr>
        <w:spacing w:line="360" w:lineRule="auto"/>
        <w:rPr>
          <w:rFonts w:ascii="Arial" w:hAnsi="Arial"/>
        </w:rPr>
      </w:pPr>
      <w:r w:rsidRPr="00037EB8">
        <w:rPr>
          <w:rFonts w:ascii="Arial" w:hAnsi="Arial"/>
          <w:b/>
          <w:bCs/>
        </w:rPr>
        <w:t>S1 Table. Leave-one-out sensitivity analysis of the Mendelian randomization estimate for gastric cancer on appendicular lean mass.</w:t>
      </w:r>
      <w:r w:rsidRPr="00037EB8">
        <w:rPr>
          <w:rFonts w:ascii="Arial" w:hAnsi="Arial"/>
        </w:rPr>
        <w:t xml:space="preserve"> Shown are the per-omission inverse-variance-weighted natural-log odds ratio (β), standard error (SE), odds ratio (OR) with 95% confidence interval, and P-value for each excluded SNP and for all six instruments combined.</w:t>
      </w:r>
    </w:p>
    <w:p w14:paraId="43007F45" w14:textId="77777777" w:rsidR="007E056B" w:rsidRPr="00037EB8" w:rsidRDefault="007E056B">
      <w:pPr>
        <w:rPr>
          <w:rFonts w:ascii="Arial" w:hAnsi="Arial"/>
        </w:rPr>
      </w:pPr>
    </w:p>
    <w:sectPr w:rsidR="007E056B" w:rsidRPr="00037EB8" w:rsidSect="002A18E7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9AF59" w14:textId="77777777" w:rsidR="00DA3AC9" w:rsidRDefault="00DA3AC9" w:rsidP="001B39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52943B5" w14:textId="77777777" w:rsidR="00DA3AC9" w:rsidRDefault="00DA3AC9" w:rsidP="001B39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E9544" w14:textId="77777777" w:rsidR="00DA3AC9" w:rsidRDefault="00DA3AC9" w:rsidP="001B39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C2BD9E" w14:textId="77777777" w:rsidR="00DA3AC9" w:rsidRDefault="00DA3AC9" w:rsidP="001B393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3D"/>
    <w:rsid w:val="00037EB8"/>
    <w:rsid w:val="000D64BB"/>
    <w:rsid w:val="0015046D"/>
    <w:rsid w:val="001B393D"/>
    <w:rsid w:val="002A18E7"/>
    <w:rsid w:val="002E6E6D"/>
    <w:rsid w:val="00312476"/>
    <w:rsid w:val="00353351"/>
    <w:rsid w:val="00367C28"/>
    <w:rsid w:val="00374F11"/>
    <w:rsid w:val="00411E7C"/>
    <w:rsid w:val="004137F2"/>
    <w:rsid w:val="0043609A"/>
    <w:rsid w:val="00442765"/>
    <w:rsid w:val="004C37DF"/>
    <w:rsid w:val="0050734E"/>
    <w:rsid w:val="00596CCF"/>
    <w:rsid w:val="005D01AD"/>
    <w:rsid w:val="00694AE7"/>
    <w:rsid w:val="006F43D3"/>
    <w:rsid w:val="00703645"/>
    <w:rsid w:val="00717646"/>
    <w:rsid w:val="0072571B"/>
    <w:rsid w:val="007A576A"/>
    <w:rsid w:val="007E056B"/>
    <w:rsid w:val="00816B31"/>
    <w:rsid w:val="00923476"/>
    <w:rsid w:val="009762B9"/>
    <w:rsid w:val="00991D79"/>
    <w:rsid w:val="009F14AC"/>
    <w:rsid w:val="00AA4E0F"/>
    <w:rsid w:val="00BA52FC"/>
    <w:rsid w:val="00C11D9F"/>
    <w:rsid w:val="00CF485F"/>
    <w:rsid w:val="00D75C60"/>
    <w:rsid w:val="00D7676D"/>
    <w:rsid w:val="00DA3AC9"/>
    <w:rsid w:val="00DB4B2C"/>
    <w:rsid w:val="00DE01FB"/>
    <w:rsid w:val="00EC08C3"/>
    <w:rsid w:val="00ED123E"/>
    <w:rsid w:val="00F8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D2A2B"/>
  <w15:chartTrackingRefBased/>
  <w15:docId w15:val="{34D32D57-8B51-4F9D-9AA5-CE52ECC8A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宋体" w:hAnsi="等线" w:cs="Arial"/>
        <w:lang w:val="x-none" w:eastAsia="x-non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B393D"/>
    <w:pPr>
      <w:keepNext/>
      <w:keepLines/>
      <w:spacing w:before="360" w:after="80"/>
      <w:outlineLvl w:val="0"/>
    </w:pPr>
    <w:rPr>
      <w:rFonts w:ascii="等线 Light" w:eastAsia="Times New Roman" w:hAnsi="等线 Light" w:cs="Times New Roman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93D"/>
    <w:pPr>
      <w:keepNext/>
      <w:keepLines/>
      <w:spacing w:before="160" w:after="80"/>
      <w:outlineLvl w:val="1"/>
    </w:pPr>
    <w:rPr>
      <w:rFonts w:ascii="等线 Light" w:eastAsia="Times New Roman" w:hAnsi="等线 Light" w:cs="Times New Roman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93D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93D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93D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93D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93D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93D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93D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1B393D"/>
    <w:rPr>
      <w:rFonts w:ascii="等线 Light" w:eastAsia="Times New Roman" w:hAnsi="等线 Light" w:cs="Times New Roman"/>
      <w:color w:val="0F4761"/>
      <w:sz w:val="40"/>
      <w:szCs w:val="40"/>
    </w:rPr>
  </w:style>
  <w:style w:type="character" w:customStyle="1" w:styleId="20">
    <w:name w:val="标题 2 字符"/>
    <w:link w:val="2"/>
    <w:uiPriority w:val="9"/>
    <w:semiHidden/>
    <w:rsid w:val="001B393D"/>
    <w:rPr>
      <w:rFonts w:ascii="等线 Light" w:eastAsia="Times New Roman" w:hAnsi="等线 Light" w:cs="Times New Roman"/>
      <w:color w:val="0F4761"/>
      <w:sz w:val="32"/>
      <w:szCs w:val="32"/>
    </w:rPr>
  </w:style>
  <w:style w:type="character" w:customStyle="1" w:styleId="30">
    <w:name w:val="标题 3 字符"/>
    <w:link w:val="3"/>
    <w:uiPriority w:val="9"/>
    <w:semiHidden/>
    <w:rsid w:val="001B393D"/>
    <w:rPr>
      <w:rFonts w:eastAsia="Times New Roman" w:cs="Times New Roman"/>
      <w:color w:val="0F4761"/>
      <w:sz w:val="28"/>
      <w:szCs w:val="28"/>
    </w:rPr>
  </w:style>
  <w:style w:type="character" w:customStyle="1" w:styleId="40">
    <w:name w:val="标题 4 字符"/>
    <w:link w:val="4"/>
    <w:uiPriority w:val="9"/>
    <w:semiHidden/>
    <w:rsid w:val="001B393D"/>
    <w:rPr>
      <w:rFonts w:eastAsia="Times New Roman" w:cs="Times New Roman"/>
      <w:i/>
      <w:iCs/>
      <w:color w:val="0F4761"/>
    </w:rPr>
  </w:style>
  <w:style w:type="character" w:customStyle="1" w:styleId="50">
    <w:name w:val="标题 5 字符"/>
    <w:link w:val="5"/>
    <w:uiPriority w:val="9"/>
    <w:semiHidden/>
    <w:rsid w:val="001B393D"/>
    <w:rPr>
      <w:rFonts w:eastAsia="Times New Roman" w:cs="Times New Roman"/>
      <w:color w:val="0F4761"/>
    </w:rPr>
  </w:style>
  <w:style w:type="character" w:customStyle="1" w:styleId="60">
    <w:name w:val="标题 6 字符"/>
    <w:link w:val="6"/>
    <w:uiPriority w:val="9"/>
    <w:semiHidden/>
    <w:rsid w:val="001B393D"/>
    <w:rPr>
      <w:rFonts w:eastAsia="Times New Roman" w:cs="Times New Roman"/>
      <w:i/>
      <w:iCs/>
      <w:color w:val="595959"/>
    </w:rPr>
  </w:style>
  <w:style w:type="character" w:customStyle="1" w:styleId="70">
    <w:name w:val="标题 7 字符"/>
    <w:link w:val="7"/>
    <w:uiPriority w:val="9"/>
    <w:semiHidden/>
    <w:rsid w:val="001B393D"/>
    <w:rPr>
      <w:rFonts w:eastAsia="Times New Roman" w:cs="Times New Roman"/>
      <w:color w:val="595959"/>
    </w:rPr>
  </w:style>
  <w:style w:type="character" w:customStyle="1" w:styleId="80">
    <w:name w:val="标题 8 字符"/>
    <w:link w:val="8"/>
    <w:uiPriority w:val="9"/>
    <w:semiHidden/>
    <w:rsid w:val="001B393D"/>
    <w:rPr>
      <w:rFonts w:eastAsia="Times New Roman" w:cs="Times New Roman"/>
      <w:i/>
      <w:iCs/>
      <w:color w:val="272727"/>
    </w:rPr>
  </w:style>
  <w:style w:type="character" w:customStyle="1" w:styleId="90">
    <w:name w:val="标题 9 字符"/>
    <w:link w:val="9"/>
    <w:uiPriority w:val="9"/>
    <w:semiHidden/>
    <w:rsid w:val="001B393D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1B393D"/>
    <w:pPr>
      <w:spacing w:after="80" w:line="240" w:lineRule="auto"/>
      <w:contextualSpacing/>
    </w:pPr>
    <w:rPr>
      <w:rFonts w:ascii="等线 Light" w:eastAsia="Times New Roman" w:hAnsi="等线 Light" w:cs="Times New Roman"/>
      <w:spacing w:val="-10"/>
      <w:kern w:val="28"/>
      <w:sz w:val="56"/>
      <w:szCs w:val="56"/>
    </w:rPr>
  </w:style>
  <w:style w:type="character" w:customStyle="1" w:styleId="a4">
    <w:name w:val="标题 字符"/>
    <w:link w:val="a3"/>
    <w:uiPriority w:val="10"/>
    <w:rsid w:val="001B393D"/>
    <w:rPr>
      <w:rFonts w:ascii="等线 Light" w:eastAsia="Times New Roman" w:hAnsi="等线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93D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a6">
    <w:name w:val="副标题 字符"/>
    <w:link w:val="a5"/>
    <w:uiPriority w:val="11"/>
    <w:rsid w:val="001B393D"/>
    <w:rPr>
      <w:rFonts w:eastAsia="Times New Roman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393D"/>
    <w:pPr>
      <w:spacing w:before="160"/>
      <w:jc w:val="center"/>
    </w:pPr>
    <w:rPr>
      <w:i/>
      <w:iCs/>
      <w:color w:val="404040"/>
    </w:rPr>
  </w:style>
  <w:style w:type="character" w:customStyle="1" w:styleId="a8">
    <w:name w:val="引用 字符"/>
    <w:link w:val="a7"/>
    <w:uiPriority w:val="29"/>
    <w:rsid w:val="001B393D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1B393D"/>
    <w:pPr>
      <w:ind w:left="720"/>
      <w:contextualSpacing/>
    </w:pPr>
  </w:style>
  <w:style w:type="character" w:styleId="aa">
    <w:name w:val="Intense Emphasis"/>
    <w:uiPriority w:val="21"/>
    <w:qFormat/>
    <w:rsid w:val="001B393D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1B393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明显引用 字符"/>
    <w:link w:val="ab"/>
    <w:uiPriority w:val="30"/>
    <w:rsid w:val="001B393D"/>
    <w:rPr>
      <w:i/>
      <w:iCs/>
      <w:color w:val="0F4761"/>
    </w:rPr>
  </w:style>
  <w:style w:type="character" w:styleId="ad">
    <w:name w:val="Intense Reference"/>
    <w:uiPriority w:val="32"/>
    <w:qFormat/>
    <w:rsid w:val="001B393D"/>
    <w:rPr>
      <w:b/>
      <w:bCs/>
      <w:smallCaps/>
      <w:color w:val="0F4761"/>
      <w:spacing w:val="5"/>
    </w:rPr>
  </w:style>
  <w:style w:type="paragraph" w:styleId="ae">
    <w:name w:val="header"/>
    <w:basedOn w:val="a"/>
    <w:link w:val="af"/>
    <w:uiPriority w:val="99"/>
    <w:unhideWhenUsed/>
    <w:rsid w:val="001B39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1B393D"/>
  </w:style>
  <w:style w:type="paragraph" w:styleId="af0">
    <w:name w:val="footer"/>
    <w:basedOn w:val="a"/>
    <w:link w:val="af1"/>
    <w:uiPriority w:val="99"/>
    <w:unhideWhenUsed/>
    <w:rsid w:val="001B39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1B3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1270</Characters>
  <Application>Microsoft Office Word</Application>
  <DocSecurity>0</DocSecurity>
  <PresentationFormat/>
  <Lines>10</Lines>
  <Paragraphs>2</Paragraphs>
  <Slides>0</Slides>
  <Notes>0</Notes>
  <HiddenSlides>0</HiddenSlides>
  <MMClips>0</MMClips>
  <ScaleCrop>false</ScaleCrop>
  <Manager/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吴起浩</dc:creator>
  <cp:keywords/>
  <dc:description/>
  <cp:lastModifiedBy>起浩 吴</cp:lastModifiedBy>
  <cp:revision>8</cp:revision>
  <dcterms:created xsi:type="dcterms:W3CDTF">2026-07-17T15:49:00Z</dcterms:created>
  <dcterms:modified xsi:type="dcterms:W3CDTF">2026-07-25T12:51:00Z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