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A2C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360" w:lineRule="auto"/>
        <w:jc w:val="both"/>
        <w:textAlignment w:val="auto"/>
        <w:rPr>
          <w:rFonts w:hint="default" w:ascii="Times New Roman Bold" w:hAnsi="Times New Roman Bold" w:cs="Times New Roman Bold"/>
          <w:b/>
          <w:bCs w:val="0"/>
          <w:i w:val="0"/>
          <w:iCs w:val="0"/>
          <w:color w:val="auto"/>
          <w:sz w:val="24"/>
          <w:szCs w:val="24"/>
        </w:rPr>
      </w:pPr>
      <w:r>
        <w:rPr>
          <w:rFonts w:hint="default" w:ascii="Times New Roman Bold" w:hAnsi="Times New Roman Bold" w:eastAsia="微软雅黑" w:cs="Times New Roman Bold"/>
          <w:b/>
          <w:bCs w:val="0"/>
          <w:i w:val="0"/>
          <w:iCs w:val="0"/>
          <w:color w:val="auto"/>
          <w:sz w:val="24"/>
          <w:szCs w:val="24"/>
        </w:rPr>
        <w:t>Table 1. Published clinical reports of BRAF V600E detected after ALK-TKI resistance.</w:t>
      </w:r>
      <w:bookmarkStart w:id="0" w:name="_GoBack"/>
      <w:bookmarkEnd w:id="0"/>
    </w:p>
    <w:tbl>
      <w:tblPr>
        <w:tblStyle w:val="3"/>
        <w:tblW w:w="136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2341"/>
        <w:gridCol w:w="1800"/>
        <w:gridCol w:w="2736"/>
        <w:gridCol w:w="2592"/>
        <w:gridCol w:w="2448"/>
      </w:tblGrid>
      <w:tr w14:paraId="24AA7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1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409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Study</w:t>
            </w:r>
          </w:p>
        </w:tc>
        <w:tc>
          <w:tcPr>
            <w:tcW w:w="2341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57FA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Setting</w:t>
            </w:r>
          </w:p>
        </w:tc>
        <w:tc>
          <w:tcPr>
            <w:tcW w:w="1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B1B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Prior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ALK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-TKI</w:t>
            </w:r>
          </w:p>
        </w:tc>
        <w:tc>
          <w:tcPr>
            <w:tcW w:w="2736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D3C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Resistance finding</w:t>
            </w:r>
          </w:p>
        </w:tc>
        <w:tc>
          <w:tcPr>
            <w:tcW w:w="259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D71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Treatment after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BRAF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 detection</w:t>
            </w:r>
          </w:p>
        </w:tc>
        <w:tc>
          <w:tcPr>
            <w:tcW w:w="2448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D110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Outcome/conclusion</w:t>
            </w:r>
          </w:p>
        </w:tc>
      </w:tr>
      <w:tr w14:paraId="10B30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5F1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Urbanska et al., 2020</w:t>
            </w:r>
          </w:p>
        </w:tc>
        <w:tc>
          <w:tcPr>
            <w:tcW w:w="234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6F0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Serial re-biopsies in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ALK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-rearranged metastatic NSCLC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245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  <w:lang w:val="en-US" w:eastAsia="zh-CN"/>
              </w:rPr>
              <w:t>Crizotinib, ceritinib, and alectinib sequentially</w:t>
            </w:r>
          </w:p>
        </w:tc>
        <w:tc>
          <w:tcPr>
            <w:tcW w:w="27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5F4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BRAF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 V600E emerged after ceritinib and persisted after later progression</w:t>
            </w:r>
          </w:p>
        </w:tc>
        <w:tc>
          <w:tcPr>
            <w:tcW w:w="259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465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Alectinib with mixed response; later pemetrexed, alectinib rechallenge, and lorlatinib</w:t>
            </w:r>
          </w:p>
        </w:tc>
        <w:tc>
          <w:tcPr>
            <w:tcW w:w="2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F27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Supports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BRAF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 V600E as a rare bypass resistance alteration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  <w:lang w:val="en-US"/>
              </w:rPr>
              <w:t xml:space="preserve">;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BRAF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  <w:lang w:val="en-US"/>
              </w:rPr>
              <w:t>/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MEK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  <w:lang w:val="en-US"/>
              </w:rPr>
              <w:t xml:space="preserve"> inhibitors were not used at that time; ultimately, lorlatinib was ineffective</w:t>
            </w:r>
          </w:p>
        </w:tc>
      </w:tr>
      <w:tr w14:paraId="03678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819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Zhang et al., 2022</w:t>
            </w:r>
          </w:p>
        </w:tc>
        <w:tc>
          <w:tcPr>
            <w:tcW w:w="234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D5F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Advanced lung adenocarcinoma with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EML4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-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ALK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 and high PD-L1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333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Alectinib</w:t>
            </w:r>
          </w:p>
        </w:tc>
        <w:tc>
          <w:tcPr>
            <w:tcW w:w="27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6C4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Liver biopsy showed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BRAF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 V600E with persistent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EML4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-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ALK</w:t>
            </w:r>
          </w:p>
        </w:tc>
        <w:tc>
          <w:tcPr>
            <w:tcW w:w="259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198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Ensartinib +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  <w:lang w:val="en-US"/>
              </w:rPr>
              <w:t>dabrafenib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, then lorlatinib +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  <w:lang w:val="en-US"/>
              </w:rPr>
              <w:t>dabrafenib</w:t>
            </w:r>
          </w:p>
        </w:tc>
        <w:tc>
          <w:tcPr>
            <w:tcW w:w="2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71A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Ensartinib +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  <w:lang w:val="en-US"/>
              </w:rPr>
              <w:t>dabrafenib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 caused fever, chills, fatigue, and anorexia; PD after 1 month. Lorlatinib +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  <w:lang w:val="en-US"/>
              </w:rPr>
              <w:t>dabrafenib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: PD. OS: 10 months.</w:t>
            </w:r>
          </w:p>
        </w:tc>
      </w:tr>
      <w:tr w14:paraId="327B3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F22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Ogimoto et al., 2024</w:t>
            </w:r>
          </w:p>
        </w:tc>
        <w:tc>
          <w:tcPr>
            <w:tcW w:w="234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EBB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Young adult with HIP1-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ALK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-rearranged lung adenocarcinoma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183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Alectinib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  <w:lang w:val="en-US"/>
              </w:rPr>
              <w:t>, then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 lorlatinib</w:t>
            </w:r>
          </w:p>
        </w:tc>
        <w:tc>
          <w:tcPr>
            <w:tcW w:w="27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7D3C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Pericardial effusion showed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BRAF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 V600E with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ALK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 V1180L</w:t>
            </w:r>
          </w:p>
        </w:tc>
        <w:tc>
          <w:tcPr>
            <w:tcW w:w="259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F5B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  <w:lang w:val="en-US"/>
              </w:rPr>
              <w:t>dabrafenib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 + trametinib; later chemotherapy and brigatinib</w:t>
            </w:r>
          </w:p>
        </w:tc>
        <w:tc>
          <w:tcPr>
            <w:tcW w:w="2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D26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Dual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BRAF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/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MEK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 inhibition: worsening pericardial effusion and lung mass after 1 month. Subsequent brigatinib improved abdominal distension and ascites.</w:t>
            </w:r>
          </w:p>
        </w:tc>
      </w:tr>
      <w:tr w14:paraId="722D3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169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4E4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Present case</w:t>
            </w:r>
          </w:p>
        </w:tc>
        <w:tc>
          <w:tcPr>
            <w:tcW w:w="234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4ED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ALK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-rearranged lung adenocarcinoma after durable lorlatinib benefit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76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Lorlatinib for &gt;36 months</w:t>
            </w:r>
          </w:p>
        </w:tc>
        <w:tc>
          <w:tcPr>
            <w:tcW w:w="27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C3FC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Lung biopsy showed ZNF804A-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ALK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,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EML4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>-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ALK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, and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/>
                <w:iCs w:val="0"/>
                <w:color w:val="141414"/>
                <w:sz w:val="21"/>
                <w:szCs w:val="21"/>
                <w:lang w:val="en-US"/>
              </w:rPr>
              <w:t>BRAF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 V600E</w:t>
            </w:r>
          </w:p>
        </w:tc>
        <w:tc>
          <w:tcPr>
            <w:tcW w:w="259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3D5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Lorlatinib +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  <w:lang w:val="en-US"/>
              </w:rPr>
              <w:t>dabrafenib</w:t>
            </w: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 + trametinib</w:t>
            </w:r>
          </w:p>
        </w:tc>
        <w:tc>
          <w:tcPr>
            <w:tcW w:w="2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0C0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1414"/>
                <w:sz w:val="21"/>
                <w:szCs w:val="21"/>
              </w:rPr>
              <w:t xml:space="preserve">Partial response at 1 month; </w:t>
            </w:r>
          </w:p>
          <w:p w14:paraId="3BA55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360" w:lineRule="auto"/>
              <w:jc w:val="both"/>
              <w:textAlignment w:val="auto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 w:val="0"/>
                <w:iCs w:val="0"/>
                <w:color w:val="1470D1"/>
                <w:sz w:val="21"/>
                <w:szCs w:val="21"/>
              </w:rPr>
              <w:t>longer follow-up pending</w:t>
            </w:r>
          </w:p>
        </w:tc>
      </w:tr>
    </w:tbl>
    <w:p w14:paraId="3118B8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line="360" w:lineRule="auto"/>
        <w:jc w:val="both"/>
        <w:textAlignment w:val="auto"/>
        <w:rPr>
          <w:rFonts w:hint="default" w:ascii="Times New Roman Regular" w:hAnsi="Times New Roman Regular" w:cs="Times New Roman Regular"/>
          <w:b w:val="0"/>
          <w:bCs/>
          <w:i w:val="0"/>
          <w:iCs w:val="0"/>
          <w:sz w:val="24"/>
          <w:szCs w:val="24"/>
        </w:rPr>
      </w:pPr>
      <w:r>
        <w:rPr>
          <w:rFonts w:hint="default" w:ascii="Times New Roman Regular" w:hAnsi="Times New Roman Regular" w:cs="Times New Roman Regular"/>
          <w:b w:val="0"/>
          <w:bCs/>
          <w:i w:val="0"/>
          <w:iCs w:val="0"/>
          <w:sz w:val="24"/>
          <w:szCs w:val="24"/>
          <w:lang w:val="en-US" w:eastAsia="zh-CN"/>
        </w:rPr>
        <w:t>PD, progressive disease; OS, overall survival.</w:t>
      </w:r>
    </w:p>
    <w:p w14:paraId="7B907F0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 Bold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D400E2"/>
    <w:rsid w:val="04501041"/>
    <w:rsid w:val="6AD4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64" w:lineRule="auto"/>
    </w:pPr>
    <w:rPr>
      <w:rFonts w:ascii="Calibri" w:hAnsi="Calibri" w:eastAsia="微软雅黑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</Words>
  <Characters>1401</Characters>
  <Lines>0</Lines>
  <Paragraphs>0</Paragraphs>
  <TotalTime>1</TotalTime>
  <ScaleCrop>false</ScaleCrop>
  <LinksUpToDate>false</LinksUpToDate>
  <CharactersWithSpaces>1583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2026-07-02T10:06:00Z</dcterms:created>
  <dc:creator>Jun</dc:creator>
  <cp:lastModifiedBy>刘克军</cp:lastModifiedBy>
  <dcterms:modified xsi:type="dcterms:W3CDTF">2026-08-13T12:01:44Z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60BCE9CE08D447BF93E7ED708742ACF1_13</vt:lpwstr>
  </property>
</Properties>
</file>