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EB094" w14:textId="77777777" w:rsidR="007E6D51" w:rsidRPr="005414A5" w:rsidRDefault="007E6D51" w:rsidP="007E6D51">
      <w:pPr>
        <w:rPr>
          <w:lang w:val="en-ID"/>
        </w:rPr>
      </w:pPr>
      <w:r w:rsidRPr="005414A5">
        <w:rPr>
          <w:b/>
          <w:bCs/>
          <w:lang w:val="en-ID"/>
        </w:rPr>
        <w:t>Table 3. Predictive performance measures used in the study.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1758"/>
        <w:gridCol w:w="5444"/>
      </w:tblGrid>
      <w:tr w:rsidR="007E6D51" w:rsidRPr="005414A5" w14:paraId="4D4DB50F" w14:textId="77777777" w:rsidTr="00B52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D8FBCD" w14:textId="77777777" w:rsidR="007E6D51" w:rsidRPr="005414A5" w:rsidRDefault="007E6D51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Evaluation domain</w:t>
            </w:r>
          </w:p>
        </w:tc>
        <w:tc>
          <w:tcPr>
            <w:tcW w:w="0" w:type="auto"/>
            <w:vAlign w:val="center"/>
            <w:hideMark/>
          </w:tcPr>
          <w:p w14:paraId="7F40BFBC" w14:textId="77777777" w:rsidR="007E6D51" w:rsidRPr="005414A5" w:rsidRDefault="007E6D51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Measure</w:t>
            </w:r>
          </w:p>
        </w:tc>
        <w:tc>
          <w:tcPr>
            <w:tcW w:w="0" w:type="auto"/>
            <w:vAlign w:val="center"/>
            <w:hideMark/>
          </w:tcPr>
          <w:p w14:paraId="72088E73" w14:textId="77777777" w:rsidR="007E6D51" w:rsidRPr="005414A5" w:rsidRDefault="007E6D51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Purpose</w:t>
            </w:r>
          </w:p>
        </w:tc>
      </w:tr>
      <w:tr w:rsidR="007E6D51" w:rsidRPr="005414A5" w14:paraId="56004D63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7CDDA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Discrimination</w:t>
            </w:r>
          </w:p>
        </w:tc>
        <w:tc>
          <w:tcPr>
            <w:tcW w:w="0" w:type="auto"/>
            <w:vAlign w:val="center"/>
            <w:hideMark/>
          </w:tcPr>
          <w:p w14:paraId="4710F006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AUROC</w:t>
            </w:r>
          </w:p>
        </w:tc>
        <w:tc>
          <w:tcPr>
            <w:tcW w:w="0" w:type="auto"/>
            <w:vAlign w:val="center"/>
            <w:hideMark/>
          </w:tcPr>
          <w:p w14:paraId="6FD4E91F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Assessed the ability to distinguish readmitted from non-readmitted patients</w:t>
            </w:r>
          </w:p>
        </w:tc>
      </w:tr>
      <w:tr w:rsidR="007E6D51" w:rsidRPr="005414A5" w14:paraId="30006AA6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5A402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Classification</w:t>
            </w:r>
          </w:p>
        </w:tc>
        <w:tc>
          <w:tcPr>
            <w:tcW w:w="0" w:type="auto"/>
            <w:vAlign w:val="center"/>
            <w:hideMark/>
          </w:tcPr>
          <w:p w14:paraId="4191C0C9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Precision</w:t>
            </w:r>
          </w:p>
        </w:tc>
        <w:tc>
          <w:tcPr>
            <w:tcW w:w="0" w:type="auto"/>
            <w:vAlign w:val="center"/>
            <w:hideMark/>
          </w:tcPr>
          <w:p w14:paraId="0F9DB39E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Assessed the proportion of predicted positive cases that were actual positive cases</w:t>
            </w:r>
          </w:p>
        </w:tc>
      </w:tr>
      <w:tr w:rsidR="007E6D51" w:rsidRPr="005414A5" w14:paraId="5BB35D39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082944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Classification</w:t>
            </w:r>
          </w:p>
        </w:tc>
        <w:tc>
          <w:tcPr>
            <w:tcW w:w="0" w:type="auto"/>
            <w:vAlign w:val="center"/>
            <w:hideMark/>
          </w:tcPr>
          <w:p w14:paraId="2323C9B5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Recall/sensitivity</w:t>
            </w:r>
          </w:p>
        </w:tc>
        <w:tc>
          <w:tcPr>
            <w:tcW w:w="0" w:type="auto"/>
            <w:vAlign w:val="center"/>
            <w:hideMark/>
          </w:tcPr>
          <w:p w14:paraId="2EFDDA7B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Assessed the proportion of actual readmissions correctly identified</w:t>
            </w:r>
          </w:p>
        </w:tc>
      </w:tr>
      <w:tr w:rsidR="007E6D51" w:rsidRPr="005414A5" w14:paraId="383E4EE5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0C4AEC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Classification</w:t>
            </w:r>
          </w:p>
        </w:tc>
        <w:tc>
          <w:tcPr>
            <w:tcW w:w="0" w:type="auto"/>
            <w:vAlign w:val="center"/>
            <w:hideMark/>
          </w:tcPr>
          <w:p w14:paraId="71A2F2D5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F1-score</w:t>
            </w:r>
          </w:p>
        </w:tc>
        <w:tc>
          <w:tcPr>
            <w:tcW w:w="0" w:type="auto"/>
            <w:vAlign w:val="center"/>
            <w:hideMark/>
          </w:tcPr>
          <w:p w14:paraId="134AD0F0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Provided a combined measure of precision and recall</w:t>
            </w:r>
          </w:p>
        </w:tc>
      </w:tr>
      <w:tr w:rsidR="007E6D51" w:rsidRPr="005414A5" w14:paraId="2C9FBF1E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57A83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Classification</w:t>
            </w:r>
          </w:p>
        </w:tc>
        <w:tc>
          <w:tcPr>
            <w:tcW w:w="0" w:type="auto"/>
            <w:vAlign w:val="center"/>
            <w:hideMark/>
          </w:tcPr>
          <w:p w14:paraId="5519CCD4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Confusion matrix</w:t>
            </w:r>
          </w:p>
        </w:tc>
        <w:tc>
          <w:tcPr>
            <w:tcW w:w="0" w:type="auto"/>
            <w:vAlign w:val="center"/>
            <w:hideMark/>
          </w:tcPr>
          <w:p w14:paraId="59D3C7AB" w14:textId="77777777" w:rsidR="007E6D51" w:rsidRPr="005414A5" w:rsidRDefault="007E6D51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Characterized true-positive, true-negative, false-positive, and false-negative classifications</w:t>
            </w:r>
          </w:p>
        </w:tc>
      </w:tr>
    </w:tbl>
    <w:p w14:paraId="59F2CC37" w14:textId="77777777" w:rsidR="00891EC4" w:rsidRDefault="00891EC4"/>
    <w:sectPr w:rsidR="00891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8F4AE" w14:textId="77777777" w:rsidR="008C6254" w:rsidRDefault="008C6254" w:rsidP="007E6D51">
      <w:pPr>
        <w:spacing w:after="0" w:line="240" w:lineRule="auto"/>
      </w:pPr>
      <w:r>
        <w:separator/>
      </w:r>
    </w:p>
  </w:endnote>
  <w:endnote w:type="continuationSeparator" w:id="0">
    <w:p w14:paraId="263C11E0" w14:textId="77777777" w:rsidR="008C6254" w:rsidRDefault="008C6254" w:rsidP="007E6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8AA0D" w14:textId="77777777" w:rsidR="008C6254" w:rsidRDefault="008C6254" w:rsidP="007E6D51">
      <w:pPr>
        <w:spacing w:after="0" w:line="240" w:lineRule="auto"/>
      </w:pPr>
      <w:r>
        <w:separator/>
      </w:r>
    </w:p>
  </w:footnote>
  <w:footnote w:type="continuationSeparator" w:id="0">
    <w:p w14:paraId="5C3BD6F2" w14:textId="77777777" w:rsidR="008C6254" w:rsidRDefault="008C6254" w:rsidP="007E6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65"/>
    <w:rsid w:val="00432EF1"/>
    <w:rsid w:val="00505E80"/>
    <w:rsid w:val="005B0B9C"/>
    <w:rsid w:val="005F5D79"/>
    <w:rsid w:val="007E6D51"/>
    <w:rsid w:val="00855F04"/>
    <w:rsid w:val="00891EC4"/>
    <w:rsid w:val="008C6254"/>
    <w:rsid w:val="008F77CC"/>
    <w:rsid w:val="00902B65"/>
    <w:rsid w:val="009816AA"/>
    <w:rsid w:val="00AB3E62"/>
    <w:rsid w:val="00FD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DDF8F"/>
  <w15:chartTrackingRefBased/>
  <w15:docId w15:val="{09C1B4A3-F4C2-4331-9DA4-15633736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D51"/>
    <w:pPr>
      <w:spacing w:line="259" w:lineRule="auto"/>
      <w:jc w:val="both"/>
    </w:pPr>
    <w:rPr>
      <w:rFonts w:ascii="Times New Roman" w:eastAsiaTheme="minorHAnsi" w:hAnsi="Times New Roman"/>
      <w:kern w:val="0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D79"/>
    <w:pPr>
      <w:keepNext/>
      <w:keepLines/>
      <w:spacing w:before="80" w:after="80" w:line="278" w:lineRule="auto"/>
      <w:outlineLvl w:val="0"/>
    </w:pPr>
    <w:rPr>
      <w:rFonts w:eastAsiaTheme="majorEastAsia" w:cstheme="majorBidi"/>
      <w:b/>
      <w:caps/>
      <w:color w:val="0F4761" w:themeColor="accent1" w:themeShade="BF"/>
      <w:kern w:val="2"/>
      <w:sz w:val="34"/>
      <w:szCs w:val="50"/>
      <w:lang w:val="en-ID"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77CC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color w:val="000000" w:themeColor="text1"/>
      <w:kern w:val="2"/>
      <w:sz w:val="30"/>
      <w:szCs w:val="40"/>
      <w:lang w:val="en-ID"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D79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color w:val="4C94D8" w:themeColor="text2" w:themeTint="80"/>
      <w:kern w:val="2"/>
      <w:sz w:val="26"/>
      <w:szCs w:val="35"/>
      <w:lang w:val="en-ID"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B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B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B6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B6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B6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B6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D79"/>
    <w:rPr>
      <w:rFonts w:ascii="Times New Roman" w:eastAsiaTheme="majorEastAsia" w:hAnsi="Times New Roman" w:cstheme="majorBidi"/>
      <w:b/>
      <w:caps/>
      <w:color w:val="0F4761" w:themeColor="accent1" w:themeShade="BF"/>
      <w:sz w:val="34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F77CC"/>
    <w:rPr>
      <w:rFonts w:ascii="Times New Roman" w:eastAsiaTheme="majorEastAsia" w:hAnsi="Times New Roman" w:cstheme="majorBidi"/>
      <w:b/>
      <w:color w:val="000000" w:themeColor="text1"/>
      <w:sz w:val="3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D79"/>
    <w:rPr>
      <w:rFonts w:ascii="Times New Roman" w:eastAsiaTheme="majorEastAsia" w:hAnsi="Times New Roman" w:cstheme="majorBidi"/>
      <w:b/>
      <w:color w:val="4C94D8" w:themeColor="text2" w:themeTint="80"/>
      <w:sz w:val="26"/>
      <w:szCs w:val="35"/>
    </w:rPr>
  </w:style>
  <w:style w:type="paragraph" w:styleId="Title">
    <w:name w:val="Title"/>
    <w:basedOn w:val="Normal"/>
    <w:next w:val="Normal"/>
    <w:link w:val="TitleChar"/>
    <w:uiPriority w:val="10"/>
    <w:qFormat/>
    <w:rsid w:val="005B0B9C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71"/>
      <w:lang w:val="en-ID"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0B9C"/>
    <w:rPr>
      <w:rFonts w:asciiTheme="majorHAnsi" w:eastAsiaTheme="majorEastAsia" w:hAnsiTheme="majorHAnsi" w:cstheme="majorBidi"/>
      <w:b/>
      <w:spacing w:val="-10"/>
      <w:kern w:val="28"/>
      <w:sz w:val="56"/>
      <w:szCs w:val="7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B6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B6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ID"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2B6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02B65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Cs w:val="30"/>
      <w:lang w:val="en-ID"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2B65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B65"/>
    <w:pPr>
      <w:spacing w:line="278" w:lineRule="auto"/>
      <w:ind w:left="720"/>
      <w:contextualSpacing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2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B65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B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D51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E6D51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7E6D51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E6D5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Shafiqur Rahman Jabin</dc:creator>
  <cp:keywords/>
  <dc:description/>
  <cp:lastModifiedBy>Md Shafiqur Rahman Jabin</cp:lastModifiedBy>
  <cp:revision>2</cp:revision>
  <dcterms:created xsi:type="dcterms:W3CDTF">2026-09-06T03:24:00Z</dcterms:created>
  <dcterms:modified xsi:type="dcterms:W3CDTF">2026-09-06T03:24:00Z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3db3c905-8f32-443c-9a8c-3237bac486a0</vt:lpwstr>
  </property>
</Properties>
</file>