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46411" w14:textId="77777777" w:rsidR="00EB222C" w:rsidRPr="005414A5" w:rsidRDefault="00EB222C" w:rsidP="00EB222C">
      <w:pPr>
        <w:rPr>
          <w:lang w:val="en-ID"/>
        </w:rPr>
      </w:pPr>
      <w:r w:rsidRPr="005414A5">
        <w:rPr>
          <w:b/>
          <w:bCs/>
          <w:lang w:val="en-ID"/>
        </w:rPr>
        <w:t>Table 1. Candidate predictor domains and variables used in the analytical framework.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65"/>
        <w:gridCol w:w="3384"/>
        <w:gridCol w:w="3067"/>
      </w:tblGrid>
      <w:tr w:rsidR="00EB222C" w:rsidRPr="005414A5" w14:paraId="2A9D354B" w14:textId="77777777" w:rsidTr="00B523D5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770FB3FB" w14:textId="77777777" w:rsidR="00EB222C" w:rsidRPr="005414A5" w:rsidRDefault="00EB222C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Predictor domain</w:t>
            </w:r>
          </w:p>
        </w:tc>
        <w:tc>
          <w:tcPr>
            <w:tcW w:w="0" w:type="auto"/>
            <w:vAlign w:val="center"/>
            <w:hideMark/>
          </w:tcPr>
          <w:p w14:paraId="30789789" w14:textId="77777777" w:rsidR="00EB222C" w:rsidRPr="005414A5" w:rsidRDefault="00EB222C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Candidate variables</w:t>
            </w:r>
          </w:p>
        </w:tc>
        <w:tc>
          <w:tcPr>
            <w:tcW w:w="0" w:type="auto"/>
            <w:vAlign w:val="center"/>
            <w:hideMark/>
          </w:tcPr>
          <w:p w14:paraId="1D5A41DB" w14:textId="77777777" w:rsidR="00EB222C" w:rsidRPr="005414A5" w:rsidRDefault="00EB222C" w:rsidP="00B523D5">
            <w:pPr>
              <w:rPr>
                <w:b/>
                <w:bCs/>
                <w:lang w:val="en-ID"/>
              </w:rPr>
            </w:pPr>
            <w:r w:rsidRPr="005414A5">
              <w:rPr>
                <w:b/>
                <w:bCs/>
                <w:lang w:val="en-ID"/>
              </w:rPr>
              <w:t>Analytical relevance</w:t>
            </w:r>
          </w:p>
        </w:tc>
      </w:tr>
      <w:tr w:rsidR="00EB222C" w:rsidRPr="005414A5" w14:paraId="686CAC9E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C1243B4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Demographic</w:t>
            </w:r>
          </w:p>
        </w:tc>
        <w:tc>
          <w:tcPr>
            <w:tcW w:w="0" w:type="auto"/>
            <w:vAlign w:val="center"/>
            <w:hideMark/>
          </w:tcPr>
          <w:p w14:paraId="13BC38D8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Age; sex/gender</w:t>
            </w:r>
          </w:p>
        </w:tc>
        <w:tc>
          <w:tcPr>
            <w:tcW w:w="0" w:type="auto"/>
            <w:vAlign w:val="center"/>
            <w:hideMark/>
          </w:tcPr>
          <w:p w14:paraId="36DD720A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Patient characteristics associated with readmission risk</w:t>
            </w:r>
          </w:p>
        </w:tc>
      </w:tr>
      <w:tr w:rsidR="00EB222C" w:rsidRPr="005414A5" w14:paraId="41C4FC04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271213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Clinical</w:t>
            </w:r>
          </w:p>
        </w:tc>
        <w:tc>
          <w:tcPr>
            <w:tcW w:w="0" w:type="auto"/>
            <w:vAlign w:val="center"/>
            <w:hideMark/>
          </w:tcPr>
          <w:p w14:paraId="71ED3339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Diagnoses; comorbidities; chronic disease indicators</w:t>
            </w:r>
          </w:p>
        </w:tc>
        <w:tc>
          <w:tcPr>
            <w:tcW w:w="0" w:type="auto"/>
            <w:vAlign w:val="center"/>
            <w:hideMark/>
          </w:tcPr>
          <w:p w14:paraId="33D3071F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Disease burden and clinical complexity</w:t>
            </w:r>
          </w:p>
        </w:tc>
      </w:tr>
      <w:tr w:rsidR="00EB222C" w:rsidRPr="005414A5" w14:paraId="7B63DA8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04F16E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Healthcare utilization</w:t>
            </w:r>
          </w:p>
        </w:tc>
        <w:tc>
          <w:tcPr>
            <w:tcW w:w="0" w:type="auto"/>
            <w:vAlign w:val="center"/>
            <w:hideMark/>
          </w:tcPr>
          <w:p w14:paraId="01AEE9D9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Previous admissions; hospitalization history</w:t>
            </w:r>
          </w:p>
        </w:tc>
        <w:tc>
          <w:tcPr>
            <w:tcW w:w="0" w:type="auto"/>
            <w:vAlign w:val="center"/>
            <w:hideMark/>
          </w:tcPr>
          <w:p w14:paraId="2E4DD7FD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Prior utilization and recurrent healthcare needs</w:t>
            </w:r>
          </w:p>
        </w:tc>
      </w:tr>
      <w:tr w:rsidR="00EB222C" w:rsidRPr="005414A5" w14:paraId="3317E4E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C45BAB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Hospitalization</w:t>
            </w:r>
          </w:p>
        </w:tc>
        <w:tc>
          <w:tcPr>
            <w:tcW w:w="0" w:type="auto"/>
            <w:vAlign w:val="center"/>
            <w:hideMark/>
          </w:tcPr>
          <w:p w14:paraId="47FD801E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Length of stay; admission characteristics; discharge disposition</w:t>
            </w:r>
          </w:p>
        </w:tc>
        <w:tc>
          <w:tcPr>
            <w:tcW w:w="0" w:type="auto"/>
            <w:vAlign w:val="center"/>
            <w:hideMark/>
          </w:tcPr>
          <w:p w14:paraId="6328E64C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Characteristics of the index hospitalization</w:t>
            </w:r>
          </w:p>
        </w:tc>
      </w:tr>
      <w:tr w:rsidR="00EB222C" w:rsidRPr="005414A5" w14:paraId="271AB60B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B6207B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Medication-related</w:t>
            </w:r>
          </w:p>
        </w:tc>
        <w:tc>
          <w:tcPr>
            <w:tcW w:w="0" w:type="auto"/>
            <w:vAlign w:val="center"/>
            <w:hideMark/>
          </w:tcPr>
          <w:p w14:paraId="0408D3FF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Medication count; medication burden</w:t>
            </w:r>
          </w:p>
        </w:tc>
        <w:tc>
          <w:tcPr>
            <w:tcW w:w="0" w:type="auto"/>
            <w:vAlign w:val="center"/>
            <w:hideMark/>
          </w:tcPr>
          <w:p w14:paraId="61B991C9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Treatment complexity and medication-related risk</w:t>
            </w:r>
          </w:p>
        </w:tc>
      </w:tr>
      <w:tr w:rsidR="00EB222C" w:rsidRPr="005414A5" w14:paraId="2706F303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6C69EA9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Laboratory/physiological</w:t>
            </w:r>
          </w:p>
        </w:tc>
        <w:tc>
          <w:tcPr>
            <w:tcW w:w="0" w:type="auto"/>
            <w:vAlign w:val="center"/>
            <w:hideMark/>
          </w:tcPr>
          <w:p w14:paraId="4CC18AFE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Relevant laboratory measurements and abnormalities</w:t>
            </w:r>
          </w:p>
        </w:tc>
        <w:tc>
          <w:tcPr>
            <w:tcW w:w="0" w:type="auto"/>
            <w:vAlign w:val="center"/>
            <w:hideMark/>
          </w:tcPr>
          <w:p w14:paraId="37FE04B2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Clinical status and physiological instability</w:t>
            </w:r>
          </w:p>
        </w:tc>
      </w:tr>
      <w:tr w:rsidR="00EB222C" w:rsidRPr="005414A5" w14:paraId="5D9C981D" w14:textId="77777777" w:rsidTr="00B523D5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A58578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Other contextual variables</w:t>
            </w:r>
          </w:p>
        </w:tc>
        <w:tc>
          <w:tcPr>
            <w:tcW w:w="0" w:type="auto"/>
            <w:vAlign w:val="center"/>
            <w:hideMark/>
          </w:tcPr>
          <w:p w14:paraId="78FE1C17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Relevant contextual characteristics available in the dataset</w:t>
            </w:r>
          </w:p>
        </w:tc>
        <w:tc>
          <w:tcPr>
            <w:tcW w:w="0" w:type="auto"/>
            <w:vAlign w:val="center"/>
            <w:hideMark/>
          </w:tcPr>
          <w:p w14:paraId="478893D8" w14:textId="77777777" w:rsidR="00EB222C" w:rsidRPr="005414A5" w:rsidRDefault="00EB222C" w:rsidP="00B523D5">
            <w:pPr>
              <w:rPr>
                <w:lang w:val="en-ID"/>
              </w:rPr>
            </w:pPr>
            <w:r w:rsidRPr="005414A5">
              <w:rPr>
                <w:lang w:val="en-ID"/>
              </w:rPr>
              <w:t>Additional patient-level risk information</w:t>
            </w:r>
          </w:p>
        </w:tc>
      </w:tr>
    </w:tbl>
    <w:p w14:paraId="7A5A6CAF" w14:textId="77777777" w:rsidR="00891EC4" w:rsidRDefault="00891EC4"/>
    <w:sectPr w:rsidR="00891EC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11E0B0" w14:textId="77777777" w:rsidR="00AB44EE" w:rsidRDefault="00AB44EE" w:rsidP="00EB222C">
      <w:pPr>
        <w:spacing w:after="0" w:line="240" w:lineRule="auto"/>
      </w:pPr>
      <w:r>
        <w:separator/>
      </w:r>
    </w:p>
  </w:endnote>
  <w:endnote w:type="continuationSeparator" w:id="0">
    <w:p w14:paraId="68064276" w14:textId="77777777" w:rsidR="00AB44EE" w:rsidRDefault="00AB44EE" w:rsidP="00EB22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C0DFB9" w14:textId="77777777" w:rsidR="00AB44EE" w:rsidRDefault="00AB44EE" w:rsidP="00EB222C">
      <w:pPr>
        <w:spacing w:after="0" w:line="240" w:lineRule="auto"/>
      </w:pPr>
      <w:r>
        <w:separator/>
      </w:r>
    </w:p>
  </w:footnote>
  <w:footnote w:type="continuationSeparator" w:id="0">
    <w:p w14:paraId="63C234CE" w14:textId="77777777" w:rsidR="00AB44EE" w:rsidRDefault="00AB44EE" w:rsidP="00EB222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32B4"/>
    <w:rsid w:val="000732B4"/>
    <w:rsid w:val="00432EF1"/>
    <w:rsid w:val="00505E80"/>
    <w:rsid w:val="005B0B9C"/>
    <w:rsid w:val="005F5D79"/>
    <w:rsid w:val="00855F04"/>
    <w:rsid w:val="00891EC4"/>
    <w:rsid w:val="008F77CC"/>
    <w:rsid w:val="009816AA"/>
    <w:rsid w:val="00AB3E62"/>
    <w:rsid w:val="00AB44EE"/>
    <w:rsid w:val="00EB222C"/>
    <w:rsid w:val="00FD76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7568651"/>
  <w15:chartTrackingRefBased/>
  <w15:docId w15:val="{07481ABC-66E0-4FC7-90B4-C9FCFE3112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30"/>
        <w:lang w:val="en-ID" w:eastAsia="zh-CN" w:bidi="th-TH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222C"/>
    <w:pPr>
      <w:spacing w:line="259" w:lineRule="auto"/>
      <w:jc w:val="both"/>
    </w:pPr>
    <w:rPr>
      <w:rFonts w:ascii="Times New Roman" w:eastAsiaTheme="minorHAnsi" w:hAnsi="Times New Roman"/>
      <w:kern w:val="0"/>
      <w:szCs w:val="22"/>
      <w:lang w:val="en-US" w:eastAsia="en-US" w:bidi="ar-S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F5D79"/>
    <w:pPr>
      <w:keepNext/>
      <w:keepLines/>
      <w:spacing w:before="80" w:after="80" w:line="278" w:lineRule="auto"/>
      <w:outlineLvl w:val="0"/>
    </w:pPr>
    <w:rPr>
      <w:rFonts w:eastAsiaTheme="majorEastAsia" w:cstheme="majorBidi"/>
      <w:b/>
      <w:caps/>
      <w:color w:val="0F4761" w:themeColor="accent1" w:themeShade="BF"/>
      <w:kern w:val="2"/>
      <w:sz w:val="34"/>
      <w:szCs w:val="50"/>
      <w:lang w:val="en-ID" w:eastAsia="zh-CN" w:bidi="th-TH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F77CC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color w:val="000000" w:themeColor="text1"/>
      <w:kern w:val="2"/>
      <w:sz w:val="30"/>
      <w:szCs w:val="40"/>
      <w:lang w:val="en-ID" w:eastAsia="zh-CN" w:bidi="th-TH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F5D79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color w:val="4C94D8" w:themeColor="text2" w:themeTint="80"/>
      <w:kern w:val="2"/>
      <w:sz w:val="26"/>
      <w:szCs w:val="35"/>
      <w:lang w:val="en-ID" w:eastAsia="zh-CN" w:bidi="th-TH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32B4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32B4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32B4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32B4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30"/>
      <w:lang w:val="en-ID" w:eastAsia="zh-CN" w:bidi="th-TH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32B4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32B4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30"/>
      <w:lang w:val="en-ID" w:eastAsia="zh-CN" w:bidi="th-TH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F5D79"/>
    <w:rPr>
      <w:rFonts w:ascii="Times New Roman" w:eastAsiaTheme="majorEastAsia" w:hAnsi="Times New Roman" w:cstheme="majorBidi"/>
      <w:b/>
      <w:caps/>
      <w:color w:val="0F4761" w:themeColor="accent1" w:themeShade="BF"/>
      <w:sz w:val="34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8F77CC"/>
    <w:rPr>
      <w:rFonts w:ascii="Times New Roman" w:eastAsiaTheme="majorEastAsia" w:hAnsi="Times New Roman" w:cstheme="majorBidi"/>
      <w:b/>
      <w:color w:val="000000" w:themeColor="text1"/>
      <w:sz w:val="3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F5D79"/>
    <w:rPr>
      <w:rFonts w:ascii="Times New Roman" w:eastAsiaTheme="majorEastAsia" w:hAnsi="Times New Roman" w:cstheme="majorBidi"/>
      <w:b/>
      <w:color w:val="4C94D8" w:themeColor="text2" w:themeTint="80"/>
      <w:sz w:val="26"/>
      <w:szCs w:val="35"/>
    </w:rPr>
  </w:style>
  <w:style w:type="paragraph" w:styleId="Title">
    <w:name w:val="Title"/>
    <w:basedOn w:val="Normal"/>
    <w:next w:val="Normal"/>
    <w:link w:val="TitleChar"/>
    <w:uiPriority w:val="10"/>
    <w:qFormat/>
    <w:rsid w:val="005B0B9C"/>
    <w:pPr>
      <w:spacing w:after="80" w:line="240" w:lineRule="auto"/>
      <w:contextualSpacing/>
    </w:pPr>
    <w:rPr>
      <w:rFonts w:asciiTheme="majorHAnsi" w:eastAsiaTheme="majorEastAsia" w:hAnsiTheme="majorHAnsi" w:cstheme="majorBidi"/>
      <w:b/>
      <w:spacing w:val="-10"/>
      <w:kern w:val="28"/>
      <w:sz w:val="56"/>
      <w:szCs w:val="71"/>
      <w:lang w:val="en-ID" w:eastAsia="zh-CN" w:bidi="th-TH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5B0B9C"/>
    <w:rPr>
      <w:rFonts w:asciiTheme="majorHAnsi" w:eastAsiaTheme="majorEastAsia" w:hAnsiTheme="majorHAnsi" w:cstheme="majorBidi"/>
      <w:b/>
      <w:spacing w:val="-10"/>
      <w:kern w:val="28"/>
      <w:sz w:val="56"/>
      <w:szCs w:val="7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32B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32B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32B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32B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32B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32B4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32B4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35"/>
      <w:lang w:val="en-ID" w:eastAsia="zh-CN" w:bidi="th-TH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0732B4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0732B4"/>
    <w:pPr>
      <w:spacing w:before="160" w:line="278" w:lineRule="auto"/>
      <w:jc w:val="center"/>
    </w:pPr>
    <w:rPr>
      <w:rFonts w:eastAsiaTheme="minorEastAsia"/>
      <w:i/>
      <w:iCs/>
      <w:color w:val="404040" w:themeColor="text1" w:themeTint="BF"/>
      <w:kern w:val="2"/>
      <w:szCs w:val="30"/>
      <w:lang w:val="en-ID" w:eastAsia="zh-CN" w:bidi="th-TH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0732B4"/>
    <w:rPr>
      <w:rFonts w:ascii="Times New Roman" w:hAnsi="Times New Roman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732B4"/>
    <w:pPr>
      <w:spacing w:line="278" w:lineRule="auto"/>
      <w:ind w:left="720"/>
      <w:contextualSpacing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0732B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32B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EastAsia"/>
      <w:i/>
      <w:iCs/>
      <w:color w:val="0F4761" w:themeColor="accent1" w:themeShade="BF"/>
      <w:kern w:val="2"/>
      <w:szCs w:val="30"/>
      <w:lang w:val="en-ID" w:eastAsia="zh-CN" w:bidi="th-TH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32B4"/>
    <w:rPr>
      <w:rFonts w:ascii="Times New Roman" w:hAnsi="Times New Roman"/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732B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EB222C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EB222C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EB222C"/>
    <w:pPr>
      <w:tabs>
        <w:tab w:val="center" w:pos="4513"/>
        <w:tab w:val="right" w:pos="9026"/>
      </w:tabs>
      <w:spacing w:after="0" w:line="240" w:lineRule="auto"/>
    </w:pPr>
    <w:rPr>
      <w:rFonts w:eastAsiaTheme="minorEastAsia"/>
      <w:kern w:val="2"/>
      <w:szCs w:val="30"/>
      <w:lang w:val="en-ID" w:eastAsia="zh-CN" w:bidi="th-TH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EB222C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798</Characters>
  <Application>Microsoft Office Word</Application>
  <DocSecurity>0</DocSecurity>
  <Lines>6</Lines>
  <Paragraphs>1</Paragraphs>
  <ScaleCrop>false</ScaleCrop>
  <Company/>
  <LinksUpToDate>false</LinksUpToDate>
  <CharactersWithSpaces>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 Shafiqur Rahman Jabin</dc:creator>
  <cp:keywords/>
  <dc:description/>
  <cp:lastModifiedBy>Md Shafiqur Rahman Jabin</cp:lastModifiedBy>
  <cp:revision>2</cp:revision>
  <dcterms:created xsi:type="dcterms:W3CDTF">2026-09-06T03:23:00Z</dcterms:created>
  <dcterms:modified xsi:type="dcterms:W3CDTF">2026-09-06T03:23:00Z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e0995d73-7d5d-4bd4-b76b-f230813d0bc2</vt:lpwstr>
  </property>
</Properties>
</file>