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" w:name="supplementary-material"/>
    <w:p>
      <w:pPr>
        <w:pStyle w:val="Title"/>
        <w:pageBreakBefore w:val="0"/>
        <w:spacing w:line="480" w:lineRule="auto"/>
      </w:pPr>
      <w:r>
        <w:rPr>
          <w:rFonts w:ascii="Times New Roman" w:hAnsi="Times New Roman"/>
          <w:color w:val="000000"/>
          <w:sz w:val="22"/>
        </w:rPr>
        <w:t>Additional file 1</w:t>
      </w:r>
    </w:p>
    <w:p>
      <w:pPr>
        <w:pStyle w:val="FirstParagraph"/>
        <w:pageBreakBefore w:val="0"/>
        <w:spacing w:line="480" w:lineRule="auto"/>
      </w:pPr>
      <w:r>
        <w:rPr>
          <w:rFonts w:ascii="Times New Roman" w:hAnsi="Times New Roman"/>
          <w:i/>
          <w:iCs/>
          <w:color w:val="000000"/>
          <w:sz w:val="22"/>
        </w:rPr>
        <w:t xml:space="preserve">Crude co-mention trends and standardized observed-to-expected ratios can move in opposite</w:t>
      </w:r>
      <w:r>
        <w:rPr>
          <w:rFonts w:ascii="Times New Roman" w:hAnsi="Times New Roman"/>
          <w:i/>
          <w:iCs/>
          <w:color w:val="000000"/>
          <w:sz w:val="22"/>
        </w:rPr>
        <w:t xml:space="preserve"> </w:t>
      </w:r>
      <w:r>
        <w:rPr>
          <w:rFonts w:ascii="Times New Roman" w:hAnsi="Times New Roman"/>
          <w:i/>
          <w:iCs/>
          <w:color w:val="000000"/>
          <w:sz w:val="22"/>
        </w:rPr>
        <w:t xml:space="preserve">directions: a decomposition, with an application to US multiple-cause-of-death data.</w:t>
      </w:r>
    </w:p>
    <w:p>
      <w:pPr>
        <w:pStyle w:val="BodyText"/>
        <w:pageBreakBefore w:val="0"/>
        <w:spacing w:line="480" w:lineRule="auto"/>
      </w:pPr>
      <w:r>
        <w:rPr>
          <w:rFonts w:ascii="Times New Roman" w:hAnsi="Times New Roman"/>
          <w:color w:val="000000"/>
          <w:sz w:val="22"/>
        </w:rPr>
        <w:t>This supplementary material contains estimator-sensitivity analyses and additional displays supporting the main manuscript.</w:t>
      </w:r>
      <w:r>
        <w:rPr>
          <w:rFonts w:ascii="Times New Roman" w:hAnsi="Times New Roman"/>
          <w:color w:val="000000"/>
          <w:sz w:val="22"/>
        </w:rPr>
      </w:r>
      <w:r>
        <w:rPr>
          <w:rFonts w:ascii="Times New Roman" w:hAnsi="Times New Roman"/>
          <w:color w:val="000000"/>
          <w:sz w:val="22"/>
        </w:rPr>
      </w:r>
      <w:r>
        <w:rPr>
          <w:rFonts w:ascii="Times New Roman" w:hAnsi="Times New Roman"/>
          <w:color w:val="000000"/>
          <w:sz w:val="22"/>
        </w:rPr>
      </w:r>
      <w:r>
        <w:rPr>
          <w:rFonts w:ascii="Times New Roman" w:hAnsi="Times New Roman"/>
          <w:color w:val="000000"/>
          <w:sz w:val="22"/>
        </w:rPr>
      </w:r>
    </w:p>
    <w:p>
      <w:pPr>
        <w:pageBreakBefore w:val="0"/>
        <w:spacing w:line="480" w:lineRule="auto"/>
      </w:pPr>
      <w:r>
        <w:rPr>
          <w:rFonts w:ascii="Times New Roman" w:hAnsi="Times New Roman"/>
          <w:color w:val="000000"/>
          <w:sz w:val="22"/>
        </w:rPr>
      </w:r>
    </w:p>
    <w:bookmarkStart w:id="9" w:name="X16c23a7d5b36346ec6796c26088c0761eba9001"/>
    <w:p>
      <w:pPr>
        <w:pStyle w:val="Heading1"/>
        <w:keepNext/>
        <w:pageBreakBefore w:val="0"/>
        <w:spacing w:line="480" w:lineRule="auto"/>
      </w:pPr>
      <w:r>
        <w:rPr>
          <w:rFonts w:ascii="Times New Roman" w:hAnsi="Times New Roman"/>
          <w:color w:val="000000"/>
          <w:sz w:val="22"/>
        </w:rPr>
        <w:t xml:space="preserve">Supplementary Table S1. IE slopes under alternative estimators</w:t>
      </w:r>
    </w:p>
    <w:p>
      <w:pPr>
        <w:pStyle w:val="FirstParagraph"/>
        <w:pageBreakBefore w:val="0"/>
        <w:spacing w:line="480" w:lineRule="auto"/>
      </w:pPr>
      <w:r>
        <w:rPr>
          <w:rFonts w:ascii="Times New Roman" w:hAnsi="Times New Roman"/>
          <w:color w:val="000000"/>
          <w:sz w:val="22"/>
        </w:rPr>
        <w:t xml:space="preserve">Annual change (%/yr, 95% CI) for the infective endocarditis × CKD pair. HAC is the primary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 xml:space="preserve">specification reported in Table 1 of the main text.</w:t>
      </w:r>
    </w:p>
    <w:tbl>
      <w:tblPr>
        <w:tblStyle w:val="Table"/>
        <w:tblW w:type="dxa" w:w="10080"/>
        <w:tblLayout w:type="fixed"/>
        <w:tblLook w:firstRow="1" w:lastRow="0" w:firstColumn="0" w:lastColumn="0" w:noHBand="0" w:noVBand="0" w:val="0020"/>
      </w:tblPr>
      <w:tblGrid>
        <w:gridCol w:w="1296"/>
        <w:gridCol w:w="936"/>
        <w:gridCol w:w="2304"/>
        <w:gridCol w:w="2304"/>
        <w:gridCol w:w="2304"/>
        <w:gridCol w:w="936"/>
      </w:tblGrid>
      <w:tr>
        <w:trPr>
          <w:tblHeader w:val="on"/>
          <w:cantSplit/>
          <w:tblHeader/>
        </w:trPr>
        <w:tc>
          <w:tcPr>
            <w:tcW w:type="dxa" w:w="1296"/>
          </w:tcPr>
          <w:p>
            <w:pPr>
              <w:pStyle w:val="Compact"/>
              <w:keepNext/>
              <w:spacing w:line="480" w:lineRule="auto" w:after="20"/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Era</w:t>
            </w:r>
          </w:p>
        </w:tc>
        <w:tc>
          <w:tcPr>
            <w:tcW w:type="dxa" w:w="936"/>
          </w:tcPr>
          <w:p>
            <w:pPr>
              <w:pStyle w:val="Compact"/>
              <w:keepNext/>
              <w:spacing w:line="480" w:lineRule="auto" w:after="20"/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Statistic</w:t>
            </w:r>
          </w:p>
        </w:tc>
        <w:tc>
          <w:tcPr>
            <w:tcW w:type="dxa" w:w="2304"/>
          </w:tcPr>
          <w:p>
            <w:pPr>
              <w:pStyle w:val="Compact"/>
              <w:keepNext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HAC (corrected)</w:t>
            </w:r>
          </w:p>
        </w:tc>
        <w:tc>
          <w:tcPr>
            <w:tcW w:type="dxa" w:w="2304"/>
          </w:tcPr>
          <w:p>
            <w:pPr>
              <w:pStyle w:val="Compact"/>
              <w:keepNext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HC3</w:t>
            </w:r>
          </w:p>
        </w:tc>
        <w:tc>
          <w:tcPr>
            <w:tcW w:type="dxa" w:w="2304"/>
          </w:tcPr>
          <w:p>
            <w:pPr>
              <w:pStyle w:val="Compact"/>
              <w:keepNext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AR(1) GLS</w:t>
            </w:r>
          </w:p>
        </w:tc>
        <w:tc>
          <w:tcPr>
            <w:tcW w:type="dxa" w:w="936"/>
          </w:tcPr>
          <w:p>
            <w:pPr>
              <w:pStyle w:val="Compact"/>
              <w:keepNext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DW</w:t>
            </w:r>
          </w:p>
        </w:tc>
      </w:tr>
      <w:tr>
        <w:trPr>
          <w:cantSplit/>
        </w:trPr>
        <w:tc>
          <w:tcPr>
            <w:tcW w:type="dxa" w:w="1296"/>
          </w:tcPr>
          <w:p>
            <w:pPr>
              <w:pStyle w:val="Compact"/>
              <w:keepNext/>
              <w:spacing w:line="480" w:lineRule="auto" w:after="20"/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2013–2019</w:t>
            </w:r>
          </w:p>
        </w:tc>
        <w:tc>
          <w:tcPr>
            <w:tcW w:type="dxa" w:w="936"/>
          </w:tcPr>
          <w:p>
            <w:pPr>
              <w:pStyle w:val="Compact"/>
              <w:keepNext/>
              <w:spacing w:line="480" w:lineRule="auto" w:after="20"/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</w:rPr>
              <w:t xml:space="preserve">C</w:t>
            </w:r>
          </w:p>
        </w:tc>
        <w:tc>
          <w:tcPr>
            <w:tcW w:type="dxa" w:w="2304"/>
          </w:tcPr>
          <w:p>
            <w:pPr>
              <w:pStyle w:val="Compact"/>
              <w:keepNext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>+0.93 (+0.40, +1.46)</w:t>
            </w:r>
          </w:p>
        </w:tc>
        <w:tc>
          <w:tcPr>
            <w:tcW w:type="dxa" w:w="2304"/>
          </w:tcPr>
          <w:p>
            <w:pPr>
              <w:pStyle w:val="Compact"/>
              <w:keepNext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>+0.93 (+0.36, +1.50)</w:t>
            </w:r>
          </w:p>
        </w:tc>
        <w:tc>
          <w:tcPr>
            <w:tcW w:type="dxa" w:w="2304"/>
          </w:tcPr>
          <w:p>
            <w:pPr>
              <w:pStyle w:val="Compact"/>
              <w:keepNext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>+0.88 (−0.39, +2.17)</w:t>
            </w:r>
          </w:p>
        </w:tc>
        <w:tc>
          <w:tcPr>
            <w:tcW w:type="dxa" w:w="936"/>
          </w:tcPr>
          <w:p>
            <w:pPr>
              <w:pStyle w:val="Compact"/>
              <w:keepNext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>2.30</w:t>
            </w:r>
          </w:p>
        </w:tc>
      </w:tr>
      <w:tr>
        <w:trPr>
          <w:cantSplit/>
        </w:trPr>
        <w:tc>
          <w:tcPr>
            <w:tcW w:type="dxa" w:w="1296"/>
          </w:tcPr>
          <w:p>
            <w:pPr>
              <w:pStyle w:val="Compact"/>
              <w:keepNext/>
              <w:spacing w:line="480" w:lineRule="auto" w:after="20"/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2013–2019</w:t>
            </w:r>
          </w:p>
        </w:tc>
        <w:tc>
          <w:tcPr>
            <w:tcW w:type="dxa" w:w="936"/>
          </w:tcPr>
          <w:p>
            <w:pPr>
              <w:pStyle w:val="Compact"/>
              <w:keepNext/>
              <w:spacing w:line="480" w:lineRule="auto" w:after="20"/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</w:rPr>
              <w:t xml:space="preserve">Q</w:t>
            </w:r>
          </w:p>
        </w:tc>
        <w:tc>
          <w:tcPr>
            <w:tcW w:type="dxa" w:w="2304"/>
          </w:tcPr>
          <w:p>
            <w:pPr>
              <w:pStyle w:val="Compact"/>
              <w:keepNext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>+3.55 (+3.23, +3.87)</w:t>
            </w:r>
          </w:p>
        </w:tc>
        <w:tc>
          <w:tcPr>
            <w:tcW w:type="dxa" w:w="2304"/>
          </w:tcPr>
          <w:p>
            <w:pPr>
              <w:pStyle w:val="Compact"/>
              <w:keepNext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>+3.55 (+3.14, +3.96)</w:t>
            </w:r>
          </w:p>
        </w:tc>
        <w:tc>
          <w:tcPr>
            <w:tcW w:type="dxa" w:w="2304"/>
          </w:tcPr>
          <w:p>
            <w:pPr>
              <w:pStyle w:val="Compact"/>
              <w:keepNext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>+3.53 (+2.74, +4.32)</w:t>
            </w:r>
          </w:p>
        </w:tc>
        <w:tc>
          <w:tcPr>
            <w:tcW w:type="dxa" w:w="936"/>
          </w:tcPr>
          <w:p>
            <w:pPr>
              <w:pStyle w:val="Compact"/>
              <w:keepNext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>1.83</w:t>
            </w:r>
          </w:p>
        </w:tc>
      </w:tr>
      <w:tr>
        <w:trPr>
          <w:cantSplit/>
        </w:trPr>
        <w:tc>
          <w:tcPr>
            <w:tcW w:type="dxa" w:w="1296"/>
          </w:tcPr>
          <w:p>
            <w:pPr>
              <w:pStyle w:val="Compact"/>
              <w:keepNext/>
              <w:spacing w:line="480" w:lineRule="auto" w:after="20"/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2013–2019</w:t>
            </w:r>
          </w:p>
        </w:tc>
        <w:tc>
          <w:tcPr>
            <w:tcW w:type="dxa" w:w="936"/>
          </w:tcPr>
          <w:p>
            <w:pPr>
              <w:pStyle w:val="Compact"/>
              <w:keepNext/>
              <w:spacing w:line="480" w:lineRule="auto" w:after="20"/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</w:rPr>
              <w:t xml:space="preserve">ER</w:t>
            </w:r>
          </w:p>
        </w:tc>
        <w:tc>
          <w:tcPr>
            <w:tcW w:type="dxa" w:w="2304"/>
          </w:tcPr>
          <w:p>
            <w:pPr>
              <w:pStyle w:val="Compact"/>
              <w:keepNext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>−2.53 (−3.29, −1.76)</w:t>
            </w:r>
          </w:p>
        </w:tc>
        <w:tc>
          <w:tcPr>
            <w:tcW w:type="dxa" w:w="2304"/>
          </w:tcPr>
          <w:p>
            <w:pPr>
              <w:pStyle w:val="Compact"/>
              <w:keepNext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>−2.53 (−3.37, −1.68)</w:t>
            </w:r>
          </w:p>
        </w:tc>
        <w:tc>
          <w:tcPr>
            <w:tcW w:type="dxa" w:w="2304"/>
          </w:tcPr>
          <w:p>
            <w:pPr>
              <w:pStyle w:val="Compact"/>
              <w:keepNext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>−2.55 (−4.47, −0.59)</w:t>
            </w:r>
          </w:p>
        </w:tc>
        <w:tc>
          <w:tcPr>
            <w:tcW w:type="dxa" w:w="936"/>
          </w:tcPr>
          <w:p>
            <w:pPr>
              <w:pStyle w:val="Compact"/>
              <w:keepNext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>1.97</w:t>
            </w:r>
          </w:p>
        </w:tc>
      </w:tr>
      <w:tr>
        <w:trPr>
          <w:cantSplit/>
        </w:trPr>
        <w:tc>
          <w:tcPr>
            <w:tcW w:type="dxa" w:w="1296"/>
          </w:tcPr>
          <w:p>
            <w:pPr>
              <w:pStyle w:val="Compact"/>
              <w:keepNext/>
              <w:spacing w:line="480" w:lineRule="auto" w:after="20"/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1999–2010</w:t>
            </w:r>
          </w:p>
        </w:tc>
        <w:tc>
          <w:tcPr>
            <w:tcW w:type="dxa" w:w="936"/>
          </w:tcPr>
          <w:p>
            <w:pPr>
              <w:pStyle w:val="Compact"/>
              <w:keepNext/>
              <w:spacing w:line="480" w:lineRule="auto" w:after="20"/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</w:rPr>
              <w:t xml:space="preserve">ER</w:t>
            </w:r>
          </w:p>
        </w:tc>
        <w:tc>
          <w:tcPr>
            <w:tcW w:type="dxa" w:w="2304"/>
          </w:tcPr>
          <w:p>
            <w:pPr>
              <w:pStyle w:val="Compact"/>
              <w:keepNext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>−0.85 (−1.26, −0.43)</w:t>
            </w:r>
          </w:p>
        </w:tc>
        <w:tc>
          <w:tcPr>
            <w:tcW w:type="dxa" w:w="2304"/>
          </w:tcPr>
          <w:p>
            <w:pPr>
              <w:pStyle w:val="Compact"/>
              <w:keepNext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>−0.85 (−1.53, −0.16)</w:t>
            </w:r>
          </w:p>
        </w:tc>
        <w:tc>
          <w:tcPr>
            <w:tcW w:type="dxa" w:w="2304"/>
          </w:tcPr>
          <w:p>
            <w:pPr>
              <w:pStyle w:val="Compact"/>
              <w:keepNext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>−0.97 (−1.44, −0.51)</w:t>
            </w:r>
          </w:p>
        </w:tc>
        <w:tc>
          <w:tcPr>
            <w:tcW w:type="dxa" w:w="936"/>
          </w:tcPr>
          <w:p>
            <w:pPr>
              <w:pStyle w:val="Compact"/>
              <w:keepNext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>1.76</w:t>
            </w:r>
          </w:p>
        </w:tc>
      </w:tr>
      <w:tr>
        <w:trPr>
          <w:cantSplit/>
        </w:trPr>
        <w:tc>
          <w:tcPr>
            <w:tcW w:type="dxa" w:w="1296"/>
          </w:tcPr>
          <w:p>
            <w:pPr>
              <w:pStyle w:val="Compact"/>
              <w:keepNext w:val="0"/>
              <w:spacing w:line="480" w:lineRule="auto" w:after="20"/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Stable years</w:t>
            </w:r>
          </w:p>
        </w:tc>
        <w:tc>
          <w:tcPr>
            <w:tcW w:type="dxa" w:w="936"/>
          </w:tcPr>
          <w:p>
            <w:pPr>
              <w:pStyle w:val="Compact"/>
              <w:keepNext w:val="0"/>
              <w:spacing w:line="480" w:lineRule="auto" w:after="20"/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</w:rPr>
              <w:t xml:space="preserve">ER</w:t>
            </w:r>
          </w:p>
        </w:tc>
        <w:tc>
          <w:tcPr>
            <w:tcW w:type="dxa" w:w="2304"/>
          </w:tcPr>
          <w:p>
            <w:pPr>
              <w:pStyle w:val="Compact"/>
              <w:keepNext w:val="0"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>−1.46 (−1.74, −1.18)</w:t>
            </w:r>
          </w:p>
        </w:tc>
        <w:tc>
          <w:tcPr>
            <w:tcW w:type="dxa" w:w="2304"/>
          </w:tcPr>
          <w:p>
            <w:pPr>
              <w:pStyle w:val="Compact"/>
              <w:keepNext w:val="0"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>−1.46 (−1.74, −1.18)</w:t>
            </w:r>
          </w:p>
        </w:tc>
        <w:tc>
          <w:tcPr>
            <w:tcW w:type="dxa" w:w="2304"/>
          </w:tcPr>
          <w:p>
            <w:pPr>
              <w:pStyle w:val="Compact"/>
              <w:keepNext w:val="0"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>−1.64 (−2.03, −1.25)</w:t>
            </w:r>
          </w:p>
        </w:tc>
        <w:tc>
          <w:tcPr>
            <w:tcW w:type="dxa" w:w="936"/>
          </w:tcPr>
          <w:p>
            <w:pPr>
              <w:pStyle w:val="Compact"/>
              <w:keepNext w:val="0"/>
              <w:spacing w:line="480" w:lineRule="auto" w:after="20"/>
              <w:jc w:val="right"/>
            </w:pPr>
            <w:r>
              <w:rPr>
                <w:rFonts w:ascii="Times New Roman" w:hAnsi="Times New Roman"/>
                <w:color w:val="000000"/>
                <w:sz w:val="18"/>
              </w:rPr>
              <w:t>1.15</w:t>
            </w:r>
          </w:p>
        </w:tc>
      </w:tr>
    </w:tbl>
    <w:p>
      <w:pPr>
        <w:pStyle w:val="BodyText"/>
        <w:pageBreakBefore w:val="0"/>
        <w:spacing w:line="480" w:lineRule="auto"/>
      </w:pPr>
      <w:r>
        <w:rPr>
          <w:rFonts w:ascii="Times New Roman" w:hAnsi="Times New Roman"/>
          <w:i/>
          <w:iCs/>
          <w:color w:val="000000"/>
          <w:sz w:val="22"/>
        </w:rPr>
        <w:t>The estimated ER slope is negative under every specification in every window</w:t>
      </w:r>
      <w:r>
        <w:rPr>
          <w:rFonts w:ascii="Times New Roman" w:hAnsi="Times New Roman"/>
          <w:color w:val="000000"/>
          <w:sz w:val="22"/>
        </w:rPr>
      </w:r>
      <w:r>
        <w:rPr>
          <w:rFonts w:ascii="Times New Roman" w:hAnsi="Times New Roman"/>
          <w:color w:val="000000"/>
          <w:sz w:val="22"/>
        </w:rPr>
        <w:t>, and in 2013–2019 the three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estimators agree to within 0.05 percentage points on all three statistics, using the rounded estimates reported in Supplementary Table S1.</w:t>
      </w:r>
    </w:p>
    <w:p>
      <w:pPr>
        <w:pStyle w:val="BodyText"/>
        <w:pageBreakBefore w:val="0"/>
        <w:spacing w:line="480" w:lineRule="auto"/>
      </w:pPr>
      <w:r>
        <w:rPr>
          <w:rFonts w:ascii="Times New Roman" w:hAnsi="Times New Roman"/>
          <w:color w:val="000000"/>
          <w:sz w:val="22"/>
        </w:rPr>
        <w:t xml:space="preserve">AR(1) GLS is interpretable only where the residual diagnostics support it. For the 1999–2010 and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 xml:space="preserve">pooled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i/>
          <w:iCs/>
          <w:color w:val="000000"/>
          <w:sz w:val="22"/>
        </w:rPr>
        <w:t xml:space="preserve">C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 xml:space="preserve">and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i/>
          <w:iCs/>
          <w:color w:val="000000"/>
          <w:sz w:val="22"/>
        </w:rPr>
        <w:t xml:space="preserve">Q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 xml:space="preserve">series Durbin–Watson is 0.33–0.72; iterative GLS then drives ρ toward unity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 xml:space="preserve">and quasi-differences away the trend being estimated, returning implausible values — for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 xml:space="preserve">1999–2010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i/>
          <w:iCs/>
          <w:color w:val="000000"/>
          <w:sz w:val="22"/>
        </w:rPr>
        <w:t xml:space="preserve">Q</w:t>
      </w:r>
      <w:r>
        <w:rPr>
          <w:rFonts w:ascii="Times New Roman" w:hAnsi="Times New Roman"/>
          <w:color w:val="000000"/>
          <w:sz w:val="22"/>
        </w:rPr>
        <w:t>, −2.12%/yr against +1.33%/yr under HAC. Those unstable C and Q fits are excluded from Supplementary Table S1 and are not used in the main text.</w:t>
      </w:r>
      <w:r>
        <w:rPr>
          <w:rFonts w:ascii="Times New Roman" w:hAnsi="Times New Roman"/>
          <w:color w:val="000000"/>
          <w:sz w:val="22"/>
        </w:rPr>
      </w:r>
      <w:r>
        <w:rPr>
          <w:rFonts w:ascii="Times New Roman" w:hAnsi="Times New Roman"/>
          <w:color w:val="000000"/>
          <w:sz w:val="22"/>
        </w:rPr>
      </w:r>
    </w:p>
    <w:p>
      <w:pPr>
        <w:pStyle w:val="BodyText"/>
        <w:pageBreakBefore w:val="0"/>
        <w:spacing w:line="480" w:lineRule="auto"/>
      </w:pPr>
      <w:r>
        <w:rPr>
          <w:rFonts w:ascii="Times New Roman" w:hAnsi="Times New Roman"/>
          <w:color w:val="000000"/>
          <w:sz w:val="22"/>
        </w:rPr>
        <w:t>A preliminary multinomial bootstrap over the four-cell decomposition of each stratum preserves the nesting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 xml:space="preserve">constraints and the shared deaths but captures only sampling error in the counts, which is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 xml:space="preserve">negligible at this scale — sepsis has 199,628 index deaths in 2019, while the residual SD of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 xml:space="preserve">log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i/>
          <w:iCs/>
          <w:color w:val="000000"/>
          <w:sz w:val="22"/>
        </w:rPr>
        <w:t xml:space="preserve">C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about its trend is 0.053 — so it returns intervals far narrower than HAC. The bootstrap is retained as a preliminary sampling-only diagnostic; it was not rerun with the bounded allocation and does not quantify allocation uncertainty. Table S1 uses t-based inference for HAC, HC3 and AR(1) GLS. The post-transition crude AR(1) interval includes zero, so agreement in estimated directions does not imply significance under every estimator.</w:t>
      </w:r>
      <w:r>
        <w:rPr>
          <w:rFonts w:ascii="Times New Roman" w:hAnsi="Times New Roman"/>
          <w:color w:val="000000"/>
          <w:sz w:val="22"/>
        </w:rPr>
      </w:r>
      <w:r>
        <w:rPr>
          <w:rFonts w:ascii="Times New Roman" w:hAnsi="Times New Roman"/>
          <w:color w:val="000000"/>
          <w:sz w:val="22"/>
        </w:rPr>
      </w:r>
    </w:p>
    <w:p>
      <w:pPr>
        <w:pageBreakBefore w:val="0"/>
        <w:spacing w:line="480" w:lineRule="auto"/>
      </w:pPr>
      <w:r>
        <w:rPr>
          <w:rFonts w:ascii="Times New Roman" w:hAnsi="Times New Roman"/>
          <w:color w:val="000000"/>
          <w:sz w:val="22"/>
        </w:rPr>
      </w:r>
    </w:p>
    <w:bookmarkEnd w:id="9"/>
    <w:bookmarkStart w:id="10" w:name="X6f97beb33237bca05bd1b29339dc6fa4905a241"/>
    <w:p>
      <w:pPr/>
      <w:r>
        <w:t>Bounded-allocation sensitivity. The primary allocation is the least-squares projection of the proportional residual target onto the jointly feasible set, preserving reported cells, exact year totals and non-negative four-cell counts, with each unreported cell in [0, 9]. The bounded uniform allocation is a secondary target under the same constraints. Both bounded constructions were feasible for all 88 condition-years (1999–2020). For IE, sepsis and pneumonia, all index-condition cells are reported, so E is linear in the unknown co-mention cells and linear programming gives exact extrema over the continuous feasible set. Where CDI index cells are also unknown, coordinate-wise feasible bounds give a conservative enclosure; its endpoints need not be jointly attainable. Annual bounds propagate to OLS log-slope bounds using the signed centered-year weights. For IE in 2013–2019, the standardized slope remains between −2.5292 and −2.5281%/yr. These coefficient bounds describe allocation uncertainty separately from the conditional sampling/model confidence intervals and do not establish significance for every allocation.</w:t>
      </w:r>
    </w:p>
    <w:p>
      <w:pPr>
        <w:pStyle w:val="Heading1"/>
        <w:pageBreakBefore w:val="0"/>
        <w:spacing w:line="480" w:lineRule="auto"/>
      </w:pPr>
      <w:r>
        <w:rPr>
          <w:rFonts w:ascii="Times New Roman" w:hAnsi="Times New Roman"/>
          <w:color w:val="000000"/>
          <w:sz w:val="22"/>
        </w:rPr>
        <w:t xml:space="preserve">Supplementary Figure S1. Crude, standardized and background slopes, four pairs</w:t>
      </w:r>
    </w:p>
    <w:p>
      <w:pPr>
        <w:pStyle w:val="FirstParagraph"/>
        <w:pageBreakBefore w:val="0"/>
        <w:spacing w:line="480" w:lineRule="auto"/>
      </w:pPr>
      <w:r>
        <w:rPr>
          <w:rFonts w:ascii="Times New Roman" w:hAnsi="Times New Roman"/>
          <w:color w:val="000000"/>
          <w:sz w:val="22"/>
        </w:rPr>
        <w:drawing>
          <wp:inline>
            <wp:extent cx="6035040" cy="38553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S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8553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pageBreakBefore w:val="0"/>
        <w:spacing w:line="480" w:lineRule="auto"/>
      </w:pPr>
      <w:r>
        <w:rPr>
          <w:rFonts w:ascii="Times New Roman" w:hAnsi="Times New Roman"/>
          <w:color w:val="000000"/>
          <w:sz w:val="22"/>
        </w:rPr>
        <w:t xml:space="preserve">The three slopes for each of the four CKD pairs, stable years.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i/>
          <w:iCs/>
          <w:color w:val="000000"/>
          <w:sz w:val="22"/>
        </w:rPr>
        <w:t xml:space="preserve">C. difficile</w:t>
      </w:r>
      <w:r>
        <w:rPr>
          <w:rFonts w:ascii="Times New Roman" w:hAnsi="Times New Roman"/>
          <w:color w:val="000000"/>
          <w:sz w:val="22"/>
        </w:rPr>
        <w:t xml:space="preserve">’s standardized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 xml:space="preserve">slope is omitted because it fails the pooling check (main text, Table 2 footnote).</w:t>
      </w:r>
    </w:p>
    <w:p>
      <w:pPr>
        <w:pageBreakBefore w:val="0"/>
        <w:spacing w:line="480" w:lineRule="auto"/>
      </w:pPr>
      <w:r>
        <w:rPr>
          <w:rFonts w:ascii="Times New Roman" w:hAnsi="Times New Roman"/>
          <w:color w:val="000000"/>
          <w:sz w:val="22"/>
        </w:rPr>
      </w:r>
    </w:p>
    <w:bookmarkEnd w:id="10"/>
    <w:bookmarkStart w:id="11" w:name="X1469bc8150da9580230ab142848bdc716c9b17f"/>
    <w:p>
      <w:pPr>
        <w:pStyle w:val="Heading1"/>
        <w:pageBreakBefore w:val="0"/>
        <w:spacing w:line="480" w:lineRule="auto"/>
      </w:pPr>
      <w:r>
        <w:rPr>
          <w:rFonts w:ascii="Times New Roman" w:hAnsi="Times New Roman"/>
          <w:color w:val="000000"/>
          <w:sz w:val="22"/>
        </w:rPr>
        <w:t xml:space="preserve">Supplementary Figure S2. Literature audit</w:t>
      </w:r>
    </w:p>
    <w:p>
      <w:pPr>
        <w:pStyle w:val="FirstParagraph"/>
        <w:pageBreakBefore w:val="0"/>
        <w:spacing w:line="480" w:lineRule="auto"/>
      </w:pPr>
      <w:r>
        <w:rPr>
          <w:rFonts w:ascii="Times New Roman" w:hAnsi="Times New Roman"/>
          <w:color w:val="000000"/>
          <w:sz w:val="22"/>
        </w:rPr>
        <w:drawing>
          <wp:inline>
            <wp:extent cx="6035040" cy="35787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S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578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pageBreakBefore w:val="0"/>
        <w:spacing w:line="480" w:lineRule="auto"/>
      </w:pPr>
      <w:r>
        <w:rPr>
          <w:rFonts w:ascii="Times New Roman" w:hAnsi="Times New Roman"/>
          <w:color w:val="000000"/>
          <w:sz w:val="22"/>
        </w:rPr>
        <w:t xml:space="preserve">Left: how the 25 pair analyses measure co-occurrence. Right: how they interpret and contextualize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 xml:space="preserve">the pair trend, with the contextualization bar segmented by what was actually computed. All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 xml:space="preserve">verdicts author-adjudicated; counts are Table 4 of the main text.</w:t>
      </w:r>
    </w:p>
    <w:p>
      <w:pPr>
        <w:pageBreakBefore w:val="0"/>
        <w:spacing w:line="480" w:lineRule="auto"/>
      </w:pPr>
      <w:r>
        <w:rPr>
          <w:rFonts w:ascii="Times New Roman" w:hAnsi="Times New Roman"/>
          <w:color w:val="000000"/>
          <w:sz w:val="22"/>
        </w:rPr>
      </w:r>
    </w:p>
    <w:bookmarkEnd w:id="11"/>
    <w:bookmarkStart w:id="12" w:name="provenance"/>
    <w:p>
      <w:pPr>
        <w:pStyle w:val="Heading1"/>
        <w:pageBreakBefore w:val="0"/>
        <w:spacing w:line="480" w:lineRule="auto"/>
      </w:pPr>
      <w:r>
        <w:rPr>
          <w:rFonts w:ascii="Times New Roman" w:hAnsi="Times New Roman"/>
          <w:color w:val="000000"/>
          <w:sz w:val="22"/>
        </w:rPr>
        <w:t xml:space="preserve">Provenance</w:t>
      </w:r>
    </w:p>
    <w:p>
      <w:pPr>
        <w:pStyle w:val="FirstParagraph"/>
        <w:pageBreakBefore w:val="0"/>
        <w:spacing w:line="480" w:lineRule="auto"/>
      </w:pPr>
      <w:r>
        <w:rPr>
          <w:rFonts w:ascii="Times New Roman" w:hAnsi="Times New Roman"/>
          <w:color w:val="000000"/>
          <w:sz w:val="22"/>
        </w:rPr>
        <w:t xml:space="preserve">Every number above is reproducible offline from the archived CDC WONDER responses. The audit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 xml:space="preserve">verdicts, both preliminary and adjudicated, are in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Style w:val="VerbatimChar"/>
          <w:rFonts w:ascii="Times New Roman" w:hAnsi="Times New Roman"/>
          <w:color w:val="000000"/>
          <w:sz w:val="22"/>
        </w:rPr>
        <w:t>the archived audit_verdicts.json file</w:t>
      </w:r>
      <w:r>
        <w:rPr>
          <w:rFonts w:ascii="Times New Roman" w:hAnsi="Times New Roman"/>
          <w:color w:val="000000"/>
          <w:sz w:val="22"/>
        </w:rPr>
        <w:t xml:space="preserve">;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 xml:space="preserve">each of the 25 pair analyses carries its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Style w:val="VerbatimChar"/>
          <w:rFonts w:ascii="Times New Roman" w:hAnsi="Times New Roman"/>
          <w:color w:val="000000"/>
          <w:sz w:val="22"/>
        </w:rPr>
        <w:t xml:space="preserve">machine_*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 xml:space="preserve">classification alongside the final one, and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 xml:space="preserve">the papers whose adjudication reversed a preliminary verdict carry the supporting sentence under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Style w:val="VerbatimChar"/>
          <w:rFonts w:ascii="Times New Roman" w:hAnsi="Times New Roman"/>
          <w:color w:val="000000"/>
          <w:sz w:val="22"/>
        </w:rPr>
        <w:t xml:space="preserve">adjudication_evidence</w:t>
      </w:r>
      <w:r>
        <w:rPr>
          <w:rFonts w:ascii="Times New Roman" w:hAnsi="Times New Roman"/>
          <w:color w:val="000000"/>
          <w:sz w:val="22"/>
        </w:rPr>
        <w:t xml:space="preserve">.</w:t>
      </w:r>
    </w:p>
    <w:bookmarkEnd w:id="12"/>
    <w:bookmarkEnd w:id="13"/>
    <w:sectPr>
      <w:footerReference w:type="default" r:id="rId11"/>
      <w:footnotePr>
        <w:numRestart w:val="eachSect"/>
      </w:footnotePr>
      <w:pgSz w:w="12240" w:h="15840"/>
      <w:pgMar w:top="1080" w:bottom="1080" w:left="1224" w:right="936" w:header="432" w:footer="432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center"/>
      <w:suppressLineNumbers/>
    </w:pPr>
    <w:fldSimple w:instr="PAGE"/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pageBreakBefore w:val="0"/>
      <w:spacing w:line="480" w:lineRule="auto" w:before="0" w:after="60"/>
    </w:pPr>
    <w:rPr>
      <w:rFonts w:ascii="Times New Roman" w:hAnsi="Times New Roman"/>
      <w:color w:val="000000"/>
      <w:sz w:val="22"/>
    </w:rPr>
  </w:style>
  <w:style w:styleId="BodyText" w:type="paragraph">
    <w:name w:val="Body Text"/>
    <w:basedOn w:val="Normal"/>
    <w:link w:val="BodyTextChar"/>
    <w:qFormat/>
    <w:pPr>
      <w:pageBreakBefore w:val="0"/>
      <w:spacing w:after="60" w:before="0" w:line="480" w:lineRule="auto"/>
    </w:pPr>
    <w:rPr>
      <w:rFonts w:ascii="Times New Roman" w:hAnsi="Times New Roman"/>
      <w:color w:val="000000"/>
      <w:sz w:val="22"/>
    </w:rPr>
  </w:style>
  <w:style w:customStyle="1" w:styleId="FirstParagraph" w:type="paragraph">
    <w:name w:val="First Paragraph"/>
    <w:basedOn w:val="BodyText"/>
    <w:next w:val="BodyText"/>
    <w:qFormat/>
    <w:pPr>
      <w:pageBreakBefore w:val="0"/>
      <w:spacing w:line="480" w:lineRule="auto" w:before="0" w:after="60"/>
    </w:pPr>
    <w:rPr>
      <w:rFonts w:ascii="Times New Roman" w:hAnsi="Times New Roman"/>
      <w:color w:val="000000"/>
      <w:sz w:val="22"/>
    </w:rPr>
  </w:style>
  <w:style w:customStyle="1" w:styleId="Compact" w:type="paragraph">
    <w:name w:val="Compact"/>
    <w:basedOn w:val="BodyText"/>
    <w:qFormat/>
    <w:pPr>
      <w:pageBreakBefore w:val="0"/>
      <w:spacing w:after="60" w:before="0" w:line="480" w:lineRule="auto"/>
    </w:pPr>
    <w:rPr>
      <w:rFonts w:ascii="Times New Roman" w:hAnsi="Times New Roman"/>
      <w:color w:val="000000"/>
      <w:sz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keepNext/>
      <w:pageBreakBefore w:val="0"/>
      <w:spacing w:after="60" w:line="480" w:lineRule="auto" w:before="160"/>
      <w:contextualSpacing/>
      <w:jc w:val="center"/>
    </w:pPr>
    <w:rPr>
      <w:rFonts w:asciiTheme="majorHAnsi" w:cstheme="majorBidi" w:eastAsiaTheme="majorEastAsia" w:hAnsiTheme="majorHAnsi" w:ascii="Times New Roman" w:hAnsi="Times New Roman"/>
      <w:b/>
      <w:color w:val="000000"/>
      <w:sz w:val="28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ageBreakBefore w:val="0"/>
      <w:numPr>
        <w:ilvl w:val="1"/>
      </w:numPr>
      <w:spacing w:line="480" w:lineRule="auto" w:before="0" w:after="60"/>
    </w:pPr>
    <w:rPr>
      <w:rFonts w:cstheme="majorBidi" w:eastAsiaTheme="majorEastAsia" w:ascii="Times New Roman" w:hAnsi="Times New Roman"/>
      <w:color w:val="000000"/>
      <w:spacing w:val="15"/>
      <w:sz w:val="22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  <w:pageBreakBefore w:val="0"/>
      <w:spacing w:line="480" w:lineRule="auto" w:before="0" w:after="60"/>
    </w:pPr>
    <w:rPr>
      <w:rFonts w:ascii="Times New Roman" w:hAnsi="Times New Roman"/>
      <w:color w:val="000000"/>
      <w:sz w:val="22"/>
      <w:szCs w:val="24"/>
    </w:rPr>
  </w:style>
  <w:style w:styleId="Date" w:type="paragraph">
    <w:name w:val="Date"/>
    <w:basedOn w:val="Title"/>
    <w:next w:val="BodyText"/>
    <w:qFormat/>
    <w:pPr>
      <w:keepNext/>
      <w:keepLines/>
      <w:pageBreakBefore w:val="0"/>
      <w:spacing w:line="480" w:lineRule="auto" w:before="0" w:after="60"/>
    </w:pPr>
    <w:rPr>
      <w:rFonts w:ascii="Times New Roman" w:hAnsi="Times New Roman"/>
      <w:color w:val="000000"/>
      <w:sz w:val="22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pageBreakBefore w:val="0"/>
      <w:spacing w:after="60" w:before="0" w:line="480" w:lineRule="auto"/>
      <w:jc w:val="center"/>
    </w:pPr>
    <w:rPr>
      <w:rFonts w:ascii="Times New Roman" w:hAnsi="Times New Roman"/>
      <w:b/>
      <w:color w:val="000000"/>
      <w:sz w:val="22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pageBreakBefore w:val="0"/>
      <w:spacing w:after="60" w:before="0" w:line="480" w:lineRule="auto"/>
    </w:pPr>
    <w:rPr>
      <w:rFonts w:ascii="Times New Roman" w:hAnsi="Times New Roman"/>
      <w:color w:val="000000"/>
      <w:sz w:val="22"/>
      <w:szCs w:val="20"/>
    </w:rPr>
  </w:style>
  <w:style w:styleId="Bibliography" w:type="paragraph">
    <w:name w:val="Bibliography"/>
    <w:basedOn w:val="Normal"/>
    <w:next w:val="Bibliography"/>
    <w:qFormat/>
    <w:pPr>
      <w:pageBreakBefore w:val="0"/>
      <w:spacing w:line="480" w:lineRule="auto" w:before="0" w:after="60"/>
    </w:pPr>
    <w:rPr>
      <w:rFonts w:ascii="Times New Roman" w:hAnsi="Times New Roman"/>
      <w:color w:val="000000"/>
      <w:sz w:val="22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pageBreakBefore w:val="0"/>
      <w:spacing w:after="60" w:before="160" w:line="480" w:lineRule="auto"/>
      <w:outlineLvl w:val="0"/>
    </w:pPr>
    <w:rPr>
      <w:rFonts w:asciiTheme="majorHAnsi" w:cstheme="majorBidi" w:eastAsiaTheme="majorEastAsia" w:hAnsiTheme="majorHAnsi" w:ascii="Times New Roman" w:hAnsi="Times New Roman"/>
      <w:b/>
      <w:color w:val="000000"/>
      <w:sz w:val="2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pageBreakBefore w:val="0"/>
      <w:spacing w:after="60" w:before="160" w:line="480" w:lineRule="auto"/>
      <w:outlineLvl w:val="1"/>
    </w:pPr>
    <w:rPr>
      <w:rFonts w:asciiTheme="majorHAnsi" w:cstheme="majorBidi" w:eastAsiaTheme="majorEastAsia" w:hAnsiTheme="majorHAnsi" w:ascii="Times New Roman" w:hAnsi="Times New Roman"/>
      <w:b/>
      <w:color w:val="000000"/>
      <w:sz w:val="2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pageBreakBefore w:val="0"/>
      <w:spacing w:after="60" w:before="0" w:line="480" w:lineRule="auto"/>
      <w:outlineLvl w:val="2"/>
    </w:pPr>
    <w:rPr>
      <w:rFonts w:cstheme="majorBidi" w:eastAsiaTheme="majorEastAsia" w:ascii="Times New Roman" w:hAnsi="Times New Roman"/>
      <w:color w:val="000000"/>
      <w:sz w:val="22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pageBreakBefore w:val="0"/>
      <w:spacing w:after="60" w:before="0" w:line="480" w:lineRule="auto"/>
      <w:outlineLvl w:val="3"/>
    </w:pPr>
    <w:rPr>
      <w:rFonts w:cstheme="majorBidi" w:eastAsiaTheme="majorEastAsia" w:ascii="Times New Roman" w:hAnsi="Times New Roman"/>
      <w:i/>
      <w:iCs/>
      <w:color w:val="000000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pageBreakBefore w:val="0"/>
      <w:spacing w:after="60" w:before="0" w:line="480" w:lineRule="auto"/>
      <w:outlineLvl w:val="4"/>
    </w:pPr>
    <w:rPr>
      <w:rFonts w:cstheme="majorBidi" w:eastAsiaTheme="majorEastAsia" w:ascii="Times New Roman" w:hAnsi="Times New Roman"/>
      <w:color w:val="000000"/>
      <w:sz w:val="22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pageBreakBefore w:val="0"/>
      <w:spacing w:after="60" w:before="0" w:line="480" w:lineRule="auto"/>
      <w:outlineLvl w:val="5"/>
    </w:pPr>
    <w:rPr>
      <w:rFonts w:cstheme="majorBidi" w:eastAsiaTheme="majorEastAsia" w:ascii="Times New Roman" w:hAnsi="Times New Roman"/>
      <w:i/>
      <w:iCs/>
      <w:color w:val="000000"/>
      <w:sz w:val="22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pageBreakBefore w:val="0"/>
      <w:spacing w:after="60" w:before="0" w:line="480" w:lineRule="auto"/>
      <w:outlineLvl w:val="6"/>
    </w:pPr>
    <w:rPr>
      <w:rFonts w:cstheme="majorBidi" w:eastAsiaTheme="majorEastAsia" w:ascii="Times New Roman" w:hAnsi="Times New Roman"/>
      <w:color w:val="000000"/>
      <w:sz w:val="22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pageBreakBefore w:val="0"/>
      <w:spacing w:after="60" w:line="480" w:lineRule="auto" w:before="0"/>
      <w:outlineLvl w:val="7"/>
    </w:pPr>
    <w:rPr>
      <w:rFonts w:cstheme="majorBidi" w:eastAsiaTheme="majorEastAsia" w:ascii="Times New Roman" w:hAnsi="Times New Roman"/>
      <w:i/>
      <w:iCs/>
      <w:color w:val="000000"/>
      <w:sz w:val="22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pageBreakBefore w:val="0"/>
      <w:spacing w:after="60" w:line="480" w:lineRule="auto" w:before="0"/>
      <w:outlineLvl w:val="8"/>
    </w:pPr>
    <w:rPr>
      <w:rFonts w:cstheme="majorBidi" w:eastAsiaTheme="majorEastAsia" w:ascii="Times New Roman" w:hAnsi="Times New Roman"/>
      <w:color w:val="000000"/>
      <w:sz w:val="22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ageBreakBefore w:val="0"/>
      <w:spacing w:after="60" w:before="0" w:line="480" w:lineRule="auto"/>
      <w:ind w:firstLine="0" w:left="480" w:right="480"/>
    </w:pPr>
    <w:rPr>
      <w:rFonts w:ascii="Times New Roman" w:hAnsi="Times New Roman"/>
      <w:color w:val="000000"/>
      <w:sz w:val="22"/>
    </w:rPr>
  </w:style>
  <w:style w:styleId="FootnoteText" w:type="paragraph">
    <w:name w:val="Footnote Text"/>
    <w:basedOn w:val="Normal"/>
    <w:next w:val="FootnoteText"/>
    <w:uiPriority w:val="9"/>
    <w:unhideWhenUsed/>
    <w:qFormat/>
    <w:pPr>
      <w:pageBreakBefore w:val="0"/>
      <w:spacing w:line="480" w:lineRule="auto" w:before="0" w:after="60"/>
    </w:pPr>
    <w:rPr>
      <w:rFonts w:ascii="Times New Roman" w:hAnsi="Times New Roman"/>
      <w:color w:val="000000"/>
      <w:sz w:val="22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pageBreakBefore w:val="0"/>
      <w:spacing w:after="60" w:before="0" w:line="480" w:lineRule="auto"/>
      <w:ind w:firstLine="0" w:left="480" w:right="480"/>
    </w:pPr>
    <w:rPr>
      <w:rFonts w:ascii="Times New Roman" w:hAnsi="Times New Roman"/>
      <w:color w:val="000000"/>
      <w:sz w:val="22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pageBreakBefore w:val="0"/>
      <w:spacing w:after="60" w:line="480" w:lineRule="auto" w:before="0"/>
    </w:pPr>
    <w:rPr>
      <w:rFonts w:ascii="Times New Roman" w:hAnsi="Times New Roman"/>
      <w:b/>
      <w:color w:val="000000"/>
      <w:sz w:val="22"/>
    </w:rPr>
  </w:style>
  <w:style w:customStyle="1" w:styleId="Definition" w:type="paragraph">
    <w:name w:val="Definition"/>
    <w:basedOn w:val="Normal"/>
    <w:pPr>
      <w:pageBreakBefore w:val="0"/>
      <w:spacing w:line="480" w:lineRule="auto" w:before="0" w:after="60"/>
    </w:pPr>
    <w:rPr>
      <w:rFonts w:ascii="Times New Roman" w:hAnsi="Times New Roman"/>
      <w:color w:val="000000"/>
      <w:sz w:val="22"/>
    </w:rPr>
  </w:style>
  <w:style w:styleId="Caption" w:type="paragraph">
    <w:name w:val="Caption"/>
    <w:basedOn w:val="Normal"/>
    <w:link w:val="BodyTextChar"/>
    <w:pPr>
      <w:pageBreakBefore w:val="0"/>
      <w:spacing w:after="60" w:before="0" w:line="480" w:lineRule="auto"/>
    </w:pPr>
    <w:rPr>
      <w:rFonts w:ascii="Times New Roman" w:hAnsi="Times New Roman"/>
      <w:i/>
      <w:color w:val="000000"/>
      <w:sz w:val="22"/>
    </w:rPr>
  </w:style>
  <w:style w:customStyle="1" w:styleId="TableCaption" w:type="paragraph">
    <w:name w:val="Table Caption"/>
    <w:basedOn w:val="Caption"/>
    <w:pPr>
      <w:keepNext/>
      <w:pageBreakBefore w:val="0"/>
      <w:spacing w:line="480" w:lineRule="auto" w:before="0" w:after="60"/>
    </w:pPr>
    <w:rPr>
      <w:rFonts w:ascii="Times New Roman" w:hAnsi="Times New Roman"/>
      <w:color w:val="000000"/>
      <w:sz w:val="22"/>
    </w:rPr>
  </w:style>
  <w:style w:customStyle="1" w:styleId="ImageCaption" w:type="paragraph">
    <w:name w:val="Image Caption"/>
    <w:basedOn w:val="Caption"/>
    <w:pPr>
      <w:pageBreakBefore w:val="0"/>
      <w:spacing w:line="480" w:lineRule="auto" w:before="0" w:after="60"/>
    </w:pPr>
    <w:rPr>
      <w:rFonts w:ascii="Times New Roman" w:hAnsi="Times New Roman"/>
      <w:color w:val="000000"/>
      <w:sz w:val="22"/>
    </w:rPr>
  </w:style>
  <w:style w:customStyle="1" w:styleId="Figure" w:type="paragraph">
    <w:name w:val="Figure"/>
    <w:basedOn w:val="Normal"/>
    <w:pPr>
      <w:pageBreakBefore w:val="0"/>
      <w:spacing w:line="480" w:lineRule="auto" w:before="0" w:after="60"/>
    </w:pPr>
    <w:rPr>
      <w:rFonts w:ascii="Times New Roman" w:hAnsi="Times New Roman"/>
      <w:color w:val="000000"/>
      <w:sz w:val="22"/>
    </w:rPr>
  </w:style>
  <w:style w:customStyle="1" w:styleId="CaptionedFigure" w:type="paragraph">
    <w:name w:val="Captioned Figure"/>
    <w:basedOn w:val="Figure"/>
    <w:pPr>
      <w:keepNext/>
      <w:pageBreakBefore w:val="0"/>
      <w:spacing w:line="480" w:lineRule="auto" w:before="0" w:after="60"/>
    </w:pPr>
    <w:rPr>
      <w:rFonts w:ascii="Times New Roman" w:hAnsi="Times New Roman"/>
      <w:color w:val="000000"/>
      <w:sz w:val="22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pageBreakBefore w:val="0"/>
      <w:spacing w:before="0" w:line="480" w:lineRule="auto" w:after="60"/>
      <w:outlineLvl w:val="9"/>
    </w:pPr>
    <w:rPr>
      <w:rFonts w:asciiTheme="majorHAnsi" w:cstheme="majorBidi" w:eastAsiaTheme="majorEastAsia" w:hAnsiTheme="majorHAnsi" w:ascii="Times New Roman" w:hAnsi="Times New Roman"/>
      <w:b w:val="0"/>
      <w:bCs w:val="0"/>
      <w:color w:val="000000"/>
      <w:sz w:val="22"/>
    </w:rPr>
  </w:style>
  <w:style w:type="paragraph" w:customStyle="1" w:styleId="SourceCode">
    <w:name w:val="Source Code"/>
    <w:basedOn w:val="Normal"/>
    <w:link w:val="VerbatimChar"/>
    <w:pPr>
      <w:pageBreakBefore w:val="0"/>
      <w:wordWrap w:val="off"/>
      <w:spacing w:line="480" w:lineRule="auto" w:before="0" w:after="60"/>
    </w:pPr>
    <w:rPr>
      <w:rFonts w:ascii="Times New Roman" w:hAnsi="Times New Roman"/>
      <w:color w:val="000000"/>
      <w:sz w:val="22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/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:description/>
  <cp:keywords/>
  <dc:subject/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