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65E70" w14:textId="77777777" w:rsidR="000E023A" w:rsidRDefault="000E023A" w:rsidP="000E023A">
      <w:pPr>
        <w:shd w:val="clear" w:color="auto" w:fill="FFFFFF"/>
        <w:spacing w:line="48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Supplementary Material</w:t>
      </w:r>
    </w:p>
    <w:p w14:paraId="4961A84F"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Fig. S1. </w:t>
      </w:r>
      <w:r>
        <w:rPr>
          <w:rFonts w:ascii="Times New Roman" w:eastAsia="Times New Roman" w:hAnsi="Times New Roman" w:cs="Times New Roman"/>
          <w:sz w:val="22"/>
          <w:szCs w:val="22"/>
        </w:rPr>
        <w:t xml:space="preserve">Phylogenetic tree inferred under (A) Maximum Likelihood and (B) Bayesian Inference. Bootstrap (A) and posterior probability (B) support values are shown on the branches. The main topological issues are indicated in the accompanying text. </w:t>
      </w:r>
    </w:p>
    <w:p w14:paraId="4282C353"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Fig. S2.</w:t>
      </w:r>
      <w:r>
        <w:rPr>
          <w:rFonts w:ascii="Times New Roman" w:eastAsia="Times New Roman" w:hAnsi="Times New Roman" w:cs="Times New Roman"/>
          <w:sz w:val="22"/>
          <w:szCs w:val="22"/>
        </w:rPr>
        <w:t xml:space="preserve"> Comparison between phylogenetic trees inferred under (A) Maximum Likelihood and (B) Bayesian Inference. Species with different positions in the trees are indicated by their names on terminals. Red lines connect the same terminals in the two trees.</w:t>
      </w:r>
    </w:p>
    <w:p w14:paraId="2D8C172D"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Fig. S3. </w:t>
      </w:r>
      <w:r>
        <w:rPr>
          <w:rFonts w:ascii="Times New Roman" w:eastAsia="Times New Roman" w:hAnsi="Times New Roman" w:cs="Times New Roman"/>
          <w:sz w:val="22"/>
          <w:szCs w:val="22"/>
        </w:rPr>
        <w:t>Topological differences between phylogenetic trees inferred using (A) Maximum Likelihood and (B) Bayesian inference. Blue dots in A indicate nodes present only in the ML tree, whereas red dots in B indicate nodes present only in the BI tree.</w:t>
      </w:r>
    </w:p>
    <w:p w14:paraId="7261F2E2"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Fig. S4. </w:t>
      </w:r>
      <w:r>
        <w:rPr>
          <w:rFonts w:ascii="Times New Roman" w:eastAsia="Times New Roman" w:hAnsi="Times New Roman" w:cs="Times New Roman"/>
          <w:sz w:val="22"/>
          <w:szCs w:val="22"/>
        </w:rPr>
        <w:t xml:space="preserve">Time-calibrated Maxillariinae phylogeny with age ranges based on height 95% indicated on the nodes. Branch </w:t>
      </w:r>
      <w:r>
        <w:rPr>
          <w:rFonts w:ascii="Times New Roman" w:eastAsia="Times New Roman" w:hAnsi="Times New Roman" w:cs="Times New Roman"/>
          <w:sz w:val="22"/>
          <w:szCs w:val="22"/>
          <w:lang w:val="pt-PT"/>
        </w:rPr>
        <w:t>colors</w:t>
      </w:r>
      <w:r>
        <w:rPr>
          <w:rFonts w:ascii="Times New Roman" w:eastAsia="Times New Roman" w:hAnsi="Times New Roman" w:cs="Times New Roman"/>
          <w:sz w:val="22"/>
          <w:szCs w:val="22"/>
        </w:rPr>
        <w:t xml:space="preserve"> indicate the age based on height median.</w:t>
      </w:r>
    </w:p>
    <w:p w14:paraId="32AFCAA1"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Fig. S5. </w:t>
      </w:r>
      <w:r>
        <w:rPr>
          <w:rFonts w:ascii="Times New Roman" w:eastAsia="Times New Roman" w:hAnsi="Times New Roman" w:cs="Times New Roman"/>
          <w:sz w:val="22"/>
          <w:szCs w:val="22"/>
        </w:rPr>
        <w:t xml:space="preserve">Maximum Likelihood phylogenetic trees based on nuclear ITS and chloroplast regions </w:t>
      </w:r>
      <w:r>
        <w:rPr>
          <w:rFonts w:ascii="Times New Roman" w:eastAsia="Times New Roman" w:hAnsi="Times New Roman" w:cs="Times New Roman"/>
          <w:i/>
          <w:iCs/>
          <w:sz w:val="22"/>
          <w:szCs w:val="22"/>
        </w:rPr>
        <w:t>rbc</w:t>
      </w:r>
      <w:r>
        <w:rPr>
          <w:rFonts w:ascii="Times New Roman" w:eastAsia="Times New Roman" w:hAnsi="Times New Roman" w:cs="Times New Roman"/>
          <w:sz w:val="22"/>
          <w:szCs w:val="22"/>
        </w:rPr>
        <w:t xml:space="preserve">L, </w:t>
      </w:r>
      <w:r>
        <w:rPr>
          <w:rFonts w:ascii="Times New Roman" w:eastAsia="Times New Roman" w:hAnsi="Times New Roman" w:cs="Times New Roman"/>
          <w:i/>
          <w:iCs/>
          <w:sz w:val="22"/>
          <w:szCs w:val="22"/>
        </w:rPr>
        <w:t>mat</w:t>
      </w:r>
      <w:r>
        <w:rPr>
          <w:rFonts w:ascii="Times New Roman" w:eastAsia="Times New Roman" w:hAnsi="Times New Roman" w:cs="Times New Roman"/>
          <w:sz w:val="22"/>
          <w:szCs w:val="22"/>
        </w:rPr>
        <w:t xml:space="preserve">K, </w:t>
      </w:r>
      <w:r>
        <w:rPr>
          <w:rFonts w:ascii="Times New Roman" w:eastAsia="Times New Roman" w:hAnsi="Times New Roman" w:cs="Times New Roman"/>
          <w:i/>
          <w:iCs/>
          <w:sz w:val="22"/>
          <w:szCs w:val="22"/>
        </w:rPr>
        <w:t>ycf</w:t>
      </w:r>
      <w:r>
        <w:rPr>
          <w:rFonts w:ascii="Times New Roman" w:eastAsia="Times New Roman" w:hAnsi="Times New Roman" w:cs="Times New Roman"/>
          <w:sz w:val="22"/>
          <w:szCs w:val="22"/>
        </w:rPr>
        <w:t xml:space="preserve">1, and </w:t>
      </w:r>
      <w:r>
        <w:rPr>
          <w:rFonts w:ascii="Times New Roman" w:eastAsia="Times New Roman" w:hAnsi="Times New Roman" w:cs="Times New Roman"/>
          <w:i/>
          <w:iCs/>
          <w:sz w:val="22"/>
          <w:szCs w:val="22"/>
        </w:rPr>
        <w:t>atp</w:t>
      </w:r>
      <w:r>
        <w:rPr>
          <w:rFonts w:ascii="Times New Roman" w:eastAsia="Times New Roman" w:hAnsi="Times New Roman" w:cs="Times New Roman"/>
          <w:sz w:val="22"/>
          <w:szCs w:val="22"/>
        </w:rPr>
        <w:t xml:space="preserve">B compared. Red lines connect the same terminals in the two trees. Bootstrap support values above 70 are indicated on the nodes. </w:t>
      </w:r>
    </w:p>
    <w:p w14:paraId="1CFD4627"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S1. </w:t>
      </w:r>
      <w:r>
        <w:rPr>
          <w:rFonts w:ascii="Times New Roman" w:eastAsia="Times New Roman" w:hAnsi="Times New Roman" w:cs="Times New Roman"/>
          <w:sz w:val="22"/>
          <w:szCs w:val="22"/>
        </w:rPr>
        <w:t xml:space="preserve">GenBank accession codes of the sequences used in the phylogenetic analysis. Species names are presented according Blanco et al. (2007). For species placed on Group 1 and 2, taxonomic rearrangments proposed by Schuiteman &amp; Chase (2015; SC) and Meneguzzo &amp; Chase (2024; MC), the new names proposed are presented on the third and fourth columns, respectively. The number of taxa per genus follows World Flora Online, except for Group 2, which follows Blanco et al. (2007) or the corresponding recircumscription. Species types of each genus or section are in bold. Asterisks (*) indicate sequences generated in this study. </w:t>
      </w:r>
    </w:p>
    <w:p w14:paraId="3B78FA78"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S2. </w:t>
      </w:r>
      <w:r>
        <w:rPr>
          <w:rFonts w:ascii="Times New Roman" w:eastAsia="Times New Roman" w:hAnsi="Times New Roman" w:cs="Times New Roman"/>
          <w:sz w:val="22"/>
          <w:szCs w:val="22"/>
        </w:rPr>
        <w:t xml:space="preserve">Sampled specimens to cytogenetics analysis with respective locality of origin, Herbarium voucher, and identification in the living collection, when available. Locality is given as the municipality, state and country where the plants were collected. </w:t>
      </w:r>
    </w:p>
    <w:p w14:paraId="2B2D9F31"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S3. </w:t>
      </w:r>
      <w:r>
        <w:rPr>
          <w:rFonts w:ascii="Times New Roman" w:eastAsia="Times New Roman" w:hAnsi="Times New Roman" w:cs="Times New Roman"/>
          <w:sz w:val="22"/>
          <w:szCs w:val="22"/>
        </w:rPr>
        <w:t xml:space="preserve">Literature survey compiling cytogenetic data for Maxillariinae species along with new data obtained here. The total number of heterochromatic bands and rDNA sites is presented along with approximated chromosome morphology (sm = submetacentric, acro = acrocentric, mt = metacentric) </w:t>
      </w:r>
      <w:r>
        <w:rPr>
          <w:rFonts w:ascii="Times New Roman" w:eastAsia="Times New Roman" w:hAnsi="Times New Roman" w:cs="Times New Roman"/>
          <w:sz w:val="22"/>
          <w:szCs w:val="22"/>
        </w:rPr>
        <w:lastRenderedPageBreak/>
        <w:t xml:space="preserve">and their position on the chromosome (tr = terminal, px = proximal, int = interstitial). The genome size is presented in picograms (pg).  The table follows the taxonomic proposal of Blanco et al. (2007), and for each genus, the total number of taxa follows Blanco et al. (2007) and/or the World Flora Online database. The percentage of </w:t>
      </w:r>
      <w:r>
        <w:rPr>
          <w:rFonts w:ascii="Times New Roman" w:eastAsia="Times New Roman" w:hAnsi="Times New Roman" w:cs="Times New Roman"/>
          <w:sz w:val="22"/>
          <w:szCs w:val="22"/>
          <w:lang w:val="pt-PT"/>
        </w:rPr>
        <w:t>analyzed</w:t>
      </w:r>
      <w:r>
        <w:rPr>
          <w:rFonts w:ascii="Times New Roman" w:eastAsia="Times New Roman" w:hAnsi="Times New Roman" w:cs="Times New Roman"/>
          <w:sz w:val="22"/>
          <w:szCs w:val="22"/>
        </w:rPr>
        <w:t xml:space="preserve"> species per genus is presented. </w:t>
      </w:r>
    </w:p>
    <w:p w14:paraId="1040ED3A"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S4. </w:t>
      </w:r>
      <w:r>
        <w:rPr>
          <w:rFonts w:ascii="Times New Roman" w:eastAsia="Cardo" w:hAnsi="Times New Roman" w:cs="Times New Roman"/>
          <w:sz w:val="22"/>
          <w:szCs w:val="22"/>
        </w:rPr>
        <w:t>Model selection of karyotype evolution based on the homogeneous model approach implemented in ChromEvol v.2 and the heterogeneous model approach implemented in ChromEvol v.3. In each analysis, model selection was based on AIC, considering the ΔAIC≤2. For the homogeneous models, the best-fitting models are indicated in bold, and for these models the rates of dysploidies, polyploidy and demi-polyploidy are presented. For the best-fitting heterogeneous model, the rates of karyotype rearrangements are also indicated, accompanied by rate of base chromosome number changes.</w:t>
      </w:r>
    </w:p>
    <w:p w14:paraId="25D9760E"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S5. </w:t>
      </w:r>
      <w:r>
        <w:rPr>
          <w:rFonts w:ascii="Times New Roman" w:eastAsia="Times New Roman" w:hAnsi="Times New Roman" w:cs="Times New Roman"/>
          <w:sz w:val="22"/>
          <w:szCs w:val="22"/>
        </w:rPr>
        <w:t>Model adequacy results for chromosome number evolution under the Constant Rate Demi model.</w:t>
      </w:r>
    </w:p>
    <w:p w14:paraId="2292C277"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S6.</w:t>
      </w:r>
      <w:r>
        <w:rPr>
          <w:rFonts w:ascii="Times New Roman" w:eastAsia="Times New Roman" w:hAnsi="Times New Roman" w:cs="Times New Roman"/>
          <w:sz w:val="22"/>
          <w:szCs w:val="22"/>
        </w:rPr>
        <w:t xml:space="preserve"> Macroevolutionary analysis for genome size of the subtribe Maxillariinae. Three evolutionary models were tested, Brownian Motion (BM), Ornstein–Uhlenbeck (OU), and Early Burst (EB), besides the White Noise (WN) model, a non-phylogenetic model used as a null model. The AICc value for each model is presented along with the ΔAIC. The lowest(s) AIC value(s) suggest the best fit model(s), which are presented in bold. Model parameters:  "alpha" for rate of adaptation for OU and "a" indicated the rate change for EB. For all models, the rate of evolution (sigsq) and root state (z0) are also presented but for Blomberg's K, which does not return such results.</w:t>
      </w:r>
    </w:p>
    <w:p w14:paraId="733B1EBA"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S7. </w:t>
      </w:r>
      <w:r>
        <w:rPr>
          <w:rFonts w:ascii="Times New Roman" w:eastAsia="Times New Roman" w:hAnsi="Times New Roman" w:cs="Times New Roman"/>
          <w:sz w:val="22"/>
          <w:szCs w:val="22"/>
        </w:rPr>
        <w:t>Model comparison (AICc) for univariate PGLS models testing the association between genome size (GS) and individual cytogenetic traits (predictors). For each predictor, AICc values from the null and alternative models are presented. The difference in AICc is reported as ΔAICc. The best fitted models are presented in bold. df = degrees of freedom.</w:t>
      </w:r>
    </w:p>
    <w:p w14:paraId="3E16BB0F"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S8. </w:t>
      </w:r>
      <w:r>
        <w:rPr>
          <w:rFonts w:ascii="Times New Roman" w:eastAsia="Times New Roman" w:hAnsi="Times New Roman" w:cs="Times New Roman"/>
          <w:sz w:val="22"/>
          <w:szCs w:val="22"/>
        </w:rPr>
        <w:t xml:space="preserve">Model comparison (AICc) for univariate PGLS models testing the association between genome size (GS) and individual cytogenetic traits (predictors). A single dataset and a corresponding pruned phylogeny were generated, including only species with available data for all four cytogenetic traits. Accordingly, a single PGLS null model was fitted and compared with alternative models for each </w:t>
      </w:r>
      <w:r>
        <w:rPr>
          <w:rFonts w:ascii="Times New Roman" w:eastAsia="Times New Roman" w:hAnsi="Times New Roman" w:cs="Times New Roman"/>
          <w:sz w:val="22"/>
          <w:szCs w:val="22"/>
        </w:rPr>
        <w:lastRenderedPageBreak/>
        <w:t>predictor. The difference is reported as ΔAICc. The best-fitting models are indicated in bold. df = degrees of freedom.</w:t>
      </w:r>
    </w:p>
    <w:p w14:paraId="09130119"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S9. </w:t>
      </w:r>
      <w:r>
        <w:rPr>
          <w:rFonts w:ascii="Times New Roman" w:eastAsia="Times New Roman" w:hAnsi="Times New Roman" w:cs="Times New Roman"/>
          <w:sz w:val="22"/>
          <w:szCs w:val="22"/>
        </w:rPr>
        <w:t>Multivariate PGLS analyses performed using pgls functions to test the relationship between genome size and chromosome number, heterochromatin content, and rDNA sites.</w:t>
      </w:r>
    </w:p>
    <w:p w14:paraId="391DDCF8" w14:textId="77777777" w:rsidR="000E023A" w:rsidRDefault="000E023A" w:rsidP="000E023A">
      <w:pPr>
        <w:tabs>
          <w:tab w:val="left" w:pos="9356"/>
        </w:tabs>
        <w:spacing w:line="480" w:lineRule="auto"/>
        <w:ind w:right="48"/>
        <w:jc w:val="both"/>
        <w:rPr>
          <w:rFonts w:ascii="Times New Roman" w:eastAsia="Times New Roman" w:hAnsi="Times New Roman" w:cs="Times New Roman"/>
          <w:sz w:val="22"/>
          <w:szCs w:val="22"/>
        </w:rPr>
      </w:pPr>
    </w:p>
    <w:p w14:paraId="645D2751"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rdo">
    <w:altName w:val="Montserrat Alternates Ex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23A"/>
    <w:rsid w:val="000C4033"/>
    <w:rsid w:val="000E023A"/>
    <w:rsid w:val="00173ED8"/>
    <w:rsid w:val="002F50B1"/>
    <w:rsid w:val="004B42CB"/>
    <w:rsid w:val="005F2B46"/>
    <w:rsid w:val="006E1731"/>
    <w:rsid w:val="00866D74"/>
    <w:rsid w:val="00882A73"/>
    <w:rsid w:val="00906905"/>
    <w:rsid w:val="0095305D"/>
    <w:rsid w:val="00B10170"/>
    <w:rsid w:val="00B260B7"/>
    <w:rsid w:val="00B85331"/>
    <w:rsid w:val="00C94D66"/>
    <w:rsid w:val="00DE7E69"/>
    <w:rsid w:val="00E023F9"/>
    <w:rsid w:val="00FF76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7309E"/>
  <w15:chartTrackingRefBased/>
  <w15:docId w15:val="{C0C64BE8-D3C1-4A1D-BBF9-F79844D6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23A"/>
    <w:pPr>
      <w:spacing w:after="0" w:line="240" w:lineRule="auto"/>
    </w:pPr>
    <w:rPr>
      <w:rFonts w:ascii="Calibri" w:eastAsia="Calibri" w:hAnsi="Calibri" w:cs="Calibri"/>
      <w:kern w:val="0"/>
      <w:sz w:val="20"/>
      <w:szCs w:val="20"/>
      <w:lang w:val="en" w:eastAsia="en-IN"/>
      <w14:ligatures w14:val="none"/>
    </w:rPr>
  </w:style>
  <w:style w:type="paragraph" w:styleId="Heading1">
    <w:name w:val="heading 1"/>
    <w:basedOn w:val="Normal"/>
    <w:next w:val="Normal"/>
    <w:link w:val="Heading1Char"/>
    <w:uiPriority w:val="9"/>
    <w:qFormat/>
    <w:rsid w:val="000E023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0E023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0E023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0E023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0E023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0E023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0E023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0E023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0E023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23A"/>
    <w:rPr>
      <w:rFonts w:eastAsiaTheme="majorEastAsia" w:cstheme="majorBidi"/>
      <w:color w:val="272727" w:themeColor="text1" w:themeTint="D8"/>
    </w:rPr>
  </w:style>
  <w:style w:type="paragraph" w:styleId="Title">
    <w:name w:val="Title"/>
    <w:basedOn w:val="Normal"/>
    <w:next w:val="Normal"/>
    <w:link w:val="TitleChar"/>
    <w:uiPriority w:val="10"/>
    <w:qFormat/>
    <w:rsid w:val="000E023A"/>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0E0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23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0E0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23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0E023A"/>
    <w:rPr>
      <w:i/>
      <w:iCs/>
      <w:color w:val="404040" w:themeColor="text1" w:themeTint="BF"/>
    </w:rPr>
  </w:style>
  <w:style w:type="paragraph" w:styleId="ListParagraph">
    <w:name w:val="List Paragraph"/>
    <w:basedOn w:val="Normal"/>
    <w:uiPriority w:val="34"/>
    <w:qFormat/>
    <w:rsid w:val="000E023A"/>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0E023A"/>
    <w:rPr>
      <w:i/>
      <w:iCs/>
      <w:color w:val="0F4761" w:themeColor="accent1" w:themeShade="BF"/>
    </w:rPr>
  </w:style>
  <w:style w:type="paragraph" w:styleId="IntenseQuote">
    <w:name w:val="Intense Quote"/>
    <w:basedOn w:val="Normal"/>
    <w:next w:val="Normal"/>
    <w:link w:val="IntenseQuoteChar"/>
    <w:uiPriority w:val="30"/>
    <w:qFormat/>
    <w:rsid w:val="000E023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0E023A"/>
    <w:rPr>
      <w:i/>
      <w:iCs/>
      <w:color w:val="0F4761" w:themeColor="accent1" w:themeShade="BF"/>
    </w:rPr>
  </w:style>
  <w:style w:type="character" w:styleId="IntenseReference">
    <w:name w:val="Intense Reference"/>
    <w:basedOn w:val="DefaultParagraphFont"/>
    <w:uiPriority w:val="32"/>
    <w:qFormat/>
    <w:rsid w:val="000E02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4389</Characters>
  <Application>Microsoft Office Word</Application>
  <DocSecurity>0</DocSecurity>
  <Lines>36</Lines>
  <Paragraphs>10</Paragraphs>
  <ScaleCrop>false</ScaleCrop>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2026-10-14T13:46:00Z</dcterms:created>
  <dcterms:modified xsi:type="dcterms:W3CDTF">2026-10-14T13:46:00Z</dcterms:modified>
</cp:coreProperties>
</file>