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4"/>
          <w:szCs w:val="24"/>
        </w:rPr>
        <w:t xml:space="preserve">STROBE Statement: checklist of items that should be included in reports of observational studies</w:t>
      </w:r>
    </w:p>
    <w:p>
      <w:pPr>
        <w:spacing w:after="200"/>
        <w:jc w:val="center"/>
      </w:pPr>
      <w:r>
        <w:rPr>
          <w:rFonts w:ascii="Calibri" w:cs="Calibri" w:eastAsia="Calibri" w:hAnsi="Calibri"/>
          <w:i/>
          <w:iCs/>
          <w:sz w:val="18"/>
          <w:szCs w:val="18"/>
        </w:rPr>
        <w:t xml:space="preserve">Combined checklist for cohort, case-control and cross-sectional studies (von Elm E, et al. STROBE Statement. www.strobe-statement.org)</w:t>
      </w:r>
    </w:p>
    <w:p>
      <w:pPr>
        <w:spacing w:after="60" w:before="60"/>
        <w:jc w:val="both"/>
      </w:pPr>
      <w:r>
        <w:rPr>
          <w:rFonts w:ascii="Calibri" w:cs="Calibri" w:eastAsia="Calibri" w:hAnsi="Calibri"/>
          <w:b w:val="false"/>
          <w:bCs w:val="false"/>
          <w:i w:val="false"/>
          <w:iCs w:val="false"/>
          <w:sz w:val="19"/>
          <w:szCs w:val="19"/>
        </w:rPr>
        <w:t xml:space="preserve">Manuscript: Primary headache disorders in patients with epilepsy, Department of Neurology, Govind Ballabh Pant Institute of Postgraduate Medical Education and Research, New Delhi (Sahu BK, Lodha SM, Roshan S, Gupta S).</w:t>
      </w:r>
    </w:p>
    <w:p>
      <w:pPr>
        <w:spacing w:after="60" w:before="60"/>
        <w:jc w:val="both"/>
      </w:pPr>
      <w:r>
        <w:rPr>
          <w:rFonts w:ascii="Calibri" w:cs="Calibri" w:eastAsia="Calibri" w:hAnsi="Calibri"/>
          <w:b w:val="false"/>
          <w:bCs w:val="false"/>
          <w:i w:val="false"/>
          <w:iCs w:val="false"/>
          <w:sz w:val="19"/>
          <w:szCs w:val="19"/>
        </w:rPr>
        <w:t xml:space="preserve">Study design: hospital-based prospective study comprising a cross-sectional prevalence component (screening of 814 patients with epilepsy for a co-existing primary headache disorder) and a prospective 3-month follow-up component (response of comorbid migraine to standard preventive treatment). The combined STROBE checklist is therefore used, with both the cohort and the cross-sectional wording of items 6(a), 12(d), 14(c) and 15 completed and the case-control wording marked not applicable.</w:t>
      </w:r>
    </w:p>
    <w:p>
      <w:pPr>
        <w:spacing w:after="60" w:before="60"/>
        <w:jc w:val="both"/>
      </w:pPr>
      <w:r>
        <w:rPr>
          <w:rFonts w:ascii="Calibri" w:cs="Calibri" w:eastAsia="Calibri" w:hAnsi="Calibri"/>
          <w:b w:val="false"/>
          <w:bCs w:val="false"/>
          <w:i w:val="false"/>
          <w:iCs w:val="false"/>
          <w:sz w:val="19"/>
          <w:szCs w:val="19"/>
        </w:rPr>
        <w:t xml:space="preserve">Page numbers refer to the manuscript file as supplied (Manuscript_Submission.docx). Rows shaded in pink mark items that are not reported, only partially reported, or that require author action before submission.</w:t>
      </w:r>
    </w:p>
    <w:p>
      <w:pPr>
        <w:spacing w:after="120"/>
      </w:pPr>
    </w:p>
    <w:tbl>
      <w:tblPr>
        <w:tblW w:type="dxa" w:w="14678"/>
        <w:tblBorders>
          <w:top w:val="single" w:color="8DA9C4" w:sz="6"/>
          <w:left w:val="single" w:color="8DA9C4" w:sz="6"/>
          <w:bottom w:val="single" w:color="8DA9C4" w:sz="6"/>
          <w:right w:val="single" w:color="8DA9C4" w:sz="6"/>
          <w:insideH w:val="single" w:color="B7C9DC" w:sz="4"/>
          <w:insideV w:val="single" w:color="B7C9DC" w:sz="4"/>
        </w:tblBorders>
      </w:tblPr>
      <w:tblGrid>
        <w:gridCol w:w="800"/>
        <w:gridCol w:w="1700"/>
        <w:gridCol w:w="6200"/>
        <w:gridCol w:w="900"/>
        <w:gridCol w:w="5078"/>
      </w:tblGrid>
      <w:tr>
        <w:trPr>
          <w:cantSplit/>
          <w:tblHeader/>
        </w:trPr>
        <w:tc>
          <w:tcPr>
            <w:tcW w:type="dxa" w:w="800"/>
            <w:shd w:fill="C6D9F1"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Item</w:t>
            </w:r>
          </w:p>
          <w:p>
            <w:pPr>
              <w:spacing w:after="40" w:before="40"/>
              <w:jc w:val="center"/>
            </w:pPr>
            <w:r>
              <w:rPr>
                <w:rFonts w:ascii="Calibri" w:cs="Calibri" w:eastAsia="Calibri" w:hAnsi="Calibri"/>
                <w:b/>
                <w:bCs/>
                <w:i w:val="false"/>
                <w:iCs w:val="false"/>
                <w:sz w:val="18"/>
                <w:szCs w:val="18"/>
              </w:rPr>
              <w:t xml:space="preserve">No.</w:t>
            </w:r>
          </w:p>
        </w:tc>
        <w:tc>
          <w:tcPr>
            <w:tcW w:type="dxa" w:w="1700"/>
            <w:shd w:fill="C6D9F1"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Topic</w:t>
            </w:r>
          </w:p>
        </w:tc>
        <w:tc>
          <w:tcPr>
            <w:tcW w:type="dxa" w:w="6200"/>
            <w:shd w:fill="C6D9F1"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STROBE recommendation</w:t>
            </w:r>
          </w:p>
        </w:tc>
        <w:tc>
          <w:tcPr>
            <w:tcW w:type="dxa" w:w="900"/>
            <w:shd w:fill="C6D9F1"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Page</w:t>
            </w:r>
          </w:p>
          <w:p>
            <w:pPr>
              <w:spacing w:after="40" w:before="40"/>
              <w:jc w:val="center"/>
            </w:pPr>
            <w:r>
              <w:rPr>
                <w:rFonts w:ascii="Calibri" w:cs="Calibri" w:eastAsia="Calibri" w:hAnsi="Calibri"/>
                <w:b/>
                <w:bCs/>
                <w:i w:val="false"/>
                <w:iCs w:val="false"/>
                <w:sz w:val="18"/>
                <w:szCs w:val="18"/>
              </w:rPr>
              <w:t xml:space="preserve">No.</w:t>
            </w:r>
          </w:p>
        </w:tc>
        <w:tc>
          <w:tcPr>
            <w:tcW w:type="dxa" w:w="5078"/>
            <w:shd w:fill="C6D9F1"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Location in manuscript and reporting status</w:t>
            </w:r>
          </w:p>
        </w:tc>
      </w:tr>
      <w:tr>
        <w:trPr>
          <w:cantSplit/>
        </w:trPr>
        <w:tc>
          <w:tcPr>
            <w:tcW w:type="dxa" w:w="14678"/>
            <w:gridSpan w:val="5"/>
            <w:shd w:fill="DCE6F1" w:color="auto" w:val="clear"/>
            <w:tcMar>
              <w:top w:type="dxa" w:w="60"/>
              <w:left w:type="dxa" w:w="90"/>
              <w:bottom w:type="dxa" w:w="60"/>
              <w:right w:type="dxa" w:w="90"/>
            </w:tcMar>
          </w:tcPr>
          <w:p>
            <w:r>
              <w:rPr>
                <w:rFonts w:ascii="Calibri" w:cs="Calibri" w:eastAsia="Calibri" w:hAnsi="Calibri"/>
                <w:b/>
                <w:bCs/>
                <w:sz w:val="18"/>
                <w:szCs w:val="18"/>
              </w:rPr>
              <w:t xml:space="preserve">Title and abstract</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Title and abstract</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 Indicate the study’s design with a commonly used term in the title or the abstract</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Title page, p. 1: “Clinical Profile of Primary Headache Disorders in Patients with Epilepsy and Response to Standard-of-Care Migraine Preventive Treatment: A South Asian Cohort”. The design term “cohort” appears in the title.</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(b) Provide in the abstract an informative and balanced summary of what was done and what was found</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3</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Abstract (Purpose, Methods, Results, Conclusion), p. 3.</w:t>
            </w:r>
          </w:p>
        </w:tc>
      </w:tr>
      <w:tr>
        <w:trPr>
          <w:cantSplit/>
        </w:trPr>
        <w:tc>
          <w:tcPr>
            <w:tcW w:type="dxa" w:w="14678"/>
            <w:gridSpan w:val="5"/>
            <w:shd w:fill="DCE6F1" w:color="auto" w:val="clear"/>
            <w:tcMar>
              <w:top w:type="dxa" w:w="60"/>
              <w:left w:type="dxa" w:w="90"/>
              <w:bottom w:type="dxa" w:w="60"/>
              <w:right w:type="dxa" w:w="90"/>
            </w:tcMar>
          </w:tcPr>
          <w:p>
            <w:r>
              <w:rPr>
                <w:rFonts w:ascii="Calibri" w:cs="Calibri" w:eastAsia="Calibri" w:hAnsi="Calibri"/>
                <w:b/>
                <w:bCs/>
                <w:sz w:val="18"/>
                <w:szCs w:val="18"/>
              </w:rPr>
              <w:t xml:space="preserve">Introduction</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2</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Background / rationale</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Explain the scientific background and rationale for the investigation being reported</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4–5</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Introduction, paragraphs 1 to 4, p. 4 to 5.</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3</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Objectives</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State specific objectives, including any prespecified hypotheses</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5</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Introduction, final paragraph, p. 5. Objectives are stated; no prespecified statistical hypothesis is declared. The a priori responder definition (≥50% reduction) is given in 2.6, p. 7.</w:t>
            </w:r>
          </w:p>
        </w:tc>
      </w:tr>
      <w:tr>
        <w:trPr>
          <w:cantSplit/>
        </w:trPr>
        <w:tc>
          <w:tcPr>
            <w:tcW w:type="dxa" w:w="14678"/>
            <w:gridSpan w:val="5"/>
            <w:shd w:fill="DCE6F1" w:color="auto" w:val="clear"/>
            <w:tcMar>
              <w:top w:type="dxa" w:w="60"/>
              <w:left w:type="dxa" w:w="90"/>
              <w:bottom w:type="dxa" w:w="60"/>
              <w:right w:type="dxa" w:w="90"/>
            </w:tcMar>
          </w:tcPr>
          <w:p>
            <w:r>
              <w:rPr>
                <w:rFonts w:ascii="Calibri" w:cs="Calibri" w:eastAsia="Calibri" w:hAnsi="Calibri"/>
                <w:b/>
                <w:bCs/>
                <w:sz w:val="18"/>
                <w:szCs w:val="18"/>
              </w:rPr>
              <w:t xml:space="preserve">Methods</w:t>
            </w:r>
          </w:p>
        </w:tc>
      </w:tr>
      <w:tr>
        <w:trPr>
          <w:cantSplit/>
        </w:trPr>
        <w:tc>
          <w:tcPr>
            <w:tcW w:type="dxa" w:w="800"/>
            <w:shd w:fill="FDECEC"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4</w:t>
            </w:r>
          </w:p>
        </w:tc>
        <w:tc>
          <w:tcPr>
            <w:tcW w:type="dxa" w:w="1700"/>
            <w:shd w:fill="FDECEC"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Study design</w:t>
            </w:r>
          </w:p>
        </w:tc>
        <w:tc>
          <w:tcPr>
            <w:tcW w:type="dxa" w:w="6200"/>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Present key elements of study design early in the paper</w:t>
            </w:r>
          </w:p>
        </w:tc>
        <w:tc>
          <w:tcPr>
            <w:tcW w:type="dxa" w:w="900"/>
            <w:shd w:fill="FDECEC"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5</w:t>
            </w:r>
          </w:p>
        </w:tc>
        <w:tc>
          <w:tcPr>
            <w:tcW w:type="dxa" w:w="5078"/>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Study design and setting (Methods), p. 5. Note the internal inconsistency: the title and Methods describe a prospective cohort or longitudinal study, while the Discussion (p. 15) refers to “our cross-sectional design”.</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5</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Setting</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Describe the setting, locations, and relevant dates, including periods of recruitment, exposure, follow-up, and data collection</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5</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2.1 Study design and setting, p. 5 (GIPMER, New Delhi; 18 months, January 2025 to June 2026).</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6</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Participants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 Cohort study—Give the eligibility criteria, and the sources and methods of selection of participants. Describe methods of follow-up</w:t>
            </w:r>
          </w:p>
          <w:p>
            <w:pPr>
              <w:spacing w:after="40" w:before="40"/>
              <w:jc w:val="both"/>
            </w:pPr>
            <w:r>
              <w:rPr>
                <w:rFonts w:ascii="Calibri" w:cs="Calibri" w:eastAsia="Calibri" w:hAnsi="Calibri"/>
                <w:b w:val="false"/>
                <w:bCs w:val="false"/>
                <w:i w:val="false"/>
                <w:iCs w:val="false"/>
                <w:sz w:val="18"/>
                <w:szCs w:val="18"/>
              </w:rPr>
              <w:t xml:space="preserve">Case-control study—Give the eligibility criteria, and the sources and methods of case ascertainment and control selection. Give the rationale for the choice of cases and controls</w:t>
            </w:r>
          </w:p>
          <w:p>
            <w:pPr>
              <w:spacing w:after="40" w:before="40"/>
              <w:jc w:val="both"/>
            </w:pPr>
            <w:r>
              <w:rPr>
                <w:rFonts w:ascii="Calibri" w:cs="Calibri" w:eastAsia="Calibri" w:hAnsi="Calibri"/>
                <w:b w:val="false"/>
                <w:bCs w:val="false"/>
                <w:i w:val="false"/>
                <w:iCs w:val="false"/>
                <w:sz w:val="18"/>
                <w:szCs w:val="18"/>
              </w:rPr>
              <w:t xml:space="preserve">Cross-sectional study—Give the eligibility criteria, and the sources and methods of selection of participants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5, 7</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Cross-sectional component: 2.2 Participants, p. 5 (inclusion and exclusion criteria; random lottery sampling from the weekly outpatient epilepsy census; ILAE 2017 classification).</w:t>
            </w:r>
          </w:p>
          <w:p>
            <w:pPr>
              <w:spacing w:after="40" w:before="40"/>
              <w:jc w:val="both"/>
            </w:pPr>
            <w:r>
              <w:rPr>
                <w:rFonts w:ascii="Calibri" w:cs="Calibri" w:eastAsia="Calibri" w:hAnsi="Calibri"/>
                <w:b w:val="false"/>
                <w:bCs w:val="false"/>
                <w:i w:val="false"/>
                <w:iCs w:val="false"/>
                <w:sz w:val="18"/>
                <w:szCs w:val="18"/>
              </w:rPr>
              <w:t xml:space="preserve">Follow-up component: 2.6 Treatment protocol and follow-up, p. 7 (review at 1, 2 and 3 months).</w:t>
            </w:r>
          </w:p>
          <w:p>
            <w:pPr>
              <w:spacing w:after="40" w:before="40"/>
              <w:jc w:val="both"/>
            </w:pPr>
            <w:r>
              <w:rPr>
                <w:rFonts w:ascii="Calibri" w:cs="Calibri" w:eastAsia="Calibri" w:hAnsi="Calibri"/>
                <w:b w:val="false"/>
                <w:bCs w:val="false"/>
                <w:i w:val="false"/>
                <w:iCs w:val="false"/>
                <w:sz w:val="18"/>
                <w:szCs w:val="18"/>
              </w:rPr>
              <w:t xml:space="preserve">Case-control variant not applicable.</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(b) Cohort study—For matched studies, give matching criteria and number of exposed and unexposed</w:t>
            </w:r>
          </w:p>
          <w:p>
            <w:pPr>
              <w:spacing w:after="40" w:before="40"/>
              <w:jc w:val="both"/>
            </w:pPr>
            <w:r>
              <w:rPr>
                <w:rFonts w:ascii="Calibri" w:cs="Calibri" w:eastAsia="Calibri" w:hAnsi="Calibri"/>
                <w:b w:val="false"/>
                <w:bCs w:val="false"/>
                <w:i w:val="false"/>
                <w:iCs w:val="false"/>
                <w:sz w:val="18"/>
                <w:szCs w:val="18"/>
              </w:rPr>
              <w:t xml:space="preserve">Case-control study—For matched studies, give matching criteria and the number of controls per case</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Not applicable. No matching was performed and the study has no comparison group.</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7</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Variables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Clearly define all outcomes, exposures, predictors, potential confounders, and effect modifiers. Give diagnostic criteria, if applicable</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6–7</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2.4 Clinical assessment and data collection, 2.5 Definitions and 2.7 Outcomes, p. 6 to 7. Diagnostic criteria: ILAE 2017 for seizure and epilepsy type (2.2) and ICHD-3 for headache type (2.4, 2.5).</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8*</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Data sources / measurement</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For each variable of interest, give sources of data and details of methods of assessment (measurement). Describe comparability of assessment methods if there is more than one group</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6</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2.4 Clinical assessment and data collection, p. 6 (structured proforma; EEG and neuroimaging from the routine epilepsy workup). A single assessment method was used throughout, so comparability across groups does not arise.</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9</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Bias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Describe any efforts to address potential sources of bias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5–8, 18</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Addressed across sections rather than in a dedicated paragraph: 2.2 Participants, p. 5 (exclusion of patients unable to give a reliable headache history); 2.8 Statistical analysis, p. 7 to 8 (Benjamini–Hochberg false-discovery-rate control; intention-to-treat analysis); 4.1 Strengths and limitations, p. 18 (referral and selection bias, recall bias, absence of a control group, open-label design).</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10</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Study size</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Explain how the study size was arrived at</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6</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2.3 Sample size, p. 6 (single-proportion formula, 95% confidence, 5% absolute precision, based on Çilliler et al.; minimum 302, target 332 after 10% non-response inflation).</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11</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Quantitative variables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Explain how quantitative variables were handled in the analyses. If applicable, describe which groupings were chosen and why</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6–8</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2.5 Definitions, p. 6 (seizure control categorised as good, fair or poor; migraine classified as episodic or chronic per ICHD-3; event duration dichotomised at 12 h) and 2.8 Statistical analysis, p. 7 to 8 (distribution-dependent summary as mean ± SD or median with IQR).</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12</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Statistical methods</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 Describe all statistical methods, including those used to control for confounding</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7–8</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2.8 Statistical analysis, p. 7 to 8 (R 4.5.3; multivariable binary logistic regression with covariates listed).</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(b) Describe any methods used to examine subgroups and interactions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7–8</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2.8 Statistical analysis, p. 7 to 8 (post-hoc pairwise Wilcoxon rank-sum tests; analyses within the interictal migraine subgroup). No formal interaction testing is reported.</w:t>
            </w:r>
          </w:p>
        </w:tc>
      </w:tr>
      <w:tr>
        <w:trPr>
          <w:cantSplit/>
        </w:trPr>
        <w:tc>
          <w:tcPr>
            <w:tcW w:type="dxa" w:w="800"/>
            <w:shd w:fill="FDECEC"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DECEC"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 Explain how missing data were addressed</w:t>
            </w:r>
          </w:p>
        </w:tc>
        <w:tc>
          <w:tcPr>
            <w:tcW w:type="dxa" w:w="900"/>
            <w:shd w:fill="FDECEC"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8, 13–14</w:t>
            </w:r>
          </w:p>
        </w:tc>
        <w:tc>
          <w:tcPr>
            <w:tcW w:type="dxa" w:w="5078"/>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Partially reported. 2.8, p. 8, describes an intention-to-treat analysis classifying withdrawals as non-responders; available-case denominators at each visit are given in 3.7 and Table 5, p. 13 to 14. Item-level missing data are not described.</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 Cohort study—If applicable, explain how loss to follow-up was addressed</w:t>
            </w:r>
          </w:p>
          <w:p>
            <w:pPr>
              <w:spacing w:after="40" w:before="40"/>
              <w:jc w:val="both"/>
            </w:pPr>
            <w:r>
              <w:rPr>
                <w:rFonts w:ascii="Calibri" w:cs="Calibri" w:eastAsia="Calibri" w:hAnsi="Calibri"/>
                <w:b w:val="false"/>
                <w:bCs w:val="false"/>
                <w:i w:val="false"/>
                <w:iCs w:val="false"/>
                <w:sz w:val="18"/>
                <w:szCs w:val="18"/>
              </w:rPr>
              <w:t xml:space="preserve">Case-control study—If applicable, explain how matching of cases and controls was addressed</w:t>
            </w:r>
          </w:p>
          <w:p>
            <w:pPr>
              <w:spacing w:after="40" w:before="40"/>
              <w:jc w:val="both"/>
            </w:pPr>
            <w:r>
              <w:rPr>
                <w:rFonts w:ascii="Calibri" w:cs="Calibri" w:eastAsia="Calibri" w:hAnsi="Calibri"/>
                <w:b w:val="false"/>
                <w:bCs w:val="false"/>
                <w:i w:val="false"/>
                <w:iCs w:val="false"/>
                <w:sz w:val="18"/>
                <w:szCs w:val="18"/>
              </w:rPr>
              <w:t xml:space="preserve">Cross-sectional study—If applicable, describe analytical methods taking account of sampling strategy</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5, 8, 13</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Cohort variant: 2.8, p. 8 (intention-to-treat analysis for withdrawals) and 3.7, p. 13 (11, 18 and 22 withdrawals by months 1, 2 and 3).</w:t>
            </w:r>
          </w:p>
          <w:p>
            <w:pPr>
              <w:spacing w:after="40" w:before="40"/>
              <w:jc w:val="both"/>
            </w:pPr>
            <w:r>
              <w:rPr>
                <w:rFonts w:ascii="Calibri" w:cs="Calibri" w:eastAsia="Calibri" w:hAnsi="Calibri"/>
                <w:b w:val="false"/>
                <w:bCs w:val="false"/>
                <w:i w:val="false"/>
                <w:iCs w:val="false"/>
                <w:sz w:val="18"/>
                <w:szCs w:val="18"/>
              </w:rPr>
              <w:t xml:space="preserve">Cross-sectional variant: the sampling strategy (random lottery sampling) is described in 2.2, p. 5, but no analytical method accounting for it is reported.</w:t>
            </w:r>
          </w:p>
          <w:p>
            <w:pPr>
              <w:spacing w:after="40" w:before="40"/>
              <w:jc w:val="both"/>
            </w:pPr>
            <w:r>
              <w:rPr>
                <w:rFonts w:ascii="Calibri" w:cs="Calibri" w:eastAsia="Calibri" w:hAnsi="Calibri"/>
                <w:b w:val="false"/>
                <w:bCs w:val="false"/>
                <w:i w:val="false"/>
                <w:iCs w:val="false"/>
                <w:sz w:val="18"/>
                <w:szCs w:val="18"/>
              </w:rPr>
              <w:t xml:space="preserve">Case-control variant not applicable.</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(e) Describe any sensitivity analyses</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8</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2.8 Statistical analysis, p. 8 (intention-to-treat sensitivity analysis; Benjamini–Hochberg false-discovery-rate control; Holm adjustment for post-hoc comparisons).</w:t>
            </w:r>
          </w:p>
        </w:tc>
      </w:tr>
      <w:tr>
        <w:trPr>
          <w:cantSplit/>
        </w:trPr>
        <w:tc>
          <w:tcPr>
            <w:tcW w:type="dxa" w:w="14678"/>
            <w:gridSpan w:val="5"/>
            <w:shd w:fill="DCE6F1" w:color="auto" w:val="clear"/>
            <w:tcMar>
              <w:top w:type="dxa" w:w="60"/>
              <w:left w:type="dxa" w:w="90"/>
              <w:bottom w:type="dxa" w:w="60"/>
              <w:right w:type="dxa" w:w="90"/>
            </w:tcMar>
          </w:tcPr>
          <w:p>
            <w:r>
              <w:rPr>
                <w:rFonts w:ascii="Calibri" w:cs="Calibri" w:eastAsia="Calibri" w:hAnsi="Calibri"/>
                <w:b/>
                <w:bCs/>
                <w:sz w:val="18"/>
                <w:szCs w:val="18"/>
              </w:rPr>
              <w:t xml:space="preserve">Results</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13*</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Participants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 Report numbers of individuals at each stage of study—eg numbers potentially eligible, examined for eligibility, confirmed eligible, included in the study, completing follow-up, and analysed</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8–9, 13–14</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3.1 Prevalence and distribution, p. 8 (814 screened, 346 with a primary headache disorder); Figure 1, p. 9; 3.7 and Table 5, p. 13 to 14 (174 requiring a preventive drug; 207, 200 and 196 analysed at months 1, 2 and 3).</w:t>
            </w:r>
          </w:p>
        </w:tc>
      </w:tr>
      <w:tr>
        <w:trPr>
          <w:cantSplit/>
        </w:trPr>
        <w:tc>
          <w:tcPr>
            <w:tcW w:type="dxa" w:w="800"/>
            <w:shd w:fill="FDECEC"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DECEC"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(b) Give reasons for non-participation at each stage</w:t>
            </w:r>
          </w:p>
        </w:tc>
        <w:tc>
          <w:tcPr>
            <w:tcW w:type="dxa" w:w="900"/>
            <w:shd w:fill="FDECEC"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9, 13</w:t>
            </w:r>
          </w:p>
        </w:tc>
        <w:tc>
          <w:tcPr>
            <w:tcW w:type="dxa" w:w="5078"/>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Partially reported. Figure 1, p. 9, and 3.7, p. 13, give the number of withdrawals at each visit, but reasons for withdrawal and for non-participation at screening are not stated.</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 Consider use of a flow diagram</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9</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Figure 1, p. 9 (flow through screening, headache classification and 3-month follow-up).</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14*</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Descriptive data</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 Give characteristics of study participants (eg demographic, clinical, social) and information on exposures and potential confounders</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9–10</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3.2 Demographics and epilepsy characteristics and Table 1, p. 9 to 10 (age, sex, age at seizure onset, epilepsy duration, seizure type, aetiology, seizure control, polytherapy).</w:t>
            </w:r>
          </w:p>
        </w:tc>
      </w:tr>
      <w:tr>
        <w:trPr>
          <w:cantSplit/>
        </w:trPr>
        <w:tc>
          <w:tcPr>
            <w:tcW w:type="dxa" w:w="800"/>
            <w:shd w:fill="FDECEC"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DECEC"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(b) Indicate number of participants with missing data for each variable of interest</w:t>
            </w:r>
          </w:p>
        </w:tc>
        <w:tc>
          <w:tcPr>
            <w:tcW w:type="dxa" w:w="900"/>
            <w:shd w:fill="FDECEC"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w:t>
            </w:r>
          </w:p>
        </w:tc>
        <w:tc>
          <w:tcPr>
            <w:tcW w:type="dxa" w:w="5078"/>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Not reported. The number of participants with missing data is not given for any variable.</w:t>
            </w:r>
          </w:p>
        </w:tc>
      </w:tr>
      <w:tr>
        <w:trPr>
          <w:cantSplit/>
        </w:trPr>
        <w:tc>
          <w:tcPr>
            <w:tcW w:type="dxa" w:w="800"/>
            <w:shd w:fill="FDECEC"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DECEC"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 Cohort study—Summarise follow-up time (eg, average and total amount)</w:t>
            </w:r>
          </w:p>
        </w:tc>
        <w:tc>
          <w:tcPr>
            <w:tcW w:type="dxa" w:w="900"/>
            <w:shd w:fill="FDECEC"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7, 13–14</w:t>
            </w:r>
          </w:p>
        </w:tc>
        <w:tc>
          <w:tcPr>
            <w:tcW w:type="dxa" w:w="5078"/>
            <w:shd w:fill="FDECEC"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Partially reported. A fixed 3-month follow-up with visits at 1, 2 and 3 months is specified in 2.6, p. 7, and numbers analysed at each visit are given in 3.7 and Table 5, p. 13 to 14. Average and total follow-up time are not summarised.</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15*</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Outcome data</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Cohort study—Report numbers of outcome events or summary measures over time</w:t>
            </w:r>
          </w:p>
          <w:p>
            <w:pPr>
              <w:spacing w:after="40" w:before="40"/>
              <w:jc w:val="both"/>
            </w:pPr>
            <w:r>
              <w:rPr>
                <w:rFonts w:ascii="Calibri" w:cs="Calibri" w:eastAsia="Calibri" w:hAnsi="Calibri"/>
                <w:b w:val="false"/>
                <w:bCs w:val="false"/>
                <w:i w:val="false"/>
                <w:iCs w:val="false"/>
                <w:sz w:val="18"/>
                <w:szCs w:val="18"/>
              </w:rPr>
              <w:t xml:space="preserve">Case-control study—Report numbers in each exposure category, or summary measures of exposure</w:t>
            </w:r>
          </w:p>
          <w:p>
            <w:pPr>
              <w:spacing w:after="40" w:before="40"/>
              <w:jc w:val="both"/>
            </w:pPr>
            <w:r>
              <w:rPr>
                <w:rFonts w:ascii="Calibri" w:cs="Calibri" w:eastAsia="Calibri" w:hAnsi="Calibri"/>
                <w:b w:val="false"/>
                <w:bCs w:val="false"/>
                <w:i w:val="false"/>
                <w:iCs w:val="false"/>
                <w:sz w:val="18"/>
                <w:szCs w:val="18"/>
              </w:rPr>
              <w:t xml:space="preserve">Cross-sectional study—Report numbers of outcome events or summary measures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8, 10–14</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Cohort variant: 3.7 and Table 5, p. 13 to 14 (median monthly headache days, migraine days and seizure frequency at baseline and months 1 to 3; ≥50% responder proportions).</w:t>
            </w:r>
          </w:p>
          <w:p>
            <w:pPr>
              <w:spacing w:after="40" w:before="40"/>
              <w:jc w:val="both"/>
            </w:pPr>
            <w:r>
              <w:rPr>
                <w:rFonts w:ascii="Calibri" w:cs="Calibri" w:eastAsia="Calibri" w:hAnsi="Calibri"/>
                <w:b w:val="false"/>
                <w:bCs w:val="false"/>
                <w:i w:val="false"/>
                <w:iCs w:val="false"/>
                <w:sz w:val="18"/>
                <w:szCs w:val="18"/>
              </w:rPr>
              <w:t xml:space="preserve">Cross-sectional variant: 3.1, p. 8 (prevalence and subtype distribution); 3.3 and Table 2, p. 10 to 11; 3.4 and Table 3, p. 12.</w:t>
            </w:r>
          </w:p>
          <w:p>
            <w:pPr>
              <w:spacing w:after="40" w:before="40"/>
              <w:jc w:val="both"/>
            </w:pPr>
            <w:r>
              <w:rPr>
                <w:rFonts w:ascii="Calibri" w:cs="Calibri" w:eastAsia="Calibri" w:hAnsi="Calibri"/>
                <w:b w:val="false"/>
                <w:bCs w:val="false"/>
                <w:i w:val="false"/>
                <w:iCs w:val="false"/>
                <w:sz w:val="18"/>
                <w:szCs w:val="18"/>
              </w:rPr>
              <w:t xml:space="preserve">Case-control variant not applicable.</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16</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Main results</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(a) Give unadjusted estimates and, if applicable, confounder-adjusted estimates and their precision (eg, 95% confidence interval). Make clear which confounders were adjusted for and why they were included</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11–13</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3.6 and Table 4, p. 13 (adjusted odds ratios with 95% confidence intervals; covariates specified in 2.8, p. 7 to 8). Unadjusted subtype comparisons are presented in Tables 2 and 3, p. 11 to 12, as proportions with p values and Cramér’s V rather than as unadjusted odds ratios.</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(b) Report category boundaries when continuous variables were categorized</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6, 10–11</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2.5 Definitions, p. 6 (seizure control 0, 1 to 2 and ≥3 seizures/month; ≥15 headache days/month; event duration &lt;12 h versus ≥12 h); boundaries repeated in Tables 1 and 2, p. 10 to 11.</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(c) If relevant, consider translating estimates of relative risk into absolute risk for a meaningful time period</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Not applicable. No relative-risk estimates requiring conversion are presented. Prevalence and responder proportions are already reported in absolute terms with 95% Wilson confidence intervals (2.8, p. 8; 3.1, p. 8).</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17</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Other analyses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Report other analyses done—eg analyses of subgroups and interactions, and sensitivity analyses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12–14</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3.5 Correlations, p. 12; 3.4, p. 12 (Benjamini–Hochberg adjusted comparisons); 3.7, p. 13 to 14 (intention-to-treat sensitivity analysis; seizure-response subgroup restricted to patients with ≥1 baseline seizure).</w:t>
            </w:r>
          </w:p>
        </w:tc>
      </w:tr>
      <w:tr>
        <w:trPr>
          <w:cantSplit/>
        </w:trPr>
        <w:tc>
          <w:tcPr>
            <w:tcW w:type="dxa" w:w="14678"/>
            <w:gridSpan w:val="5"/>
            <w:shd w:fill="DCE6F1" w:color="auto" w:val="clear"/>
            <w:tcMar>
              <w:top w:type="dxa" w:w="60"/>
              <w:left w:type="dxa" w:w="90"/>
              <w:bottom w:type="dxa" w:w="60"/>
              <w:right w:type="dxa" w:w="90"/>
            </w:tcMar>
          </w:tcPr>
          <w:p>
            <w:r>
              <w:rPr>
                <w:rFonts w:ascii="Calibri" w:cs="Calibri" w:eastAsia="Calibri" w:hAnsi="Calibri"/>
                <w:b/>
                <w:bCs/>
                <w:sz w:val="18"/>
                <w:szCs w:val="18"/>
              </w:rPr>
              <w:t xml:space="preserve">Discussion</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18</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Key results</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Summarise key results with reference to study objectives</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14</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Discussion, opening paragraph, p. 14.</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19</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Limitations</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Discuss limitations of the study, taking into account sources of potential bias or imprecision. Discuss both direction and magnitude of any potential bias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17–18</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4.1 Strengths and limitations, p. 18 (single-centre referral and selection bias, no control group, uncontrolled treatment analysis, recall bias, small subgroups, no inter-rater reliability testing). Direction of bias is discussed; magnitude is quantified only for the open-label inflation of response, where the placebo-controlled increment for topiramate is cited in the Discussion, p. 17.</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20</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Interpretation</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Give a cautious overall interpretation of results considering objectives, limitations, multiplicity of analyses, results from similar studies, and other relevant evidence</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14–18</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Discussion, paragraphs 2 to 8, p. 14 to 18, and 5. Conclusions, p. 18.</w:t>
            </w:r>
          </w:p>
        </w:tc>
      </w:tr>
      <w:tr>
        <w:trPr>
          <w:cantSplit/>
        </w:trPr>
        <w:tc>
          <w:tcPr>
            <w:tcW w:type="dxa" w:w="800"/>
            <w:shd w:fill="FFFFFF"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21</w:t>
            </w:r>
          </w:p>
        </w:tc>
        <w:tc>
          <w:tcPr>
            <w:tcW w:type="dxa" w:w="1700"/>
            <w:shd w:fill="FFFFFF"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Generalisability</w:t>
            </w:r>
          </w:p>
        </w:tc>
        <w:tc>
          <w:tcPr>
            <w:tcW w:type="dxa" w:w="6200"/>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Discuss the generalisability (external validity) of the study results</w:t>
            </w:r>
          </w:p>
        </w:tc>
        <w:tc>
          <w:tcPr>
            <w:tcW w:type="dxa" w:w="900"/>
            <w:shd w:fill="FFFFFF"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18</w:t>
            </w:r>
          </w:p>
        </w:tc>
        <w:tc>
          <w:tcPr>
            <w:tcW w:type="dxa" w:w="5078"/>
            <w:shd w:fill="FFFFFF"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4.1 Strengths and limitations, p. 18 (single tertiary-care centre; referral and selection bias limit generalisability).</w:t>
            </w:r>
          </w:p>
        </w:tc>
      </w:tr>
      <w:tr>
        <w:trPr>
          <w:cantSplit/>
        </w:trPr>
        <w:tc>
          <w:tcPr>
            <w:tcW w:type="dxa" w:w="14678"/>
            <w:gridSpan w:val="5"/>
            <w:shd w:fill="DCE6F1" w:color="auto" w:val="clear"/>
            <w:tcMar>
              <w:top w:type="dxa" w:w="60"/>
              <w:left w:type="dxa" w:w="90"/>
              <w:bottom w:type="dxa" w:w="60"/>
              <w:right w:type="dxa" w:w="90"/>
            </w:tcMar>
          </w:tcPr>
          <w:p>
            <w:r>
              <w:rPr>
                <w:rFonts w:ascii="Calibri" w:cs="Calibri" w:eastAsia="Calibri" w:hAnsi="Calibri"/>
                <w:b/>
                <w:bCs/>
                <w:sz w:val="18"/>
                <w:szCs w:val="18"/>
              </w:rPr>
              <w:t xml:space="preserve">Other information</w:t>
            </w:r>
          </w:p>
        </w:tc>
      </w:tr>
      <w:tr>
        <w:trPr>
          <w:cantSplit/>
        </w:trPr>
        <w:tc>
          <w:tcPr>
            <w:tcW w:type="dxa" w:w="800"/>
            <w:shd w:fill="F2F5FA" w:color="auto" w:val="clear"/>
            <w:tcMar>
              <w:top w:type="dxa" w:w="60"/>
              <w:left w:type="dxa" w:w="90"/>
              <w:bottom w:type="dxa" w:w="60"/>
              <w:right w:type="dxa" w:w="90"/>
            </w:tcMar>
          </w:tcPr>
          <w:p>
            <w:pPr>
              <w:spacing w:after="40" w:before="40"/>
              <w:jc w:val="center"/>
            </w:pPr>
            <w:r>
              <w:rPr>
                <w:rFonts w:ascii="Calibri" w:cs="Calibri" w:eastAsia="Calibri" w:hAnsi="Calibri"/>
                <w:b/>
                <w:bCs/>
                <w:i w:val="false"/>
                <w:iCs w:val="false"/>
                <w:sz w:val="18"/>
                <w:szCs w:val="18"/>
              </w:rPr>
              <w:t xml:space="preserve">22</w:t>
            </w:r>
          </w:p>
        </w:tc>
        <w:tc>
          <w:tcPr>
            <w:tcW w:type="dxa" w:w="1700"/>
            <w:shd w:fill="F2F5FA" w:color="auto" w:val="clear"/>
            <w:tcMar>
              <w:top w:type="dxa" w:w="60"/>
              <w:left w:type="dxa" w:w="90"/>
              <w:bottom w:type="dxa" w:w="60"/>
              <w:right w:type="dxa" w:w="90"/>
            </w:tcMar>
          </w:tcPr>
          <w:p>
            <w:pPr>
              <w:spacing w:after="40" w:before="40"/>
              <w:jc w:val="left"/>
            </w:pPr>
            <w:r>
              <w:rPr>
                <w:rFonts w:ascii="Calibri" w:cs="Calibri" w:eastAsia="Calibri" w:hAnsi="Calibri"/>
                <w:b/>
                <w:bCs/>
                <w:i w:val="false"/>
                <w:iCs w:val="false"/>
                <w:sz w:val="18"/>
                <w:szCs w:val="18"/>
              </w:rPr>
              <w:t xml:space="preserve">Funding</w:t>
            </w:r>
          </w:p>
        </w:tc>
        <w:tc>
          <w:tcPr>
            <w:tcW w:type="dxa" w:w="6200"/>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Give the source of funding and the role of the funders for the present study and, if applicable, for the original study on which the present article is based</w:t>
            </w:r>
          </w:p>
        </w:tc>
        <w:tc>
          <w:tcPr>
            <w:tcW w:type="dxa" w:w="900"/>
            <w:shd w:fill="F2F5FA" w:color="auto" w:val="clear"/>
            <w:tcMar>
              <w:top w:type="dxa" w:w="60"/>
              <w:left w:type="dxa" w:w="90"/>
              <w:bottom w:type="dxa" w:w="60"/>
              <w:right w:type="dxa" w:w="90"/>
            </w:tcMar>
          </w:tcPr>
          <w:p>
            <w:pPr>
              <w:spacing w:after="40" w:before="40"/>
              <w:jc w:val="center"/>
            </w:pPr>
            <w:r>
              <w:rPr>
                <w:rFonts w:ascii="Calibri" w:cs="Calibri" w:eastAsia="Calibri" w:hAnsi="Calibri"/>
                <w:b w:val="false"/>
                <w:bCs w:val="false"/>
                <w:i w:val="false"/>
                <w:iCs w:val="false"/>
                <w:sz w:val="18"/>
                <w:szCs w:val="18"/>
              </w:rPr>
              <w:t xml:space="preserve">19</w:t>
            </w:r>
          </w:p>
        </w:tc>
        <w:tc>
          <w:tcPr>
            <w:tcW w:type="dxa" w:w="5078"/>
            <w:shd w:fill="F2F5FA" w:color="auto" w:val="clear"/>
            <w:tcMar>
              <w:top w:type="dxa" w:w="60"/>
              <w:left w:type="dxa" w:w="90"/>
              <w:bottom w:type="dxa" w:w="60"/>
              <w:right w:type="dxa" w:w="90"/>
            </w:tcMar>
          </w:tcPr>
          <w:p>
            <w:pPr>
              <w:spacing w:after="40" w:before="40"/>
              <w:jc w:val="both"/>
            </w:pPr>
            <w:r>
              <w:rPr>
                <w:rFonts w:ascii="Calibri" w:cs="Calibri" w:eastAsia="Calibri" w:hAnsi="Calibri"/>
                <w:b w:val="false"/>
                <w:bCs w:val="false"/>
                <w:i w:val="false"/>
                <w:iCs w:val="false"/>
                <w:sz w:val="18"/>
                <w:szCs w:val="18"/>
              </w:rPr>
              <w:t xml:space="preserve">Funding declaration, p. 19 (no specific grant from public, commercial or not-for-profit funding agencies).</w:t>
            </w:r>
          </w:p>
        </w:tc>
      </w:tr>
    </w:tbl>
    <w:p>
      <w:pPr>
        <w:spacing w:before="160"/>
      </w:pPr>
      <w:r>
        <w:rPr>
          <w:rFonts w:ascii="Calibri" w:cs="Calibri" w:eastAsia="Calibri" w:hAnsi="Calibri"/>
          <w:i/>
          <w:iCs/>
          <w:sz w:val="17"/>
          <w:szCs w:val="17"/>
        </w:rPr>
        <w:t xml:space="preserve">*Give information separately for cases and controls in case-control studies and, if applicable, for exposed and unexposed groups in cohort and cross-sectional studies.</w:t>
      </w:r>
    </w:p>
    <w:p>
      <w:pPr>
        <w:spacing w:before="80"/>
        <w:jc w:val="both"/>
      </w:pPr>
      <w:r>
        <w:rPr>
          <w:rFonts w:ascii="Calibri" w:cs="Calibri" w:eastAsia="Calibri" w:hAnsi="Calibri"/>
          <w:i/>
          <w:iCs/>
          <w:sz w:val="17"/>
          <w:szCs w:val="17"/>
        </w:rPr>
        <w:t xml:space="preserve">Note: An Explanation and Elaboration article discusses each checklist item and gives methodological background and published examples of transparent reporting. The STROBE checklist is best used in conjunction with this article. Information on the STROBE Initiative is available at www.strobe-statement.org.</w:t>
      </w:r>
    </w:p>
    <w:sectPr>
      <w:pgSz w:w="16838" w:h="11906"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2026-09-05T17:47:59.241Z</dcterms:created>
  <dcterms:modified xsi:type="dcterms:W3CDTF">2026-09-05T17:47:59.252Z</dcterms:modified>
</cp:coreProperties>
</file>

<file path=docProps/custom.xml><?xml version="1.0" encoding="utf-8"?>
<Properties xmlns="http://schemas.openxmlformats.org/officeDocument/2006/custom-properties" xmlns:vt="http://schemas.openxmlformats.org/officeDocument/2006/docPropsVTypes"/>
</file>