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90CD" w14:textId="513DE4C4" w:rsidR="585A0EDF" w:rsidRPr="00E55B9F" w:rsidRDefault="29F724AE" w:rsidP="00DA08BD">
      <w:pPr>
        <w:spacing w:after="0" w:line="276" w:lineRule="auto"/>
        <w:rPr>
          <w:rFonts w:ascii="Calibri" w:eastAsia="Calibri" w:hAnsi="Calibri" w:cs="Calibri"/>
          <w:b/>
          <w:bCs/>
          <w:sz w:val="28"/>
          <w:szCs w:val="28"/>
        </w:rPr>
      </w:pPr>
      <w:r w:rsidRPr="585A0EDF">
        <w:rPr>
          <w:rFonts w:ascii="Calibri" w:eastAsia="Calibri" w:hAnsi="Calibri" w:cs="Calibri"/>
          <w:b/>
          <w:bCs/>
          <w:sz w:val="28"/>
          <w:szCs w:val="28"/>
        </w:rPr>
        <w:t>Supplementary Appendix</w:t>
      </w:r>
    </w:p>
    <w:p w14:paraId="4A0D47CD" w14:textId="7214F4F0" w:rsidR="005D24A9" w:rsidRDefault="00256173" w:rsidP="00DA08BD">
      <w:pPr>
        <w:pStyle w:val="ListParagraph"/>
        <w:numPr>
          <w:ilvl w:val="0"/>
          <w:numId w:val="1"/>
        </w:numPr>
        <w:spacing w:after="0" w:line="276" w:lineRule="auto"/>
        <w:rPr>
          <w:rFonts w:ascii="Calibri" w:eastAsia="Calibri" w:hAnsi="Calibri" w:cs="Calibri"/>
          <w:b/>
          <w:bCs/>
        </w:rPr>
      </w:pPr>
      <w:r>
        <w:rPr>
          <w:rFonts w:ascii="Calibri" w:eastAsia="Calibri" w:hAnsi="Calibri" w:cs="Calibri"/>
          <w:b/>
          <w:bCs/>
        </w:rPr>
        <w:t xml:space="preserve">Introduction </w:t>
      </w:r>
    </w:p>
    <w:p w14:paraId="7587F0EB" w14:textId="5FC2E6E2" w:rsidR="002A71C8" w:rsidRPr="002A71C8" w:rsidRDefault="002A71C8" w:rsidP="002A71C8">
      <w:pPr>
        <w:spacing w:after="0" w:line="276" w:lineRule="auto"/>
        <w:rPr>
          <w:rFonts w:ascii="Calibri" w:eastAsia="Calibri" w:hAnsi="Calibri" w:cs="Calibri"/>
        </w:rPr>
      </w:pPr>
      <w:r>
        <w:rPr>
          <w:rFonts w:ascii="Calibri" w:eastAsia="Calibri" w:hAnsi="Calibri" w:cs="Calibri"/>
        </w:rPr>
        <w:t>Supplementary Table 1: WHO dengue disease severity classifications</w:t>
      </w:r>
    </w:p>
    <w:tbl>
      <w:tblPr>
        <w:tblW w:w="15451"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4"/>
        <w:gridCol w:w="567"/>
        <w:gridCol w:w="3543"/>
        <w:gridCol w:w="709"/>
        <w:gridCol w:w="3969"/>
        <w:gridCol w:w="709"/>
        <w:gridCol w:w="3260"/>
      </w:tblGrid>
      <w:tr w:rsidR="00811CEA" w:rsidRPr="006D6B58" w14:paraId="5012061B" w14:textId="77777777" w:rsidTr="0064009D">
        <w:trPr>
          <w:trHeight w:val="300"/>
        </w:trPr>
        <w:tc>
          <w:tcPr>
            <w:tcW w:w="6804" w:type="dxa"/>
            <w:gridSpan w:val="3"/>
            <w:tcBorders>
              <w:top w:val="single" w:sz="6" w:space="0" w:color="auto"/>
              <w:left w:val="single" w:sz="6" w:space="0" w:color="auto"/>
              <w:bottom w:val="single" w:sz="6" w:space="0" w:color="auto"/>
              <w:right w:val="single" w:sz="6" w:space="0" w:color="auto"/>
            </w:tcBorders>
            <w:hideMark/>
          </w:tcPr>
          <w:p w14:paraId="1AC1312A" w14:textId="00E2C158"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b/>
                <w:bCs/>
                <w:sz w:val="19"/>
                <w:szCs w:val="19"/>
              </w:rPr>
              <w:t>1997</w:t>
            </w:r>
            <w:r w:rsidRPr="00F21795">
              <w:rPr>
                <w:rFonts w:ascii="Calibri" w:eastAsia="Calibri" w:hAnsi="Calibri" w:cs="Calibri"/>
                <w:sz w:val="19"/>
                <w:szCs w:val="19"/>
              </w:rPr>
              <w:t> </w:t>
            </w:r>
            <w:r>
              <w:rPr>
                <w:rFonts w:ascii="Calibri" w:eastAsia="Calibri" w:hAnsi="Calibri" w:cs="Calibri"/>
                <w:sz w:val="19"/>
                <w:szCs w:val="19"/>
              </w:rPr>
              <w:fldChar w:fldCharType="begin"/>
            </w:r>
            <w:r w:rsidR="004B506D">
              <w:rPr>
                <w:rFonts w:ascii="Calibri" w:eastAsia="Calibri" w:hAnsi="Calibri" w:cs="Calibri"/>
                <w:sz w:val="19"/>
                <w:szCs w:val="19"/>
              </w:rPr>
              <w:instrText xml:space="preserve"> ADDIN ZOTERO_ITEM CSL_CITATION {"citationID":"v4eQPGNV","properties":{"formattedCitation":"[1]","plainCitation":"[1]","noteIndex":0},"citationItems":[{"id":723,"uris":["http://zotero.org/users/local/5m9g3R6r/items/94I9ICLR"],"itemData":{"id":723,"type":"report","publisher":"World Health Organization","publisher-place":"Geneva, Switzerland","title":"Dengue Haemorrhagic Fever: Diagnosis, Treatment, Prevention and Control","author":[{"family":"World Health Organization","given":""}],"issued":{"date-parts":[["1997"]]}}}],"schema":"https://github.com/citation-style-language/schema/raw/master/csl-citation.json"} </w:instrText>
            </w:r>
            <w:r>
              <w:rPr>
                <w:rFonts w:ascii="Calibri" w:eastAsia="Calibri" w:hAnsi="Calibri" w:cs="Calibri"/>
                <w:sz w:val="19"/>
                <w:szCs w:val="19"/>
              </w:rPr>
              <w:fldChar w:fldCharType="separate"/>
            </w:r>
            <w:r w:rsidR="004B506D" w:rsidRPr="004B506D">
              <w:rPr>
                <w:rFonts w:ascii="Calibri" w:hAnsi="Calibri" w:cs="Calibri"/>
                <w:sz w:val="19"/>
              </w:rPr>
              <w:t>[1]</w:t>
            </w:r>
            <w:r>
              <w:rPr>
                <w:rFonts w:ascii="Calibri" w:eastAsia="Calibri" w:hAnsi="Calibri" w:cs="Calibri"/>
                <w:sz w:val="19"/>
                <w:szCs w:val="19"/>
              </w:rPr>
              <w:fldChar w:fldCharType="end"/>
            </w:r>
          </w:p>
        </w:tc>
        <w:tc>
          <w:tcPr>
            <w:tcW w:w="4678" w:type="dxa"/>
            <w:gridSpan w:val="2"/>
            <w:tcBorders>
              <w:top w:val="single" w:sz="6" w:space="0" w:color="auto"/>
              <w:left w:val="single" w:sz="6" w:space="0" w:color="auto"/>
              <w:bottom w:val="single" w:sz="6" w:space="0" w:color="auto"/>
              <w:right w:val="single" w:sz="6" w:space="0" w:color="auto"/>
            </w:tcBorders>
            <w:hideMark/>
          </w:tcPr>
          <w:p w14:paraId="0087E13E" w14:textId="08114F6C"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b/>
                <w:bCs/>
                <w:sz w:val="19"/>
                <w:szCs w:val="19"/>
              </w:rPr>
              <w:t>2009</w:t>
            </w:r>
            <w:r w:rsidRPr="00F21795">
              <w:rPr>
                <w:rFonts w:ascii="Calibri" w:eastAsia="Calibri" w:hAnsi="Calibri" w:cs="Calibri"/>
                <w:sz w:val="19"/>
                <w:szCs w:val="19"/>
              </w:rPr>
              <w:t> </w:t>
            </w:r>
            <w:r>
              <w:rPr>
                <w:rFonts w:ascii="Calibri" w:eastAsia="Calibri" w:hAnsi="Calibri" w:cs="Calibri"/>
                <w:sz w:val="19"/>
                <w:szCs w:val="19"/>
              </w:rPr>
              <w:t xml:space="preserve"> </w:t>
            </w:r>
            <w:r>
              <w:rPr>
                <w:rFonts w:ascii="Calibri" w:eastAsia="Calibri" w:hAnsi="Calibri" w:cs="Calibri"/>
                <w:sz w:val="19"/>
                <w:szCs w:val="19"/>
              </w:rPr>
              <w:fldChar w:fldCharType="begin"/>
            </w:r>
            <w:r w:rsidR="004B506D">
              <w:rPr>
                <w:rFonts w:ascii="Calibri" w:eastAsia="Calibri" w:hAnsi="Calibri" w:cs="Calibri"/>
                <w:sz w:val="19"/>
                <w:szCs w:val="19"/>
              </w:rPr>
              <w:instrText xml:space="preserve"> ADDIN ZOTERO_ITEM CSL_CITATION {"citationID":"P8Nb7hlK","properties":{"formattedCitation":"[2]","plainCitation":"[2]","noteIndex":0},"citationItems":[{"id":726,"uris":["http://zotero.org/users/local/5m9g3R6r/items/SMTIXEPT"],"itemData":{"id":726,"type":"report","publisher":"World Health Organization","publisher-place":"Geneva, Switzerland","title":"Dengue Guidelines for Diagnosis, Treatment, Prevention and Control","author":[{"family":"World Health Organization","given":""}],"issued":{"date-parts":[["2009"]]}}}],"schema":"https://github.com/citation-style-language/schema/raw/master/csl-citation.json"} </w:instrText>
            </w:r>
            <w:r>
              <w:rPr>
                <w:rFonts w:ascii="Calibri" w:eastAsia="Calibri" w:hAnsi="Calibri" w:cs="Calibri"/>
                <w:sz w:val="19"/>
                <w:szCs w:val="19"/>
              </w:rPr>
              <w:fldChar w:fldCharType="separate"/>
            </w:r>
            <w:r w:rsidR="004B506D" w:rsidRPr="004B506D">
              <w:rPr>
                <w:rFonts w:ascii="Calibri" w:hAnsi="Calibri" w:cs="Calibri"/>
                <w:sz w:val="19"/>
              </w:rPr>
              <w:t>[2]</w:t>
            </w:r>
            <w:r>
              <w:rPr>
                <w:rFonts w:ascii="Calibri" w:eastAsia="Calibri" w:hAnsi="Calibri" w:cs="Calibri"/>
                <w:sz w:val="19"/>
                <w:szCs w:val="19"/>
              </w:rPr>
              <w:fldChar w:fldCharType="end"/>
            </w:r>
          </w:p>
        </w:tc>
        <w:tc>
          <w:tcPr>
            <w:tcW w:w="3969" w:type="dxa"/>
            <w:gridSpan w:val="2"/>
            <w:tcBorders>
              <w:top w:val="single" w:sz="6" w:space="0" w:color="auto"/>
              <w:left w:val="single" w:sz="6" w:space="0" w:color="auto"/>
              <w:bottom w:val="single" w:sz="6" w:space="0" w:color="auto"/>
              <w:right w:val="single" w:sz="6" w:space="0" w:color="auto"/>
            </w:tcBorders>
            <w:hideMark/>
          </w:tcPr>
          <w:p w14:paraId="77D8B7D9" w14:textId="2A32111F"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b/>
                <w:bCs/>
                <w:sz w:val="19"/>
                <w:szCs w:val="19"/>
              </w:rPr>
              <w:t>2025</w:t>
            </w:r>
            <w:r w:rsidRPr="00F21795">
              <w:rPr>
                <w:rFonts w:ascii="Calibri" w:eastAsia="Calibri" w:hAnsi="Calibri" w:cs="Calibri"/>
                <w:sz w:val="19"/>
                <w:szCs w:val="19"/>
              </w:rPr>
              <w:t> </w:t>
            </w:r>
            <w:r>
              <w:rPr>
                <w:rFonts w:ascii="Calibri" w:eastAsia="Calibri" w:hAnsi="Calibri" w:cs="Calibri"/>
                <w:sz w:val="19"/>
                <w:szCs w:val="19"/>
              </w:rPr>
              <w:fldChar w:fldCharType="begin"/>
            </w:r>
            <w:r w:rsidR="004B506D">
              <w:rPr>
                <w:rFonts w:ascii="Calibri" w:eastAsia="Calibri" w:hAnsi="Calibri" w:cs="Calibri"/>
                <w:sz w:val="19"/>
                <w:szCs w:val="19"/>
              </w:rPr>
              <w:instrText xml:space="preserve"> ADDIN ZOTERO_ITEM CSL_CITATION {"citationID":"0CSANObk","properties":{"formattedCitation":"[3]","plainCitation":"[3]","noteIndex":0},"citationItems":[{"id":735,"uris":["http://zotero.org/users/local/5m9g3R6r/items/AQIH33J7"],"itemData":{"id":735,"type":"report","publisher":"World Health Organization","publisher-place":"Geneva, Switzerland","title":"Guidelines for Clinical Management of Arboviral Diseases: Dengue, Chikungunya, Zika and Yellow Fever","author":[{"family":"World Health Organization","given":""}],"issued":{"date-parts":[["2025"]]}}}],"schema":"https://github.com/citation-style-language/schema/raw/master/csl-citation.json"} </w:instrText>
            </w:r>
            <w:r>
              <w:rPr>
                <w:rFonts w:ascii="Calibri" w:eastAsia="Calibri" w:hAnsi="Calibri" w:cs="Calibri"/>
                <w:sz w:val="19"/>
                <w:szCs w:val="19"/>
              </w:rPr>
              <w:fldChar w:fldCharType="separate"/>
            </w:r>
            <w:r w:rsidR="004B506D" w:rsidRPr="004B506D">
              <w:rPr>
                <w:rFonts w:ascii="Calibri" w:hAnsi="Calibri" w:cs="Calibri"/>
                <w:sz w:val="19"/>
              </w:rPr>
              <w:t>[3]</w:t>
            </w:r>
            <w:r>
              <w:rPr>
                <w:rFonts w:ascii="Calibri" w:eastAsia="Calibri" w:hAnsi="Calibri" w:cs="Calibri"/>
                <w:sz w:val="19"/>
                <w:szCs w:val="19"/>
              </w:rPr>
              <w:fldChar w:fldCharType="end"/>
            </w:r>
          </w:p>
        </w:tc>
      </w:tr>
      <w:tr w:rsidR="0064009D" w:rsidRPr="006D6B58" w14:paraId="4E5B6FC6" w14:textId="77777777" w:rsidTr="0064009D">
        <w:trPr>
          <w:trHeight w:val="300"/>
        </w:trPr>
        <w:tc>
          <w:tcPr>
            <w:tcW w:w="2694" w:type="dxa"/>
            <w:vMerge w:val="restart"/>
            <w:tcBorders>
              <w:top w:val="single" w:sz="6" w:space="0" w:color="auto"/>
              <w:left w:val="single" w:sz="6" w:space="0" w:color="auto"/>
              <w:bottom w:val="single" w:sz="6" w:space="0" w:color="auto"/>
              <w:right w:val="single" w:sz="6" w:space="0" w:color="auto"/>
            </w:tcBorders>
            <w:hideMark/>
          </w:tcPr>
          <w:p w14:paraId="5E810C0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Dengue Fever</w:t>
            </w:r>
            <w:r w:rsidRPr="00F21795">
              <w:rPr>
                <w:rFonts w:ascii="Calibri" w:eastAsia="Calibri" w:hAnsi="Calibri" w:cs="Calibri"/>
                <w:sz w:val="19"/>
                <w:szCs w:val="19"/>
              </w:rPr>
              <w:t> </w:t>
            </w:r>
          </w:p>
          <w:p w14:paraId="17B6662C"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Given the variability in the clinical illness associated with dengue infection, it is not appropriate to adopt a detailed clinical definition of dengue fever. Rather, the need for laboratory confirmation is emphasized. </w:t>
            </w:r>
          </w:p>
        </w:tc>
        <w:tc>
          <w:tcPr>
            <w:tcW w:w="567" w:type="dxa"/>
            <w:tcBorders>
              <w:top w:val="single" w:sz="6" w:space="0" w:color="auto"/>
              <w:left w:val="single" w:sz="6" w:space="0" w:color="auto"/>
              <w:bottom w:val="single" w:sz="6" w:space="0" w:color="auto"/>
              <w:right w:val="single" w:sz="6" w:space="0" w:color="auto"/>
            </w:tcBorders>
            <w:hideMark/>
          </w:tcPr>
          <w:p w14:paraId="4B7A575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Probable </w:t>
            </w:r>
          </w:p>
        </w:tc>
        <w:tc>
          <w:tcPr>
            <w:tcW w:w="3543" w:type="dxa"/>
            <w:tcBorders>
              <w:top w:val="single" w:sz="6" w:space="0" w:color="auto"/>
              <w:left w:val="single" w:sz="6" w:space="0" w:color="auto"/>
              <w:bottom w:val="single" w:sz="6" w:space="0" w:color="auto"/>
              <w:right w:val="single" w:sz="6" w:space="0" w:color="auto"/>
            </w:tcBorders>
            <w:hideMark/>
          </w:tcPr>
          <w:p w14:paraId="2F765929"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An acute febrile illness with two or more of the following manifestations:  </w:t>
            </w:r>
          </w:p>
          <w:p w14:paraId="6A475395"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headache  </w:t>
            </w:r>
          </w:p>
          <w:p w14:paraId="4D5E653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retro-orbital pain  </w:t>
            </w:r>
          </w:p>
          <w:p w14:paraId="395E43B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myalgia  </w:t>
            </w:r>
          </w:p>
          <w:p w14:paraId="70581DD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arthralgia  </w:t>
            </w:r>
          </w:p>
          <w:p w14:paraId="7F7EA07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rash  </w:t>
            </w:r>
          </w:p>
          <w:p w14:paraId="37DE045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haemorrhagic manifestations  </w:t>
            </w:r>
          </w:p>
          <w:p w14:paraId="5B58553E"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leukopenia; and  </w:t>
            </w:r>
          </w:p>
          <w:p w14:paraId="66CAFFBE"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w:t>
            </w:r>
            <w:r>
              <w:rPr>
                <w:rFonts w:ascii="Calibri" w:eastAsia="Calibri" w:hAnsi="Calibri" w:cs="Calibri"/>
                <w:sz w:val="19"/>
                <w:szCs w:val="19"/>
              </w:rPr>
              <w:t xml:space="preserve"> </w:t>
            </w:r>
            <w:r w:rsidRPr="00F21795">
              <w:rPr>
                <w:rFonts w:ascii="Calibri" w:eastAsia="Calibri" w:hAnsi="Calibri" w:cs="Calibri"/>
                <w:sz w:val="19"/>
                <w:szCs w:val="19"/>
              </w:rPr>
              <w:t>supportive serology (a reciprocal haemagglutination-inhibition antibody titre ≥1280, a comparable IgG enzyme-linked immunosorbent assay (ELISA) titre or a positive IgM antibody test on a late acute or convalescent-phase serum specimen); or  </w:t>
            </w:r>
          </w:p>
          <w:p w14:paraId="14C1FC29"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occurrence at the same location and time as other confirmed cases of dengue fever. </w:t>
            </w:r>
          </w:p>
        </w:tc>
        <w:tc>
          <w:tcPr>
            <w:tcW w:w="709" w:type="dxa"/>
            <w:vMerge w:val="restart"/>
            <w:tcBorders>
              <w:top w:val="single" w:sz="6" w:space="0" w:color="auto"/>
              <w:left w:val="single" w:sz="6" w:space="0" w:color="auto"/>
              <w:right w:val="single" w:sz="6" w:space="0" w:color="auto"/>
            </w:tcBorders>
            <w:hideMark/>
          </w:tcPr>
          <w:p w14:paraId="70F3661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Non-severe Dengue</w:t>
            </w:r>
            <w:r w:rsidRPr="00F21795">
              <w:rPr>
                <w:rFonts w:ascii="Calibri" w:eastAsia="Calibri" w:hAnsi="Calibri" w:cs="Calibri"/>
                <w:sz w:val="19"/>
                <w:szCs w:val="19"/>
              </w:rPr>
              <w:t> </w:t>
            </w:r>
          </w:p>
          <w:p w14:paraId="44A07F3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3969" w:type="dxa"/>
            <w:vMerge w:val="restart"/>
            <w:tcBorders>
              <w:top w:val="single" w:sz="6" w:space="0" w:color="auto"/>
              <w:left w:val="single" w:sz="6" w:space="0" w:color="auto"/>
              <w:right w:val="single" w:sz="6" w:space="0" w:color="auto"/>
            </w:tcBorders>
            <w:hideMark/>
          </w:tcPr>
          <w:p w14:paraId="5C3D020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t>Probable</w:t>
            </w:r>
            <w:r w:rsidRPr="00F21795">
              <w:rPr>
                <w:rFonts w:ascii="Calibri" w:eastAsia="Calibri" w:hAnsi="Calibri" w:cs="Calibri"/>
                <w:sz w:val="19"/>
                <w:szCs w:val="19"/>
              </w:rPr>
              <w:t>  </w:t>
            </w:r>
          </w:p>
          <w:p w14:paraId="2B837DFE"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Live in /</w:t>
            </w:r>
            <w:r>
              <w:rPr>
                <w:rFonts w:ascii="Calibri" w:eastAsia="Calibri" w:hAnsi="Calibri" w:cs="Calibri"/>
                <w:sz w:val="19"/>
                <w:szCs w:val="19"/>
              </w:rPr>
              <w:t xml:space="preserve"> </w:t>
            </w:r>
            <w:r w:rsidRPr="00F21795">
              <w:rPr>
                <w:rFonts w:ascii="Calibri" w:eastAsia="Calibri" w:hAnsi="Calibri" w:cs="Calibri"/>
                <w:sz w:val="19"/>
                <w:szCs w:val="19"/>
              </w:rPr>
              <w:t xml:space="preserve">travel to dengue endemic area. Fever and </w:t>
            </w:r>
            <w:r>
              <w:rPr>
                <w:rFonts w:ascii="Calibri" w:eastAsia="Calibri" w:hAnsi="Calibri" w:cs="Calibri"/>
                <w:sz w:val="19"/>
                <w:szCs w:val="19"/>
              </w:rPr>
              <w:t>two</w:t>
            </w:r>
            <w:r w:rsidRPr="00F21795">
              <w:rPr>
                <w:rFonts w:ascii="Calibri" w:eastAsia="Calibri" w:hAnsi="Calibri" w:cs="Calibri"/>
                <w:sz w:val="19"/>
                <w:szCs w:val="19"/>
              </w:rPr>
              <w:t xml:space="preserve"> of the following criteria:  </w:t>
            </w:r>
          </w:p>
          <w:p w14:paraId="6E853CA2" w14:textId="77777777" w:rsidR="00811CEA" w:rsidRPr="00F21795" w:rsidRDefault="00811CEA" w:rsidP="00811CEA">
            <w:pPr>
              <w:numPr>
                <w:ilvl w:val="0"/>
                <w:numId w:val="4"/>
              </w:numPr>
              <w:spacing w:after="0" w:line="240" w:lineRule="auto"/>
              <w:rPr>
                <w:rFonts w:ascii="Calibri" w:eastAsia="Calibri" w:hAnsi="Calibri" w:cs="Calibri"/>
                <w:sz w:val="19"/>
                <w:szCs w:val="19"/>
              </w:rPr>
            </w:pPr>
            <w:r w:rsidRPr="00F21795">
              <w:rPr>
                <w:rFonts w:ascii="Calibri" w:eastAsia="Calibri" w:hAnsi="Calibri" w:cs="Calibri"/>
                <w:sz w:val="19"/>
                <w:szCs w:val="19"/>
              </w:rPr>
              <w:t>Nausea, vomiting  </w:t>
            </w:r>
          </w:p>
          <w:p w14:paraId="0873F802" w14:textId="77777777" w:rsidR="00811CEA" w:rsidRPr="00F21795" w:rsidRDefault="00811CEA" w:rsidP="00811CEA">
            <w:pPr>
              <w:numPr>
                <w:ilvl w:val="0"/>
                <w:numId w:val="5"/>
              </w:numPr>
              <w:spacing w:after="0" w:line="240" w:lineRule="auto"/>
              <w:rPr>
                <w:rFonts w:ascii="Calibri" w:eastAsia="Calibri" w:hAnsi="Calibri" w:cs="Calibri"/>
                <w:sz w:val="19"/>
                <w:szCs w:val="19"/>
              </w:rPr>
            </w:pPr>
            <w:r w:rsidRPr="00F21795">
              <w:rPr>
                <w:rFonts w:ascii="Calibri" w:eastAsia="Calibri" w:hAnsi="Calibri" w:cs="Calibri"/>
                <w:sz w:val="19"/>
                <w:szCs w:val="19"/>
              </w:rPr>
              <w:t>Rash  </w:t>
            </w:r>
          </w:p>
          <w:p w14:paraId="63FE2098" w14:textId="77777777" w:rsidR="00811CEA" w:rsidRPr="00F21795" w:rsidRDefault="00811CEA" w:rsidP="00811CEA">
            <w:pPr>
              <w:numPr>
                <w:ilvl w:val="0"/>
                <w:numId w:val="6"/>
              </w:numPr>
              <w:spacing w:after="0" w:line="240" w:lineRule="auto"/>
              <w:rPr>
                <w:rFonts w:ascii="Calibri" w:eastAsia="Calibri" w:hAnsi="Calibri" w:cs="Calibri"/>
                <w:sz w:val="19"/>
                <w:szCs w:val="19"/>
              </w:rPr>
            </w:pPr>
            <w:r w:rsidRPr="00F21795">
              <w:rPr>
                <w:rFonts w:ascii="Calibri" w:eastAsia="Calibri" w:hAnsi="Calibri" w:cs="Calibri"/>
                <w:sz w:val="19"/>
                <w:szCs w:val="19"/>
              </w:rPr>
              <w:t>Aches and pains  </w:t>
            </w:r>
          </w:p>
          <w:p w14:paraId="27354614" w14:textId="77777777" w:rsidR="00811CEA" w:rsidRPr="00F21795" w:rsidRDefault="00811CEA" w:rsidP="00811CEA">
            <w:pPr>
              <w:numPr>
                <w:ilvl w:val="0"/>
                <w:numId w:val="7"/>
              </w:numPr>
              <w:spacing w:after="0" w:line="240" w:lineRule="auto"/>
              <w:rPr>
                <w:rFonts w:ascii="Calibri" w:eastAsia="Calibri" w:hAnsi="Calibri" w:cs="Calibri"/>
                <w:sz w:val="19"/>
                <w:szCs w:val="19"/>
              </w:rPr>
            </w:pPr>
            <w:r w:rsidRPr="00F21795">
              <w:rPr>
                <w:rFonts w:ascii="Calibri" w:eastAsia="Calibri" w:hAnsi="Calibri" w:cs="Calibri"/>
                <w:sz w:val="19"/>
                <w:szCs w:val="19"/>
              </w:rPr>
              <w:t>Tourniquet test positive  </w:t>
            </w:r>
          </w:p>
          <w:p w14:paraId="41CE4575" w14:textId="77777777" w:rsidR="00811CEA" w:rsidRPr="00F21795" w:rsidRDefault="00811CEA" w:rsidP="00811CEA">
            <w:pPr>
              <w:numPr>
                <w:ilvl w:val="0"/>
                <w:numId w:val="8"/>
              </w:numPr>
              <w:spacing w:after="0" w:line="240" w:lineRule="auto"/>
              <w:rPr>
                <w:rFonts w:ascii="Calibri" w:eastAsia="Calibri" w:hAnsi="Calibri" w:cs="Calibri"/>
                <w:sz w:val="19"/>
                <w:szCs w:val="19"/>
              </w:rPr>
            </w:pPr>
            <w:r w:rsidRPr="00F21795">
              <w:rPr>
                <w:rFonts w:ascii="Calibri" w:eastAsia="Calibri" w:hAnsi="Calibri" w:cs="Calibri"/>
                <w:sz w:val="19"/>
                <w:szCs w:val="19"/>
              </w:rPr>
              <w:t>Leukopenia  </w:t>
            </w:r>
          </w:p>
          <w:p w14:paraId="214B6B5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6561367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t>Confirmed</w:t>
            </w:r>
            <w:r w:rsidRPr="00F21795">
              <w:rPr>
                <w:rFonts w:ascii="Calibri" w:eastAsia="Calibri" w:hAnsi="Calibri" w:cs="Calibri"/>
                <w:sz w:val="19"/>
                <w:szCs w:val="19"/>
              </w:rPr>
              <w:t> </w:t>
            </w:r>
          </w:p>
          <w:p w14:paraId="5D73D2A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Laboratory-confirmed (important when no sign of plasma leakage) </w:t>
            </w:r>
          </w:p>
          <w:p w14:paraId="3F65B6A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709" w:type="dxa"/>
            <w:vMerge w:val="restart"/>
            <w:tcBorders>
              <w:top w:val="single" w:sz="6" w:space="0" w:color="auto"/>
              <w:left w:val="single" w:sz="6" w:space="0" w:color="auto"/>
              <w:right w:val="single" w:sz="6" w:space="0" w:color="auto"/>
            </w:tcBorders>
            <w:hideMark/>
          </w:tcPr>
          <w:p w14:paraId="3C1BDD0F"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Non-severe Dengue</w:t>
            </w:r>
            <w:r w:rsidRPr="00F21795">
              <w:rPr>
                <w:rFonts w:ascii="Calibri" w:eastAsia="Calibri" w:hAnsi="Calibri" w:cs="Calibri"/>
                <w:sz w:val="19"/>
                <w:szCs w:val="19"/>
              </w:rPr>
              <w:t> </w:t>
            </w:r>
          </w:p>
          <w:p w14:paraId="13FC667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54F47B5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3260" w:type="dxa"/>
            <w:vMerge w:val="restart"/>
            <w:tcBorders>
              <w:top w:val="single" w:sz="6" w:space="0" w:color="auto"/>
              <w:left w:val="single" w:sz="6" w:space="0" w:color="auto"/>
              <w:right w:val="single" w:sz="6" w:space="0" w:color="auto"/>
            </w:tcBorders>
            <w:hideMark/>
          </w:tcPr>
          <w:p w14:paraId="422B84D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No features of severe dengue and suitable for outpatient management </w:t>
            </w:r>
          </w:p>
          <w:p w14:paraId="1A94826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r>
      <w:tr w:rsidR="0064009D" w:rsidRPr="006D6B58" w14:paraId="3D77B115" w14:textId="77777777" w:rsidTr="0064009D">
        <w:trPr>
          <w:trHeight w:val="300"/>
        </w:trPr>
        <w:tc>
          <w:tcPr>
            <w:tcW w:w="2694" w:type="dxa"/>
            <w:vMerge/>
            <w:tcBorders>
              <w:top w:val="single" w:sz="6" w:space="0" w:color="auto"/>
              <w:left w:val="single" w:sz="6" w:space="0" w:color="auto"/>
              <w:bottom w:val="single" w:sz="6" w:space="0" w:color="auto"/>
              <w:right w:val="single" w:sz="6" w:space="0" w:color="auto"/>
            </w:tcBorders>
            <w:vAlign w:val="center"/>
            <w:hideMark/>
          </w:tcPr>
          <w:p w14:paraId="24DBEE46" w14:textId="77777777" w:rsidR="00811CEA" w:rsidRPr="00F21795" w:rsidRDefault="00811CEA" w:rsidP="006C7FB5">
            <w:pPr>
              <w:spacing w:after="0" w:line="240" w:lineRule="auto"/>
              <w:rPr>
                <w:rFonts w:ascii="Calibri" w:eastAsia="Calibri" w:hAnsi="Calibri" w:cs="Calibri"/>
                <w:sz w:val="19"/>
                <w:szCs w:val="19"/>
              </w:rPr>
            </w:pPr>
          </w:p>
        </w:tc>
        <w:tc>
          <w:tcPr>
            <w:tcW w:w="567" w:type="dxa"/>
            <w:tcBorders>
              <w:top w:val="single" w:sz="6" w:space="0" w:color="auto"/>
              <w:left w:val="single" w:sz="6" w:space="0" w:color="auto"/>
              <w:bottom w:val="single" w:sz="6" w:space="0" w:color="auto"/>
              <w:right w:val="single" w:sz="6" w:space="0" w:color="auto"/>
            </w:tcBorders>
            <w:hideMark/>
          </w:tcPr>
          <w:p w14:paraId="2450CA2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Confirmed </w:t>
            </w:r>
          </w:p>
        </w:tc>
        <w:tc>
          <w:tcPr>
            <w:tcW w:w="3543" w:type="dxa"/>
            <w:tcBorders>
              <w:top w:val="single" w:sz="6" w:space="0" w:color="auto"/>
              <w:left w:val="single" w:sz="6" w:space="0" w:color="auto"/>
              <w:bottom w:val="single" w:sz="6" w:space="0" w:color="auto"/>
              <w:right w:val="single" w:sz="6" w:space="0" w:color="auto"/>
            </w:tcBorders>
            <w:hideMark/>
          </w:tcPr>
          <w:p w14:paraId="4A66E72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 case confirmed by laboratory criteria: </w:t>
            </w:r>
          </w:p>
          <w:p w14:paraId="68BF49A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—Isolation of the dengue virus from serum or autopsy samples; or  </w:t>
            </w:r>
          </w:p>
          <w:p w14:paraId="0D78FD6F"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—Demonstration of a fourfold or greater change in reciprocal IgG or IgM antibody titres to one or more dengue virus antigens in paired serum samples; or  </w:t>
            </w:r>
          </w:p>
          <w:p w14:paraId="759F518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—Demonstration of dengue virus antigen in autopsy tissue, serum or cerebrospinal fluid samples by immunohistochemistry, immunofluorescence or ELISA; or  </w:t>
            </w:r>
          </w:p>
          <w:p w14:paraId="7C07AFCF"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—Detection of dengue virus genomic sequences in autopsy tissue serum or cerebrospinal fluid samples by polymerase chain reaction (PCR). </w:t>
            </w:r>
          </w:p>
        </w:tc>
        <w:tc>
          <w:tcPr>
            <w:tcW w:w="709" w:type="dxa"/>
            <w:vMerge/>
            <w:tcBorders>
              <w:left w:val="single" w:sz="6" w:space="0" w:color="auto"/>
              <w:bottom w:val="single" w:sz="6" w:space="0" w:color="auto"/>
              <w:right w:val="single" w:sz="6" w:space="0" w:color="auto"/>
            </w:tcBorders>
            <w:hideMark/>
          </w:tcPr>
          <w:p w14:paraId="4DF09D7F" w14:textId="77777777" w:rsidR="00811CEA" w:rsidRPr="00F21795" w:rsidRDefault="00811CEA" w:rsidP="006C7FB5">
            <w:pPr>
              <w:spacing w:after="0" w:line="240" w:lineRule="auto"/>
              <w:rPr>
                <w:rFonts w:ascii="Calibri" w:eastAsia="Calibri" w:hAnsi="Calibri" w:cs="Calibri"/>
                <w:sz w:val="19"/>
                <w:szCs w:val="19"/>
              </w:rPr>
            </w:pPr>
          </w:p>
        </w:tc>
        <w:tc>
          <w:tcPr>
            <w:tcW w:w="3969" w:type="dxa"/>
            <w:vMerge/>
            <w:tcBorders>
              <w:left w:val="single" w:sz="6" w:space="0" w:color="auto"/>
              <w:bottom w:val="single" w:sz="6" w:space="0" w:color="auto"/>
              <w:right w:val="single" w:sz="6" w:space="0" w:color="auto"/>
            </w:tcBorders>
            <w:hideMark/>
          </w:tcPr>
          <w:p w14:paraId="22D6F05F" w14:textId="77777777" w:rsidR="00811CEA" w:rsidRPr="00F21795" w:rsidRDefault="00811CEA" w:rsidP="006C7FB5">
            <w:pPr>
              <w:spacing w:after="0" w:line="240" w:lineRule="auto"/>
              <w:rPr>
                <w:rFonts w:ascii="Calibri" w:eastAsia="Calibri" w:hAnsi="Calibri" w:cs="Calibri"/>
                <w:sz w:val="19"/>
                <w:szCs w:val="19"/>
              </w:rPr>
            </w:pPr>
          </w:p>
        </w:tc>
        <w:tc>
          <w:tcPr>
            <w:tcW w:w="709" w:type="dxa"/>
            <w:vMerge/>
            <w:tcBorders>
              <w:left w:val="single" w:sz="6" w:space="0" w:color="auto"/>
              <w:bottom w:val="single" w:sz="6" w:space="0" w:color="auto"/>
              <w:right w:val="single" w:sz="6" w:space="0" w:color="auto"/>
            </w:tcBorders>
            <w:hideMark/>
          </w:tcPr>
          <w:p w14:paraId="2AD0412F" w14:textId="77777777" w:rsidR="00811CEA" w:rsidRPr="00F21795" w:rsidRDefault="00811CEA" w:rsidP="006C7FB5">
            <w:pPr>
              <w:spacing w:after="0" w:line="240" w:lineRule="auto"/>
              <w:rPr>
                <w:rFonts w:ascii="Calibri" w:eastAsia="Calibri" w:hAnsi="Calibri" w:cs="Calibri"/>
                <w:sz w:val="19"/>
                <w:szCs w:val="19"/>
              </w:rPr>
            </w:pPr>
          </w:p>
        </w:tc>
        <w:tc>
          <w:tcPr>
            <w:tcW w:w="3260" w:type="dxa"/>
            <w:vMerge/>
            <w:tcBorders>
              <w:left w:val="single" w:sz="6" w:space="0" w:color="auto"/>
              <w:bottom w:val="single" w:sz="6" w:space="0" w:color="auto"/>
              <w:right w:val="single" w:sz="6" w:space="0" w:color="auto"/>
            </w:tcBorders>
            <w:hideMark/>
          </w:tcPr>
          <w:p w14:paraId="1261654B" w14:textId="77777777" w:rsidR="00811CEA" w:rsidRPr="00F21795" w:rsidRDefault="00811CEA" w:rsidP="006C7FB5">
            <w:pPr>
              <w:spacing w:after="0" w:line="240" w:lineRule="auto"/>
              <w:rPr>
                <w:rFonts w:ascii="Calibri" w:eastAsia="Calibri" w:hAnsi="Calibri" w:cs="Calibri"/>
                <w:sz w:val="19"/>
                <w:szCs w:val="19"/>
              </w:rPr>
            </w:pPr>
          </w:p>
        </w:tc>
      </w:tr>
      <w:tr w:rsidR="0064009D" w:rsidRPr="006D6B58" w14:paraId="1BA46BB0" w14:textId="77777777" w:rsidTr="0064009D">
        <w:trPr>
          <w:trHeight w:val="300"/>
        </w:trPr>
        <w:tc>
          <w:tcPr>
            <w:tcW w:w="2694" w:type="dxa"/>
            <w:vMerge w:val="restart"/>
            <w:tcBorders>
              <w:top w:val="single" w:sz="6" w:space="0" w:color="auto"/>
              <w:left w:val="single" w:sz="6" w:space="0" w:color="auto"/>
              <w:bottom w:val="single" w:sz="6" w:space="0" w:color="auto"/>
              <w:right w:val="single" w:sz="6" w:space="0" w:color="auto"/>
            </w:tcBorders>
            <w:hideMark/>
          </w:tcPr>
          <w:p w14:paraId="33D14D5E"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Dengue Haemorrhagic Fever (DHF)</w:t>
            </w:r>
            <w:r w:rsidRPr="00F21795">
              <w:rPr>
                <w:rFonts w:ascii="Calibri" w:eastAsia="Calibri" w:hAnsi="Calibri" w:cs="Calibri"/>
                <w:sz w:val="19"/>
                <w:szCs w:val="19"/>
              </w:rPr>
              <w:t> </w:t>
            </w:r>
          </w:p>
          <w:p w14:paraId="7F91E7B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All of the following must be present: </w:t>
            </w:r>
          </w:p>
          <w:p w14:paraId="1B7325C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lastRenderedPageBreak/>
              <w:t>• Fever, or history of acute fever, lasting 2–7 days, occasionally biphasic.  </w:t>
            </w:r>
          </w:p>
          <w:p w14:paraId="2B7D3C7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Haemorrhagic tendencies, evidenced by at least one of the following:  </w:t>
            </w:r>
          </w:p>
          <w:p w14:paraId="7E84FCF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a positive tourniquet test  </w:t>
            </w:r>
          </w:p>
          <w:p w14:paraId="4EE96CDE"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—petechiae, ecchymoses or purpura  </w:t>
            </w:r>
          </w:p>
          <w:p w14:paraId="6C02521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bleeding from the mucosa, gastrointestinal tract, injection sites or other locations  </w:t>
            </w:r>
          </w:p>
          <w:p w14:paraId="30144D9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haematemesis or melaena.  </w:t>
            </w:r>
          </w:p>
          <w:p w14:paraId="15F08E6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Thrombocytopenia (≤100,000 cells/mm</w:t>
            </w:r>
            <w:r w:rsidRPr="00F21795">
              <w:rPr>
                <w:rFonts w:ascii="Calibri" w:eastAsia="Calibri" w:hAnsi="Calibri" w:cs="Calibri"/>
                <w:sz w:val="19"/>
                <w:szCs w:val="19"/>
                <w:vertAlign w:val="superscript"/>
              </w:rPr>
              <w:t>3</w:t>
            </w:r>
            <w:r w:rsidRPr="00F21795">
              <w:rPr>
                <w:rFonts w:ascii="Calibri" w:eastAsia="Calibri" w:hAnsi="Calibri" w:cs="Calibri"/>
                <w:sz w:val="19"/>
                <w:szCs w:val="19"/>
              </w:rPr>
              <w:t>) </w:t>
            </w:r>
          </w:p>
          <w:p w14:paraId="4894511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Evidence of plasma leakage due to increased vascular permeability, manifested by at least one of:  </w:t>
            </w:r>
          </w:p>
          <w:p w14:paraId="7CF7143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a rise in the haematocrit ≥20% above average for age, sex and population; </w:t>
            </w:r>
          </w:p>
          <w:p w14:paraId="2DCEE19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a drop in haematocrit following volume-replacement treatment of ≥20% of baseline;  </w:t>
            </w:r>
          </w:p>
          <w:p w14:paraId="74B20BE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signs of plasma leakage such as pleural effusion, ascites, and hypoproteinaemia </w:t>
            </w:r>
          </w:p>
        </w:tc>
        <w:tc>
          <w:tcPr>
            <w:tcW w:w="567" w:type="dxa"/>
            <w:tcBorders>
              <w:top w:val="single" w:sz="6" w:space="0" w:color="auto"/>
              <w:left w:val="single" w:sz="6" w:space="0" w:color="auto"/>
              <w:bottom w:val="single" w:sz="6" w:space="0" w:color="auto"/>
              <w:right w:val="single" w:sz="6" w:space="0" w:color="auto"/>
            </w:tcBorders>
            <w:hideMark/>
          </w:tcPr>
          <w:p w14:paraId="6D7F0B15"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lastRenderedPageBreak/>
              <w:t>DHF Grade 1 </w:t>
            </w:r>
          </w:p>
        </w:tc>
        <w:tc>
          <w:tcPr>
            <w:tcW w:w="3543" w:type="dxa"/>
            <w:tcBorders>
              <w:top w:val="single" w:sz="6" w:space="0" w:color="auto"/>
              <w:left w:val="single" w:sz="6" w:space="0" w:color="auto"/>
              <w:bottom w:val="single" w:sz="6" w:space="0" w:color="auto"/>
              <w:right w:val="single" w:sz="6" w:space="0" w:color="auto"/>
            </w:tcBorders>
            <w:hideMark/>
          </w:tcPr>
          <w:p w14:paraId="3DD91C2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Fever accompanied by non-specific constitutional symptoms; the only haemorrhagic manifestation is a positive tourniquet test and/or easy bruising </w:t>
            </w:r>
          </w:p>
        </w:tc>
        <w:tc>
          <w:tcPr>
            <w:tcW w:w="709" w:type="dxa"/>
            <w:vMerge w:val="restart"/>
            <w:tcBorders>
              <w:top w:val="single" w:sz="6" w:space="0" w:color="auto"/>
              <w:left w:val="single" w:sz="6" w:space="0" w:color="auto"/>
              <w:right w:val="single" w:sz="6" w:space="0" w:color="auto"/>
            </w:tcBorders>
            <w:hideMark/>
          </w:tcPr>
          <w:p w14:paraId="4D19602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 xml:space="preserve">Non-severe Dengue with </w:t>
            </w:r>
            <w:r w:rsidRPr="00F21795">
              <w:rPr>
                <w:rFonts w:ascii="Calibri" w:eastAsia="Calibri" w:hAnsi="Calibri" w:cs="Calibri"/>
                <w:i/>
                <w:iCs/>
                <w:sz w:val="19"/>
                <w:szCs w:val="19"/>
              </w:rPr>
              <w:lastRenderedPageBreak/>
              <w:t>Warning Signs</w:t>
            </w:r>
            <w:r w:rsidRPr="00F21795">
              <w:rPr>
                <w:rFonts w:ascii="Calibri" w:eastAsia="Calibri" w:hAnsi="Calibri" w:cs="Calibri"/>
                <w:sz w:val="19"/>
                <w:szCs w:val="19"/>
              </w:rPr>
              <w:t> </w:t>
            </w:r>
          </w:p>
          <w:p w14:paraId="61899DA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3969" w:type="dxa"/>
            <w:tcBorders>
              <w:top w:val="single" w:sz="6" w:space="0" w:color="auto"/>
              <w:left w:val="single" w:sz="6" w:space="0" w:color="auto"/>
              <w:bottom w:val="single" w:sz="6" w:space="0" w:color="auto"/>
              <w:right w:val="single" w:sz="6" w:space="0" w:color="auto"/>
            </w:tcBorders>
            <w:hideMark/>
          </w:tcPr>
          <w:p w14:paraId="77726E2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lastRenderedPageBreak/>
              <w:t>Warning Signs</w:t>
            </w:r>
            <w:r w:rsidRPr="00F21795">
              <w:rPr>
                <w:rFonts w:ascii="Calibri" w:eastAsia="Calibri" w:hAnsi="Calibri" w:cs="Calibri"/>
                <w:sz w:val="19"/>
                <w:szCs w:val="19"/>
              </w:rPr>
              <w:t> </w:t>
            </w:r>
          </w:p>
          <w:p w14:paraId="7BF7CCF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Clinical: </w:t>
            </w:r>
          </w:p>
          <w:p w14:paraId="6C80006A" w14:textId="77777777" w:rsidR="00811CEA" w:rsidRPr="00F21795" w:rsidRDefault="00811CEA" w:rsidP="00811CEA">
            <w:pPr>
              <w:numPr>
                <w:ilvl w:val="0"/>
                <w:numId w:val="9"/>
              </w:numPr>
              <w:spacing w:after="0" w:line="240" w:lineRule="auto"/>
              <w:rPr>
                <w:rFonts w:ascii="Calibri" w:eastAsia="Calibri" w:hAnsi="Calibri" w:cs="Calibri"/>
                <w:sz w:val="19"/>
                <w:szCs w:val="19"/>
              </w:rPr>
            </w:pPr>
            <w:r w:rsidRPr="00F21795">
              <w:rPr>
                <w:rFonts w:ascii="Calibri" w:eastAsia="Calibri" w:hAnsi="Calibri" w:cs="Calibri"/>
                <w:sz w:val="19"/>
                <w:szCs w:val="19"/>
              </w:rPr>
              <w:t>Abdominal pain or tenderness  </w:t>
            </w:r>
          </w:p>
          <w:p w14:paraId="059CE21D" w14:textId="77777777" w:rsidR="00811CEA" w:rsidRPr="00F21795" w:rsidRDefault="00811CEA" w:rsidP="00811CEA">
            <w:pPr>
              <w:numPr>
                <w:ilvl w:val="0"/>
                <w:numId w:val="10"/>
              </w:numPr>
              <w:spacing w:after="0" w:line="240" w:lineRule="auto"/>
              <w:rPr>
                <w:rFonts w:ascii="Calibri" w:eastAsia="Calibri" w:hAnsi="Calibri" w:cs="Calibri"/>
                <w:sz w:val="19"/>
                <w:szCs w:val="19"/>
              </w:rPr>
            </w:pPr>
            <w:r w:rsidRPr="00F21795">
              <w:rPr>
                <w:rFonts w:ascii="Calibri" w:eastAsia="Calibri" w:hAnsi="Calibri" w:cs="Calibri"/>
                <w:sz w:val="19"/>
                <w:szCs w:val="19"/>
              </w:rPr>
              <w:t>Persistent vomiting    </w:t>
            </w:r>
          </w:p>
          <w:p w14:paraId="6E9B32E5" w14:textId="77777777" w:rsidR="00811CEA" w:rsidRPr="00F21795" w:rsidRDefault="00811CEA" w:rsidP="00811CEA">
            <w:pPr>
              <w:numPr>
                <w:ilvl w:val="0"/>
                <w:numId w:val="11"/>
              </w:numPr>
              <w:spacing w:after="0" w:line="240" w:lineRule="auto"/>
              <w:rPr>
                <w:rFonts w:ascii="Calibri" w:eastAsia="Calibri" w:hAnsi="Calibri" w:cs="Calibri"/>
                <w:sz w:val="19"/>
                <w:szCs w:val="19"/>
              </w:rPr>
            </w:pPr>
            <w:r w:rsidRPr="00F21795">
              <w:rPr>
                <w:rFonts w:ascii="Calibri" w:eastAsia="Calibri" w:hAnsi="Calibri" w:cs="Calibri"/>
                <w:sz w:val="19"/>
                <w:szCs w:val="19"/>
              </w:rPr>
              <w:t>Clinical fluid accumulation </w:t>
            </w:r>
          </w:p>
          <w:p w14:paraId="52FC7C84" w14:textId="77777777" w:rsidR="00811CEA" w:rsidRPr="00F21795" w:rsidRDefault="00811CEA" w:rsidP="00811CEA">
            <w:pPr>
              <w:numPr>
                <w:ilvl w:val="0"/>
                <w:numId w:val="12"/>
              </w:numPr>
              <w:spacing w:after="0" w:line="240" w:lineRule="auto"/>
              <w:rPr>
                <w:rFonts w:ascii="Calibri" w:eastAsia="Calibri" w:hAnsi="Calibri" w:cs="Calibri"/>
                <w:sz w:val="19"/>
                <w:szCs w:val="19"/>
              </w:rPr>
            </w:pPr>
            <w:r w:rsidRPr="00F21795">
              <w:rPr>
                <w:rFonts w:ascii="Calibri" w:eastAsia="Calibri" w:hAnsi="Calibri" w:cs="Calibri"/>
                <w:sz w:val="19"/>
                <w:szCs w:val="19"/>
              </w:rPr>
              <w:lastRenderedPageBreak/>
              <w:t>Mucosal bleed    </w:t>
            </w:r>
          </w:p>
          <w:p w14:paraId="3B41C193" w14:textId="77777777" w:rsidR="00811CEA" w:rsidRPr="00F21795" w:rsidRDefault="00811CEA" w:rsidP="00811CEA">
            <w:pPr>
              <w:numPr>
                <w:ilvl w:val="0"/>
                <w:numId w:val="13"/>
              </w:numPr>
              <w:spacing w:after="0" w:line="240" w:lineRule="auto"/>
              <w:rPr>
                <w:rFonts w:ascii="Calibri" w:eastAsia="Calibri" w:hAnsi="Calibri" w:cs="Calibri"/>
                <w:sz w:val="19"/>
                <w:szCs w:val="19"/>
              </w:rPr>
            </w:pPr>
            <w:r w:rsidRPr="00F21795">
              <w:rPr>
                <w:rFonts w:ascii="Calibri" w:eastAsia="Calibri" w:hAnsi="Calibri" w:cs="Calibri"/>
                <w:sz w:val="19"/>
                <w:szCs w:val="19"/>
              </w:rPr>
              <w:t>Lethargy, restlessness </w:t>
            </w:r>
          </w:p>
          <w:p w14:paraId="64ABF446" w14:textId="77777777" w:rsidR="00811CEA" w:rsidRPr="00F21795" w:rsidRDefault="00811CEA" w:rsidP="00811CEA">
            <w:pPr>
              <w:numPr>
                <w:ilvl w:val="0"/>
                <w:numId w:val="14"/>
              </w:numPr>
              <w:spacing w:after="0" w:line="240" w:lineRule="auto"/>
              <w:rPr>
                <w:rFonts w:ascii="Calibri" w:eastAsia="Calibri" w:hAnsi="Calibri" w:cs="Calibri"/>
                <w:sz w:val="19"/>
                <w:szCs w:val="19"/>
              </w:rPr>
            </w:pPr>
            <w:r w:rsidRPr="00F21795">
              <w:rPr>
                <w:rFonts w:ascii="Calibri" w:eastAsia="Calibri" w:hAnsi="Calibri" w:cs="Calibri"/>
                <w:sz w:val="19"/>
                <w:szCs w:val="19"/>
              </w:rPr>
              <w:t>Liver enlargement &gt;2cm </w:t>
            </w:r>
          </w:p>
          <w:p w14:paraId="33C7136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773FEE1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Laboratory: </w:t>
            </w:r>
          </w:p>
          <w:p w14:paraId="6A9DF7D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Increase in haematocrit concurrent with rapid decrease in platelet count </w:t>
            </w:r>
          </w:p>
        </w:tc>
        <w:tc>
          <w:tcPr>
            <w:tcW w:w="709" w:type="dxa"/>
            <w:vMerge w:val="restart"/>
            <w:tcBorders>
              <w:top w:val="single" w:sz="6" w:space="0" w:color="auto"/>
              <w:left w:val="single" w:sz="6" w:space="0" w:color="auto"/>
              <w:right w:val="single" w:sz="6" w:space="0" w:color="auto"/>
            </w:tcBorders>
            <w:hideMark/>
          </w:tcPr>
          <w:p w14:paraId="4939ED5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lastRenderedPageBreak/>
              <w:t>Severe Dengue</w:t>
            </w:r>
            <w:r w:rsidRPr="00F21795">
              <w:rPr>
                <w:rFonts w:ascii="Calibri" w:eastAsia="Calibri" w:hAnsi="Calibri" w:cs="Calibri"/>
                <w:sz w:val="19"/>
                <w:szCs w:val="19"/>
              </w:rPr>
              <w:t> </w:t>
            </w:r>
          </w:p>
          <w:p w14:paraId="4E51F9B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3260" w:type="dxa"/>
            <w:vMerge w:val="restart"/>
            <w:tcBorders>
              <w:top w:val="single" w:sz="6" w:space="0" w:color="auto"/>
              <w:left w:val="single" w:sz="6" w:space="0" w:color="auto"/>
              <w:right w:val="single" w:sz="6" w:space="0" w:color="auto"/>
            </w:tcBorders>
            <w:hideMark/>
          </w:tcPr>
          <w:p w14:paraId="39E5D1A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Requiring inpatient management of warning signs and other complications </w:t>
            </w:r>
          </w:p>
          <w:p w14:paraId="40A8A3EC"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20A56DA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t>Dengue with Warning Signs </w:t>
            </w:r>
            <w:r w:rsidRPr="00F21795">
              <w:rPr>
                <w:rFonts w:ascii="Calibri" w:eastAsia="Calibri" w:hAnsi="Calibri" w:cs="Calibri"/>
                <w:sz w:val="19"/>
                <w:szCs w:val="19"/>
              </w:rPr>
              <w:t> </w:t>
            </w:r>
          </w:p>
          <w:p w14:paraId="056D50A1"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lastRenderedPageBreak/>
              <w:t>—abdominal pain: progressive until it is continuous or sustained and intense, and at the end of the febrile stage </w:t>
            </w:r>
          </w:p>
          <w:p w14:paraId="4DBAEE9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—sensory disorder: irritability, drowsiness, and lethargy  </w:t>
            </w:r>
          </w:p>
          <w:p w14:paraId="17607A0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—mucosal bleeding: bleeding gums, epistaxis, vaginal bleeding not associated with menstruation or more menstrual bleeding than usual and haematuria  </w:t>
            </w:r>
          </w:p>
          <w:p w14:paraId="6B36A14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—hepatomegaly: more than 2 cm below the costal margin and abrupt onset   </w:t>
            </w:r>
          </w:p>
          <w:p w14:paraId="29D6243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—vomiting: persistent (three or more episodes in one hour or four episodes in six hours)  </w:t>
            </w:r>
          </w:p>
          <w:p w14:paraId="173842E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—progressive increase in haematocrit: on at least two consecutive measurements during patient monitoring.  </w:t>
            </w:r>
          </w:p>
          <w:p w14:paraId="646B412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01AE6516" w14:textId="2D6709D2"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t>Severe Dengue (WHO 2009)</w:t>
            </w:r>
            <w:r>
              <w:rPr>
                <w:rFonts w:ascii="Calibri" w:eastAsia="Calibri" w:hAnsi="Calibri" w:cs="Calibri"/>
                <w:sz w:val="19"/>
                <w:szCs w:val="19"/>
                <w:u w:val="single"/>
              </w:rPr>
              <w:t xml:space="preserve"> </w:t>
            </w:r>
            <w:r>
              <w:rPr>
                <w:rFonts w:ascii="Calibri" w:eastAsia="Calibri" w:hAnsi="Calibri" w:cs="Calibri"/>
                <w:sz w:val="19"/>
                <w:szCs w:val="19"/>
                <w:u w:val="single"/>
              </w:rPr>
              <w:fldChar w:fldCharType="begin"/>
            </w:r>
            <w:r w:rsidR="004B506D">
              <w:rPr>
                <w:rFonts w:ascii="Calibri" w:eastAsia="Calibri" w:hAnsi="Calibri" w:cs="Calibri"/>
                <w:sz w:val="19"/>
                <w:szCs w:val="19"/>
                <w:u w:val="single"/>
              </w:rPr>
              <w:instrText xml:space="preserve"> ADDIN ZOTERO_ITEM CSL_CITATION {"citationID":"iJmHS68c","properties":{"formattedCitation":"[2]","plainCitation":"[2]","noteIndex":0},"citationItems":[{"id":726,"uris":["http://zotero.org/users/local/5m9g3R6r/items/SMTIXEPT"],"itemData":{"id":726,"type":"report","publisher":"World Health Organization","publisher-place":"Geneva, Switzerland","title":"Dengue Guidelines for Diagnosis, Treatment, Prevention and Control","author":[{"family":"World Health Organization","given":""}],"issued":{"date-parts":[["2009"]]}}}],"schema":"https://github.com/citation-style-language/schema/raw/master/csl-citation.json"} </w:instrText>
            </w:r>
            <w:r>
              <w:rPr>
                <w:rFonts w:ascii="Calibri" w:eastAsia="Calibri" w:hAnsi="Calibri" w:cs="Calibri"/>
                <w:sz w:val="19"/>
                <w:szCs w:val="19"/>
                <w:u w:val="single"/>
              </w:rPr>
              <w:fldChar w:fldCharType="separate"/>
            </w:r>
            <w:r w:rsidR="004B506D" w:rsidRPr="004B506D">
              <w:rPr>
                <w:rFonts w:ascii="Calibri" w:hAnsi="Calibri" w:cs="Calibri"/>
                <w:sz w:val="19"/>
              </w:rPr>
              <w:t>[2]</w:t>
            </w:r>
            <w:r>
              <w:rPr>
                <w:rFonts w:ascii="Calibri" w:eastAsia="Calibri" w:hAnsi="Calibri" w:cs="Calibri"/>
                <w:sz w:val="19"/>
                <w:szCs w:val="19"/>
                <w:u w:val="single"/>
              </w:rPr>
              <w:fldChar w:fldCharType="end"/>
            </w:r>
            <w:r w:rsidRPr="00F21795">
              <w:rPr>
                <w:rFonts w:ascii="Calibri" w:eastAsia="Calibri" w:hAnsi="Calibri" w:cs="Calibri"/>
                <w:sz w:val="19"/>
                <w:szCs w:val="19"/>
              </w:rPr>
              <w:t> </w:t>
            </w:r>
          </w:p>
          <w:p w14:paraId="1A68A52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3B94B0CC"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u w:val="single"/>
              </w:rPr>
              <w:t>Other Factors</w:t>
            </w:r>
            <w:r w:rsidRPr="00F21795">
              <w:rPr>
                <w:rFonts w:ascii="Calibri" w:eastAsia="Calibri" w:hAnsi="Calibri" w:cs="Calibri"/>
                <w:sz w:val="19"/>
                <w:szCs w:val="19"/>
              </w:rPr>
              <w:t> </w:t>
            </w:r>
          </w:p>
          <w:p w14:paraId="524F549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—oral intolerance  </w:t>
            </w:r>
          </w:p>
          <w:p w14:paraId="486D979F"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—difficulty breathing   </w:t>
            </w:r>
          </w:p>
          <w:p w14:paraId="2F5E9C62"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—narrowing pulse pressure </w:t>
            </w:r>
          </w:p>
          <w:p w14:paraId="5BA22B79"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—arterial hypotension  </w:t>
            </w:r>
          </w:p>
          <w:p w14:paraId="776AB2E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—acute renal failure   </w:t>
            </w:r>
          </w:p>
          <w:p w14:paraId="535EEC2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—prolonged capillary refill time </w:t>
            </w:r>
          </w:p>
          <w:p w14:paraId="7B95E3D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—pregnancy   </w:t>
            </w:r>
          </w:p>
          <w:p w14:paraId="405282E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—coagulopathy  </w:t>
            </w:r>
          </w:p>
          <w:p w14:paraId="3873A836"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p w14:paraId="4808FB7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In addition, clinicians in some settings may elect to admit to hospital those patients with other risk factors, such patients at the extremes of age (elderly, neonates) and those with underlying medical conditions at high risk for adverse disease outcomes. </w:t>
            </w:r>
          </w:p>
        </w:tc>
      </w:tr>
      <w:tr w:rsidR="0064009D" w:rsidRPr="006D6B58" w14:paraId="53932BA4" w14:textId="77777777" w:rsidTr="0064009D">
        <w:trPr>
          <w:trHeight w:val="300"/>
        </w:trPr>
        <w:tc>
          <w:tcPr>
            <w:tcW w:w="2694" w:type="dxa"/>
            <w:vMerge/>
            <w:tcBorders>
              <w:top w:val="single" w:sz="6" w:space="0" w:color="auto"/>
              <w:left w:val="single" w:sz="6" w:space="0" w:color="auto"/>
              <w:bottom w:val="single" w:sz="6" w:space="0" w:color="auto"/>
              <w:right w:val="single" w:sz="6" w:space="0" w:color="auto"/>
            </w:tcBorders>
            <w:vAlign w:val="center"/>
            <w:hideMark/>
          </w:tcPr>
          <w:p w14:paraId="0DC3F5CA" w14:textId="77777777" w:rsidR="00811CEA" w:rsidRPr="00F21795" w:rsidRDefault="00811CEA" w:rsidP="006C7FB5">
            <w:pPr>
              <w:spacing w:after="0" w:line="240" w:lineRule="auto"/>
              <w:rPr>
                <w:rFonts w:ascii="Calibri" w:eastAsia="Calibri" w:hAnsi="Calibri" w:cs="Calibri"/>
                <w:sz w:val="19"/>
                <w:szCs w:val="19"/>
              </w:rPr>
            </w:pPr>
          </w:p>
        </w:tc>
        <w:tc>
          <w:tcPr>
            <w:tcW w:w="567" w:type="dxa"/>
            <w:tcBorders>
              <w:top w:val="single" w:sz="6" w:space="0" w:color="auto"/>
              <w:left w:val="single" w:sz="6" w:space="0" w:color="auto"/>
              <w:bottom w:val="single" w:sz="6" w:space="0" w:color="auto"/>
              <w:right w:val="single" w:sz="6" w:space="0" w:color="auto"/>
            </w:tcBorders>
            <w:hideMark/>
          </w:tcPr>
          <w:p w14:paraId="31B8F85C"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DHF Grade 2 </w:t>
            </w:r>
          </w:p>
        </w:tc>
        <w:tc>
          <w:tcPr>
            <w:tcW w:w="3543" w:type="dxa"/>
            <w:tcBorders>
              <w:top w:val="single" w:sz="6" w:space="0" w:color="auto"/>
              <w:left w:val="single" w:sz="6" w:space="0" w:color="auto"/>
              <w:bottom w:val="single" w:sz="6" w:space="0" w:color="auto"/>
              <w:right w:val="single" w:sz="6" w:space="0" w:color="auto"/>
            </w:tcBorders>
            <w:hideMark/>
          </w:tcPr>
          <w:p w14:paraId="201CC12F"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Spontaneous bleeding in addition to the manifestations of Grade 1 patients, usually in the forms of skin or other haemorrhages. </w:t>
            </w:r>
          </w:p>
        </w:tc>
        <w:tc>
          <w:tcPr>
            <w:tcW w:w="709" w:type="dxa"/>
            <w:vMerge/>
            <w:tcBorders>
              <w:left w:val="single" w:sz="6" w:space="0" w:color="auto"/>
              <w:bottom w:val="single" w:sz="6" w:space="0" w:color="auto"/>
              <w:right w:val="single" w:sz="6" w:space="0" w:color="auto"/>
            </w:tcBorders>
            <w:hideMark/>
          </w:tcPr>
          <w:p w14:paraId="0A2BE0CC" w14:textId="77777777" w:rsidR="00811CEA" w:rsidRPr="00F21795" w:rsidRDefault="00811CEA" w:rsidP="006C7FB5">
            <w:pPr>
              <w:spacing w:after="0" w:line="240" w:lineRule="auto"/>
              <w:rPr>
                <w:rFonts w:ascii="Calibri" w:eastAsia="Calibri" w:hAnsi="Calibri" w:cs="Calibri"/>
                <w:sz w:val="19"/>
                <w:szCs w:val="19"/>
              </w:rPr>
            </w:pPr>
          </w:p>
        </w:tc>
        <w:tc>
          <w:tcPr>
            <w:tcW w:w="3969" w:type="dxa"/>
            <w:tcBorders>
              <w:top w:val="single" w:sz="6" w:space="0" w:color="auto"/>
              <w:left w:val="single" w:sz="6" w:space="0" w:color="auto"/>
              <w:bottom w:val="single" w:sz="6" w:space="0" w:color="auto"/>
              <w:right w:val="single" w:sz="6" w:space="0" w:color="auto"/>
            </w:tcBorders>
            <w:hideMark/>
          </w:tcPr>
          <w:p w14:paraId="505BB8D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709" w:type="dxa"/>
            <w:vMerge/>
            <w:tcBorders>
              <w:left w:val="single" w:sz="6" w:space="0" w:color="auto"/>
              <w:right w:val="single" w:sz="6" w:space="0" w:color="auto"/>
            </w:tcBorders>
            <w:hideMark/>
          </w:tcPr>
          <w:p w14:paraId="69CEFBED" w14:textId="77777777" w:rsidR="00811CEA" w:rsidRPr="00F21795" w:rsidRDefault="00811CEA" w:rsidP="006C7FB5">
            <w:pPr>
              <w:spacing w:after="0" w:line="240" w:lineRule="auto"/>
              <w:rPr>
                <w:rFonts w:ascii="Calibri" w:eastAsia="Calibri" w:hAnsi="Calibri" w:cs="Calibri"/>
                <w:sz w:val="19"/>
                <w:szCs w:val="19"/>
              </w:rPr>
            </w:pPr>
          </w:p>
        </w:tc>
        <w:tc>
          <w:tcPr>
            <w:tcW w:w="3260" w:type="dxa"/>
            <w:vMerge/>
            <w:tcBorders>
              <w:left w:val="single" w:sz="6" w:space="0" w:color="auto"/>
              <w:right w:val="single" w:sz="6" w:space="0" w:color="auto"/>
            </w:tcBorders>
            <w:hideMark/>
          </w:tcPr>
          <w:p w14:paraId="44A39B8C" w14:textId="77777777" w:rsidR="00811CEA" w:rsidRPr="00F21795" w:rsidRDefault="00811CEA" w:rsidP="006C7FB5">
            <w:pPr>
              <w:spacing w:after="0" w:line="240" w:lineRule="auto"/>
              <w:rPr>
                <w:rFonts w:ascii="Calibri" w:eastAsia="Calibri" w:hAnsi="Calibri" w:cs="Calibri"/>
                <w:sz w:val="19"/>
                <w:szCs w:val="19"/>
              </w:rPr>
            </w:pPr>
          </w:p>
        </w:tc>
      </w:tr>
      <w:tr w:rsidR="0064009D" w:rsidRPr="006D6B58" w14:paraId="46273A8A" w14:textId="77777777" w:rsidTr="0064009D">
        <w:trPr>
          <w:trHeight w:val="300"/>
        </w:trPr>
        <w:tc>
          <w:tcPr>
            <w:tcW w:w="2694" w:type="dxa"/>
            <w:vMerge w:val="restart"/>
            <w:tcBorders>
              <w:top w:val="single" w:sz="6" w:space="0" w:color="auto"/>
              <w:left w:val="single" w:sz="6" w:space="0" w:color="auto"/>
              <w:bottom w:val="single" w:sz="6" w:space="0" w:color="auto"/>
              <w:right w:val="single" w:sz="6" w:space="0" w:color="auto"/>
            </w:tcBorders>
            <w:hideMark/>
          </w:tcPr>
          <w:p w14:paraId="4FFE0DF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DHF with Dengue Shock Syndrome (DSS)</w:t>
            </w:r>
            <w:r w:rsidRPr="00F21795">
              <w:rPr>
                <w:rFonts w:ascii="Calibri" w:eastAsia="Calibri" w:hAnsi="Calibri" w:cs="Calibri"/>
                <w:sz w:val="19"/>
                <w:szCs w:val="19"/>
              </w:rPr>
              <w:t> </w:t>
            </w:r>
          </w:p>
          <w:p w14:paraId="606B93D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All of the above four criteria for DHF must be present, plus evidence of circulatory failure manifested by:  </w:t>
            </w:r>
          </w:p>
          <w:p w14:paraId="1A12FB9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Rapid and weak pulse, and </w:t>
            </w:r>
          </w:p>
          <w:p w14:paraId="654AA5F2"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Narrow pulse pressure (≤20 mmHg) </w:t>
            </w:r>
          </w:p>
          <w:p w14:paraId="7BCD29C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Or:  </w:t>
            </w:r>
          </w:p>
          <w:p w14:paraId="08C9851A"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Hypotension for age, and  </w:t>
            </w:r>
          </w:p>
          <w:p w14:paraId="3603F204"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Cold, clammy skin and restlessness. </w:t>
            </w:r>
          </w:p>
        </w:tc>
        <w:tc>
          <w:tcPr>
            <w:tcW w:w="567" w:type="dxa"/>
            <w:tcBorders>
              <w:top w:val="single" w:sz="6" w:space="0" w:color="auto"/>
              <w:left w:val="single" w:sz="6" w:space="0" w:color="auto"/>
              <w:bottom w:val="single" w:sz="6" w:space="0" w:color="auto"/>
              <w:right w:val="single" w:sz="6" w:space="0" w:color="auto"/>
            </w:tcBorders>
            <w:hideMark/>
          </w:tcPr>
          <w:p w14:paraId="5068467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DHF Grade 3 </w:t>
            </w:r>
          </w:p>
        </w:tc>
        <w:tc>
          <w:tcPr>
            <w:tcW w:w="3543" w:type="dxa"/>
            <w:tcBorders>
              <w:top w:val="single" w:sz="6" w:space="0" w:color="auto"/>
              <w:left w:val="single" w:sz="6" w:space="0" w:color="auto"/>
              <w:bottom w:val="single" w:sz="6" w:space="0" w:color="auto"/>
              <w:right w:val="single" w:sz="6" w:space="0" w:color="auto"/>
            </w:tcBorders>
            <w:hideMark/>
          </w:tcPr>
          <w:p w14:paraId="4B631F5D"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Circulatory failure manifested by a rapid, weak pulse and narrowing of pulse pressure or hypotension, with the presence of cold, clammy skin and restlessness. </w:t>
            </w:r>
          </w:p>
        </w:tc>
        <w:tc>
          <w:tcPr>
            <w:tcW w:w="709" w:type="dxa"/>
            <w:vMerge w:val="restart"/>
            <w:tcBorders>
              <w:top w:val="single" w:sz="6" w:space="0" w:color="auto"/>
              <w:left w:val="single" w:sz="6" w:space="0" w:color="auto"/>
              <w:right w:val="single" w:sz="6" w:space="0" w:color="auto"/>
            </w:tcBorders>
            <w:hideMark/>
          </w:tcPr>
          <w:p w14:paraId="34B7031C"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i/>
                <w:iCs/>
                <w:sz w:val="19"/>
                <w:szCs w:val="19"/>
              </w:rPr>
              <w:t>Severe Dengue</w:t>
            </w:r>
            <w:r w:rsidRPr="00F21795">
              <w:rPr>
                <w:rFonts w:ascii="Calibri" w:eastAsia="Calibri" w:hAnsi="Calibri" w:cs="Calibri"/>
                <w:sz w:val="19"/>
                <w:szCs w:val="19"/>
              </w:rPr>
              <w:t> </w:t>
            </w:r>
          </w:p>
          <w:p w14:paraId="6BFF1838"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 </w:t>
            </w:r>
          </w:p>
        </w:tc>
        <w:tc>
          <w:tcPr>
            <w:tcW w:w="3969" w:type="dxa"/>
            <w:vMerge w:val="restart"/>
            <w:tcBorders>
              <w:top w:val="single" w:sz="6" w:space="0" w:color="auto"/>
              <w:left w:val="single" w:sz="6" w:space="0" w:color="auto"/>
              <w:right w:val="single" w:sz="6" w:space="0" w:color="auto"/>
            </w:tcBorders>
            <w:hideMark/>
          </w:tcPr>
          <w:p w14:paraId="34510E6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Defined by one or more of the following:  </w:t>
            </w:r>
          </w:p>
          <w:p w14:paraId="24A1B120"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 plasma leakage (high or progressively rising haematocrit) that may lead to shock (tachycardia, cold and clammy extremities, capillary refill time greater than three seconds, weak or undetectable pulse, narrow pulse pressure ≤20mmHg or, in late shock, unrecordable blood pressure) and/or fluid accumulation (pleural effusions or ascites), with or without respiratory distress, and/or  </w:t>
            </w:r>
          </w:p>
          <w:p w14:paraId="6A14E533"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(ii) severe bleeding, and/or  </w:t>
            </w:r>
          </w:p>
          <w:p w14:paraId="3EA9C7CB"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(iii) severe organ</w:t>
            </w:r>
            <w:r>
              <w:rPr>
                <w:rFonts w:ascii="Calibri" w:eastAsia="Calibri" w:hAnsi="Calibri" w:cs="Calibri"/>
                <w:sz w:val="19"/>
                <w:szCs w:val="19"/>
              </w:rPr>
              <w:t xml:space="preserve"> </w:t>
            </w:r>
            <w:r w:rsidRPr="00F21795">
              <w:rPr>
                <w:rFonts w:ascii="Calibri" w:eastAsia="Calibri" w:hAnsi="Calibri" w:cs="Calibri"/>
                <w:sz w:val="19"/>
                <w:szCs w:val="19"/>
              </w:rPr>
              <w:t>impairment (acute liver failure, acute renal failure, encephalopathy or encephalitis or altered level of consciousness, cardiomyopathy) or other unusual manifestations </w:t>
            </w:r>
          </w:p>
        </w:tc>
        <w:tc>
          <w:tcPr>
            <w:tcW w:w="709" w:type="dxa"/>
            <w:vMerge/>
            <w:tcBorders>
              <w:left w:val="single" w:sz="6" w:space="0" w:color="auto"/>
              <w:right w:val="single" w:sz="6" w:space="0" w:color="auto"/>
            </w:tcBorders>
            <w:hideMark/>
          </w:tcPr>
          <w:p w14:paraId="126290AA" w14:textId="77777777" w:rsidR="00811CEA" w:rsidRPr="00F21795" w:rsidRDefault="00811CEA" w:rsidP="006C7FB5">
            <w:pPr>
              <w:spacing w:after="0" w:line="240" w:lineRule="auto"/>
              <w:rPr>
                <w:rFonts w:ascii="Calibri" w:eastAsia="Calibri" w:hAnsi="Calibri" w:cs="Calibri"/>
                <w:sz w:val="19"/>
                <w:szCs w:val="19"/>
              </w:rPr>
            </w:pPr>
          </w:p>
        </w:tc>
        <w:tc>
          <w:tcPr>
            <w:tcW w:w="3260" w:type="dxa"/>
            <w:vMerge/>
            <w:tcBorders>
              <w:left w:val="single" w:sz="6" w:space="0" w:color="auto"/>
              <w:right w:val="single" w:sz="6" w:space="0" w:color="auto"/>
            </w:tcBorders>
            <w:hideMark/>
          </w:tcPr>
          <w:p w14:paraId="6A547C08" w14:textId="77777777" w:rsidR="00811CEA" w:rsidRPr="00F21795" w:rsidRDefault="00811CEA" w:rsidP="006C7FB5">
            <w:pPr>
              <w:spacing w:after="0" w:line="240" w:lineRule="auto"/>
              <w:rPr>
                <w:rFonts w:ascii="Calibri" w:eastAsia="Calibri" w:hAnsi="Calibri" w:cs="Calibri"/>
                <w:sz w:val="19"/>
                <w:szCs w:val="19"/>
              </w:rPr>
            </w:pPr>
          </w:p>
        </w:tc>
      </w:tr>
      <w:tr w:rsidR="0064009D" w:rsidRPr="006D6B58" w14:paraId="3092535E" w14:textId="77777777" w:rsidTr="0064009D">
        <w:trPr>
          <w:trHeight w:val="300"/>
        </w:trPr>
        <w:tc>
          <w:tcPr>
            <w:tcW w:w="2694" w:type="dxa"/>
            <w:vMerge/>
            <w:tcBorders>
              <w:top w:val="single" w:sz="6" w:space="0" w:color="auto"/>
              <w:left w:val="single" w:sz="6" w:space="0" w:color="auto"/>
              <w:bottom w:val="single" w:sz="6" w:space="0" w:color="auto"/>
              <w:right w:val="single" w:sz="6" w:space="0" w:color="auto"/>
            </w:tcBorders>
            <w:vAlign w:val="center"/>
            <w:hideMark/>
          </w:tcPr>
          <w:p w14:paraId="69FD8EBB" w14:textId="77777777" w:rsidR="00811CEA" w:rsidRPr="00F21795" w:rsidRDefault="00811CEA" w:rsidP="006C7FB5">
            <w:pPr>
              <w:spacing w:after="0" w:line="240" w:lineRule="auto"/>
              <w:rPr>
                <w:rFonts w:ascii="Calibri" w:eastAsia="Calibri" w:hAnsi="Calibri" w:cs="Calibri"/>
                <w:sz w:val="19"/>
                <w:szCs w:val="19"/>
              </w:rPr>
            </w:pPr>
          </w:p>
        </w:tc>
        <w:tc>
          <w:tcPr>
            <w:tcW w:w="567" w:type="dxa"/>
            <w:tcBorders>
              <w:top w:val="single" w:sz="6" w:space="0" w:color="auto"/>
              <w:left w:val="single" w:sz="6" w:space="0" w:color="auto"/>
              <w:bottom w:val="single" w:sz="6" w:space="0" w:color="auto"/>
              <w:right w:val="single" w:sz="6" w:space="0" w:color="auto"/>
            </w:tcBorders>
            <w:hideMark/>
          </w:tcPr>
          <w:p w14:paraId="3F598A8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DHF Grade 4 </w:t>
            </w:r>
          </w:p>
        </w:tc>
        <w:tc>
          <w:tcPr>
            <w:tcW w:w="3543" w:type="dxa"/>
            <w:tcBorders>
              <w:top w:val="single" w:sz="6" w:space="0" w:color="auto"/>
              <w:left w:val="single" w:sz="6" w:space="0" w:color="auto"/>
              <w:bottom w:val="single" w:sz="6" w:space="0" w:color="auto"/>
              <w:right w:val="single" w:sz="6" w:space="0" w:color="auto"/>
            </w:tcBorders>
            <w:hideMark/>
          </w:tcPr>
          <w:p w14:paraId="69243AC7" w14:textId="77777777" w:rsidR="00811CEA" w:rsidRPr="00F21795" w:rsidRDefault="00811CEA" w:rsidP="006C7FB5">
            <w:pPr>
              <w:spacing w:after="0" w:line="240" w:lineRule="auto"/>
              <w:rPr>
                <w:rFonts w:ascii="Calibri" w:eastAsia="Calibri" w:hAnsi="Calibri" w:cs="Calibri"/>
                <w:sz w:val="19"/>
                <w:szCs w:val="19"/>
              </w:rPr>
            </w:pPr>
            <w:r w:rsidRPr="00F21795">
              <w:rPr>
                <w:rFonts w:ascii="Calibri" w:eastAsia="Calibri" w:hAnsi="Calibri" w:cs="Calibri"/>
                <w:sz w:val="19"/>
                <w:szCs w:val="19"/>
              </w:rPr>
              <w:t>Profound shock with undetectable blood pressure or pulse. </w:t>
            </w:r>
          </w:p>
        </w:tc>
        <w:tc>
          <w:tcPr>
            <w:tcW w:w="709" w:type="dxa"/>
            <w:vMerge/>
            <w:tcBorders>
              <w:left w:val="single" w:sz="6" w:space="0" w:color="auto"/>
              <w:bottom w:val="single" w:sz="6" w:space="0" w:color="auto"/>
              <w:right w:val="single" w:sz="6" w:space="0" w:color="auto"/>
            </w:tcBorders>
            <w:hideMark/>
          </w:tcPr>
          <w:p w14:paraId="2DEFC70D" w14:textId="77777777" w:rsidR="00811CEA" w:rsidRPr="00F21795" w:rsidRDefault="00811CEA" w:rsidP="006C7FB5">
            <w:pPr>
              <w:spacing w:after="0" w:line="240" w:lineRule="auto"/>
              <w:rPr>
                <w:rFonts w:ascii="Calibri" w:eastAsia="Calibri" w:hAnsi="Calibri" w:cs="Calibri"/>
                <w:sz w:val="19"/>
                <w:szCs w:val="19"/>
              </w:rPr>
            </w:pPr>
          </w:p>
        </w:tc>
        <w:tc>
          <w:tcPr>
            <w:tcW w:w="3969" w:type="dxa"/>
            <w:vMerge/>
            <w:tcBorders>
              <w:left w:val="single" w:sz="6" w:space="0" w:color="auto"/>
              <w:bottom w:val="single" w:sz="6" w:space="0" w:color="auto"/>
              <w:right w:val="single" w:sz="6" w:space="0" w:color="auto"/>
            </w:tcBorders>
            <w:hideMark/>
          </w:tcPr>
          <w:p w14:paraId="62B400A2" w14:textId="77777777" w:rsidR="00811CEA" w:rsidRPr="00F21795" w:rsidRDefault="00811CEA" w:rsidP="006C7FB5">
            <w:pPr>
              <w:spacing w:after="0" w:line="240" w:lineRule="auto"/>
              <w:rPr>
                <w:rFonts w:ascii="Calibri" w:eastAsia="Calibri" w:hAnsi="Calibri" w:cs="Calibri"/>
                <w:sz w:val="19"/>
                <w:szCs w:val="19"/>
              </w:rPr>
            </w:pPr>
          </w:p>
        </w:tc>
        <w:tc>
          <w:tcPr>
            <w:tcW w:w="709" w:type="dxa"/>
            <w:vMerge/>
            <w:tcBorders>
              <w:left w:val="single" w:sz="6" w:space="0" w:color="auto"/>
              <w:bottom w:val="single" w:sz="6" w:space="0" w:color="auto"/>
              <w:right w:val="single" w:sz="6" w:space="0" w:color="auto"/>
            </w:tcBorders>
            <w:hideMark/>
          </w:tcPr>
          <w:p w14:paraId="2E89288F" w14:textId="77777777" w:rsidR="00811CEA" w:rsidRPr="00F21795" w:rsidRDefault="00811CEA" w:rsidP="006C7FB5">
            <w:pPr>
              <w:spacing w:after="0" w:line="240" w:lineRule="auto"/>
              <w:rPr>
                <w:rFonts w:ascii="Calibri" w:eastAsia="Calibri" w:hAnsi="Calibri" w:cs="Calibri"/>
                <w:sz w:val="19"/>
                <w:szCs w:val="19"/>
              </w:rPr>
            </w:pPr>
          </w:p>
        </w:tc>
        <w:tc>
          <w:tcPr>
            <w:tcW w:w="3260" w:type="dxa"/>
            <w:vMerge/>
            <w:tcBorders>
              <w:left w:val="single" w:sz="6" w:space="0" w:color="auto"/>
              <w:bottom w:val="single" w:sz="6" w:space="0" w:color="auto"/>
              <w:right w:val="single" w:sz="6" w:space="0" w:color="auto"/>
            </w:tcBorders>
            <w:hideMark/>
          </w:tcPr>
          <w:p w14:paraId="5EE5CA64" w14:textId="77777777" w:rsidR="00811CEA" w:rsidRPr="00F21795" w:rsidRDefault="00811CEA" w:rsidP="006C7FB5">
            <w:pPr>
              <w:spacing w:after="0" w:line="240" w:lineRule="auto"/>
              <w:rPr>
                <w:rFonts w:ascii="Calibri" w:eastAsia="Calibri" w:hAnsi="Calibri" w:cs="Calibri"/>
                <w:sz w:val="19"/>
                <w:szCs w:val="19"/>
              </w:rPr>
            </w:pPr>
          </w:p>
        </w:tc>
      </w:tr>
    </w:tbl>
    <w:p w14:paraId="70962E25" w14:textId="77777777" w:rsidR="0004020F" w:rsidRDefault="0004020F" w:rsidP="005936EC">
      <w:pPr>
        <w:spacing w:after="0" w:line="276" w:lineRule="auto"/>
        <w:rPr>
          <w:rFonts w:ascii="Calibri" w:eastAsia="Calibri" w:hAnsi="Calibri" w:cs="Calibri"/>
          <w:b/>
          <w:bCs/>
        </w:rPr>
        <w:sectPr w:rsidR="0004020F" w:rsidSect="0064009D">
          <w:pgSz w:w="16838" w:h="11906" w:orient="landscape"/>
          <w:pgMar w:top="720" w:right="720" w:bottom="720" w:left="720" w:header="720" w:footer="720" w:gutter="0"/>
          <w:cols w:space="720"/>
          <w:docGrid w:linePitch="360"/>
        </w:sectPr>
      </w:pPr>
    </w:p>
    <w:p w14:paraId="0F8C28E2" w14:textId="1652CFBC" w:rsidR="00627661" w:rsidRDefault="00627661" w:rsidP="00DA08BD">
      <w:pPr>
        <w:pStyle w:val="ListParagraph"/>
        <w:numPr>
          <w:ilvl w:val="0"/>
          <w:numId w:val="1"/>
        </w:numPr>
        <w:spacing w:after="0" w:line="276" w:lineRule="auto"/>
        <w:rPr>
          <w:rFonts w:ascii="Calibri" w:eastAsia="Calibri" w:hAnsi="Calibri" w:cs="Calibri"/>
          <w:b/>
          <w:bCs/>
        </w:rPr>
      </w:pPr>
      <w:r>
        <w:rPr>
          <w:rFonts w:ascii="Calibri" w:eastAsia="Calibri" w:hAnsi="Calibri" w:cs="Calibri"/>
          <w:b/>
          <w:bCs/>
        </w:rPr>
        <w:lastRenderedPageBreak/>
        <w:t>Methods</w:t>
      </w:r>
    </w:p>
    <w:p w14:paraId="5E5787A5" w14:textId="3EF46EAC" w:rsidR="000F23DF" w:rsidRPr="00627661" w:rsidRDefault="117FA9F5" w:rsidP="00DA08BD">
      <w:pPr>
        <w:pStyle w:val="ListParagraph"/>
        <w:numPr>
          <w:ilvl w:val="0"/>
          <w:numId w:val="2"/>
        </w:numPr>
        <w:spacing w:after="0" w:line="276" w:lineRule="auto"/>
        <w:rPr>
          <w:rFonts w:ascii="Calibri" w:eastAsia="Calibri" w:hAnsi="Calibri" w:cs="Calibri"/>
          <w:b/>
          <w:bCs/>
        </w:rPr>
      </w:pPr>
      <w:r w:rsidRPr="00627661">
        <w:rPr>
          <w:rFonts w:ascii="Calibri" w:eastAsia="Calibri" w:hAnsi="Calibri" w:cs="Calibri"/>
          <w:b/>
          <w:bCs/>
        </w:rPr>
        <w:t>Search Strategy</w:t>
      </w:r>
    </w:p>
    <w:p w14:paraId="59EEAAED" w14:textId="43B0BAD3" w:rsidR="0EE15C8E" w:rsidRDefault="0EE15C8E" w:rsidP="00DA08BD">
      <w:pPr>
        <w:spacing w:after="0" w:line="276" w:lineRule="auto"/>
      </w:pPr>
      <w:r w:rsidRPr="585A0EDF">
        <w:rPr>
          <w:rFonts w:ascii="Calibri" w:eastAsia="Calibri" w:hAnsi="Calibri" w:cs="Calibri"/>
        </w:rPr>
        <w:t xml:space="preserve">The search strategies used keywords and thesaurus headings, where available, to search sensitively for relevant references on dengue and viraemia. </w:t>
      </w:r>
    </w:p>
    <w:p w14:paraId="3DC7737D" w14:textId="6637DEF8" w:rsidR="585A0EDF" w:rsidRDefault="585A0EDF" w:rsidP="00DA08BD">
      <w:pPr>
        <w:spacing w:after="0" w:line="276" w:lineRule="auto"/>
        <w:rPr>
          <w:rFonts w:ascii="Calibri" w:eastAsia="Calibri" w:hAnsi="Calibri" w:cs="Calibri"/>
          <w:u w:val="single"/>
        </w:rPr>
      </w:pPr>
    </w:p>
    <w:p w14:paraId="01924EB8" w14:textId="214D2454" w:rsidR="0EE15C8E" w:rsidRDefault="0EE15C8E" w:rsidP="00DA08BD">
      <w:pPr>
        <w:spacing w:after="0" w:line="276" w:lineRule="auto"/>
        <w:rPr>
          <w:rFonts w:ascii="Calibri" w:eastAsia="Calibri" w:hAnsi="Calibri" w:cs="Calibri"/>
          <w:u w:val="single"/>
        </w:rPr>
      </w:pPr>
      <w:r w:rsidRPr="585A0EDF">
        <w:rPr>
          <w:rFonts w:ascii="Calibri" w:eastAsia="Calibri" w:hAnsi="Calibri" w:cs="Calibri"/>
          <w:u w:val="single"/>
        </w:rPr>
        <w:t xml:space="preserve">Ovid MEDLINE </w:t>
      </w:r>
    </w:p>
    <w:p w14:paraId="02883F0C" w14:textId="6FDB8E04" w:rsidR="0EE15C8E" w:rsidRDefault="0EE15C8E" w:rsidP="00DA08BD">
      <w:pPr>
        <w:spacing w:after="0" w:line="276" w:lineRule="auto"/>
      </w:pPr>
      <w:r w:rsidRPr="585A0EDF">
        <w:rPr>
          <w:rFonts w:ascii="Calibri" w:eastAsia="Calibri" w:hAnsi="Calibri" w:cs="Calibri"/>
        </w:rPr>
        <w:t xml:space="preserve">1946 to present </w:t>
      </w:r>
    </w:p>
    <w:p w14:paraId="3BEDE156" w14:textId="5066DFF7" w:rsidR="0EE15C8E" w:rsidRDefault="0EE15C8E" w:rsidP="00DA08BD">
      <w:pPr>
        <w:spacing w:after="0" w:line="276" w:lineRule="auto"/>
      </w:pPr>
      <w:r w:rsidRPr="585A0EDF">
        <w:rPr>
          <w:rFonts w:ascii="Calibri" w:eastAsia="Calibri" w:hAnsi="Calibri" w:cs="Calibri"/>
        </w:rPr>
        <w:t xml:space="preserve">1 </w:t>
      </w:r>
      <w:r>
        <w:tab/>
      </w:r>
      <w:r w:rsidRPr="585A0EDF">
        <w:rPr>
          <w:rFonts w:ascii="Calibri" w:eastAsia="Calibri" w:hAnsi="Calibri" w:cs="Calibri"/>
        </w:rPr>
        <w:t xml:space="preserve">exp Dengue/ </w:t>
      </w:r>
      <w:r>
        <w:tab/>
      </w:r>
      <w:r>
        <w:tab/>
      </w:r>
      <w:r w:rsidRPr="585A0EDF">
        <w:rPr>
          <w:rFonts w:ascii="Calibri" w:eastAsia="Calibri" w:hAnsi="Calibri" w:cs="Calibri"/>
        </w:rPr>
        <w:t xml:space="preserve">17722 </w:t>
      </w:r>
    </w:p>
    <w:p w14:paraId="1840B79C" w14:textId="5EF1E1B1" w:rsidR="0EE15C8E" w:rsidRDefault="0EE15C8E" w:rsidP="00DA08BD">
      <w:pPr>
        <w:spacing w:after="0" w:line="276" w:lineRule="auto"/>
      </w:pPr>
      <w:r w:rsidRPr="585A0EDF">
        <w:rPr>
          <w:rFonts w:ascii="Calibri" w:eastAsia="Calibri" w:hAnsi="Calibri" w:cs="Calibri"/>
        </w:rPr>
        <w:t xml:space="preserve">2 </w:t>
      </w:r>
      <w:r>
        <w:tab/>
      </w:r>
      <w:r w:rsidRPr="585A0EDF">
        <w:rPr>
          <w:rFonts w:ascii="Calibri" w:eastAsia="Calibri" w:hAnsi="Calibri" w:cs="Calibri"/>
        </w:rPr>
        <w:t xml:space="preserve">Dengue Virus/ </w:t>
      </w:r>
      <w:r>
        <w:tab/>
      </w:r>
      <w:r w:rsidRPr="585A0EDF">
        <w:rPr>
          <w:rFonts w:ascii="Calibri" w:eastAsia="Calibri" w:hAnsi="Calibri" w:cs="Calibri"/>
        </w:rPr>
        <w:t xml:space="preserve">11778 </w:t>
      </w:r>
    </w:p>
    <w:p w14:paraId="4FB1C14A" w14:textId="6CEE89BB" w:rsidR="0EE15C8E" w:rsidRDefault="0EE15C8E" w:rsidP="00DA08BD">
      <w:pPr>
        <w:spacing w:after="0" w:line="276" w:lineRule="auto"/>
      </w:pPr>
      <w:r w:rsidRPr="585A0EDF">
        <w:rPr>
          <w:rFonts w:ascii="Calibri" w:eastAsia="Calibri" w:hAnsi="Calibri" w:cs="Calibri"/>
        </w:rPr>
        <w:t xml:space="preserve">3 </w:t>
      </w:r>
      <w:r>
        <w:tab/>
      </w:r>
      <w:r w:rsidRPr="585A0EDF">
        <w:rPr>
          <w:rFonts w:ascii="Calibri" w:eastAsia="Calibri" w:hAnsi="Calibri" w:cs="Calibri"/>
        </w:rPr>
        <w:t xml:space="preserve">(Dengue or DENV).ti,ab,kf. </w:t>
      </w:r>
      <w:r>
        <w:tab/>
      </w:r>
      <w:r w:rsidRPr="585A0EDF">
        <w:rPr>
          <w:rFonts w:ascii="Calibri" w:eastAsia="Calibri" w:hAnsi="Calibri" w:cs="Calibri"/>
        </w:rPr>
        <w:t xml:space="preserve">32056 </w:t>
      </w:r>
    </w:p>
    <w:p w14:paraId="0CD6AF6C" w14:textId="0D60BB79" w:rsidR="0EE15C8E" w:rsidRDefault="0EE15C8E" w:rsidP="00DA08BD">
      <w:pPr>
        <w:spacing w:after="0" w:line="276" w:lineRule="auto"/>
      </w:pPr>
      <w:r w:rsidRPr="585A0EDF">
        <w:rPr>
          <w:rFonts w:ascii="Calibri" w:eastAsia="Calibri" w:hAnsi="Calibri" w:cs="Calibri"/>
        </w:rPr>
        <w:t xml:space="preserve">4 </w:t>
      </w:r>
      <w:r>
        <w:tab/>
      </w:r>
      <w:r w:rsidRPr="585A0EDF">
        <w:rPr>
          <w:rFonts w:ascii="Calibri" w:eastAsia="Calibri" w:hAnsi="Calibri" w:cs="Calibri"/>
        </w:rPr>
        <w:t xml:space="preserve">1 or 2 or 3 </w:t>
      </w:r>
      <w:r>
        <w:tab/>
      </w:r>
      <w:r w:rsidRPr="585A0EDF">
        <w:rPr>
          <w:rFonts w:ascii="Calibri" w:eastAsia="Calibri" w:hAnsi="Calibri" w:cs="Calibri"/>
        </w:rPr>
        <w:t xml:space="preserve">33103 </w:t>
      </w:r>
    </w:p>
    <w:p w14:paraId="28E86014" w14:textId="57B39FC2" w:rsidR="0EE15C8E" w:rsidRDefault="0EE15C8E" w:rsidP="00DA08BD">
      <w:pPr>
        <w:spacing w:after="0" w:line="276" w:lineRule="auto"/>
      </w:pPr>
      <w:r w:rsidRPr="585A0EDF">
        <w:rPr>
          <w:rFonts w:ascii="Calibri" w:eastAsia="Calibri" w:hAnsi="Calibri" w:cs="Calibri"/>
        </w:rPr>
        <w:t xml:space="preserve">5 </w:t>
      </w:r>
      <w:r>
        <w:tab/>
      </w:r>
      <w:r w:rsidRPr="585A0EDF">
        <w:rPr>
          <w:rFonts w:ascii="Calibri" w:eastAsia="Calibri" w:hAnsi="Calibri" w:cs="Calibri"/>
        </w:rPr>
        <w:t xml:space="preserve">Viral Load/ </w:t>
      </w:r>
      <w:r>
        <w:tab/>
      </w:r>
      <w:r w:rsidRPr="585A0EDF">
        <w:rPr>
          <w:rFonts w:ascii="Calibri" w:eastAsia="Calibri" w:hAnsi="Calibri" w:cs="Calibri"/>
        </w:rPr>
        <w:t xml:space="preserve">41314 </w:t>
      </w:r>
    </w:p>
    <w:p w14:paraId="06E16B7F" w14:textId="61444D4D" w:rsidR="0EE15C8E" w:rsidRDefault="0EE15C8E" w:rsidP="00DA08BD">
      <w:pPr>
        <w:spacing w:after="0" w:line="276" w:lineRule="auto"/>
      </w:pPr>
      <w:r w:rsidRPr="585A0EDF">
        <w:rPr>
          <w:rFonts w:ascii="Calibri" w:eastAsia="Calibri" w:hAnsi="Calibri" w:cs="Calibri"/>
        </w:rPr>
        <w:t xml:space="preserve">6 </w:t>
      </w:r>
      <w:r>
        <w:tab/>
      </w:r>
      <w:r w:rsidRPr="585A0EDF">
        <w:rPr>
          <w:rFonts w:ascii="Calibri" w:eastAsia="Calibri" w:hAnsi="Calibri" w:cs="Calibri"/>
        </w:rPr>
        <w:t xml:space="preserve">Viremia/ </w:t>
      </w:r>
      <w:r>
        <w:tab/>
      </w:r>
      <w:r w:rsidRPr="585A0EDF">
        <w:rPr>
          <w:rFonts w:ascii="Calibri" w:eastAsia="Calibri" w:hAnsi="Calibri" w:cs="Calibri"/>
        </w:rPr>
        <w:t xml:space="preserve">10361 </w:t>
      </w:r>
    </w:p>
    <w:p w14:paraId="2ED1C105" w14:textId="2DD585C4" w:rsidR="0EE15C8E" w:rsidRDefault="0EE15C8E" w:rsidP="00DA08BD">
      <w:pPr>
        <w:spacing w:after="0" w:line="276" w:lineRule="auto"/>
      </w:pPr>
      <w:r w:rsidRPr="585A0EDF">
        <w:rPr>
          <w:rFonts w:ascii="Calibri" w:eastAsia="Calibri" w:hAnsi="Calibri" w:cs="Calibri"/>
        </w:rPr>
        <w:t xml:space="preserve">7 </w:t>
      </w:r>
      <w:r>
        <w:tab/>
      </w:r>
      <w:r w:rsidRPr="585A0EDF">
        <w:rPr>
          <w:rFonts w:ascii="Calibri" w:eastAsia="Calibri" w:hAnsi="Calibri" w:cs="Calibri"/>
        </w:rPr>
        <w:t xml:space="preserve">("Viral Load*" or "virus concentration*" or "viral titer*" or "viral titre*" or "virus </w:t>
      </w:r>
      <w:r>
        <w:tab/>
      </w:r>
      <w:r w:rsidRPr="585A0EDF">
        <w:rPr>
          <w:rFonts w:ascii="Calibri" w:eastAsia="Calibri" w:hAnsi="Calibri" w:cs="Calibri"/>
        </w:rPr>
        <w:t xml:space="preserve">titre*" or "virus titer*" or "viral RNA" or "RNA load*" or "RNA levels" or "viral </w:t>
      </w:r>
      <w:r>
        <w:tab/>
      </w:r>
      <w:r w:rsidRPr="585A0EDF">
        <w:rPr>
          <w:rFonts w:ascii="Calibri" w:eastAsia="Calibri" w:hAnsi="Calibri" w:cs="Calibri"/>
        </w:rPr>
        <w:t xml:space="preserve">kinetics" or "viral dynamics" or "viral replication" or "viral burden*" or Viremia* or </w:t>
      </w:r>
      <w:r>
        <w:tab/>
      </w:r>
      <w:r w:rsidRPr="585A0EDF">
        <w:rPr>
          <w:rFonts w:ascii="Calibri" w:eastAsia="Calibri" w:hAnsi="Calibri" w:cs="Calibri"/>
        </w:rPr>
        <w:t xml:space="preserve">viraemia* or viremic or viraemic).ti,ab,kf. </w:t>
      </w:r>
      <w:r>
        <w:tab/>
      </w:r>
      <w:r w:rsidRPr="585A0EDF">
        <w:rPr>
          <w:rFonts w:ascii="Calibri" w:eastAsia="Calibri" w:hAnsi="Calibri" w:cs="Calibri"/>
        </w:rPr>
        <w:t xml:space="preserve">134337 </w:t>
      </w:r>
    </w:p>
    <w:p w14:paraId="05650330" w14:textId="245F8FBF" w:rsidR="0EE15C8E" w:rsidRDefault="0EE15C8E" w:rsidP="00DA08BD">
      <w:pPr>
        <w:spacing w:after="0" w:line="276" w:lineRule="auto"/>
      </w:pPr>
      <w:r w:rsidRPr="585A0EDF">
        <w:rPr>
          <w:rFonts w:ascii="Calibri" w:eastAsia="Calibri" w:hAnsi="Calibri" w:cs="Calibri"/>
        </w:rPr>
        <w:t xml:space="preserve">8 </w:t>
      </w:r>
      <w:r>
        <w:tab/>
      </w:r>
      <w:r w:rsidRPr="585A0EDF">
        <w:rPr>
          <w:rFonts w:ascii="Calibri" w:eastAsia="Calibri" w:hAnsi="Calibri" w:cs="Calibri"/>
        </w:rPr>
        <w:t xml:space="preserve">5 or 6 or 7 </w:t>
      </w:r>
      <w:r>
        <w:tab/>
      </w:r>
      <w:r w:rsidRPr="585A0EDF">
        <w:rPr>
          <w:rFonts w:ascii="Calibri" w:eastAsia="Calibri" w:hAnsi="Calibri" w:cs="Calibri"/>
        </w:rPr>
        <w:t xml:space="preserve">151963 </w:t>
      </w:r>
    </w:p>
    <w:p w14:paraId="3A0C3950" w14:textId="2FBABE08" w:rsidR="0EE15C8E" w:rsidRDefault="0EE15C8E" w:rsidP="00DA08BD">
      <w:pPr>
        <w:spacing w:after="0" w:line="276" w:lineRule="auto"/>
      </w:pPr>
      <w:r w:rsidRPr="585A0EDF">
        <w:rPr>
          <w:rFonts w:ascii="Calibri" w:eastAsia="Calibri" w:hAnsi="Calibri" w:cs="Calibri"/>
        </w:rPr>
        <w:t xml:space="preserve">9 </w:t>
      </w:r>
      <w:r>
        <w:tab/>
      </w:r>
      <w:r w:rsidRPr="585A0EDF">
        <w:rPr>
          <w:rFonts w:ascii="Calibri" w:eastAsia="Calibri" w:hAnsi="Calibri" w:cs="Calibri"/>
        </w:rPr>
        <w:t xml:space="preserve">4 and 8 </w:t>
      </w:r>
      <w:r>
        <w:tab/>
      </w:r>
      <w:r w:rsidRPr="585A0EDF">
        <w:rPr>
          <w:rFonts w:ascii="Calibri" w:eastAsia="Calibri" w:hAnsi="Calibri" w:cs="Calibri"/>
        </w:rPr>
        <w:t xml:space="preserve">3088 </w:t>
      </w:r>
    </w:p>
    <w:p w14:paraId="79DDEB53" w14:textId="4CACF0B9" w:rsidR="0EE15C8E" w:rsidRDefault="0EE15C8E" w:rsidP="00DA08BD">
      <w:pPr>
        <w:spacing w:after="0" w:line="276" w:lineRule="auto"/>
      </w:pPr>
      <w:r w:rsidRPr="585A0EDF">
        <w:rPr>
          <w:rFonts w:ascii="Calibri" w:eastAsia="Calibri" w:hAnsi="Calibri" w:cs="Calibri"/>
        </w:rPr>
        <w:t xml:space="preserve">10 </w:t>
      </w:r>
      <w:r>
        <w:tab/>
      </w:r>
      <w:r w:rsidRPr="585A0EDF">
        <w:rPr>
          <w:rFonts w:ascii="Calibri" w:eastAsia="Calibri" w:hAnsi="Calibri" w:cs="Calibri"/>
        </w:rPr>
        <w:t xml:space="preserve">limit 9 to yr="2017 -Current" </w:t>
      </w:r>
      <w:r>
        <w:tab/>
      </w:r>
      <w:r w:rsidRPr="585A0EDF">
        <w:rPr>
          <w:rFonts w:ascii="Calibri" w:eastAsia="Calibri" w:hAnsi="Calibri" w:cs="Calibri"/>
        </w:rPr>
        <w:t xml:space="preserve">1618 </w:t>
      </w:r>
    </w:p>
    <w:p w14:paraId="3070DF42" w14:textId="6670A3DE" w:rsidR="585A0EDF" w:rsidRDefault="585A0EDF" w:rsidP="00DA08BD">
      <w:pPr>
        <w:spacing w:after="0" w:line="276" w:lineRule="auto"/>
        <w:rPr>
          <w:rFonts w:ascii="Calibri" w:eastAsia="Calibri" w:hAnsi="Calibri" w:cs="Calibri"/>
          <w:u w:val="single"/>
        </w:rPr>
      </w:pPr>
    </w:p>
    <w:p w14:paraId="1F274ED8" w14:textId="3926AD77" w:rsidR="0EE15C8E" w:rsidRDefault="0EE15C8E" w:rsidP="00DA08BD">
      <w:pPr>
        <w:spacing w:after="0" w:line="276" w:lineRule="auto"/>
        <w:rPr>
          <w:rFonts w:ascii="Calibri" w:eastAsia="Calibri" w:hAnsi="Calibri" w:cs="Calibri"/>
          <w:u w:val="single"/>
        </w:rPr>
      </w:pPr>
      <w:r w:rsidRPr="585A0EDF">
        <w:rPr>
          <w:rFonts w:ascii="Calibri" w:eastAsia="Calibri" w:hAnsi="Calibri" w:cs="Calibri"/>
          <w:u w:val="single"/>
        </w:rPr>
        <w:t xml:space="preserve">Ovid Embase </w:t>
      </w:r>
    </w:p>
    <w:p w14:paraId="32504284" w14:textId="34B7F968" w:rsidR="0EE15C8E" w:rsidRDefault="0EE15C8E" w:rsidP="00DA08BD">
      <w:pPr>
        <w:spacing w:after="0" w:line="276" w:lineRule="auto"/>
      </w:pPr>
      <w:r w:rsidRPr="585A0EDF">
        <w:rPr>
          <w:rFonts w:ascii="Calibri" w:eastAsia="Calibri" w:hAnsi="Calibri" w:cs="Calibri"/>
        </w:rPr>
        <w:t xml:space="preserve">1974 to present </w:t>
      </w:r>
    </w:p>
    <w:p w14:paraId="48BB01DB" w14:textId="656B80AE" w:rsidR="0EE15C8E" w:rsidRDefault="0EE15C8E" w:rsidP="00DA08BD">
      <w:pPr>
        <w:spacing w:after="0" w:line="276" w:lineRule="auto"/>
      </w:pPr>
      <w:r w:rsidRPr="585A0EDF">
        <w:rPr>
          <w:rFonts w:ascii="Calibri" w:eastAsia="Calibri" w:hAnsi="Calibri" w:cs="Calibri"/>
        </w:rPr>
        <w:t xml:space="preserve">1 </w:t>
      </w:r>
      <w:r>
        <w:tab/>
      </w:r>
      <w:r w:rsidRPr="585A0EDF">
        <w:rPr>
          <w:rFonts w:ascii="Calibri" w:eastAsia="Calibri" w:hAnsi="Calibri" w:cs="Calibri"/>
        </w:rPr>
        <w:t xml:space="preserve">exp dengue/ </w:t>
      </w:r>
      <w:r>
        <w:tab/>
      </w:r>
      <w:r w:rsidRPr="585A0EDF">
        <w:rPr>
          <w:rFonts w:ascii="Calibri" w:eastAsia="Calibri" w:hAnsi="Calibri" w:cs="Calibri"/>
        </w:rPr>
        <w:t xml:space="preserve">33241 </w:t>
      </w:r>
    </w:p>
    <w:p w14:paraId="11054098" w14:textId="528A6A4B" w:rsidR="0EE15C8E" w:rsidRDefault="0EE15C8E" w:rsidP="00DA08BD">
      <w:pPr>
        <w:spacing w:after="0" w:line="276" w:lineRule="auto"/>
      </w:pPr>
      <w:r w:rsidRPr="585A0EDF">
        <w:rPr>
          <w:rFonts w:ascii="Calibri" w:eastAsia="Calibri" w:hAnsi="Calibri" w:cs="Calibri"/>
        </w:rPr>
        <w:t xml:space="preserve">2 </w:t>
      </w:r>
      <w:r>
        <w:tab/>
      </w:r>
      <w:r w:rsidRPr="585A0EDF">
        <w:rPr>
          <w:rFonts w:ascii="Calibri" w:eastAsia="Calibri" w:hAnsi="Calibri" w:cs="Calibri"/>
        </w:rPr>
        <w:t xml:space="preserve">exp Dengue virus/ </w:t>
      </w:r>
      <w:r>
        <w:tab/>
      </w:r>
      <w:r w:rsidRPr="585A0EDF">
        <w:rPr>
          <w:rFonts w:ascii="Calibri" w:eastAsia="Calibri" w:hAnsi="Calibri" w:cs="Calibri"/>
        </w:rPr>
        <w:t xml:space="preserve">19980 </w:t>
      </w:r>
    </w:p>
    <w:p w14:paraId="78CF9FF2" w14:textId="2FF7FD82" w:rsidR="0EE15C8E" w:rsidRDefault="0EE15C8E" w:rsidP="00DA08BD">
      <w:pPr>
        <w:spacing w:after="0" w:line="276" w:lineRule="auto"/>
      </w:pPr>
      <w:r w:rsidRPr="585A0EDF">
        <w:rPr>
          <w:rFonts w:ascii="Calibri" w:eastAsia="Calibri" w:hAnsi="Calibri" w:cs="Calibri"/>
        </w:rPr>
        <w:t xml:space="preserve">3 </w:t>
      </w:r>
      <w:r>
        <w:tab/>
      </w:r>
      <w:r w:rsidRPr="585A0EDF">
        <w:rPr>
          <w:rFonts w:ascii="Calibri" w:eastAsia="Calibri" w:hAnsi="Calibri" w:cs="Calibri"/>
        </w:rPr>
        <w:t xml:space="preserve">(Dengue or DENV).ti,ab. </w:t>
      </w:r>
      <w:r>
        <w:tab/>
      </w:r>
      <w:r w:rsidRPr="585A0EDF">
        <w:rPr>
          <w:rFonts w:ascii="Calibri" w:eastAsia="Calibri" w:hAnsi="Calibri" w:cs="Calibri"/>
        </w:rPr>
        <w:t xml:space="preserve">40168 </w:t>
      </w:r>
    </w:p>
    <w:p w14:paraId="01D6771F" w14:textId="3D52792B" w:rsidR="0EE15C8E" w:rsidRDefault="0EE15C8E" w:rsidP="00DA08BD">
      <w:pPr>
        <w:spacing w:after="0" w:line="276" w:lineRule="auto"/>
      </w:pPr>
      <w:r w:rsidRPr="585A0EDF">
        <w:rPr>
          <w:rFonts w:ascii="Calibri" w:eastAsia="Calibri" w:hAnsi="Calibri" w:cs="Calibri"/>
        </w:rPr>
        <w:t xml:space="preserve">4 </w:t>
      </w:r>
      <w:r>
        <w:tab/>
      </w:r>
      <w:r w:rsidRPr="585A0EDF">
        <w:rPr>
          <w:rFonts w:ascii="Calibri" w:eastAsia="Calibri" w:hAnsi="Calibri" w:cs="Calibri"/>
        </w:rPr>
        <w:t xml:space="preserve">1 or 2 or 3 </w:t>
      </w:r>
      <w:r>
        <w:tab/>
      </w:r>
      <w:r w:rsidRPr="585A0EDF">
        <w:rPr>
          <w:rFonts w:ascii="Calibri" w:eastAsia="Calibri" w:hAnsi="Calibri" w:cs="Calibri"/>
        </w:rPr>
        <w:t xml:space="preserve">47544 </w:t>
      </w:r>
    </w:p>
    <w:p w14:paraId="1C2E3F64" w14:textId="7D914172" w:rsidR="0EE15C8E" w:rsidRDefault="0EE15C8E" w:rsidP="00DA08BD">
      <w:pPr>
        <w:spacing w:after="0" w:line="276" w:lineRule="auto"/>
      </w:pPr>
      <w:r w:rsidRPr="585A0EDF">
        <w:rPr>
          <w:rFonts w:ascii="Calibri" w:eastAsia="Calibri" w:hAnsi="Calibri" w:cs="Calibri"/>
        </w:rPr>
        <w:t xml:space="preserve">5 </w:t>
      </w:r>
      <w:r>
        <w:tab/>
      </w:r>
      <w:r w:rsidRPr="585A0EDF">
        <w:rPr>
          <w:rFonts w:ascii="Calibri" w:eastAsia="Calibri" w:hAnsi="Calibri" w:cs="Calibri"/>
        </w:rPr>
        <w:t xml:space="preserve">exp virus load/ </w:t>
      </w:r>
      <w:r>
        <w:tab/>
      </w:r>
      <w:r w:rsidRPr="585A0EDF">
        <w:rPr>
          <w:rFonts w:ascii="Calibri" w:eastAsia="Calibri" w:hAnsi="Calibri" w:cs="Calibri"/>
        </w:rPr>
        <w:t xml:space="preserve">125765 </w:t>
      </w:r>
    </w:p>
    <w:p w14:paraId="32E01EF1" w14:textId="5D081EFE" w:rsidR="0EE15C8E" w:rsidRDefault="0EE15C8E" w:rsidP="00DA08BD">
      <w:pPr>
        <w:spacing w:after="0" w:line="276" w:lineRule="auto"/>
      </w:pPr>
      <w:r w:rsidRPr="585A0EDF">
        <w:rPr>
          <w:rFonts w:ascii="Calibri" w:eastAsia="Calibri" w:hAnsi="Calibri" w:cs="Calibri"/>
        </w:rPr>
        <w:t xml:space="preserve">6 </w:t>
      </w:r>
      <w:r>
        <w:tab/>
      </w:r>
      <w:r w:rsidRPr="585A0EDF">
        <w:rPr>
          <w:rFonts w:ascii="Calibri" w:eastAsia="Calibri" w:hAnsi="Calibri" w:cs="Calibri"/>
        </w:rPr>
        <w:t xml:space="preserve">viremia/ </w:t>
      </w:r>
      <w:r>
        <w:tab/>
      </w:r>
      <w:r w:rsidRPr="585A0EDF">
        <w:rPr>
          <w:rFonts w:ascii="Calibri" w:eastAsia="Calibri" w:hAnsi="Calibri" w:cs="Calibri"/>
        </w:rPr>
        <w:t xml:space="preserve">30878 </w:t>
      </w:r>
    </w:p>
    <w:p w14:paraId="5F131425" w14:textId="19DAE239" w:rsidR="0EE15C8E" w:rsidRDefault="0EE15C8E" w:rsidP="00DA08BD">
      <w:pPr>
        <w:spacing w:after="0" w:line="276" w:lineRule="auto"/>
      </w:pPr>
      <w:r w:rsidRPr="585A0EDF">
        <w:rPr>
          <w:rFonts w:ascii="Calibri" w:eastAsia="Calibri" w:hAnsi="Calibri" w:cs="Calibri"/>
        </w:rPr>
        <w:t xml:space="preserve">7 </w:t>
      </w:r>
      <w:r>
        <w:tab/>
      </w:r>
      <w:r w:rsidRPr="585A0EDF">
        <w:rPr>
          <w:rFonts w:ascii="Calibri" w:eastAsia="Calibri" w:hAnsi="Calibri" w:cs="Calibri"/>
        </w:rPr>
        <w:t xml:space="preserve">("Viral Load*" or "virus concentration*" or "viral titer*" or "viral titre*" or "virus </w:t>
      </w:r>
      <w:r>
        <w:tab/>
      </w:r>
      <w:r w:rsidRPr="585A0EDF">
        <w:rPr>
          <w:rFonts w:ascii="Calibri" w:eastAsia="Calibri" w:hAnsi="Calibri" w:cs="Calibri"/>
        </w:rPr>
        <w:t xml:space="preserve">titre*" or "virus titer*" or "viral RNA" or "RNA load*" or "RNA levels" or "viral </w:t>
      </w:r>
      <w:r>
        <w:tab/>
      </w:r>
      <w:r w:rsidRPr="585A0EDF">
        <w:rPr>
          <w:rFonts w:ascii="Calibri" w:eastAsia="Calibri" w:hAnsi="Calibri" w:cs="Calibri"/>
        </w:rPr>
        <w:t xml:space="preserve">kinetics" or "viral dynamics" or "viral replication" or "viral burden*" or Viremia* or </w:t>
      </w:r>
      <w:r>
        <w:tab/>
      </w:r>
      <w:r w:rsidRPr="585A0EDF">
        <w:rPr>
          <w:rFonts w:ascii="Calibri" w:eastAsia="Calibri" w:hAnsi="Calibri" w:cs="Calibri"/>
        </w:rPr>
        <w:t xml:space="preserve">viraemia* or viremic or viraemic).ti,ab. </w:t>
      </w:r>
      <w:r>
        <w:tab/>
      </w:r>
      <w:r w:rsidRPr="585A0EDF">
        <w:rPr>
          <w:rFonts w:ascii="Calibri" w:eastAsia="Calibri" w:hAnsi="Calibri" w:cs="Calibri"/>
        </w:rPr>
        <w:t xml:space="preserve">182258 </w:t>
      </w:r>
    </w:p>
    <w:p w14:paraId="65D5BD67" w14:textId="60D030BB" w:rsidR="0EE15C8E" w:rsidRDefault="0EE15C8E" w:rsidP="00DA08BD">
      <w:pPr>
        <w:spacing w:after="0" w:line="276" w:lineRule="auto"/>
      </w:pPr>
      <w:r w:rsidRPr="585A0EDF">
        <w:rPr>
          <w:rFonts w:ascii="Calibri" w:eastAsia="Calibri" w:hAnsi="Calibri" w:cs="Calibri"/>
        </w:rPr>
        <w:t xml:space="preserve">8 </w:t>
      </w:r>
      <w:r>
        <w:tab/>
      </w:r>
      <w:r w:rsidRPr="585A0EDF">
        <w:rPr>
          <w:rFonts w:ascii="Calibri" w:eastAsia="Calibri" w:hAnsi="Calibri" w:cs="Calibri"/>
        </w:rPr>
        <w:t xml:space="preserve">5 or 6 or 7 </w:t>
      </w:r>
      <w:r>
        <w:tab/>
      </w:r>
      <w:r w:rsidRPr="585A0EDF">
        <w:rPr>
          <w:rFonts w:ascii="Calibri" w:eastAsia="Calibri" w:hAnsi="Calibri" w:cs="Calibri"/>
        </w:rPr>
        <w:t xml:space="preserve">238415 </w:t>
      </w:r>
    </w:p>
    <w:p w14:paraId="13D236F3" w14:textId="6482676F" w:rsidR="0EE15C8E" w:rsidRDefault="0EE15C8E" w:rsidP="00DA08BD">
      <w:pPr>
        <w:spacing w:after="0" w:line="276" w:lineRule="auto"/>
      </w:pPr>
      <w:r w:rsidRPr="585A0EDF">
        <w:rPr>
          <w:rFonts w:ascii="Calibri" w:eastAsia="Calibri" w:hAnsi="Calibri" w:cs="Calibri"/>
        </w:rPr>
        <w:t xml:space="preserve">9 </w:t>
      </w:r>
      <w:r>
        <w:tab/>
      </w:r>
      <w:r w:rsidRPr="585A0EDF">
        <w:rPr>
          <w:rFonts w:ascii="Calibri" w:eastAsia="Calibri" w:hAnsi="Calibri" w:cs="Calibri"/>
        </w:rPr>
        <w:t xml:space="preserve">4 and 8 </w:t>
      </w:r>
      <w:r>
        <w:tab/>
      </w:r>
      <w:r w:rsidRPr="585A0EDF">
        <w:rPr>
          <w:rFonts w:ascii="Calibri" w:eastAsia="Calibri" w:hAnsi="Calibri" w:cs="Calibri"/>
        </w:rPr>
        <w:t xml:space="preserve">5125 </w:t>
      </w:r>
    </w:p>
    <w:p w14:paraId="08A0DB7C" w14:textId="4B1DA2E5" w:rsidR="0EE15C8E" w:rsidRDefault="0EE15C8E" w:rsidP="00DA08BD">
      <w:pPr>
        <w:spacing w:after="0" w:line="276" w:lineRule="auto"/>
      </w:pPr>
      <w:r w:rsidRPr="585A0EDF">
        <w:rPr>
          <w:rFonts w:ascii="Calibri" w:eastAsia="Calibri" w:hAnsi="Calibri" w:cs="Calibri"/>
        </w:rPr>
        <w:t xml:space="preserve">10 </w:t>
      </w:r>
      <w:r>
        <w:tab/>
      </w:r>
      <w:r w:rsidRPr="585A0EDF">
        <w:rPr>
          <w:rFonts w:ascii="Calibri" w:eastAsia="Calibri" w:hAnsi="Calibri" w:cs="Calibri"/>
        </w:rPr>
        <w:t xml:space="preserve">limit 9 to yr="2017 -Current" </w:t>
      </w:r>
      <w:r>
        <w:tab/>
      </w:r>
      <w:r w:rsidRPr="585A0EDF">
        <w:rPr>
          <w:rFonts w:ascii="Calibri" w:eastAsia="Calibri" w:hAnsi="Calibri" w:cs="Calibri"/>
        </w:rPr>
        <w:t xml:space="preserve">2922 </w:t>
      </w:r>
    </w:p>
    <w:p w14:paraId="1E9758F3" w14:textId="6AE1847C" w:rsidR="585A0EDF" w:rsidRDefault="585A0EDF" w:rsidP="00DA08BD">
      <w:pPr>
        <w:spacing w:after="0" w:line="276" w:lineRule="auto"/>
        <w:rPr>
          <w:rFonts w:ascii="Calibri" w:eastAsia="Calibri" w:hAnsi="Calibri" w:cs="Calibri"/>
          <w:u w:val="single"/>
        </w:rPr>
      </w:pPr>
    </w:p>
    <w:p w14:paraId="5E14A586" w14:textId="579303C5" w:rsidR="0EE15C8E" w:rsidRDefault="0EE15C8E" w:rsidP="00DA08BD">
      <w:pPr>
        <w:spacing w:after="0" w:line="276" w:lineRule="auto"/>
        <w:rPr>
          <w:rFonts w:ascii="Calibri" w:eastAsia="Calibri" w:hAnsi="Calibri" w:cs="Calibri"/>
          <w:u w:val="single"/>
        </w:rPr>
      </w:pPr>
      <w:r w:rsidRPr="585A0EDF">
        <w:rPr>
          <w:rFonts w:ascii="Calibri" w:eastAsia="Calibri" w:hAnsi="Calibri" w:cs="Calibri"/>
          <w:u w:val="single"/>
        </w:rPr>
        <w:t xml:space="preserve">Scopus </w:t>
      </w:r>
    </w:p>
    <w:p w14:paraId="79FD0FF4" w14:textId="06F17F34" w:rsidR="0EE15C8E" w:rsidRDefault="0EE15C8E" w:rsidP="00DA08BD">
      <w:pPr>
        <w:spacing w:after="0" w:line="276" w:lineRule="auto"/>
      </w:pPr>
      <w:r w:rsidRPr="585A0EDF">
        <w:rPr>
          <w:rFonts w:ascii="Calibri" w:eastAsia="Calibri" w:hAnsi="Calibri" w:cs="Calibri"/>
        </w:rPr>
        <w:t xml:space="preserve">( ( TITLE ( dengue OR denv ) OR ABS ( dengue OR denv ) ) ) AND ( ( TITLE ( "Viral Load*" OR "virus concentration*" OR "viral titer*" OR "viral titre*" OR "virus titre*" OR "virus titer*" OR "viral RNA" OR "RNA load*" OR "RNA levels" OR "viral kinetics" OR "viral dynamics" OR "viral replication" OR "viral burden*" OR viremia* OR viraemia* OR viremic OR viraemic ) OR ABS ( "Viral Load*" OR "virus concentration*" OR "viral titer*" OR "viral titre*" OR "virus titre*" OR "virus titer*" OR "viral RNA" OR "RNA load*" OR "RNA levels" OR "viral kinetics" OR "viral dynamics" OR "viral replication" OR "viral burden*" OR viremia* OR viraemia* OR viremic OR viraemic ) ) ) AND PUBYEAR &gt; 2016 AND PUBYEAR &lt; 2026 </w:t>
      </w:r>
    </w:p>
    <w:p w14:paraId="7FA70E38" w14:textId="5C8BCC00" w:rsidR="585A0EDF" w:rsidRDefault="585A0EDF" w:rsidP="00DA08BD">
      <w:pPr>
        <w:spacing w:after="0" w:line="276" w:lineRule="auto"/>
        <w:rPr>
          <w:rFonts w:ascii="Calibri" w:eastAsia="Calibri" w:hAnsi="Calibri" w:cs="Calibri"/>
          <w:u w:val="single"/>
        </w:rPr>
      </w:pPr>
    </w:p>
    <w:p w14:paraId="4B54F633" w14:textId="583AF4B9" w:rsidR="0EE15C8E" w:rsidRDefault="0EE15C8E" w:rsidP="00DA08BD">
      <w:pPr>
        <w:spacing w:after="0" w:line="276" w:lineRule="auto"/>
        <w:rPr>
          <w:rFonts w:ascii="Calibri" w:eastAsia="Calibri" w:hAnsi="Calibri" w:cs="Calibri"/>
          <w:u w:val="single"/>
        </w:rPr>
      </w:pPr>
      <w:r w:rsidRPr="585A0EDF">
        <w:rPr>
          <w:rFonts w:ascii="Calibri" w:eastAsia="Calibri" w:hAnsi="Calibri" w:cs="Calibri"/>
          <w:u w:val="single"/>
        </w:rPr>
        <w:lastRenderedPageBreak/>
        <w:t xml:space="preserve">Web of Science Core Collection </w:t>
      </w:r>
    </w:p>
    <w:p w14:paraId="586FF8A0" w14:textId="08242AE7" w:rsidR="0EE15C8E" w:rsidRDefault="0EE15C8E" w:rsidP="00DA08BD">
      <w:pPr>
        <w:spacing w:after="0" w:line="276" w:lineRule="auto"/>
      </w:pPr>
      <w:r w:rsidRPr="585A0EDF">
        <w:rPr>
          <w:rFonts w:ascii="Calibri" w:eastAsia="Calibri" w:hAnsi="Calibri" w:cs="Calibri"/>
        </w:rPr>
        <w:t xml:space="preserve">#1 </w:t>
      </w:r>
      <w:r>
        <w:tab/>
      </w:r>
      <w:r w:rsidRPr="585A0EDF">
        <w:rPr>
          <w:rFonts w:ascii="Calibri" w:eastAsia="Calibri" w:hAnsi="Calibri" w:cs="Calibri"/>
        </w:rPr>
        <w:t xml:space="preserve">Dengue or DENV (Title) or Dengue or DENV (Abstract) </w:t>
      </w:r>
    </w:p>
    <w:p w14:paraId="78AEB678" w14:textId="54DCC35A" w:rsidR="0EE15C8E" w:rsidRDefault="0EE15C8E" w:rsidP="00DA08BD">
      <w:pPr>
        <w:spacing w:after="0" w:line="276" w:lineRule="auto"/>
      </w:pPr>
      <w:r w:rsidRPr="585A0EDF">
        <w:rPr>
          <w:rFonts w:ascii="Calibri" w:eastAsia="Calibri" w:hAnsi="Calibri" w:cs="Calibri"/>
        </w:rPr>
        <w:t xml:space="preserve">#2 </w:t>
      </w:r>
      <w:r>
        <w:tab/>
      </w:r>
      <w:r w:rsidRPr="585A0EDF">
        <w:rPr>
          <w:rFonts w:ascii="Calibri" w:eastAsia="Calibri" w:hAnsi="Calibri" w:cs="Calibri"/>
        </w:rPr>
        <w:t xml:space="preserve">"Viral Load*" or "virus concentration*" or "viral titer*" or "viral titre*" or "virus </w:t>
      </w:r>
      <w:r>
        <w:tab/>
      </w:r>
      <w:r>
        <w:tab/>
      </w:r>
      <w:r w:rsidRPr="585A0EDF">
        <w:rPr>
          <w:rFonts w:ascii="Calibri" w:eastAsia="Calibri" w:hAnsi="Calibri" w:cs="Calibri"/>
        </w:rPr>
        <w:t xml:space="preserve">titre*" or "virus titer*" or "viral RNA" or "RNA load*" or "RNA levels" or "viral </w:t>
      </w:r>
      <w:r>
        <w:tab/>
      </w:r>
      <w:r>
        <w:tab/>
      </w:r>
      <w:r w:rsidRPr="585A0EDF">
        <w:rPr>
          <w:rFonts w:ascii="Calibri" w:eastAsia="Calibri" w:hAnsi="Calibri" w:cs="Calibri"/>
        </w:rPr>
        <w:t xml:space="preserve">kinetics" or "viral dynamics" or "viral replication" or "viral burden*" or Viremia* or </w:t>
      </w:r>
      <w:r>
        <w:tab/>
      </w:r>
      <w:r w:rsidRPr="585A0EDF">
        <w:rPr>
          <w:rFonts w:ascii="Calibri" w:eastAsia="Calibri" w:hAnsi="Calibri" w:cs="Calibri"/>
        </w:rPr>
        <w:t xml:space="preserve">viraemia* or viremic or viraemic (Title) or "Viral Load*" or "virus concentration*" or </w:t>
      </w:r>
      <w:r>
        <w:tab/>
      </w:r>
      <w:r w:rsidRPr="585A0EDF">
        <w:rPr>
          <w:rFonts w:ascii="Calibri" w:eastAsia="Calibri" w:hAnsi="Calibri" w:cs="Calibri"/>
        </w:rPr>
        <w:t xml:space="preserve">"viral titer*" or "viral titre*" or "virus titre*" or "virus titer*" or "viral RNA" or "RNA </w:t>
      </w:r>
      <w:r>
        <w:tab/>
      </w:r>
      <w:r w:rsidRPr="585A0EDF">
        <w:rPr>
          <w:rFonts w:ascii="Calibri" w:eastAsia="Calibri" w:hAnsi="Calibri" w:cs="Calibri"/>
        </w:rPr>
        <w:t xml:space="preserve">load*" or "RNA levels" or "viral kinetics" or "viral dynamics" or "viral replication" or </w:t>
      </w:r>
      <w:r>
        <w:tab/>
      </w:r>
      <w:r w:rsidRPr="585A0EDF">
        <w:rPr>
          <w:rFonts w:ascii="Calibri" w:eastAsia="Calibri" w:hAnsi="Calibri" w:cs="Calibri"/>
        </w:rPr>
        <w:t xml:space="preserve">"viral burden*" or Viremia* or viraemia* or viremic or viraemic (Abstract) </w:t>
      </w:r>
    </w:p>
    <w:p w14:paraId="5D7E5810" w14:textId="6FF209C1" w:rsidR="0EE15C8E" w:rsidRDefault="0EE15C8E" w:rsidP="00DA08BD">
      <w:pPr>
        <w:spacing w:after="0" w:line="276" w:lineRule="auto"/>
      </w:pPr>
      <w:r w:rsidRPr="585A0EDF">
        <w:rPr>
          <w:rFonts w:ascii="Calibri" w:eastAsia="Calibri" w:hAnsi="Calibri" w:cs="Calibri"/>
        </w:rPr>
        <w:t xml:space="preserve">#3 </w:t>
      </w:r>
      <w:r>
        <w:tab/>
      </w:r>
      <w:r w:rsidRPr="585A0EDF">
        <w:rPr>
          <w:rFonts w:ascii="Calibri" w:eastAsia="Calibri" w:hAnsi="Calibri" w:cs="Calibri"/>
        </w:rPr>
        <w:t>#2 AND</w:t>
      </w:r>
      <w:r w:rsidR="45F0FAC4" w:rsidRPr="585A0EDF">
        <w:rPr>
          <w:rFonts w:ascii="Calibri" w:eastAsia="Calibri" w:hAnsi="Calibri" w:cs="Calibri"/>
        </w:rPr>
        <w:t xml:space="preserve"> </w:t>
      </w:r>
      <w:r w:rsidRPr="585A0EDF">
        <w:rPr>
          <w:rFonts w:ascii="Calibri" w:eastAsia="Calibri" w:hAnsi="Calibri" w:cs="Calibri"/>
        </w:rPr>
        <w:t>#1 and 2025 or 2024 or 2023 or 2022 or 2021 or 2020 or 2019 or 2018 or </w:t>
      </w:r>
    </w:p>
    <w:p w14:paraId="0E92F257" w14:textId="1B71EB3C" w:rsidR="0EE15C8E" w:rsidRDefault="0EE15C8E" w:rsidP="00DA08BD">
      <w:pPr>
        <w:spacing w:after="0" w:line="276" w:lineRule="auto"/>
        <w:ind w:firstLine="720"/>
      </w:pPr>
      <w:r w:rsidRPr="585A0EDF">
        <w:rPr>
          <w:rFonts w:ascii="Calibri" w:eastAsia="Calibri" w:hAnsi="Calibri" w:cs="Calibri"/>
        </w:rPr>
        <w:t>2017 (Publication Years)</w:t>
      </w:r>
    </w:p>
    <w:p w14:paraId="1BBD60A7" w14:textId="703C9A50" w:rsidR="585A0EDF" w:rsidRDefault="585A0EDF" w:rsidP="00DA08BD">
      <w:pPr>
        <w:spacing w:after="0" w:line="276" w:lineRule="auto"/>
        <w:ind w:firstLine="720"/>
        <w:rPr>
          <w:rFonts w:ascii="Calibri" w:eastAsia="Calibri" w:hAnsi="Calibri" w:cs="Calibri"/>
        </w:rPr>
      </w:pPr>
    </w:p>
    <w:p w14:paraId="6D294CAA" w14:textId="58BB6E3A" w:rsidR="00641A07" w:rsidRPr="00641A07" w:rsidRDefault="00641A07" w:rsidP="00DA08BD">
      <w:pPr>
        <w:pStyle w:val="ListParagraph"/>
        <w:numPr>
          <w:ilvl w:val="0"/>
          <w:numId w:val="2"/>
        </w:numPr>
        <w:spacing w:after="0" w:line="276" w:lineRule="auto"/>
        <w:rPr>
          <w:rFonts w:ascii="Calibri" w:eastAsia="Calibri" w:hAnsi="Calibri" w:cs="Calibri"/>
          <w:b/>
          <w:bCs/>
        </w:rPr>
      </w:pPr>
      <w:r>
        <w:rPr>
          <w:rFonts w:ascii="Calibri" w:eastAsia="Calibri" w:hAnsi="Calibri" w:cs="Calibri"/>
          <w:b/>
          <w:bCs/>
        </w:rPr>
        <w:t>Data Extraction</w:t>
      </w:r>
    </w:p>
    <w:p w14:paraId="3E30A315" w14:textId="47EBFDCF" w:rsidR="00641A07" w:rsidRDefault="00641A07" w:rsidP="00641A07">
      <w:pPr>
        <w:spacing w:after="0" w:line="276" w:lineRule="auto"/>
        <w:rPr>
          <w:rFonts w:ascii="Calibri" w:eastAsia="Calibri" w:hAnsi="Calibri" w:cs="Calibri"/>
        </w:rPr>
      </w:pPr>
      <w:r>
        <w:rPr>
          <w:rFonts w:ascii="Calibri" w:eastAsia="Calibri" w:hAnsi="Calibri" w:cs="Calibri"/>
          <w:u w:val="single"/>
        </w:rPr>
        <w:t>Age</w:t>
      </w:r>
    </w:p>
    <w:p w14:paraId="71678219" w14:textId="195E79C6" w:rsidR="00641A07" w:rsidRPr="00641A07" w:rsidRDefault="00641A07" w:rsidP="00641A07">
      <w:pPr>
        <w:spacing w:after="0" w:line="276" w:lineRule="auto"/>
        <w:rPr>
          <w:rFonts w:ascii="Calibri" w:eastAsia="Calibri" w:hAnsi="Calibri" w:cs="Calibri"/>
        </w:rPr>
      </w:pPr>
      <w:r w:rsidRPr="00641A07">
        <w:rPr>
          <w:rFonts w:ascii="Calibri" w:eastAsia="Calibri" w:hAnsi="Calibri" w:cs="Calibri"/>
        </w:rPr>
        <w:t xml:space="preserve">For studies that reported continuous outcomes as medians alongside ranges (minimum to maximum) or interquartile ranges (IQR) instead of means and standard deviations (SD), we estimated the missing sample means and SDs </w:t>
      </w:r>
      <w:r>
        <w:rPr>
          <w:rFonts w:ascii="Calibri" w:eastAsia="Calibri" w:hAnsi="Calibri" w:cs="Calibri"/>
        </w:rPr>
        <w:t xml:space="preserve">respectively </w:t>
      </w:r>
      <w:r w:rsidRPr="00641A07">
        <w:rPr>
          <w:rFonts w:ascii="Calibri" w:eastAsia="Calibri" w:hAnsi="Calibri" w:cs="Calibri"/>
        </w:rPr>
        <w:t>using the validated formulas proposed by Luo et al. and Wan et al.</w:t>
      </w:r>
      <w:r w:rsidR="00542B35">
        <w:rPr>
          <w:rFonts w:ascii="Calibri" w:eastAsia="Calibri" w:hAnsi="Calibri" w:cs="Calibri"/>
        </w:rPr>
        <w:t xml:space="preserve"> </w:t>
      </w:r>
      <w:r w:rsidR="00542B35">
        <w:rPr>
          <w:rFonts w:ascii="Calibri" w:eastAsia="Calibri" w:hAnsi="Calibri" w:cs="Calibri"/>
        </w:rPr>
        <w:fldChar w:fldCharType="begin"/>
      </w:r>
      <w:r w:rsidR="00542B35">
        <w:rPr>
          <w:rFonts w:ascii="Calibri" w:eastAsia="Calibri" w:hAnsi="Calibri" w:cs="Calibri"/>
        </w:rPr>
        <w:instrText xml:space="preserve"> ADDIN ZOTERO_ITEM CSL_CITATION {"citationID":"uaGwBGSv","properties":{"unsorted":false,"formattedCitation":"[4,5]","plainCitation":"[4,5]","noteIndex":0},"citationItems":[{"id":786,"uris":["http://zotero.org/users/local/5m9g3R6r/items/FN6IBSPU"],"itemData":{"id":786,"type":"article-journal","abstract":"The era of big data is coming, and evidence-based medicine is attracting increasing attention to improve decision making in medical practice via integrating evidence from well designed and conducted clinical research. Meta-analysis is a statistical technique widely used in evidence-based medicine for analytically combining the findings from independent clinical trials to provide an overall estimation of a treatment effectiveness. The sample mean and standard deviation are two commonly used statistics in meta-analysis but some trials use the median, the minimum and maximum values, or sometimes the first and third quartiles to report the results. Thus, to pool results in a consistent format, researchers need to transform those information back to the sample mean and standard deviation. In this article, we investigate the optimal estimation of the sample mean for meta-analysis from both theoretical and empirical perspectives. A major drawback in the literature is that the sample size, needless to say its importance, is either ignored or used in a stepwise but somewhat arbitrary manner, e.g. the famous method proposed by Hozo et al. We solve this issue by incorporating the sample size in a smoothly changing weight in the estimators to reach the optimal estimation. Our proposed estimators not only improve the existing ones significantly but also share the same virtue of the simplicity. The real data application indicates that our proposed estimators are capable to serve as “rules of thumb” and will be widely applied in evidence-based medicine.","container-title":"Statistical Methods in Medical Research","DOI":"10.1177/0962280216669183","ISSN":"0962-2802","issue":"6","journalAbbreviation":"Stat Methods Med Res","language":"EN","page":"1785-1805","publisher":"SAGE Publications Ltd STM","source":"SAGE Journals","title":"Optimally estimating the sample mean from the sample size, median, mid-range, and/or mid-quartile range","volume":"27","author":[{"family":"Luo","given":"Dehui"},{"family":"Wan","given":"Xiang"},{"family":"Liu","given":"Jiming"},{"family":"Tong","given":"Tiejun"}],"issued":{"date-parts":[["2018",6,1]]}}},{"id":787,"uris":["http://zotero.org/users/local/5m9g3R6r/items/X67UI6RW"],"itemData":{"id":787,"type":"article-journal","abstract":"In systematic reviews and meta-analysis, researchers often pool the results of the sample mean and standard deviation from a set of similar clinical trials. A number of the trials, however, reported the study using the median, the minimum and maximum values, and/or the first and third quartiles. Hence, in order to combine results, one may have to estimate the sample mean and standard deviation for such trials.","container-title":"BMC Medical Research Methodology","DOI":"10.1186/1471-2288-14-135","ISSN":"1471-2288","issue":"1","journalAbbreviation":"BMC Med Res Methodol","language":"en","page":"135","source":"Springer Link","title":"Estimating the sample mean and standard deviation from the sample size, median, range and/or interquartile range","volume":"14","author":[{"family":"Wan","given":"Xiang"},{"family":"Wang","given":"Wenqian"},{"family":"Liu","given":"Jiming"},{"family":"Tong","given":"Tiejun"}],"issued":{"date-parts":[["2014",12,19]]}}}],"schema":"https://github.com/citation-style-language/schema/raw/master/csl-citation.json"} </w:instrText>
      </w:r>
      <w:r w:rsidR="00542B35">
        <w:rPr>
          <w:rFonts w:ascii="Calibri" w:eastAsia="Calibri" w:hAnsi="Calibri" w:cs="Calibri"/>
        </w:rPr>
        <w:fldChar w:fldCharType="separate"/>
      </w:r>
      <w:r w:rsidR="00542B35" w:rsidRPr="00542B35">
        <w:rPr>
          <w:rFonts w:ascii="Calibri" w:hAnsi="Calibri" w:cs="Calibri"/>
        </w:rPr>
        <w:t>[4,5]</w:t>
      </w:r>
      <w:r w:rsidR="00542B35">
        <w:rPr>
          <w:rFonts w:ascii="Calibri" w:eastAsia="Calibri" w:hAnsi="Calibri" w:cs="Calibri"/>
        </w:rPr>
        <w:fldChar w:fldCharType="end"/>
      </w:r>
      <w:r w:rsidRPr="00641A07">
        <w:rPr>
          <w:rFonts w:ascii="Calibri" w:eastAsia="Calibri" w:hAnsi="Calibri" w:cs="Calibri"/>
        </w:rPr>
        <w:t>. If a study provided both range and IQR, the IQR-based estimation was preferred due to its higher accuracy in larger sample sizes</w:t>
      </w:r>
      <w:r w:rsidR="00107C9C">
        <w:rPr>
          <w:rFonts w:ascii="Calibri" w:eastAsia="Calibri" w:hAnsi="Calibri" w:cs="Calibri"/>
        </w:rPr>
        <w:t>. These estimates were used for the descriptive presentation in Table 2.</w:t>
      </w:r>
    </w:p>
    <w:p w14:paraId="0F6F0131" w14:textId="77777777" w:rsidR="00641A07" w:rsidRPr="00641A07" w:rsidRDefault="00641A07" w:rsidP="00641A07">
      <w:pPr>
        <w:spacing w:after="0" w:line="276" w:lineRule="auto"/>
        <w:rPr>
          <w:rFonts w:ascii="Calibri" w:eastAsia="Calibri" w:hAnsi="Calibri" w:cs="Calibri"/>
        </w:rPr>
      </w:pPr>
    </w:p>
    <w:p w14:paraId="2F037814" w14:textId="785843AD" w:rsidR="329F4BCB" w:rsidRPr="00627661" w:rsidRDefault="329F4BCB" w:rsidP="00DA08BD">
      <w:pPr>
        <w:pStyle w:val="ListParagraph"/>
        <w:numPr>
          <w:ilvl w:val="0"/>
          <w:numId w:val="2"/>
        </w:numPr>
        <w:spacing w:after="0" w:line="276" w:lineRule="auto"/>
        <w:rPr>
          <w:rFonts w:ascii="Calibri" w:eastAsia="Calibri" w:hAnsi="Calibri" w:cs="Calibri"/>
          <w:b/>
          <w:bCs/>
        </w:rPr>
      </w:pPr>
      <w:r w:rsidRPr="00627661">
        <w:rPr>
          <w:rFonts w:ascii="Calibri" w:eastAsia="Calibri" w:hAnsi="Calibri" w:cs="Calibri"/>
          <w:b/>
          <w:bCs/>
        </w:rPr>
        <w:t>Risk of Bias Assessment</w:t>
      </w:r>
    </w:p>
    <w:p w14:paraId="2A38CC8E" w14:textId="0BC97AC8" w:rsidR="329F4BCB" w:rsidRDefault="329F4BCB" w:rsidP="00DA08BD">
      <w:pPr>
        <w:spacing w:after="0" w:line="276" w:lineRule="auto"/>
        <w:rPr>
          <w:rFonts w:ascii="Calibri" w:eastAsia="Calibri" w:hAnsi="Calibri" w:cs="Calibri"/>
          <w:u w:val="single"/>
        </w:rPr>
      </w:pPr>
      <w:r w:rsidRPr="585A0EDF">
        <w:rPr>
          <w:rFonts w:ascii="Calibri" w:eastAsia="Calibri" w:hAnsi="Calibri" w:cs="Calibri"/>
          <w:u w:val="single"/>
        </w:rPr>
        <w:t>Newcastle-Ottawa Scale (NOS)</w:t>
      </w:r>
      <w:r w:rsidR="3C4AE7F8" w:rsidRPr="585A0EDF">
        <w:rPr>
          <w:rFonts w:ascii="Calibri" w:eastAsia="Calibri" w:hAnsi="Calibri" w:cs="Calibri"/>
          <w:u w:val="single"/>
        </w:rPr>
        <w:t>:</w:t>
      </w:r>
    </w:p>
    <w:p w14:paraId="356E0230" w14:textId="3DFBC126" w:rsidR="575DF398" w:rsidRDefault="575DF398" w:rsidP="00DA08BD">
      <w:pPr>
        <w:spacing w:after="0" w:line="276" w:lineRule="auto"/>
      </w:pPr>
      <w:r w:rsidRPr="585A0EDF">
        <w:rPr>
          <w:rFonts w:ascii="Calibri" w:eastAsia="Calibri" w:hAnsi="Calibri" w:cs="Calibri"/>
        </w:rPr>
        <w:t>Studies scoring 8-9 stars were considered high quality, 6-7 stars as moderate quality and ≤5 stars as low quality. Viraemia was considered the exposure and disease severity the outcome. Although many studies reported viraemia levels by severity group (e.g. DF vs DHF), these were interpreted as comparisons of differing levels of viraemia (exposure) within a single cohort. Studies derived from randomised controlled trials that examined associations between viraemia and disease severity independent of treatment allocation without expected intervention influence were treated as observational cohort analyses and assessed using the NOS.</w:t>
      </w:r>
    </w:p>
    <w:p w14:paraId="087765ED" w14:textId="312D2DBC" w:rsidR="575DF398" w:rsidRDefault="575DF398" w:rsidP="00DA08BD">
      <w:pPr>
        <w:spacing w:after="0" w:line="276" w:lineRule="auto"/>
      </w:pPr>
      <w:r w:rsidRPr="585A0EDF">
        <w:rPr>
          <w:rFonts w:ascii="Calibri" w:eastAsia="Calibri" w:hAnsi="Calibri" w:cs="Calibri"/>
        </w:rPr>
        <w:t xml:space="preserve"> </w:t>
      </w:r>
    </w:p>
    <w:p w14:paraId="6769DB5A" w14:textId="4A2BC2AD" w:rsidR="575DF398" w:rsidRDefault="575DF398" w:rsidP="00DA08BD">
      <w:pPr>
        <w:spacing w:after="0" w:line="276" w:lineRule="auto"/>
      </w:pPr>
      <w:r w:rsidRPr="585A0EDF">
        <w:rPr>
          <w:rFonts w:ascii="Calibri" w:eastAsia="Calibri" w:hAnsi="Calibri" w:cs="Calibri"/>
        </w:rPr>
        <w:t xml:space="preserve">Cohorts were considered representative if they included consecutive or unselected patients with confirmed dengue within a defined </w:t>
      </w:r>
      <w:r w:rsidR="002F4298">
        <w:rPr>
          <w:rFonts w:ascii="Calibri" w:eastAsia="Calibri" w:hAnsi="Calibri" w:cs="Calibri"/>
        </w:rPr>
        <w:t>clinical</w:t>
      </w:r>
      <w:r w:rsidRPr="585A0EDF">
        <w:rPr>
          <w:rFonts w:ascii="Calibri" w:eastAsia="Calibri" w:hAnsi="Calibri" w:cs="Calibri"/>
        </w:rPr>
        <w:t xml:space="preserve"> or community population. Studies restricted to specific age groups (e.g. paediatric or adult populations) were not considered to introduce selection bias where they reflected typical clinical populations. A star was awarded where severity groups were derived from the same study population. Ascertainment of exposure was considered adequate where viraemia was measured using laboratory-based methods (e.g. RT-PCR). A star was awarded where studies enrolled patients prior to the development of severe disease, indicating that the outcome was not present at baseline. </w:t>
      </w:r>
    </w:p>
    <w:p w14:paraId="09BB543F" w14:textId="7380F374" w:rsidR="575DF398" w:rsidRDefault="575DF398" w:rsidP="00DA08BD">
      <w:pPr>
        <w:spacing w:after="0" w:line="276" w:lineRule="auto"/>
      </w:pPr>
      <w:r w:rsidRPr="585A0EDF">
        <w:rPr>
          <w:rFonts w:ascii="Calibri" w:eastAsia="Calibri" w:hAnsi="Calibri" w:cs="Calibri"/>
        </w:rPr>
        <w:t xml:space="preserve"> </w:t>
      </w:r>
    </w:p>
    <w:p w14:paraId="6BE3C862" w14:textId="52459E48" w:rsidR="575DF398" w:rsidRDefault="575DF398" w:rsidP="00DA08BD">
      <w:pPr>
        <w:spacing w:after="0" w:line="276" w:lineRule="auto"/>
      </w:pPr>
      <w:r w:rsidRPr="585A0EDF">
        <w:rPr>
          <w:rFonts w:ascii="Calibri" w:eastAsia="Calibri" w:hAnsi="Calibri" w:cs="Calibri"/>
        </w:rPr>
        <w:t xml:space="preserve">The most important confounder was defined as illness day at sampling, given the temporal variation in viraemia. Additional confounders included patient age, patient immune status, and dengue virus serotype. One star was awarded for </w:t>
      </w:r>
      <w:r w:rsidR="1BF56B7E" w:rsidRPr="585A0EDF">
        <w:rPr>
          <w:rFonts w:ascii="Calibri" w:eastAsia="Calibri" w:hAnsi="Calibri" w:cs="Calibri"/>
        </w:rPr>
        <w:t>where illness day was accounted for</w:t>
      </w:r>
      <w:r w:rsidR="0072E239" w:rsidRPr="585A0EDF">
        <w:rPr>
          <w:rFonts w:ascii="Calibri" w:eastAsia="Calibri" w:hAnsi="Calibri" w:cs="Calibri"/>
        </w:rPr>
        <w:t xml:space="preserve"> in study analysis.</w:t>
      </w:r>
      <w:r w:rsidR="1BF56B7E" w:rsidRPr="585A0EDF">
        <w:rPr>
          <w:rFonts w:ascii="Calibri" w:eastAsia="Calibri" w:hAnsi="Calibri" w:cs="Calibri"/>
        </w:rPr>
        <w:t xml:space="preserve"> </w:t>
      </w:r>
      <w:r w:rsidR="05FB0CD6" w:rsidRPr="585A0EDF">
        <w:rPr>
          <w:rFonts w:ascii="Calibri" w:eastAsia="Calibri" w:hAnsi="Calibri" w:cs="Calibri"/>
        </w:rPr>
        <w:t>A</w:t>
      </w:r>
      <w:r w:rsidRPr="585A0EDF">
        <w:rPr>
          <w:rFonts w:ascii="Calibri" w:eastAsia="Calibri" w:hAnsi="Calibri" w:cs="Calibri"/>
        </w:rPr>
        <w:t xml:space="preserve"> second star </w:t>
      </w:r>
      <w:r w:rsidR="4B9F6124" w:rsidRPr="585A0EDF">
        <w:rPr>
          <w:rFonts w:ascii="Calibri" w:eastAsia="Calibri" w:hAnsi="Calibri" w:cs="Calibri"/>
        </w:rPr>
        <w:t>was awarded where analysis accounted for at least one other confounder</w:t>
      </w:r>
      <w:r w:rsidR="0B77591B" w:rsidRPr="585A0EDF">
        <w:rPr>
          <w:rFonts w:ascii="Calibri" w:eastAsia="Calibri" w:hAnsi="Calibri" w:cs="Calibri"/>
        </w:rPr>
        <w:t>.</w:t>
      </w:r>
      <w:r w:rsidRPr="585A0EDF">
        <w:rPr>
          <w:rFonts w:ascii="Calibri" w:eastAsia="Calibri" w:hAnsi="Calibri" w:cs="Calibri"/>
        </w:rPr>
        <w:t xml:space="preserve"> </w:t>
      </w:r>
    </w:p>
    <w:p w14:paraId="0CD32AD1" w14:textId="56334F7B" w:rsidR="575DF398" w:rsidRDefault="575DF398" w:rsidP="00DA08BD">
      <w:pPr>
        <w:spacing w:after="0" w:line="276" w:lineRule="auto"/>
      </w:pPr>
      <w:r w:rsidRPr="585A0EDF">
        <w:rPr>
          <w:rFonts w:ascii="Calibri" w:eastAsia="Calibri" w:hAnsi="Calibri" w:cs="Calibri"/>
        </w:rPr>
        <w:t xml:space="preserve"> </w:t>
      </w:r>
    </w:p>
    <w:p w14:paraId="49DD8E32" w14:textId="35340FE8" w:rsidR="575DF398" w:rsidRDefault="575DF398" w:rsidP="00DA08BD">
      <w:pPr>
        <w:spacing w:after="0" w:line="276" w:lineRule="auto"/>
      </w:pPr>
      <w:r w:rsidRPr="585A0EDF">
        <w:rPr>
          <w:rFonts w:ascii="Calibri" w:eastAsia="Calibri" w:hAnsi="Calibri" w:cs="Calibri"/>
        </w:rPr>
        <w:lastRenderedPageBreak/>
        <w:t>Outcome assessment was considered adequate where disease severity was defined using standardised clinical criteria (e.g. WHO classification). Follow-up was considered sufficient if patients were followed to at least illness day 7 or until the occurrence of severe outcomes. Adequate follow-up was defined as complete follow-up or minimal loss to follow-up unlikely to introduce bias.</w:t>
      </w:r>
    </w:p>
    <w:p w14:paraId="786BBD93" w14:textId="4AFFA313" w:rsidR="585A0EDF" w:rsidRDefault="585A0EDF" w:rsidP="00DA08BD">
      <w:pPr>
        <w:spacing w:after="0" w:line="276" w:lineRule="auto"/>
        <w:rPr>
          <w:rFonts w:ascii="Calibri" w:eastAsia="Calibri" w:hAnsi="Calibri" w:cs="Calibri"/>
        </w:rPr>
      </w:pPr>
    </w:p>
    <w:p w14:paraId="1BC89723" w14:textId="707B7E8A" w:rsidR="329F4BCB" w:rsidRDefault="329F4BCB" w:rsidP="00DA08BD">
      <w:pPr>
        <w:spacing w:after="0" w:line="276" w:lineRule="auto"/>
        <w:rPr>
          <w:rFonts w:ascii="Calibri" w:eastAsia="Calibri" w:hAnsi="Calibri" w:cs="Calibri"/>
          <w:u w:val="single"/>
        </w:rPr>
      </w:pPr>
      <w:r w:rsidRPr="585A0EDF">
        <w:rPr>
          <w:rFonts w:ascii="Calibri" w:eastAsia="Calibri" w:hAnsi="Calibri" w:cs="Calibri"/>
          <w:u w:val="single"/>
        </w:rPr>
        <w:t>Risk of Bias 2 (RoB 2)</w:t>
      </w:r>
      <w:r w:rsidR="5CD2EB35" w:rsidRPr="585A0EDF">
        <w:rPr>
          <w:rFonts w:ascii="Calibri" w:eastAsia="Calibri" w:hAnsi="Calibri" w:cs="Calibri"/>
          <w:u w:val="single"/>
        </w:rPr>
        <w:t>:</w:t>
      </w:r>
    </w:p>
    <w:p w14:paraId="7AD39A2B" w14:textId="77461F53" w:rsidR="329F4BCB" w:rsidRDefault="329F4BCB" w:rsidP="00DA08BD">
      <w:pPr>
        <w:spacing w:after="0" w:line="276" w:lineRule="auto"/>
        <w:rPr>
          <w:rFonts w:ascii="Calibri" w:eastAsia="Calibri" w:hAnsi="Calibri" w:cs="Calibri"/>
        </w:rPr>
      </w:pPr>
      <w:r w:rsidRPr="585A0EDF">
        <w:rPr>
          <w:rFonts w:ascii="Calibri" w:eastAsia="Calibri" w:hAnsi="Calibri" w:cs="Calibri"/>
        </w:rPr>
        <w:t>RoB 2 assessments were conducted according to the original trial design, focusing on bias in the measurement and analysis of clinical outcomes, particularly disease severity. This tool evaluates five domains: (1) bias arising from the randomisation process, (2) bias due to deviations from intended interventions, (3) bias due to missing outcome data, (4) bias in measurement of the outcome and (5) bias in selection of the reported result. Each domain was judged as “low risk of bias”, “some concerns”, or “high risk of bias” based on signalling questions and an overall risk of bias judgement was assigned.</w:t>
      </w:r>
    </w:p>
    <w:p w14:paraId="0DC2E99C" w14:textId="77777777" w:rsidR="00627661" w:rsidRDefault="00627661" w:rsidP="00DA08BD">
      <w:pPr>
        <w:spacing w:after="0" w:line="276" w:lineRule="auto"/>
        <w:jc w:val="both"/>
        <w:rPr>
          <w:rFonts w:ascii="Calibri" w:eastAsia="Calibri" w:hAnsi="Calibri" w:cs="Calibri"/>
        </w:rPr>
      </w:pPr>
    </w:p>
    <w:p w14:paraId="5B92EB3A" w14:textId="42F491EA" w:rsidR="00627661" w:rsidRDefault="00627661" w:rsidP="00DA08BD">
      <w:pPr>
        <w:pStyle w:val="ListParagraph"/>
        <w:numPr>
          <w:ilvl w:val="0"/>
          <w:numId w:val="1"/>
        </w:numPr>
        <w:spacing w:after="0" w:line="276" w:lineRule="auto"/>
        <w:jc w:val="both"/>
        <w:rPr>
          <w:rFonts w:ascii="Calibri" w:eastAsia="Calibri" w:hAnsi="Calibri" w:cs="Calibri"/>
          <w:b/>
          <w:bCs/>
        </w:rPr>
      </w:pPr>
      <w:r>
        <w:rPr>
          <w:rFonts w:ascii="Calibri" w:eastAsia="Calibri" w:hAnsi="Calibri" w:cs="Calibri"/>
          <w:b/>
          <w:bCs/>
        </w:rPr>
        <w:t>Results</w:t>
      </w:r>
    </w:p>
    <w:p w14:paraId="285B4C50" w14:textId="2A5B9DE5" w:rsidR="00627661" w:rsidRDefault="00627661" w:rsidP="00DA08BD">
      <w:pPr>
        <w:pStyle w:val="ListParagraph"/>
        <w:numPr>
          <w:ilvl w:val="0"/>
          <w:numId w:val="3"/>
        </w:numPr>
        <w:spacing w:after="0" w:line="276" w:lineRule="auto"/>
        <w:jc w:val="both"/>
        <w:rPr>
          <w:rFonts w:ascii="Calibri" w:eastAsia="Calibri" w:hAnsi="Calibri" w:cs="Calibri"/>
          <w:b/>
          <w:bCs/>
        </w:rPr>
      </w:pPr>
      <w:r>
        <w:rPr>
          <w:rFonts w:ascii="Calibri" w:eastAsia="Calibri" w:hAnsi="Calibri" w:cs="Calibri"/>
          <w:b/>
          <w:bCs/>
        </w:rPr>
        <w:t>Risk of Bias Assessment</w:t>
      </w:r>
    </w:p>
    <w:p w14:paraId="2CD9C148" w14:textId="472200EC" w:rsidR="00D643AE" w:rsidRDefault="006A5F09" w:rsidP="00DA08BD">
      <w:pPr>
        <w:spacing w:after="0" w:line="276" w:lineRule="auto"/>
        <w:jc w:val="both"/>
        <w:rPr>
          <w:rFonts w:ascii="Calibri" w:eastAsia="Calibri" w:hAnsi="Calibri" w:cs="Calibri"/>
          <w:u w:val="single"/>
        </w:rPr>
      </w:pPr>
      <w:r>
        <w:rPr>
          <w:rFonts w:ascii="Calibri" w:eastAsia="Calibri" w:hAnsi="Calibri" w:cs="Calibri"/>
          <w:u w:val="single"/>
        </w:rPr>
        <w:t>Cohort Studies</w:t>
      </w:r>
    </w:p>
    <w:p w14:paraId="060A7D65" w14:textId="77777777" w:rsidR="00D643AE" w:rsidRPr="005878A0" w:rsidRDefault="00D643AE" w:rsidP="00DA08BD">
      <w:pPr>
        <w:spacing w:after="0" w:line="276" w:lineRule="auto"/>
        <w:jc w:val="both"/>
        <w:rPr>
          <w:rFonts w:ascii="Calibri" w:eastAsia="Calibri" w:hAnsi="Calibri" w:cs="Calibri"/>
        </w:rPr>
      </w:pPr>
      <w:r w:rsidRPr="005878A0">
        <w:rPr>
          <w:rFonts w:ascii="Calibri" w:eastAsia="Calibri" w:hAnsi="Calibri" w:cs="Calibri"/>
        </w:rPr>
        <w:t xml:space="preserve">All </w:t>
      </w:r>
      <w:r>
        <w:rPr>
          <w:rFonts w:ascii="Calibri" w:eastAsia="Calibri" w:hAnsi="Calibri" w:cs="Calibri"/>
        </w:rPr>
        <w:t xml:space="preserve">cohort </w:t>
      </w:r>
      <w:r w:rsidRPr="005878A0">
        <w:rPr>
          <w:rFonts w:ascii="Calibri" w:eastAsia="Calibri" w:hAnsi="Calibri" w:cs="Calibri"/>
        </w:rPr>
        <w:t>studies were judged to have adequate ascertainment of exposure, as viraemia was consistently measured using laboratory-based methods such as RT-PCR</w:t>
      </w:r>
      <w:r>
        <w:rPr>
          <w:rFonts w:ascii="Calibri" w:eastAsia="Calibri" w:hAnsi="Calibri" w:cs="Calibri"/>
        </w:rPr>
        <w:t xml:space="preserve"> (Supplementary Table 1)</w:t>
      </w:r>
      <w:r w:rsidRPr="005878A0">
        <w:rPr>
          <w:rFonts w:ascii="Calibri" w:eastAsia="Calibri" w:hAnsi="Calibri" w:cs="Calibri"/>
        </w:rPr>
        <w:t xml:space="preserve">. Similarly, outcome assessment was considered robust, with disease severity defined using standardised clinical criteria </w:t>
      </w:r>
      <w:r>
        <w:rPr>
          <w:rFonts w:ascii="Calibri" w:eastAsia="Calibri" w:hAnsi="Calibri" w:cs="Calibri"/>
        </w:rPr>
        <w:t>based</w:t>
      </w:r>
      <w:r w:rsidRPr="005878A0">
        <w:rPr>
          <w:rFonts w:ascii="Calibri" w:eastAsia="Calibri" w:hAnsi="Calibri" w:cs="Calibri"/>
        </w:rPr>
        <w:t xml:space="preserve"> on WHO classifications. Most studies also demonstrated adequate follow-up duration and completeness</w:t>
      </w:r>
      <w:r>
        <w:rPr>
          <w:rFonts w:ascii="Calibri" w:eastAsia="Calibri" w:hAnsi="Calibri" w:cs="Calibri"/>
        </w:rPr>
        <w:t xml:space="preserve"> to capture relevant clinical outcomes.</w:t>
      </w:r>
    </w:p>
    <w:p w14:paraId="5B794250" w14:textId="77777777" w:rsidR="00D643AE" w:rsidRPr="005878A0" w:rsidRDefault="00D643AE" w:rsidP="00DA08BD">
      <w:pPr>
        <w:spacing w:after="0" w:line="276" w:lineRule="auto"/>
        <w:jc w:val="both"/>
        <w:rPr>
          <w:rFonts w:ascii="Calibri" w:eastAsia="Calibri" w:hAnsi="Calibri" w:cs="Calibri"/>
        </w:rPr>
      </w:pPr>
    </w:p>
    <w:p w14:paraId="55F1E0DC" w14:textId="43B90C55" w:rsidR="00D643AE" w:rsidRPr="005878A0" w:rsidRDefault="00D643AE" w:rsidP="00DA08BD">
      <w:pPr>
        <w:spacing w:after="0" w:line="276" w:lineRule="auto"/>
        <w:jc w:val="both"/>
        <w:rPr>
          <w:rFonts w:ascii="Calibri" w:eastAsia="Calibri" w:hAnsi="Calibri" w:cs="Calibri"/>
        </w:rPr>
      </w:pPr>
      <w:r w:rsidRPr="005878A0">
        <w:rPr>
          <w:rFonts w:ascii="Calibri" w:eastAsia="Calibri" w:hAnsi="Calibri" w:cs="Calibri"/>
        </w:rPr>
        <w:t>However, several important methodological limitations were identified</w:t>
      </w:r>
      <w:r>
        <w:rPr>
          <w:rFonts w:ascii="Calibri" w:eastAsia="Calibri" w:hAnsi="Calibri" w:cs="Calibri"/>
        </w:rPr>
        <w:t xml:space="preserve"> (Supplementary Table 1)</w:t>
      </w:r>
      <w:r w:rsidRPr="005878A0">
        <w:rPr>
          <w:rFonts w:ascii="Calibri" w:eastAsia="Calibri" w:hAnsi="Calibri" w:cs="Calibri"/>
        </w:rPr>
        <w:t xml:space="preserve">. A key </w:t>
      </w:r>
      <w:r>
        <w:rPr>
          <w:rFonts w:ascii="Calibri" w:eastAsia="Calibri" w:hAnsi="Calibri" w:cs="Calibri"/>
        </w:rPr>
        <w:t>limitation across multiple</w:t>
      </w:r>
      <w:r w:rsidRPr="005878A0">
        <w:rPr>
          <w:rFonts w:ascii="Calibri" w:eastAsia="Calibri" w:hAnsi="Calibri" w:cs="Calibri"/>
        </w:rPr>
        <w:t xml:space="preserve"> studies </w:t>
      </w:r>
      <w:r>
        <w:rPr>
          <w:rFonts w:ascii="Calibri" w:eastAsia="Calibri" w:hAnsi="Calibri" w:cs="Calibri"/>
        </w:rPr>
        <w:t xml:space="preserve">was </w:t>
      </w:r>
      <w:r w:rsidRPr="005878A0">
        <w:rPr>
          <w:rFonts w:ascii="Calibri" w:eastAsia="Calibri" w:hAnsi="Calibri" w:cs="Calibri"/>
        </w:rPr>
        <w:t>failing to demonstrate that viraemia was measured prior to the development of severe disease, as sampling often occurred during the critical phase of illness</w:t>
      </w:r>
      <w:r w:rsidR="008F1818">
        <w:rPr>
          <w:rFonts w:ascii="Calibri" w:eastAsia="Calibri" w:hAnsi="Calibri" w:cs="Calibri"/>
        </w:rPr>
        <w:t xml:space="preserve"> </w:t>
      </w:r>
      <w:r w:rsidR="008F1818">
        <w:rPr>
          <w:rFonts w:ascii="Calibri" w:eastAsia="Calibri" w:hAnsi="Calibri" w:cs="Calibri"/>
        </w:rPr>
        <w:fldChar w:fldCharType="begin"/>
      </w:r>
      <w:r w:rsidR="008F1818">
        <w:rPr>
          <w:rFonts w:ascii="Calibri" w:eastAsia="Calibri" w:hAnsi="Calibri" w:cs="Calibri"/>
        </w:rPr>
        <w:instrText xml:space="preserve"> ADDIN ZOTERO_ITEM CSL_CITATION {"citationID":"E8idmPJR","properties":{"unsorted":false,"formattedCitation":"[6\\uc0\\u8211{}12]","plainCitation":"[6–12]","noteIndex":0},"citationItems":[{"id":684,"uris":["http://zotero.org/users/local/5m9g3R6r/items/2WQP8I5C"],"itemData":{"id":684,"type":"article-journal","abstract":"SUMMARY: We investigated 10 mother-newborn pairs and found a 90% rate of dengue virus (DENV) transmission during the perinatal period. Here, we describe DENV kinetics in the sera of newborns before the onset of disease. Of the breast-milk samples analyzed, 75% tested positive for DENV.\nBACKGROUND: Dengue is the most common mosquito-borne viral disease in humans. With this study, we aimed to investigate the risk of vertical (DENV) transmission during the peripartum period and to describe its viral kinetics in serum and breast milk.\nMETHODS: We carried out a prospective study during the 2012-2013 dengue epidemic in New Caledonia, its most severe on record. All mothers hospitalized at the Centre Hospitalier Territorial in Nouméa, New Caledonia, with symptoms of dengue infection between 7 days before and 2 days after delivery and/or whose infant was infected during breastfeeding were investigated. DENV was detected and quantified by quantitative reverse-transcription polymerase chain reaction (qRT-PCR) in sera and breast milk (mothers), sera and gastric fluid (newborns), cord blood, and placentas. DENV kinetics and sequences in sera and breast milk were studied. Clinical presentation and biological evolution in mother-newborn pairs were analyzed.\nRESULTS: Ten mother-newborn pairs were investigated over an 11-month period. One premature birth, 3 hemorrhagic complications, and 1 maternal death occurred. Nine newborns were infected and symptomatic. One case of deep thrombocytopenia and 1 case of anoxic encephalopathy occurred. DENV was detected in breast milk samples from 9 (75%) of 12 infected breastfeeding mothers. Original DENV kinetics in sera and breast milk were described.\nCONCLUSIONS: The occurrence of vertical DENV transmission was high (90%) in viremic mothers at delivery, and these mothers and their infants were at major risk for obstetric and neonatal complications. The modes of viral transmission are difficult to clarify. The risk of DENV transmission through breast milk seems plausible. Close follow-up of mothers and prolonged surveillance of their newborns are required for minimizing complications. Complementary studies are needed to elaborate preventive recommendations.","container-title":"Journal of the Pediatric Infectious Diseases Society","DOI":"10.1093/jpids/piw058","ISSN":"2048-7207","issue":"4","journalAbbreviation":"J Pediatric Infect Dis Soc","language":"eng","page":"324-331","PMID":"27760799","source":"PubMed","title":"Vertical Transmission of Dengue Virus in the Peripartum Period and Viral Kinetics in Newborns and Breast Milk: New Data","title-short":"Vertical Transmission of Dengue Virus in the Peripartum Period and Viral Kinetics in Newborns and Breast Milk","volume":"6","author":[{"family":"Arragain","given":"Lucille"},{"family":"Dupont-Rouzeyrol","given":"Myrielle"},{"family":"O'Connor","given":"Olivia"},{"family":"Sigur","given":"Nathalie"},{"family":"Grangeon","given":"Jean-Paul"},{"family":"Huguon","given":"Emilie"},{"family":"Dechanet","given":"Clothilde"},{"family":"Cazorla","given":"Cécile"},{"family":"Gourinat","given":"Ann-Claire"},{"family":"Descloux","given":"Elodie"}],"issued":{"date-parts":[["2017",11,24]]}}},{"id":455,"uris":["http://zotero.org/users/local/5m9g3R6r/items/QXF9HD67"],"itemData":{"id":455,"type":"article-journal","abstract":"Dengue virus (DENV) infection is an important public health problem and causes significant morbidity and mortality. DENV typically causes a febrile illness that ranges from mild asymptomatic infection to fatal dengue hemorrhagic fever (DHF) and/or dengue shock syndrome (DSS). Early prediction of severe dengue disease is of utmost importance for providing prompt monitoring and treatment. The search for an ideal biomarker (host or viral factors) for early prediction of severe dengue remains elusive.","container-title":"VirusDisease","DOI":"10.1007/s13337-024-00872-z","ISSN":"2347-3517","issue":"2","journalAbbreviation":"VirusDis.","language":"en","page":"250-259","source":"Springer Link","title":"Kinetics of dengue viremia and its association with disease severity: an ambispective study","title-short":"Kinetics of dengue viremia and its association with disease severity","volume":"35","author":[{"family":"Bhatt","given":"Puneet"},{"family":"Jayaram","given":"Anup"},{"family":"Varma","given":"Muralidhar"},{"family":"Mukhopadhyay","given":"Chiranjay"}],"issued":{"date-parts":[["2024",6,1]]}}},{"id":691,"uris":["http://zotero.org/users/local/5m9g3R6r/items/TYLRHLBU"],"itemData":{"id":691,"type":"article-journal","abstract":"The magnitude and duration of viraemia in children admitted to the hospital with dengue was studied during a dengue 2 outbreak in French Polynesia in 1996-1997. Forty-nine patients from whom at least 3 plasma samples were available were included in the study. Based on analysis of IgG-ELISA and haemagglutination inhibition assay, 21 of these were primary and 28 were secondary infections. According to World Health Organization criteria, 42 were dengue fever and 7 were dengue haemorrhagic fever. Virus was detectable by reverse transcription-PCR in all patients for at least the first 3 days of the onset of fever, but was never detected after the 6th day (mean duration = 4.4 days). Plasma virus titers ranged from 1.7-5.6 Log(10) TCID(50)/ml. A significant difference was not observed in the magnitude and duration of viraemia in patients with primary versus secondary infections. The severity of the illness, however, was correlated with both criteria.","container-title":"Journal of Medical Virology","DOI":"10.1002/(sici)1096-9071(200004)60:4&lt;432::aid-jmv11&gt;3.0.co;2-7","ISSN":"0146-6615","issue":"4","journalAbbreviation":"J Med Virol","language":"eng","page":"432-438","PMID":"10686027","source":"PubMed","title":"Prospective study of the duration and magnitude of viraemia in children hospitalised during the 1996-1997 dengue-2 outbreak in French Polynesia","volume":"60","author":[{"family":"Murgue","given":"B."},{"family":"Roche","given":"C."},{"family":"Chungue","given":"E."},{"family":"Deparis","given":"X."}],"issued":{"date-parts":[["2000",4]]}}},{"id":696,"uris":["http://zotero.org/users/local/5m9g3R6r/items/IQGDQG9A"],"itemData":{"id":696,"type":"article-journal","abstract":"Dengue virus, a mosquito-borne flavivirus, is a causative agent for dengue infection, which manifests with symptoms ranging from mild fever to fatal dengue shock syndrome. The presence of four serotypes, against which immune cross-protection is short-lived and serotype cross-reactive antibodies that might enhance infection, pose a challenge to further investigate the role of virus and immune response in pathogenesis. We evaluated the viral and immunological factors that correlate with severe dengue disease in a cohort of pediatric dengue patients in New Delhi. Severe dengue disease was observed in both primary and secondary infections. Viral load had no association with disease severity but high viral load correlated with prolonged thrombocytopenia and delayed recovery. Severe dengue cases had low Th1 cytokines and a concurrent increase in the inflammatory mediators such as IL-6, IL-8 and IL-10. A transient increase in CD14+CD16+ intermediate monocytes was observed early in infection. Sorting of monocytes from dengue patient peripheral blood mononuclear cells revealed that it is the CD14+ cells, but not the CD16+ or the T or B cells, that were infected with dengue virus and were major producers of IL-10. Using the Boruta algorithm, reduced interferon-α levels and enhanced aforementioned pro-inflammatory cytokines were identified as some of the distinctive markers of severe dengue. Furthermore, the reduction in the levels of IL-8 and IL-10 were identified as the most significant markers of recovery from severe disease. Our results provide further insights into the immune response of children to primary and secondary dengue infection and help us to understand the complex interplay between the intrinsic factors in dengue pathogenesis.","container-title":"PLoS neglected tropical diseases","DOI":"10.1371/journal.pntd.0004497","ISSN":"1935-2735","issue":"3","journalAbbreviation":"PLoS Negl Trop Dis","language":"eng","page":"e0004497","PMID":"26982706","PMCID":"PMC4794248","source":"PubMed","title":"Immune Response to Dengue Virus Infection in Pediatric Patients in New Delhi, India--Association of Viremia, Inflammatory Mediators and Monocytes with Disease Severity","volume":"10","author":[{"family":"Singla","given":"Mohit"},{"family":"Kar","given":"Meenakshi"},{"family":"Sethi","given":"Tavpritesh"},{"family":"Kabra","given":"Sushil K."},{"family":"Lodha","given":"Rakesh"},{"family":"Chandele","given":"Anmol"},{"family":"Medigeshi","given":"Guruprasad R."}],"issued":{"date-parts":[["2016",3]]}}},{"id":701,"uris":["http://zotero.org/users/local/5m9g3R6r/items/LPEJCNBZ"],"itemData":{"id":701,"type":"article-journal","abstract":"Background Dengue is a major public health problem in tropical and subtropical countries. Exploring the relationships between virological features of infection with patient immune status and outcome may help to identify predictors of disease severity and enable rational therapeutic strategies. Methods Clinical features, antibody responses and virological markers were characterized in Vietnamese adults participating in a randomised controlled treatment trial of chloroquine. Results Of the 248 patients with laboratory-confirmed dengue and defined serological and clinical classifications 29 (11.7%) had primary DF, 150 (60.5%) had secondary DF, 4 (1.6%) had primary DHF and 65 (26.2%) had secondary DHF. DENV-1 was the commonest serotype (57.3%), then DENV-2 (20.6%), DENV-3 (15.7%) and DENV-4 (2.8%). DHF was associated with secondary infection (Odds ratio = 3.13, 95% CI 1.04–12.75). DENV-1 infections resulted in significantly higher viremia levels than DENV-2 infections. Early viremia levels were higher in DENV-1 patients with DHF than with DF, even if the peak viremia level was often not observed because it occurred prior to enrolment. Peak viremias were significantly less often observed during secondary infections than primary for all disease severity grades (P = 0.001). The clearance of DENV viremia and NS1 antigenemia occurs earlier and faster in patients with secondary dengue (P&lt;0.0001). The maximum daily rate of viremia clearance was significantly higher in patients with secondary infections than primary (P&lt;0.00001). Conclusions Collectively, our findings suggest that the early magnitude of viremia is positively associated with disease severity. The clearance of DENV is associated with immune status, and there are serotype dependent differences in infection kinetics. These findings are relevant for the rational design of randomized controlled trials of therapeutic interventions, especially antivirals.","container-title":"PLOS Neglected Tropical Diseases","DOI":"10.1371/journal.pntd.0001309","ISSN":"1935-2735","issue":"9","journalAbbreviation":"PLOS Neglected Tropical Diseases","language":"en","page":"e1309","publisher":"Public Library of Science","source":"PLoS Journals","title":"Kinetics of Viremia and NS1 Antigenemia Are Shaped by Immune Status and Virus Serotype in Adults with Dengue","volume":"5","author":[{"family":"Tricou","given":"Vianney"},{"family":"Minh","given":"Nguyet Nguyen"},{"family":"Farrar","given":"Jeremy"},{"family":"Tran","given":"Hien Tinh"},{"family":"Simmons","given":"Cameron P."}],"issued":{"date-parts":[["2011",9,6]]}}},{"id":622,"uris":["http://zotero.org/users/local/5m9g3R6r/items/8A56NNTG"],"itemData":{"id":622,"type":"article-journal","abstract":"Background. Although previous studies have revealed the contribution of an initial high level of dengue virus replication to the severe and potentially life-threatening diseases dengue hemorrhagic fever (DHF) and dengue shock syndrome, the involvement of dengue virus in the immuopathological processes during the transition from fever to defervescence, which is a critical stage in determining the progression to DHF, has not been appreciated. Previously, we reported that dengue virus can be detected in the immune complexes of patients with DHF during this period.Methods. We investigated plasma dengue viral load, virus in immune complexes, antibody response, complements, and cytokines for 54 patients with dengue fever (a relatively mild form of disease) and 49 patients with DHF. The patients had confirmed secondary infection with dengue virus type 2 from a large outbreak in southern Taiwan in 2002.Results. Patients with DHF had a significantly higher viral load and a slower rate of clearance than patients with dengue fever. For viral loads &amp;gt;5.7 log RNA copies/mL on the day of defervescence, the positive and negative predictive values for DHF are 0.88 and 0.95, respectively. A higher level and slower decline of dengue virus-containing immune complexes (and a subsequently higher elevation of C5a and soluble interleukin 2 receptor) were found in patients with DHF, compared with patients with dengue fever.Conclusions. These findings indicate that slower rates of clearance of viral load and virus-containing immune complexes are associated with subsequent immune activation and contribute to the progression of DHF at this critical stage. Moreover, viral load on the day of defervescence can predict cases of DHF.","container-title":"Clinical Infectious Diseases","DOI":"10.1086/507635","ISSN":"1058-4838","issue":"8","journalAbbreviation":"Clinical Infectious Diseases","page":"1023-1030","source":"Silverchair","title":"Slower Rates of Clearance of Viral Load and Virus-Containing Immune Complexes in Patients with Dengue Hemorrhagic Fever","volume":"43","author":[{"family":"Wang","given":"Wei-Kung"},{"family":"Chen","given":"Hui-Ling"},{"family":"Yang","given":"Chao-Fu"},{"family":"Hsieh","given":"Szu-Chia"},{"family":"Juan","given":"Chung-Chou"},{"family":"Chang","given":"Shu-Mei"},{"family":"Yu","given":"Cheng-Ching"},{"family":"Lin","given":"Li-Hui"},{"family":"Huang","given":"Jyh-Hsiung"},{"family":"King","given":"Chwan-Chuen"}],"issued":{"date-parts":[["2006",10,15]]}}},{"id":708,"uris":["http://zotero.org/users/local/5m9g3R6r/items/8WPJAYIF"],"itemData":{"id":708,"type":"article-journal","abstract":"BACKGROUND: The association of functionality and phenotype of follicular helper T cells (Tfh) with dengue virus (DENV) specific antibody responses and clinical disease severity has not been well studied.\nMETHODS: We investigated the phenotype and functionality of Tfh cells and plasmablasts in adult patients (DF = 18, DHF = 22) with acute dengue (day 4 to 8 since onset of fever) of varying severity using multiparametric flowcytometry. The properties of Tfh cells were correlated with viraemia, disease severity, plasmablast responses and DENV-specific serum antibody responses. We further evaluated the kinetics of neutralizing antibodies (Neut50) throughout the course of illness in order to evaluate their association with clinical disease severity and viraemia.\nRESULTS: Tfh cells (especially those producing IL-21 and co-expressing PD-1 and ICOS) were found to be significantly expanded (p &lt; 0.0001) and highly activated in patients with DHF compared to those with DF. The frequency of Tfh cells significantly correlated with DENV-specific IgG, NS1-specific antibodies and Neut50 antibody titres in patients with DHF but not in those with DF. Although the Neut50 titres increased during the course of acute secondary DENV infection, they showed differences based on serotype. For instance, the Neut50 titres were significantly higher during the latter part of illness in patients with DF compared to DHF in DENV1 infection, while in DENV2, patients with DHF had significantly higher titres. The viral loads during early illness did not correlate with the subsequent rise in the Neut50 antibody titres during any time point of illness.\nCONCLUSIONS: The expansion of Tfh cells is associated with DHF and DENV-specific IgG, NS1-specific and neutralizing antibodies. Neut50 titres did not associate with disease severity or viraemia at the point of first presentation during the febrile phase, but later titres do show differential association with severity in patients with DENV1 compared to DENV2.","container-title":"Journal of Biomedical Science","DOI":"10.1186/s12929-020-00641-2","ISSN":"1423-0127","issue":"1","journalAbbreviation":"J Biomed Sci","language":"eng","page":"50","PMID":"32264870","PMCID":"PMC7140349","source":"PubMed","title":"Phenotype and functionality of follicular helper T cells in patients with acute dengue infection","volume":"27","author":[{"family":"Wijesinghe","given":"Ayesha"},{"family":"Gamage","given":"Jayani"},{"family":"Goonewardena","given":"Hemantha"},{"family":"Gomes","given":"Laksiri"},{"family":"Jayathilaka","given":"Deshni"},{"family":"Wijeratne","given":"Dulharie T."},{"family":"Alwis","given":"Ruklanthi","non-dropping-particle":"de"},{"family":"Jeewandara","given":"Chandima"},{"family":"Wijewickrama","given":"Ananda"},{"family":"Ogg","given":"Graham S."},{"family":"Malavige","given":"Gathsaurie Neelika"}],"issued":{"date-parts":[["2020",4,8]]}}}],"schema":"https://github.com/citation-style-language/schema/raw/master/csl-citation.json"} </w:instrText>
      </w:r>
      <w:r w:rsidR="008F1818">
        <w:rPr>
          <w:rFonts w:ascii="Calibri" w:eastAsia="Calibri" w:hAnsi="Calibri" w:cs="Calibri"/>
        </w:rPr>
        <w:fldChar w:fldCharType="separate"/>
      </w:r>
      <w:r w:rsidR="008F1818" w:rsidRPr="008F1818">
        <w:rPr>
          <w:rFonts w:ascii="Calibri" w:hAnsi="Calibri" w:cs="Calibri"/>
        </w:rPr>
        <w:t>[6–12]</w:t>
      </w:r>
      <w:r w:rsidR="008F1818">
        <w:rPr>
          <w:rFonts w:ascii="Calibri" w:eastAsia="Calibri" w:hAnsi="Calibri" w:cs="Calibri"/>
        </w:rPr>
        <w:fldChar w:fldCharType="end"/>
      </w:r>
      <w:r w:rsidRPr="005878A0">
        <w:rPr>
          <w:rFonts w:ascii="Calibri" w:eastAsia="Calibri" w:hAnsi="Calibri" w:cs="Calibri"/>
        </w:rPr>
        <w:t xml:space="preserve">. In contrast, </w:t>
      </w:r>
      <w:r w:rsidR="006A1041">
        <w:rPr>
          <w:rFonts w:ascii="Calibri" w:eastAsia="Calibri" w:hAnsi="Calibri" w:cs="Calibri"/>
        </w:rPr>
        <w:t xml:space="preserve">three studies </w:t>
      </w:r>
      <w:r w:rsidRPr="005878A0">
        <w:rPr>
          <w:rFonts w:ascii="Calibri" w:eastAsia="Calibri" w:hAnsi="Calibri" w:cs="Calibri"/>
        </w:rPr>
        <w:t>clearly established early or longitudinal sampling</w:t>
      </w:r>
      <w:r w:rsidR="00996C52">
        <w:rPr>
          <w:rFonts w:ascii="Calibri" w:eastAsia="Calibri" w:hAnsi="Calibri" w:cs="Calibri"/>
        </w:rPr>
        <w:t xml:space="preserve"> </w:t>
      </w:r>
      <w:r w:rsidR="005D7C80">
        <w:rPr>
          <w:rFonts w:ascii="Calibri" w:eastAsia="Calibri" w:hAnsi="Calibri" w:cs="Calibri"/>
        </w:rPr>
        <w:fldChar w:fldCharType="begin"/>
      </w:r>
      <w:r w:rsidR="005D7C80">
        <w:rPr>
          <w:rFonts w:ascii="Calibri" w:eastAsia="Calibri" w:hAnsi="Calibri" w:cs="Calibri"/>
        </w:rPr>
        <w:instrText xml:space="preserve"> ADDIN ZOTERO_ITEM CSL_CITATION {"citationID":"wiAPPwhV","properties":{"unsorted":false,"formattedCitation":"[13\\uc0\\u8211{}15]","plainCitation":"[13–15]","noteIndex":0},"citationItems":[{"id":689,"uris":["http://zotero.org/users/local/5m9g3R6r/items/KLDG3TGF"],"itemData":{"id":689,"type":"article-journal","abstract":"BACKGROUND: Dengue infection is a global health threat. While symptomatic cases contribute to morbidity and mortality, the majority of infected people are asymptomatic but serve as an important reservoir. However, the kinetics of viremia in asymptomatic infections remains unknown.\nMETHODS: We enrolled 279 hospital-based symptomatic index cases and quantified dengue virus (DENV) RNA at enrollment and at the day of defervescence. To identify asymptomatic cases, 175 household members of index cases were monitored for clinical symptoms during follow-up, and blood was taken twice weekly to test for and quantify DENV RNA until cleared.\nRESULTS: We detected DENV in thirteen asymptomatic household members (7.43%). Their DENV serotypes were primarily the same as those of their family index cases. The median peak DENV viremia in asymptomatic subjects was lower than that of symptomatic individuals during the febrile phase, and the viral decay rate was slower in asymptomatic infections.\nCONCLUSIONS: DENV level and kinetics in asymptomatic individuals differed significantly from those of symptomatic cases. Despite the lower viremia, the slower decay rate in asymptomatic infections could lead to their prolonging the infectious reservoir. The improvement of transmission control to prevent such long-lived asymptomatic infections from transmitting the DENV is needed.","container-title":"International journal of infectious diseases: IJID: official publication of the International Society for Infectious Diseases","DOI":"10.1016/j.ijid.2020.09.1446","ISSN":"1878-3511","journalAbbreviation":"Int J Infect Dis","language":"eng","page":"90-97","PMID":"32992011","source":"PubMed","title":"Dengue viremia kinetics in asymptomatic and symptomatic infection","volume":"101","author":[{"family":"Matangkasombut","given":"Ponpan"},{"family":"Manopwisedjaroen","given":"Kajohnpong"},{"family":"Pitabut","given":"Nada"},{"family":"Thaloengsok","given":"Sasikanya"},{"family":"Suraamornkul","given":"Swangjit"},{"family":"Yingtaweesak","given":"Tawatchai"},{"family":"Duong","given":"Veasna"},{"family":"Sakuntabhai","given":"Anavaj"},{"family":"Paul","given":"Richard"},{"family":"Singhasivanon","given":"Pratap"}],"issued":{"date-parts":[["2020",12]]}}},{"id":625,"uris":["http://zotero.org/users/local/5m9g3R6r/items/HF9S7JGB"],"itemData":{"id":625,"type":"article-journal","abstract":"Objectives Plasma leakage, a hallmark of disease in Dengue virus (DENV) infection, is an important clinical manifestation and is often associated with numerous factors such as viral factors. The aim of this study is to investigate the association of virus serotype, viral load kinetics, history of infection, and NS1 protein with plasma leakage. Methods Subjects with fever ≤ 48 hours and positive DENV infection were included. Serial laboratory tests, viral load measurements, and ultrasonography examination to assess plasma leakage were performed. Results DENV-3 was the most common serotype found in the plasma leakage group (35%). Patients with plasma leakage demonstrated a trend of higher viral load and a longer duration of viremia compared to those without. This was significantly observed on the fourth day of fever (p = 0.037). We found higher viral loads on specific days in patients with plasma leakage in both primary and secondary infections compared to those without. In addition, we also observed more rapid viral clearance in patients with secondary infection. NS1 protein, especially after 4 days of fever, was associated with higher peak viral load level, even though it was not statistically significant (p = 0.470). However, pairwise comparison demonstrated that peak viral load level in the group of patients with circulating NS1 detected for 7 days was significantly higher than the 5-day group (p = 0.037). Conclusion DENV-3 was the most common serotype to cause plasma leakage. Patients with plasma leakage showed a trend of higher viral load and a longer duration of viremia. Higher level of viral load was observed significantly on day 5 in patients with primary infection and more rapid viral clearance was observed in patients with secondary infection. Longer duration of circulating NS1 protein was also seen to be positively correlated with higher peak viral load level although not statistically significant.","container-title":"PLOS ONE","DOI":"10.1371/journal.pone.0285087","ISSN":"1932-6203","issue":"5","journalAbbreviation":"PLOS ONE","language":"en","page":"e0285087","publisher":"Public Library of Science","source":"PLoS Journals","title":"Association of viral kinetics, infection history, NS1 protein with plasma leakage among Indonesian dengue infected patients","volume":"18","author":[{"family":"Nainggolan","given":"Leonard"},{"family":"Dewi","given":"Beti Ernawati"},{"family":"Hakiki","given":"Arif"},{"family":"Pranata","given":"Antony Joseph"},{"family":"Sudiro","given":"Tjahjani Mirawati"},{"family":"Martina","given":"Byron"},{"family":"Gorp","given":"Eric","dropping-particle":"van"}],"issued":{"date-parts":[["2023",5,2]]}}},{"id":565,"uris":["http://zotero.org/users/local/5m9g3R6r/items/RCU4PIYT"],"itemData":{"id":565,"type":"article-journal","abstract":"Background:\nViremia is a critical factor in understanding the pathogenesis of dengue infection, but limited data exist on viremia kinetics. This study aimed to investigate the kinetics of viremia and its effects on subsequent platelet count, severe dengue, and plasma leakage.\n\nMethods:\nWe pooled data from three studies conducted in Vietnam between 2000 and 2016, involving 2340 dengue patients with daily viremia measurements and platelet counts after symptom onset. Viremia kinetics were assessed using a random effects model that accounted for left-censored data. The effects of viremia on subsequent platelet count and clinical outcomes were examined using a landmark approach with a random effects model and logistic regression model with generalized estimating equations, respectively. The rate of viremia decline was derived from the model of viremia kinetics. Its effect on the clinical outcomes was assessed by logistic regression models.\n\nResults:\nViremia levels rapidly decreased following symptom onset, with variations observed depending on the infecting serotype. DENV-1 exhibited the highest mean viremia levels during the first 5–6 days, while DENV-4 demonstrated the shortest clearance time. Higher viremia levels were associated with decreased subsequent platelet counts from day 6 onwards. Elevated viremia levels on each illness day increased the risk of developing severe dengue and plasma leakage. However, the effect size decreased with later illness days. A more rapid decline in viremia is associated with a reduced risk of the clinical outcomes.\n\nConclusions:\nThis study provides comprehensive insights into viremia kinetics and its effect on subsequent platelet count and clinical outcomes in dengue patients. Our findings underscore the importance of measuring viremia levels during the early febrile phase for dengue studies and support the use of viremia kinetics as outcome for phase-2 dengue therapeutic trials.\n\nFunding:\nWellcome Trust and European Union Seventh Framework Programme.","container-title":"eLife","DOI":"10.7554/eLife.92606","ISSN":"2050-084X","journalAbbreviation":"eLife","page":"RP92606","PMID":"38904662","PMCID":"PMC11192532","source":"PubMed Central","title":"Dengue viremia kinetics and effects on platelet count and clinical outcomes: An analysis of 2340 patients from Vietnam","title-short":"Dengue viremia kinetics and effects on platelet count and clinical outcomes","volume":"13","author":[{"family":"Vuong","given":"Nguyen Lam"},{"family":"Quyen","given":"Nguyen Than Ha"},{"family":"Tien","given":"Nguyen Thi Hanh"},{"family":"Duong Thi Hue","given":"Kien"},{"family":"Duyen","given":"Huynh Thi Le"},{"family":"Lam","given":"Phung Khanh"},{"family":"Tam","given":"Dong Thi Hoai"},{"family":"Van Ngoc","given":"Tran"},{"family":"Jaenisch","given":"Thomas"},{"family":"Simmons","given":"Cameron P"},{"family":"Yacoub","given":"Sophie"},{"family":"Wills","given":"Bridget A"},{"family":"Geskus","given":"Ronald"}]}}],"schema":"https://github.com/citation-style-language/schema/raw/master/csl-citation.json"} </w:instrText>
      </w:r>
      <w:r w:rsidR="005D7C80">
        <w:rPr>
          <w:rFonts w:ascii="Calibri" w:eastAsia="Calibri" w:hAnsi="Calibri" w:cs="Calibri"/>
        </w:rPr>
        <w:fldChar w:fldCharType="separate"/>
      </w:r>
      <w:r w:rsidR="005D7C80" w:rsidRPr="005D7C80">
        <w:rPr>
          <w:rFonts w:ascii="Calibri" w:hAnsi="Calibri" w:cs="Calibri"/>
        </w:rPr>
        <w:t>[13–15]</w:t>
      </w:r>
      <w:r w:rsidR="005D7C80">
        <w:rPr>
          <w:rFonts w:ascii="Calibri" w:eastAsia="Calibri" w:hAnsi="Calibri" w:cs="Calibri"/>
        </w:rPr>
        <w:fldChar w:fldCharType="end"/>
      </w:r>
      <w:r w:rsidRPr="005878A0">
        <w:rPr>
          <w:rFonts w:ascii="Calibri" w:eastAsia="Calibri" w:hAnsi="Calibri" w:cs="Calibri"/>
        </w:rPr>
        <w:t>.</w:t>
      </w:r>
      <w:r>
        <w:rPr>
          <w:rFonts w:ascii="Calibri" w:eastAsia="Calibri" w:hAnsi="Calibri" w:cs="Calibri"/>
        </w:rPr>
        <w:t xml:space="preserve"> </w:t>
      </w:r>
      <w:r w:rsidR="006F54FA">
        <w:rPr>
          <w:rFonts w:ascii="Calibri" w:eastAsia="Calibri" w:hAnsi="Calibri" w:cs="Calibri"/>
        </w:rPr>
        <w:t>A subset of</w:t>
      </w:r>
      <w:r w:rsidRPr="005878A0">
        <w:rPr>
          <w:rFonts w:ascii="Calibri" w:eastAsia="Calibri" w:hAnsi="Calibri" w:cs="Calibri"/>
        </w:rPr>
        <w:t xml:space="preserve"> studies accounted for illness day at sampling,</w:t>
      </w:r>
      <w:r w:rsidR="00806D00">
        <w:rPr>
          <w:rFonts w:ascii="Calibri" w:eastAsia="Calibri" w:hAnsi="Calibri" w:cs="Calibri"/>
        </w:rPr>
        <w:t xml:space="preserve"> and</w:t>
      </w:r>
      <w:r w:rsidRPr="005878A0">
        <w:rPr>
          <w:rFonts w:ascii="Calibri" w:eastAsia="Calibri" w:hAnsi="Calibri" w:cs="Calibri"/>
        </w:rPr>
        <w:t xml:space="preserve"> only t</w:t>
      </w:r>
      <w:r w:rsidR="000442FB">
        <w:rPr>
          <w:rFonts w:ascii="Calibri" w:eastAsia="Calibri" w:hAnsi="Calibri" w:cs="Calibri"/>
        </w:rPr>
        <w:t>wo</w:t>
      </w:r>
      <w:r w:rsidRPr="005878A0">
        <w:rPr>
          <w:rFonts w:ascii="Calibri" w:eastAsia="Calibri" w:hAnsi="Calibri" w:cs="Calibri"/>
        </w:rPr>
        <w:t xml:space="preserve"> studies </w:t>
      </w:r>
      <w:r w:rsidR="00A93AC5">
        <w:rPr>
          <w:rFonts w:ascii="Calibri" w:eastAsia="Calibri" w:hAnsi="Calibri" w:cs="Calibri"/>
        </w:rPr>
        <w:fldChar w:fldCharType="begin"/>
      </w:r>
      <w:r w:rsidR="000442FB">
        <w:rPr>
          <w:rFonts w:ascii="Calibri" w:eastAsia="Calibri" w:hAnsi="Calibri" w:cs="Calibri"/>
        </w:rPr>
        <w:instrText xml:space="preserve"> ADDIN ZOTERO_ITEM CSL_CITATION {"citationID":"TvesMv6B","properties":{"unsorted":false,"formattedCitation":"[13,15]","plainCitation":"[13,15]","noteIndex":0},"citationItems":[{"id":689,"uris":["http://zotero.org/users/local/5m9g3R6r/items/KLDG3TGF"],"itemData":{"id":689,"type":"article-journal","abstract":"BACKGROUND: Dengue infection is a global health threat. While symptomatic cases contribute to morbidity and mortality, the majority of infected people are asymptomatic but serve as an important reservoir. However, the kinetics of viremia in asymptomatic infections remains unknown.\nMETHODS: We enrolled 279 hospital-based symptomatic index cases and quantified dengue virus (DENV) RNA at enrollment and at the day of defervescence. To identify asymptomatic cases, 175 household members of index cases were monitored for clinical symptoms during follow-up, and blood was taken twice weekly to test for and quantify DENV RNA until cleared.\nRESULTS: We detected DENV in thirteen asymptomatic household members (7.43%). Their DENV serotypes were primarily the same as those of their family index cases. The median peak DENV viremia in asymptomatic subjects was lower than that of symptomatic individuals during the febrile phase, and the viral decay rate was slower in asymptomatic infections.\nCONCLUSIONS: DENV level and kinetics in asymptomatic individuals differed significantly from those of symptomatic cases. Despite the lower viremia, the slower decay rate in asymptomatic infections could lead to their prolonging the infectious reservoir. The improvement of transmission control to prevent such long-lived asymptomatic infections from transmitting the DENV is needed.","container-title":"International journal of infectious diseases: IJID: official publication of the International Society for Infectious Diseases","DOI":"10.1016/j.ijid.2020.09.1446","ISSN":"1878-3511","journalAbbreviation":"Int J Infect Dis","language":"eng","page":"90-97","PMID":"32992011","source":"PubMed","title":"Dengue viremia kinetics in asymptomatic and symptomatic infection","volume":"101","author":[{"family":"Matangkasombut","given":"Ponpan"},{"family":"Manopwisedjaroen","given":"Kajohnpong"},{"family":"Pitabut","given":"Nada"},{"family":"Thaloengsok","given":"Sasikanya"},{"family":"Suraamornkul","given":"Swangjit"},{"family":"Yingtaweesak","given":"Tawatchai"},{"family":"Duong","given":"Veasna"},{"family":"Sakuntabhai","given":"Anavaj"},{"family":"Paul","given":"Richard"},{"family":"Singhasivanon","given":"Pratap"}],"issued":{"date-parts":[["2020",12]]}}},{"id":565,"uris":["http://zotero.org/users/local/5m9g3R6r/items/RCU4PIYT"],"itemData":{"id":565,"type":"article-journal","abstract":"Background:\nViremia is a critical factor in understanding the pathogenesis of dengue infection, but limited data exist on viremia kinetics. This study aimed to investigate the kinetics of viremia and its effects on subsequent platelet count, severe dengue, and plasma leakage.\n\nMethods:\nWe pooled data from three studies conducted in Vietnam between 2000 and 2016, involving 2340 dengue patients with daily viremia measurements and platelet counts after symptom onset. Viremia kinetics were assessed using a random effects model that accounted for left-censored data. The effects of viremia on subsequent platelet count and clinical outcomes were examined using a landmark approach with a random effects model and logistic regression model with generalized estimating equations, respectively. The rate of viremia decline was derived from the model of viremia kinetics. Its effect on the clinical outcomes was assessed by logistic regression models.\n\nResults:\nViremia levels rapidly decreased following symptom onset, with variations observed depending on the infecting serotype. DENV-1 exhibited the highest mean viremia levels during the first 5–6 days, while DENV-4 demonstrated the shortest clearance time. Higher viremia levels were associated with decreased subsequent platelet counts from day 6 onwards. Elevated viremia levels on each illness day increased the risk of developing severe dengue and plasma leakage. However, the effect size decreased with later illness days. A more rapid decline in viremia is associated with a reduced risk of the clinical outcomes.\n\nConclusions:\nThis study provides comprehensive insights into viremia kinetics and its effect on subsequent platelet count and clinical outcomes in dengue patients. Our findings underscore the importance of measuring viremia levels during the early febrile phase for dengue studies and support the use of viremia kinetics as outcome for phase-2 dengue therapeutic trials.\n\nFunding:\nWellcome Trust and European Union Seventh Framework Programme.","container-title":"eLife","DOI":"10.7554/eLife.92606","ISSN":"2050-084X","journalAbbreviation":"eLife","page":"RP92606","PMID":"38904662","PMCID":"PMC11192532","source":"PubMed Central","title":"Dengue viremia kinetics and effects on platelet count and clinical outcomes: An analysis of 2340 patients from Vietnam","title-short":"Dengue viremia kinetics and effects on platelet count and clinical outcomes","volume":"13","author":[{"family":"Vuong","given":"Nguyen Lam"},{"family":"Quyen","given":"Nguyen Than Ha"},{"family":"Tien","given":"Nguyen Thi Hanh"},{"family":"Duong Thi Hue","given":"Kien"},{"family":"Duyen","given":"Huynh Thi Le"},{"family":"Lam","given":"Phung Khanh"},{"family":"Tam","given":"Dong Thi Hoai"},{"family":"Van Ngoc","given":"Tran"},{"family":"Jaenisch","given":"Thomas"},{"family":"Simmons","given":"Cameron P"},{"family":"Yacoub","given":"Sophie"},{"family":"Wills","given":"Bridget A"},{"family":"Geskus","given":"Ronald"}]}}],"schema":"https://github.com/citation-style-language/schema/raw/master/csl-citation.json"} </w:instrText>
      </w:r>
      <w:r w:rsidR="00A93AC5">
        <w:rPr>
          <w:rFonts w:ascii="Calibri" w:eastAsia="Calibri" w:hAnsi="Calibri" w:cs="Calibri"/>
        </w:rPr>
        <w:fldChar w:fldCharType="separate"/>
      </w:r>
      <w:r w:rsidR="000442FB" w:rsidRPr="000442FB">
        <w:rPr>
          <w:rFonts w:ascii="Calibri" w:hAnsi="Calibri" w:cs="Calibri"/>
        </w:rPr>
        <w:t>[13,15]</w:t>
      </w:r>
      <w:r w:rsidR="00A93AC5">
        <w:rPr>
          <w:rFonts w:ascii="Calibri" w:eastAsia="Calibri" w:hAnsi="Calibri" w:cs="Calibri"/>
        </w:rPr>
        <w:fldChar w:fldCharType="end"/>
      </w:r>
      <w:r w:rsidR="008A3639">
        <w:rPr>
          <w:rFonts w:ascii="Calibri" w:eastAsia="Calibri" w:hAnsi="Calibri" w:cs="Calibri"/>
        </w:rPr>
        <w:t xml:space="preserve"> </w:t>
      </w:r>
      <w:r>
        <w:rPr>
          <w:rFonts w:ascii="Calibri" w:eastAsia="Calibri" w:hAnsi="Calibri" w:cs="Calibri"/>
        </w:rPr>
        <w:t xml:space="preserve">also </w:t>
      </w:r>
      <w:r w:rsidRPr="005878A0">
        <w:rPr>
          <w:rFonts w:ascii="Calibri" w:eastAsia="Calibri" w:hAnsi="Calibri" w:cs="Calibri"/>
        </w:rPr>
        <w:t>a</w:t>
      </w:r>
      <w:r>
        <w:rPr>
          <w:rFonts w:ascii="Calibri" w:eastAsia="Calibri" w:hAnsi="Calibri" w:cs="Calibri"/>
        </w:rPr>
        <w:t>ccounted</w:t>
      </w:r>
      <w:r w:rsidRPr="005878A0">
        <w:rPr>
          <w:rFonts w:ascii="Calibri" w:eastAsia="Calibri" w:hAnsi="Calibri" w:cs="Calibri"/>
        </w:rPr>
        <w:t xml:space="preserve"> for additional</w:t>
      </w:r>
      <w:r>
        <w:rPr>
          <w:rFonts w:ascii="Calibri" w:eastAsia="Calibri" w:hAnsi="Calibri" w:cs="Calibri"/>
        </w:rPr>
        <w:t xml:space="preserve"> host or viral</w:t>
      </w:r>
      <w:r w:rsidRPr="005878A0">
        <w:rPr>
          <w:rFonts w:ascii="Calibri" w:eastAsia="Calibri" w:hAnsi="Calibri" w:cs="Calibri"/>
        </w:rPr>
        <w:t xml:space="preserve"> confounders. </w:t>
      </w:r>
      <w:r w:rsidR="008807CB" w:rsidRPr="008807CB">
        <w:rPr>
          <w:rFonts w:ascii="Calibri" w:eastAsia="Calibri" w:hAnsi="Calibri" w:cs="Calibri"/>
        </w:rPr>
        <w:t xml:space="preserve">The extent of adjustment differed, with Matangkasombut et al. using generalised linear modelling </w:t>
      </w:r>
      <w:r w:rsidR="00EB6194">
        <w:rPr>
          <w:rFonts w:ascii="Calibri" w:eastAsia="Calibri" w:hAnsi="Calibri" w:cs="Calibri"/>
        </w:rPr>
        <w:fldChar w:fldCharType="begin"/>
      </w:r>
      <w:r w:rsidR="00EB6194">
        <w:rPr>
          <w:rFonts w:ascii="Calibri" w:eastAsia="Calibri" w:hAnsi="Calibri" w:cs="Calibri"/>
        </w:rPr>
        <w:instrText xml:space="preserve"> ADDIN ZOTERO_ITEM CSL_CITATION {"citationID":"nZpvHFq6","properties":{"unsorted":false,"formattedCitation":"[13]","plainCitation":"[13]","noteIndex":0},"citationItems":[{"id":689,"uris":["http://zotero.org/users/local/5m9g3R6r/items/KLDG3TGF"],"itemData":{"id":689,"type":"article-journal","abstract":"BACKGROUND: Dengue infection is a global health threat. While symptomatic cases contribute to morbidity and mortality, the majority of infected people are asymptomatic but serve as an important reservoir. However, the kinetics of viremia in asymptomatic infections remains unknown.\nMETHODS: We enrolled 279 hospital-based symptomatic index cases and quantified dengue virus (DENV) RNA at enrollment and at the day of defervescence. To identify asymptomatic cases, 175 household members of index cases were monitored for clinical symptoms during follow-up, and blood was taken twice weekly to test for and quantify DENV RNA until cleared.\nRESULTS: We detected DENV in thirteen asymptomatic household members (7.43%). Their DENV serotypes were primarily the same as those of their family index cases. The median peak DENV viremia in asymptomatic subjects was lower than that of symptomatic individuals during the febrile phase, and the viral decay rate was slower in asymptomatic infections.\nCONCLUSIONS: DENV level and kinetics in asymptomatic individuals differed significantly from those of symptomatic cases. Despite the lower viremia, the slower decay rate in asymptomatic infections could lead to their prolonging the infectious reservoir. The improvement of transmission control to prevent such long-lived asymptomatic infections from transmitting the DENV is needed.","container-title":"International journal of infectious diseases: IJID: official publication of the International Society for Infectious Diseases","DOI":"10.1016/j.ijid.2020.09.1446","ISSN":"1878-3511","journalAbbreviation":"Int J Infect Dis","language":"eng","page":"90-97","PMID":"32992011","source":"PubMed","title":"Dengue viremia kinetics in asymptomatic and symptomatic infection","volume":"101","author":[{"family":"Matangkasombut","given":"Ponpan"},{"family":"Manopwisedjaroen","given":"Kajohnpong"},{"family":"Pitabut","given":"Nada"},{"family":"Thaloengsok","given":"Sasikanya"},{"family":"Suraamornkul","given":"Swangjit"},{"family":"Yingtaweesak","given":"Tawatchai"},{"family":"Duong","given":"Veasna"},{"family":"Sakuntabhai","given":"Anavaj"},{"family":"Paul","given":"Richard"},{"family":"Singhasivanon","given":"Pratap"}],"issued":{"date-parts":[["2020",12]]}}}],"schema":"https://github.com/citation-style-language/schema/raw/master/csl-citation.json"} </w:instrText>
      </w:r>
      <w:r w:rsidR="00EB6194">
        <w:rPr>
          <w:rFonts w:ascii="Calibri" w:eastAsia="Calibri" w:hAnsi="Calibri" w:cs="Calibri"/>
        </w:rPr>
        <w:fldChar w:fldCharType="separate"/>
      </w:r>
      <w:r w:rsidR="00EB6194" w:rsidRPr="00EB6194">
        <w:rPr>
          <w:rFonts w:ascii="Calibri" w:hAnsi="Calibri" w:cs="Calibri"/>
        </w:rPr>
        <w:t>[13]</w:t>
      </w:r>
      <w:r w:rsidR="00EB6194">
        <w:rPr>
          <w:rFonts w:ascii="Calibri" w:eastAsia="Calibri" w:hAnsi="Calibri" w:cs="Calibri"/>
        </w:rPr>
        <w:fldChar w:fldCharType="end"/>
      </w:r>
      <w:r w:rsidR="008807CB" w:rsidRPr="008807CB">
        <w:rPr>
          <w:rFonts w:ascii="Calibri" w:eastAsia="Calibri" w:hAnsi="Calibri" w:cs="Calibri"/>
        </w:rPr>
        <w:t>, whereas Vuong et al. adjusted for a broader range of potential confounders</w:t>
      </w:r>
      <w:r w:rsidR="008807CB">
        <w:rPr>
          <w:rFonts w:ascii="Calibri" w:eastAsia="Calibri" w:hAnsi="Calibri" w:cs="Calibri"/>
        </w:rPr>
        <w:t xml:space="preserve"> </w:t>
      </w:r>
      <w:r>
        <w:rPr>
          <w:rFonts w:ascii="Calibri" w:eastAsia="Calibri" w:hAnsi="Calibri" w:cs="Calibri"/>
        </w:rPr>
        <w:t>analyses</w:t>
      </w:r>
      <w:r w:rsidR="008A3639">
        <w:rPr>
          <w:rFonts w:ascii="Calibri" w:eastAsia="Calibri" w:hAnsi="Calibri" w:cs="Calibri"/>
        </w:rPr>
        <w:t xml:space="preserve"> </w:t>
      </w:r>
      <w:r w:rsidR="008A3639">
        <w:rPr>
          <w:rFonts w:ascii="Calibri" w:eastAsia="Calibri" w:hAnsi="Calibri" w:cs="Calibri"/>
        </w:rPr>
        <w:fldChar w:fldCharType="begin"/>
      </w:r>
      <w:r w:rsidR="008A3639">
        <w:rPr>
          <w:rFonts w:ascii="Calibri" w:eastAsia="Calibri" w:hAnsi="Calibri" w:cs="Calibri"/>
        </w:rPr>
        <w:instrText xml:space="preserve"> ADDIN ZOTERO_ITEM CSL_CITATION {"citationID":"QZHOk6ha","properties":{"unsorted":false,"formattedCitation":"[15]","plainCitation":"[15]","noteIndex":0},"citationItems":[{"id":565,"uris":["http://zotero.org/users/local/5m9g3R6r/items/RCU4PIYT"],"itemData":{"id":565,"type":"article-journal","abstract":"Background:\nViremia is a critical factor in understanding the pathogenesis of dengue infection, but limited data exist on viremia kinetics. This study aimed to investigate the kinetics of viremia and its effects on subsequent platelet count, severe dengue, and plasma leakage.\n\nMethods:\nWe pooled data from three studies conducted in Vietnam between 2000 and 2016, involving 2340 dengue patients with daily viremia measurements and platelet counts after symptom onset. Viremia kinetics were assessed using a random effects model that accounted for left-censored data. The effects of viremia on subsequent platelet count and clinical outcomes were examined using a landmark approach with a random effects model and logistic regression model with generalized estimating equations, respectively. The rate of viremia decline was derived from the model of viremia kinetics. Its effect on the clinical outcomes was assessed by logistic regression models.\n\nResults:\nViremia levels rapidly decreased following symptom onset, with variations observed depending on the infecting serotype. DENV-1 exhibited the highest mean viremia levels during the first 5–6 days, while DENV-4 demonstrated the shortest clearance time. Higher viremia levels were associated with decreased subsequent platelet counts from day 6 onwards. Elevated viremia levels on each illness day increased the risk of developing severe dengue and plasma leakage. However, the effect size decreased with later illness days. A more rapid decline in viremia is associated with a reduced risk of the clinical outcomes.\n\nConclusions:\nThis study provides comprehensive insights into viremia kinetics and its effect on subsequent platelet count and clinical outcomes in dengue patients. Our findings underscore the importance of measuring viremia levels during the early febrile phase for dengue studies and support the use of viremia kinetics as outcome for phase-2 dengue therapeutic trials.\n\nFunding:\nWellcome Trust and European Union Seventh Framework Programme.","container-title":"eLife","DOI":"10.7554/eLife.92606","ISSN":"2050-084X","journalAbbreviation":"eLife","page":"RP92606","PMID":"38904662","PMCID":"PMC11192532","source":"PubMed Central","title":"Dengue viremia kinetics and effects on platelet count and clinical outcomes: An analysis of 2340 patients from Vietnam","title-short":"Dengue viremia kinetics and effects on platelet count and clinical outcomes","volume":"13","author":[{"family":"Vuong","given":"Nguyen Lam"},{"family":"Quyen","given":"Nguyen Than Ha"},{"family":"Tien","given":"Nguyen Thi Hanh"},{"family":"Duong Thi Hue","given":"Kien"},{"family":"Duyen","given":"Huynh Thi Le"},{"family":"Lam","given":"Phung Khanh"},{"family":"Tam","given":"Dong Thi Hoai"},{"family":"Van Ngoc","given":"Tran"},{"family":"Jaenisch","given":"Thomas"},{"family":"Simmons","given":"Cameron P"},{"family":"Yacoub","given":"Sophie"},{"family":"Wills","given":"Bridget A"},{"family":"Geskus","given":"Ronald"}]}}],"schema":"https://github.com/citation-style-language/schema/raw/master/csl-citation.json"} </w:instrText>
      </w:r>
      <w:r w:rsidR="008A3639">
        <w:rPr>
          <w:rFonts w:ascii="Calibri" w:eastAsia="Calibri" w:hAnsi="Calibri" w:cs="Calibri"/>
        </w:rPr>
        <w:fldChar w:fldCharType="separate"/>
      </w:r>
      <w:r w:rsidR="008A3639" w:rsidRPr="008A3639">
        <w:rPr>
          <w:rFonts w:ascii="Calibri" w:hAnsi="Calibri" w:cs="Calibri"/>
        </w:rPr>
        <w:t>[15]</w:t>
      </w:r>
      <w:r w:rsidR="008A3639">
        <w:rPr>
          <w:rFonts w:ascii="Calibri" w:eastAsia="Calibri" w:hAnsi="Calibri" w:cs="Calibri"/>
        </w:rPr>
        <w:fldChar w:fldCharType="end"/>
      </w:r>
      <w:r>
        <w:rPr>
          <w:rFonts w:ascii="Calibri" w:eastAsia="Calibri" w:hAnsi="Calibri" w:cs="Calibri"/>
        </w:rPr>
        <w:t xml:space="preserve">. </w:t>
      </w:r>
      <w:r w:rsidRPr="00B857DD">
        <w:rPr>
          <w:rFonts w:ascii="Calibri" w:eastAsia="Calibri" w:hAnsi="Calibri" w:cs="Calibri"/>
        </w:rPr>
        <w:t>The low quality rating of Arragain</w:t>
      </w:r>
      <w:r>
        <w:rPr>
          <w:rFonts w:ascii="Calibri" w:eastAsia="Calibri" w:hAnsi="Calibri" w:cs="Calibri"/>
        </w:rPr>
        <w:t xml:space="preserve"> et al.</w:t>
      </w:r>
      <w:r w:rsidRPr="00B857DD">
        <w:rPr>
          <w:rFonts w:ascii="Calibri" w:eastAsia="Calibri" w:hAnsi="Calibri" w:cs="Calibri"/>
        </w:rPr>
        <w:t xml:space="preserve"> was primarily due to the absence of a clear</w:t>
      </w:r>
      <w:r>
        <w:rPr>
          <w:rFonts w:ascii="Calibri" w:eastAsia="Calibri" w:hAnsi="Calibri" w:cs="Calibri"/>
        </w:rPr>
        <w:t xml:space="preserve"> comparison between severity classifications</w:t>
      </w:r>
      <w:r w:rsidRPr="00B857DD">
        <w:rPr>
          <w:rFonts w:ascii="Calibri" w:eastAsia="Calibri" w:hAnsi="Calibri" w:cs="Calibri"/>
        </w:rPr>
        <w:t>, lack of evidence that outcomes were not present at baseline</w:t>
      </w:r>
      <w:r>
        <w:rPr>
          <w:rFonts w:ascii="Calibri" w:eastAsia="Calibri" w:hAnsi="Calibri" w:cs="Calibri"/>
        </w:rPr>
        <w:t>,</w:t>
      </w:r>
      <w:r w:rsidRPr="00B857DD">
        <w:rPr>
          <w:rFonts w:ascii="Calibri" w:eastAsia="Calibri" w:hAnsi="Calibri" w:cs="Calibri"/>
        </w:rPr>
        <w:t xml:space="preserve"> and no adjustment for key confounders, substantially limiting the interpretability of its findings</w:t>
      </w:r>
      <w:r w:rsidR="00CD3651">
        <w:rPr>
          <w:rFonts w:ascii="Calibri" w:eastAsia="Calibri" w:hAnsi="Calibri" w:cs="Calibri"/>
        </w:rPr>
        <w:t xml:space="preserve"> </w:t>
      </w:r>
      <w:r w:rsidR="00CD3651">
        <w:rPr>
          <w:rFonts w:ascii="Calibri" w:eastAsia="Calibri" w:hAnsi="Calibri" w:cs="Calibri"/>
        </w:rPr>
        <w:fldChar w:fldCharType="begin"/>
      </w:r>
      <w:r w:rsidR="00CD3651">
        <w:rPr>
          <w:rFonts w:ascii="Calibri" w:eastAsia="Calibri" w:hAnsi="Calibri" w:cs="Calibri"/>
        </w:rPr>
        <w:instrText xml:space="preserve"> ADDIN ZOTERO_ITEM CSL_CITATION {"citationID":"giyE6aCt","properties":{"unsorted":false,"formattedCitation":"[6]","plainCitation":"[6]","noteIndex":0},"citationItems":[{"id":684,"uris":["http://zotero.org/users/local/5m9g3R6r/items/2WQP8I5C"],"itemData":{"id":684,"type":"article-journal","abstract":"SUMMARY: We investigated 10 mother-newborn pairs and found a 90% rate of dengue virus (DENV) transmission during the perinatal period. Here, we describe DENV kinetics in the sera of newborns before the onset of disease. Of the breast-milk samples analyzed, 75% tested positive for DENV.\nBACKGROUND: Dengue is the most common mosquito-borne viral disease in humans. With this study, we aimed to investigate the risk of vertical (DENV) transmission during the peripartum period and to describe its viral kinetics in serum and breast milk.\nMETHODS: We carried out a prospective study during the 2012-2013 dengue epidemic in New Caledonia, its most severe on record. All mothers hospitalized at the Centre Hospitalier Territorial in Nouméa, New Caledonia, with symptoms of dengue infection between 7 days before and 2 days after delivery and/or whose infant was infected during breastfeeding were investigated. DENV was detected and quantified by quantitative reverse-transcription polymerase chain reaction (qRT-PCR) in sera and breast milk (mothers), sera and gastric fluid (newborns), cord blood, and placentas. DENV kinetics and sequences in sera and breast milk were studied. Clinical presentation and biological evolution in mother-newborn pairs were analyzed.\nRESULTS: Ten mother-newborn pairs were investigated over an 11-month period. One premature birth, 3 hemorrhagic complications, and 1 maternal death occurred. Nine newborns were infected and symptomatic. One case of deep thrombocytopenia and 1 case of anoxic encephalopathy occurred. DENV was detected in breast milk samples from 9 (75%) of 12 infected breastfeeding mothers. Original DENV kinetics in sera and breast milk were described.\nCONCLUSIONS: The occurrence of vertical DENV transmission was high (90%) in viremic mothers at delivery, and these mothers and their infants were at major risk for obstetric and neonatal complications. The modes of viral transmission are difficult to clarify. The risk of DENV transmission through breast milk seems plausible. Close follow-up of mothers and prolonged surveillance of their newborns are required for minimizing complications. Complementary studies are needed to elaborate preventive recommendations.","container-title":"Journal of the Pediatric Infectious Diseases Society","DOI":"10.1093/jpids/piw058","ISSN":"2048-7207","issue":"4","journalAbbreviation":"J Pediatric Infect Dis Soc","language":"eng","page":"324-331","PMID":"27760799","source":"PubMed","title":"Vertical Transmission of Dengue Virus in the Peripartum Period and Viral Kinetics in Newborns and Breast Milk: New Data","title-short":"Vertical Transmission of Dengue Virus in the Peripartum Period and Viral Kinetics in Newborns and Breast Milk","volume":"6","author":[{"family":"Arragain","given":"Lucille"},{"family":"Dupont-Rouzeyrol","given":"Myrielle"},{"family":"O'Connor","given":"Olivia"},{"family":"Sigur","given":"Nathalie"},{"family":"Grangeon","given":"Jean-Paul"},{"family":"Huguon","given":"Emilie"},{"family":"Dechanet","given":"Clothilde"},{"family":"Cazorla","given":"Cécile"},{"family":"Gourinat","given":"Ann-Claire"},{"family":"Descloux","given":"Elodie"}],"issued":{"date-parts":[["2017",11,24]]}}}],"schema":"https://github.com/citation-style-language/schema/raw/master/csl-citation.json"} </w:instrText>
      </w:r>
      <w:r w:rsidR="00CD3651">
        <w:rPr>
          <w:rFonts w:ascii="Calibri" w:eastAsia="Calibri" w:hAnsi="Calibri" w:cs="Calibri"/>
        </w:rPr>
        <w:fldChar w:fldCharType="separate"/>
      </w:r>
      <w:r w:rsidR="00CD3651" w:rsidRPr="00CD3651">
        <w:rPr>
          <w:rFonts w:ascii="Calibri" w:hAnsi="Calibri" w:cs="Calibri"/>
        </w:rPr>
        <w:t>[6]</w:t>
      </w:r>
      <w:r w:rsidR="00CD3651">
        <w:rPr>
          <w:rFonts w:ascii="Calibri" w:eastAsia="Calibri" w:hAnsi="Calibri" w:cs="Calibri"/>
        </w:rPr>
        <w:fldChar w:fldCharType="end"/>
      </w:r>
      <w:r w:rsidRPr="00B857DD">
        <w:rPr>
          <w:rFonts w:ascii="Calibri" w:eastAsia="Calibri" w:hAnsi="Calibri" w:cs="Calibri"/>
        </w:rPr>
        <w:t>.</w:t>
      </w:r>
    </w:p>
    <w:p w14:paraId="6B6E6AF7" w14:textId="77777777" w:rsidR="00D643AE" w:rsidRPr="006A5F09" w:rsidRDefault="00D643AE" w:rsidP="00DA08BD">
      <w:pPr>
        <w:spacing w:after="0" w:line="276" w:lineRule="auto"/>
        <w:jc w:val="both"/>
        <w:rPr>
          <w:rFonts w:ascii="Calibri" w:eastAsia="Calibri" w:hAnsi="Calibri" w:cs="Calibri"/>
          <w:u w:val="single"/>
        </w:rPr>
      </w:pPr>
    </w:p>
    <w:p w14:paraId="625F7BC3" w14:textId="18B33AD1" w:rsidR="00627661" w:rsidRDefault="00627661" w:rsidP="00DA08BD">
      <w:pPr>
        <w:spacing w:after="0" w:line="276" w:lineRule="auto"/>
        <w:jc w:val="both"/>
      </w:pPr>
      <w:r w:rsidRPr="585A0EDF">
        <w:rPr>
          <w:rFonts w:ascii="Calibri" w:eastAsia="Calibri" w:hAnsi="Calibri" w:cs="Calibri"/>
        </w:rPr>
        <w:t xml:space="preserve">Supplementary Table </w:t>
      </w:r>
      <w:r w:rsidR="002A71C8">
        <w:rPr>
          <w:rFonts w:ascii="Calibri" w:eastAsia="Calibri" w:hAnsi="Calibri" w:cs="Calibri"/>
        </w:rPr>
        <w:t>2</w:t>
      </w:r>
      <w:r w:rsidRPr="585A0EDF">
        <w:rPr>
          <w:rFonts w:ascii="Calibri" w:eastAsia="Calibri" w:hAnsi="Calibri" w:cs="Calibri"/>
        </w:rPr>
        <w:t>: Quality assessment of cohort studies using the Newcastle-Ottawa Scale (NOS)</w:t>
      </w:r>
    </w:p>
    <w:tbl>
      <w:tblPr>
        <w:tblStyle w:val="TableGrid"/>
        <w:tblW w:w="10480" w:type="dxa"/>
        <w:tblLook w:val="04A0" w:firstRow="1" w:lastRow="0" w:firstColumn="1" w:lastColumn="0" w:noHBand="0" w:noVBand="1"/>
      </w:tblPr>
      <w:tblGrid>
        <w:gridCol w:w="2258"/>
        <w:gridCol w:w="1418"/>
        <w:gridCol w:w="1417"/>
        <w:gridCol w:w="1701"/>
        <w:gridCol w:w="1701"/>
        <w:gridCol w:w="1985"/>
      </w:tblGrid>
      <w:tr w:rsidR="00627661" w:rsidRPr="00C944B2" w14:paraId="22F8687B" w14:textId="77777777" w:rsidTr="00967E83">
        <w:trPr>
          <w:trHeight w:val="175"/>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041BCC79"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Author (Year)</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97FEF43"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Selection (4)</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C0AA4BE"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Comparability (2)</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F5F1133"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Outcome (3)</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D2394E3"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Score (9)</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1913AD9F" w14:textId="77777777" w:rsidR="00627661" w:rsidRPr="00C944B2" w:rsidRDefault="00627661" w:rsidP="00DA08BD">
            <w:pPr>
              <w:spacing w:line="276" w:lineRule="auto"/>
              <w:jc w:val="both"/>
              <w:rPr>
                <w:sz w:val="16"/>
                <w:szCs w:val="16"/>
              </w:rPr>
            </w:pPr>
            <w:r w:rsidRPr="00C944B2">
              <w:rPr>
                <w:rFonts w:ascii="Calibri" w:eastAsia="Calibri" w:hAnsi="Calibri" w:cs="Calibri"/>
                <w:b/>
                <w:bCs/>
                <w:sz w:val="16"/>
                <w:szCs w:val="16"/>
              </w:rPr>
              <w:t>Quality</w:t>
            </w:r>
          </w:p>
        </w:tc>
      </w:tr>
      <w:tr w:rsidR="00627661" w:rsidRPr="00C944B2" w14:paraId="023F32F5"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2ECD079C" w14:textId="554F2588"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Arragain (2016) </w:t>
            </w:r>
            <w:r w:rsidR="007C2C2B">
              <w:rPr>
                <w:rFonts w:ascii="Calibri" w:eastAsia="Calibri" w:hAnsi="Calibri" w:cs="Calibri"/>
                <w:sz w:val="16"/>
                <w:szCs w:val="16"/>
              </w:rPr>
              <w:fldChar w:fldCharType="begin"/>
            </w:r>
            <w:r w:rsidR="007C2C2B">
              <w:rPr>
                <w:rFonts w:ascii="Calibri" w:eastAsia="Calibri" w:hAnsi="Calibri" w:cs="Calibri"/>
                <w:sz w:val="16"/>
                <w:szCs w:val="16"/>
              </w:rPr>
              <w:instrText xml:space="preserve"> ADDIN ZOTERO_ITEM CSL_CITATION {"citationID":"vbdBoULL","properties":{"unsorted":false,"formattedCitation":"[6]","plainCitation":"[6]","noteIndex":0},"citationItems":[{"id":684,"uris":["http://zotero.org/users/local/5m9g3R6r/items/2WQP8I5C"],"itemData":{"id":684,"type":"article-journal","abstract":"SUMMARY: We investigated 10 mother-newborn pairs and found a 90% rate of dengue virus (DENV) transmission during the perinatal period. Here, we describe DENV kinetics in the sera of newborns before the onset of disease. Of the breast-milk samples analyzed, 75% tested positive for DENV.\nBACKGROUND: Dengue is the most common mosquito-borne viral disease in humans. With this study, we aimed to investigate the risk of vertical (DENV) transmission during the peripartum period and to describe its viral kinetics in serum and breast milk.\nMETHODS: We carried out a prospective study during the 2012-2013 dengue epidemic in New Caledonia, its most severe on record. All mothers hospitalized at the Centre Hospitalier Territorial in Nouméa, New Caledonia, with symptoms of dengue infection between 7 days before and 2 days after delivery and/or whose infant was infected during breastfeeding were investigated. DENV was detected and quantified by quantitative reverse-transcription polymerase chain reaction (qRT-PCR) in sera and breast milk (mothers), sera and gastric fluid (newborns), cord blood, and placentas. DENV kinetics and sequences in sera and breast milk were studied. Clinical presentation and biological evolution in mother-newborn pairs were analyzed.\nRESULTS: Ten mother-newborn pairs were investigated over an 11-month period. One premature birth, 3 hemorrhagic complications, and 1 maternal death occurred. Nine newborns were infected and symptomatic. One case of deep thrombocytopenia and 1 case of anoxic encephalopathy occurred. DENV was detected in breast milk samples from 9 (75%) of 12 infected breastfeeding mothers. Original DENV kinetics in sera and breast milk were described.\nCONCLUSIONS: The occurrence of vertical DENV transmission was high (90%) in viremic mothers at delivery, and these mothers and their infants were at major risk for obstetric and neonatal complications. The modes of viral transmission are difficult to clarify. The risk of DENV transmission through breast milk seems plausible. Close follow-up of mothers and prolonged surveillance of their newborns are required for minimizing complications. Complementary studies are needed to elaborate preventive recommendations.","container-title":"Journal of the Pediatric Infectious Diseases Society","DOI":"10.1093/jpids/piw058","ISSN":"2048-7207","issue":"4","journalAbbreviation":"J Pediatric Infect Dis Soc","language":"eng","page":"324-331","PMID":"27760799","source":"PubMed","title":"Vertical Transmission of Dengue Virus in the Peripartum Period and Viral Kinetics in Newborns and Breast Milk: New Data","title-short":"Vertical Transmission of Dengue Virus in the Peripartum Period and Viral Kinetics in Newborns and Breast Milk","volume":"6","author":[{"family":"Arragain","given":"Lucille"},{"family":"Dupont-Rouzeyrol","given":"Myrielle"},{"family":"O'Connor","given":"Olivia"},{"family":"Sigur","given":"Nathalie"},{"family":"Grangeon","given":"Jean-Paul"},{"family":"Huguon","given":"Emilie"},{"family":"Dechanet","given":"Clothilde"},{"family":"Cazorla","given":"Cécile"},{"family":"Gourinat","given":"Ann-Claire"},{"family":"Descloux","given":"Elodie"}],"issued":{"date-parts":[["2017",11,24]]}}}],"schema":"https://github.com/citation-style-language/schema/raw/master/csl-citation.json"} </w:instrText>
            </w:r>
            <w:r w:rsidR="007C2C2B">
              <w:rPr>
                <w:rFonts w:ascii="Calibri" w:eastAsia="Calibri" w:hAnsi="Calibri" w:cs="Calibri"/>
                <w:sz w:val="16"/>
                <w:szCs w:val="16"/>
              </w:rPr>
              <w:fldChar w:fldCharType="separate"/>
            </w:r>
            <w:r w:rsidR="007C2C2B" w:rsidRPr="007C2C2B">
              <w:rPr>
                <w:rFonts w:ascii="Calibri" w:hAnsi="Calibri" w:cs="Calibri"/>
                <w:sz w:val="16"/>
              </w:rPr>
              <w:t>[6]</w:t>
            </w:r>
            <w:r w:rsidR="007C2C2B">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AA9A5B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9483B19" w14:textId="77777777" w:rsidR="00627661" w:rsidRPr="00C944B2" w:rsidRDefault="00627661" w:rsidP="00DA08BD">
            <w:pPr>
              <w:spacing w:line="276" w:lineRule="auto"/>
              <w:rPr>
                <w:sz w:val="16"/>
                <w:szCs w:val="16"/>
              </w:rPr>
            </w:pPr>
            <w:r w:rsidRPr="00C944B2">
              <w:rPr>
                <w:rFonts w:ascii="Aptos" w:eastAsia="Aptos" w:hAnsi="Aptos" w:cs="Aptos"/>
                <w:sz w:val="16"/>
                <w:szCs w:val="16"/>
              </w:rPr>
              <w:t xml:space="preserve">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30FF616"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6609930"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5</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62E18F31"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Low</w:t>
            </w:r>
          </w:p>
        </w:tc>
      </w:tr>
      <w:tr w:rsidR="00627661" w:rsidRPr="00C944B2" w14:paraId="0F011575"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D92808C" w14:textId="1A8E32D9"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Bhatt (2024) </w:t>
            </w:r>
            <w:r w:rsidR="007C2C2B">
              <w:rPr>
                <w:rFonts w:ascii="Calibri" w:eastAsia="Calibri" w:hAnsi="Calibri" w:cs="Calibri"/>
                <w:sz w:val="16"/>
                <w:szCs w:val="16"/>
              </w:rPr>
              <w:fldChar w:fldCharType="begin"/>
            </w:r>
            <w:r w:rsidR="007C2C2B">
              <w:rPr>
                <w:rFonts w:ascii="Calibri" w:eastAsia="Calibri" w:hAnsi="Calibri" w:cs="Calibri"/>
                <w:sz w:val="16"/>
                <w:szCs w:val="16"/>
              </w:rPr>
              <w:instrText xml:space="preserve"> ADDIN ZOTERO_ITEM CSL_CITATION {"citationID":"q5biQIns","properties":{"unsorted":false,"formattedCitation":"[7]","plainCitation":"[7]","noteIndex":0},"citationItems":[{"id":455,"uris":["http://zotero.org/users/local/5m9g3R6r/items/QXF9HD67"],"itemData":{"id":455,"type":"article-journal","abstract":"Dengue virus (DENV) infection is an important public health problem and causes significant morbidity and mortality. DENV typically causes a febrile illness that ranges from mild asymptomatic infection to fatal dengue hemorrhagic fever (DHF) and/or dengue shock syndrome (DSS). Early prediction of severe dengue disease is of utmost importance for providing prompt monitoring and treatment. The search for an ideal biomarker (host or viral factors) for early prediction of severe dengue remains elusive.","container-title":"VirusDisease","DOI":"10.1007/s13337-024-00872-z","ISSN":"2347-3517","issue":"2","journalAbbreviation":"VirusDis.","language":"en","page":"250-259","source":"Springer Link","title":"Kinetics of dengue viremia and its association with disease severity: an ambispective study","title-short":"Kinetics of dengue viremia and its association with disease severity","volume":"35","author":[{"family":"Bhatt","given":"Puneet"},{"family":"Jayaram","given":"Anup"},{"family":"Varma","given":"Muralidhar"},{"family":"Mukhopadhyay","given":"Chiranjay"}],"issued":{"date-parts":[["2024",6,1]]}}}],"schema":"https://github.com/citation-style-language/schema/raw/master/csl-citation.json"} </w:instrText>
            </w:r>
            <w:r w:rsidR="007C2C2B">
              <w:rPr>
                <w:rFonts w:ascii="Calibri" w:eastAsia="Calibri" w:hAnsi="Calibri" w:cs="Calibri"/>
                <w:sz w:val="16"/>
                <w:szCs w:val="16"/>
              </w:rPr>
              <w:fldChar w:fldCharType="separate"/>
            </w:r>
            <w:r w:rsidR="007C2C2B" w:rsidRPr="007C2C2B">
              <w:rPr>
                <w:rFonts w:ascii="Calibri" w:hAnsi="Calibri" w:cs="Calibri"/>
                <w:sz w:val="16"/>
              </w:rPr>
              <w:t>[7]</w:t>
            </w:r>
            <w:r w:rsidR="007C2C2B">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85A66C3"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F25008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9925C5E"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EEE3866"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33F66803"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Moderate</w:t>
            </w:r>
          </w:p>
        </w:tc>
      </w:tr>
      <w:tr w:rsidR="00627661" w:rsidRPr="00C944B2" w14:paraId="6976E52C"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37A0DF3A" w14:textId="009FF257"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Matangkasombut (2020) </w:t>
            </w:r>
            <w:r w:rsidR="007C2C2B">
              <w:rPr>
                <w:rFonts w:ascii="Calibri" w:eastAsia="Calibri" w:hAnsi="Calibri" w:cs="Calibri"/>
                <w:sz w:val="16"/>
                <w:szCs w:val="16"/>
              </w:rPr>
              <w:fldChar w:fldCharType="begin"/>
            </w:r>
            <w:r w:rsidR="007C2C2B">
              <w:rPr>
                <w:rFonts w:ascii="Calibri" w:eastAsia="Calibri" w:hAnsi="Calibri" w:cs="Calibri"/>
                <w:sz w:val="16"/>
                <w:szCs w:val="16"/>
              </w:rPr>
              <w:instrText xml:space="preserve"> ADDIN ZOTERO_ITEM CSL_CITATION {"citationID":"YmNZfirr","properties":{"unsorted":false,"formattedCitation":"[13]","plainCitation":"[13]","noteIndex":0},"citationItems":[{"id":689,"uris":["http://zotero.org/users/local/5m9g3R6r/items/KLDG3TGF"],"itemData":{"id":689,"type":"article-journal","abstract":"BACKGROUND: Dengue infection is a global health threat. While symptomatic cases contribute to morbidity and mortality, the majority of infected people are asymptomatic but serve as an important reservoir. However, the kinetics of viremia in asymptomatic infections remains unknown.\nMETHODS: We enrolled 279 hospital-based symptomatic index cases and quantified dengue virus (DENV) RNA at enrollment and at the day of defervescence. To identify asymptomatic cases, 175 household members of index cases were monitored for clinical symptoms during follow-up, and blood was taken twice weekly to test for and quantify DENV RNA until cleared.\nRESULTS: We detected DENV in thirteen asymptomatic household members (7.43%). Their DENV serotypes were primarily the same as those of their family index cases. The median peak DENV viremia in asymptomatic subjects was lower than that of symptomatic individuals during the febrile phase, and the viral decay rate was slower in asymptomatic infections.\nCONCLUSIONS: DENV level and kinetics in asymptomatic individuals differed significantly from those of symptomatic cases. Despite the lower viremia, the slower decay rate in asymptomatic infections could lead to their prolonging the infectious reservoir. The improvement of transmission control to prevent such long-lived asymptomatic infections from transmitting the DENV is needed.","container-title":"International journal of infectious diseases: IJID: official publication of the International Society for Infectious Diseases","DOI":"10.1016/j.ijid.2020.09.1446","ISSN":"1878-3511","journalAbbreviation":"Int J Infect Dis","language":"eng","page":"90-97","PMID":"32992011","source":"PubMed","title":"Dengue viremia kinetics in asymptomatic and symptomatic infection","volume":"101","author":[{"family":"Matangkasombut","given":"Ponpan"},{"family":"Manopwisedjaroen","given":"Kajohnpong"},{"family":"Pitabut","given":"Nada"},{"family":"Thaloengsok","given":"Sasikanya"},{"family":"Suraamornkul","given":"Swangjit"},{"family":"Yingtaweesak","given":"Tawatchai"},{"family":"Duong","given":"Veasna"},{"family":"Sakuntabhai","given":"Anavaj"},{"family":"Paul","given":"Richard"},{"family":"Singhasivanon","given":"Pratap"}],"issued":{"date-parts":[["2020",12]]}}}],"schema":"https://github.com/citation-style-language/schema/raw/master/csl-citation.json"} </w:instrText>
            </w:r>
            <w:r w:rsidR="007C2C2B">
              <w:rPr>
                <w:rFonts w:ascii="Calibri" w:eastAsia="Calibri" w:hAnsi="Calibri" w:cs="Calibri"/>
                <w:sz w:val="16"/>
                <w:szCs w:val="16"/>
              </w:rPr>
              <w:fldChar w:fldCharType="separate"/>
            </w:r>
            <w:r w:rsidR="007C2C2B" w:rsidRPr="007C2C2B">
              <w:rPr>
                <w:rFonts w:ascii="Calibri" w:hAnsi="Calibri" w:cs="Calibri"/>
                <w:sz w:val="16"/>
              </w:rPr>
              <w:t>[13]</w:t>
            </w:r>
            <w:r w:rsidR="007C2C2B">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1A096F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8CCC5AA" w14:textId="16CB48CA" w:rsidR="00627661" w:rsidRPr="00C944B2" w:rsidRDefault="00627661" w:rsidP="00DA08BD">
            <w:pPr>
              <w:spacing w:line="276" w:lineRule="auto"/>
              <w:rPr>
                <w:rFonts w:ascii="Calibri" w:eastAsia="Calibri" w:hAnsi="Calibri" w:cs="Calibri"/>
                <w:sz w:val="16"/>
                <w:szCs w:val="16"/>
              </w:rPr>
            </w:pPr>
            <w:r w:rsidRPr="00C944B2">
              <w:rPr>
                <w:rFonts w:ascii="Calibri" w:eastAsia="Calibri" w:hAnsi="Calibri" w:cs="Calibri"/>
                <w:sz w:val="16"/>
                <w:szCs w:val="16"/>
              </w:rPr>
              <w:t>*</w:t>
            </w:r>
            <w:r w:rsidR="00564436">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2C80A95"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F4AF1D6" w14:textId="7E6091A6" w:rsidR="00627661" w:rsidRPr="00C944B2" w:rsidRDefault="00B651F0" w:rsidP="00DA08BD">
            <w:pPr>
              <w:spacing w:line="276" w:lineRule="auto"/>
              <w:rPr>
                <w:sz w:val="16"/>
                <w:szCs w:val="16"/>
              </w:rPr>
            </w:pPr>
            <w:r>
              <w:rPr>
                <w:rFonts w:ascii="Calibri" w:eastAsia="Calibri" w:hAnsi="Calibri" w:cs="Calibri"/>
                <w:sz w:val="16"/>
                <w:szCs w:val="16"/>
              </w:rPr>
              <w:t>9</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692C744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High</w:t>
            </w:r>
          </w:p>
        </w:tc>
      </w:tr>
      <w:tr w:rsidR="00627661" w:rsidRPr="00C944B2" w14:paraId="22DE27A8"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1142A719" w14:textId="65B8182D"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Murgue (2000) </w:t>
            </w:r>
            <w:r w:rsidR="00AB1566">
              <w:rPr>
                <w:rFonts w:ascii="Calibri" w:eastAsia="Calibri" w:hAnsi="Calibri" w:cs="Calibri"/>
                <w:sz w:val="16"/>
                <w:szCs w:val="16"/>
              </w:rPr>
              <w:fldChar w:fldCharType="begin"/>
            </w:r>
            <w:r w:rsidR="00AB1566">
              <w:rPr>
                <w:rFonts w:ascii="Calibri" w:eastAsia="Calibri" w:hAnsi="Calibri" w:cs="Calibri"/>
                <w:sz w:val="16"/>
                <w:szCs w:val="16"/>
              </w:rPr>
              <w:instrText xml:space="preserve"> ADDIN ZOTERO_ITEM CSL_CITATION {"citationID":"G0QbFjHw","properties":{"unsorted":false,"formattedCitation":"[8]","plainCitation":"[8]","noteIndex":0},"citationItems":[{"id":691,"uris":["http://zotero.org/users/local/5m9g3R6r/items/TYLRHLBU"],"itemData":{"id":691,"type":"article-journal","abstract":"The magnitude and duration of viraemia in children admitted to the hospital with dengue was studied during a dengue 2 outbreak in French Polynesia in 1996-1997. Forty-nine patients from whom at least 3 plasma samples were available were included in the study. Based on analysis of IgG-ELISA and haemagglutination inhibition assay, 21 of these were primary and 28 were secondary infections. According to World Health Organization criteria, 42 were dengue fever and 7 were dengue haemorrhagic fever. Virus was detectable by reverse transcription-PCR in all patients for at least the first 3 days of the onset of fever, but was never detected after the 6th day (mean duration = 4.4 days). Plasma virus titers ranged from 1.7-5.6 Log(10) TCID(50)/ml. A significant difference was not observed in the magnitude and duration of viraemia in patients with primary versus secondary infections. The severity of the illness, however, was correlated with both criteria.","container-title":"Journal of Medical Virology","DOI":"10.1002/(sici)1096-9071(200004)60:4&lt;432::aid-jmv11&gt;3.0.co;2-7","ISSN":"0146-6615","issue":"4","journalAbbreviation":"J Med Virol","language":"eng","page":"432-438","PMID":"10686027","source":"PubMed","title":"Prospective study of the duration and magnitude of viraemia in children hospitalised during the 1996-1997 dengue-2 outbreak in French Polynesia","volume":"60","author":[{"family":"Murgue","given":"B."},{"family":"Roche","given":"C."},{"family":"Chungue","given":"E."},{"family":"Deparis","given":"X."}],"issued":{"date-parts":[["2000",4]]}}}],"schema":"https://github.com/citation-style-language/schema/raw/master/csl-citation.json"} </w:instrText>
            </w:r>
            <w:r w:rsidR="00AB1566">
              <w:rPr>
                <w:rFonts w:ascii="Calibri" w:eastAsia="Calibri" w:hAnsi="Calibri" w:cs="Calibri"/>
                <w:sz w:val="16"/>
                <w:szCs w:val="16"/>
              </w:rPr>
              <w:fldChar w:fldCharType="separate"/>
            </w:r>
            <w:r w:rsidR="00AB1566" w:rsidRPr="00AB1566">
              <w:rPr>
                <w:rFonts w:ascii="Calibri" w:hAnsi="Calibri" w:cs="Calibri"/>
                <w:sz w:val="16"/>
              </w:rPr>
              <w:t>[8]</w:t>
            </w:r>
            <w:r w:rsidR="00AB1566">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51122F4"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D76BF4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F961D48"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CEE15F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4CE8C03"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Moderate</w:t>
            </w:r>
          </w:p>
        </w:tc>
      </w:tr>
      <w:tr w:rsidR="00627661" w:rsidRPr="00C944B2" w14:paraId="5DC35F1B"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3FA42655" w14:textId="765CA50D"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Nainggolan (2023) </w:t>
            </w:r>
            <w:r w:rsidR="00AB1566">
              <w:rPr>
                <w:rFonts w:ascii="Calibri" w:eastAsia="Calibri" w:hAnsi="Calibri" w:cs="Calibri"/>
                <w:sz w:val="16"/>
                <w:szCs w:val="16"/>
              </w:rPr>
              <w:fldChar w:fldCharType="begin"/>
            </w:r>
            <w:r w:rsidR="00AB1566">
              <w:rPr>
                <w:rFonts w:ascii="Calibri" w:eastAsia="Calibri" w:hAnsi="Calibri" w:cs="Calibri"/>
                <w:sz w:val="16"/>
                <w:szCs w:val="16"/>
              </w:rPr>
              <w:instrText xml:space="preserve"> ADDIN ZOTERO_ITEM CSL_CITATION {"citationID":"9mJ9xZZH","properties":{"unsorted":false,"formattedCitation":"[14]","plainCitation":"[14]","noteIndex":0},"citationItems":[{"id":625,"uris":["http://zotero.org/users/local/5m9g3R6r/items/HF9S7JGB"],"itemData":{"id":625,"type":"article-journal","abstract":"Objectives Plasma leakage, a hallmark of disease in Dengue virus (DENV) infection, is an important clinical manifestation and is often associated with numerous factors such as viral factors. The aim of this study is to investigate the association of virus serotype, viral load kinetics, history of infection, and NS1 protein with plasma leakage. Methods Subjects with fever ≤ 48 hours and positive DENV infection were included. Serial laboratory tests, viral load measurements, and ultrasonography examination to assess plasma leakage were performed. Results DENV-3 was the most common serotype found in the plasma leakage group (35%). Patients with plasma leakage demonstrated a trend of higher viral load and a longer duration of viremia compared to those without. This was significantly observed on the fourth day of fever (p = 0.037). We found higher viral loads on specific days in patients with plasma leakage in both primary and secondary infections compared to those without. In addition, we also observed more rapid viral clearance in patients with secondary infection. NS1 protein, especially after 4 days of fever, was associated with higher peak viral load level, even though it was not statistically significant (p = 0.470). However, pairwise comparison demonstrated that peak viral load level in the group of patients with circulating NS1 detected for 7 days was significantly higher than the 5-day group (p = 0.037). Conclusion DENV-3 was the most common serotype to cause plasma leakage. Patients with plasma leakage showed a trend of higher viral load and a longer duration of viremia. Higher level of viral load was observed significantly on day 5 in patients with primary infection and more rapid viral clearance was observed in patients with secondary infection. Longer duration of circulating NS1 protein was also seen to be positively correlated with higher peak viral load level although not statistically significant.","container-title":"PLOS ONE","DOI":"10.1371/journal.pone.0285087","ISSN":"1932-6203","issue":"5","journalAbbreviation":"PLOS ONE","language":"en","page":"e0285087","publisher":"Public Library of Science","source":"PLoS Journals","title":"Association of viral kinetics, infection history, NS1 protein with plasma leakage among Indonesian dengue infected patients","volume":"18","author":[{"family":"Nainggolan","given":"Leonard"},{"family":"Dewi","given":"Beti Ernawati"},{"family":"Hakiki","given":"Arif"},{"family":"Pranata","given":"Antony Joseph"},{"family":"Sudiro","given":"Tjahjani Mirawati"},{"family":"Martina","given":"Byron"},{"family":"Gorp","given":"Eric","dropping-particle":"van"}],"issued":{"date-parts":[["2023",5,2]]}}}],"schema":"https://github.com/citation-style-language/schema/raw/master/csl-citation.json"} </w:instrText>
            </w:r>
            <w:r w:rsidR="00AB1566">
              <w:rPr>
                <w:rFonts w:ascii="Calibri" w:eastAsia="Calibri" w:hAnsi="Calibri" w:cs="Calibri"/>
                <w:sz w:val="16"/>
                <w:szCs w:val="16"/>
              </w:rPr>
              <w:fldChar w:fldCharType="separate"/>
            </w:r>
            <w:r w:rsidR="00AB1566" w:rsidRPr="00AB1566">
              <w:rPr>
                <w:rFonts w:ascii="Calibri" w:hAnsi="Calibri" w:cs="Calibri"/>
                <w:sz w:val="16"/>
              </w:rPr>
              <w:t>[14]</w:t>
            </w:r>
            <w:r w:rsidR="00AB1566">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75F5D9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096A4CD"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E3D2DB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C102FE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8</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540BA4F0"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High</w:t>
            </w:r>
          </w:p>
        </w:tc>
      </w:tr>
      <w:tr w:rsidR="00627661" w:rsidRPr="00C944B2" w14:paraId="4FCE430E"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2B24796F" w14:textId="20B432D9"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Singla (2016) </w:t>
            </w:r>
            <w:r w:rsidR="00AB1566">
              <w:rPr>
                <w:rFonts w:ascii="Calibri" w:eastAsia="Calibri" w:hAnsi="Calibri" w:cs="Calibri"/>
                <w:sz w:val="16"/>
                <w:szCs w:val="16"/>
              </w:rPr>
              <w:fldChar w:fldCharType="begin"/>
            </w:r>
            <w:r w:rsidR="00AB1566">
              <w:rPr>
                <w:rFonts w:ascii="Calibri" w:eastAsia="Calibri" w:hAnsi="Calibri" w:cs="Calibri"/>
                <w:sz w:val="16"/>
                <w:szCs w:val="16"/>
              </w:rPr>
              <w:instrText xml:space="preserve"> ADDIN ZOTERO_ITEM CSL_CITATION {"citationID":"Rx8Gd9lA","properties":{"unsorted":false,"formattedCitation":"[9]","plainCitation":"[9]","noteIndex":0},"citationItems":[{"id":696,"uris":["http://zotero.org/users/local/5m9g3R6r/items/IQGDQG9A"],"itemData":{"id":696,"type":"article-journal","abstract":"Dengue virus, a mosquito-borne flavivirus, is a causative agent for dengue infection, which manifests with symptoms ranging from mild fever to fatal dengue shock syndrome. The presence of four serotypes, against which immune cross-protection is short-lived and serotype cross-reactive antibodies that might enhance infection, pose a challenge to further investigate the role of virus and immune response in pathogenesis. We evaluated the viral and immunological factors that correlate with severe dengue disease in a cohort of pediatric dengue patients in New Delhi. Severe dengue disease was observed in both primary and secondary infections. Viral load had no association with disease severity but high viral load correlated with prolonged thrombocytopenia and delayed recovery. Severe dengue cases had low Th1 cytokines and a concurrent increase in the inflammatory mediators such as IL-6, IL-8 and IL-10. A transient increase in CD14+CD16+ intermediate monocytes was observed early in infection. Sorting of monocytes from dengue patient peripheral blood mononuclear cells revealed that it is the CD14+ cells, but not the CD16+ or the T or B cells, that were infected with dengue virus and were major producers of IL-10. Using the Boruta algorithm, reduced interferon-α levels and enhanced aforementioned pro-inflammatory cytokines were identified as some of the distinctive markers of severe dengue. Furthermore, the reduction in the levels of IL-8 and IL-10 were identified as the most significant markers of recovery from severe disease. Our results provide further insights into the immune response of children to primary and secondary dengue infection and help us to understand the complex interplay between the intrinsic factors in dengue pathogenesis.","container-title":"PLoS neglected tropical diseases","DOI":"10.1371/journal.pntd.0004497","ISSN":"1935-2735","issue":"3","journalAbbreviation":"PLoS Negl Trop Dis","language":"eng","page":"e0004497","PMID":"26982706","PMCID":"PMC4794248","source":"PubMed","title":"Immune Response to Dengue Virus Infection in Pediatric Patients in New Delhi, India--Association of Viremia, Inflammatory Mediators and Monocytes with Disease Severity","volume":"10","author":[{"family":"Singla","given":"Mohit"},{"family":"Kar","given":"Meenakshi"},{"family":"Sethi","given":"Tavpritesh"},{"family":"Kabra","given":"Sushil K."},{"family":"Lodha","given":"Rakesh"},{"family":"Chandele","given":"Anmol"},{"family":"Medigeshi","given":"Guruprasad R."}],"issued":{"date-parts":[["2016",3]]}}}],"schema":"https://github.com/citation-style-language/schema/raw/master/csl-citation.json"} </w:instrText>
            </w:r>
            <w:r w:rsidR="00AB1566">
              <w:rPr>
                <w:rFonts w:ascii="Calibri" w:eastAsia="Calibri" w:hAnsi="Calibri" w:cs="Calibri"/>
                <w:sz w:val="16"/>
                <w:szCs w:val="16"/>
              </w:rPr>
              <w:fldChar w:fldCharType="separate"/>
            </w:r>
            <w:r w:rsidR="00AB1566" w:rsidRPr="00AB1566">
              <w:rPr>
                <w:rFonts w:ascii="Calibri" w:hAnsi="Calibri" w:cs="Calibri"/>
                <w:sz w:val="16"/>
              </w:rPr>
              <w:t>[9]</w:t>
            </w:r>
            <w:r w:rsidR="00AB1566">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1535D02"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623ECB7"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B3D2444"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3A4FAE0"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B3949BB"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Moderate</w:t>
            </w:r>
          </w:p>
        </w:tc>
      </w:tr>
      <w:tr w:rsidR="00627661" w:rsidRPr="00C944B2" w14:paraId="3E699441"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36EF4BCD" w14:textId="387B562E"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Tricou (2011) </w:t>
            </w:r>
            <w:r w:rsidR="00445C2E">
              <w:rPr>
                <w:rFonts w:ascii="Calibri" w:eastAsia="Calibri" w:hAnsi="Calibri" w:cs="Calibri"/>
                <w:sz w:val="16"/>
                <w:szCs w:val="16"/>
              </w:rPr>
              <w:fldChar w:fldCharType="begin"/>
            </w:r>
            <w:r w:rsidR="00445C2E">
              <w:rPr>
                <w:rFonts w:ascii="Calibri" w:eastAsia="Calibri" w:hAnsi="Calibri" w:cs="Calibri"/>
                <w:sz w:val="16"/>
                <w:szCs w:val="16"/>
              </w:rPr>
              <w:instrText xml:space="preserve"> ADDIN ZOTERO_ITEM CSL_CITATION {"citationID":"CEVOBV7J","properties":{"unsorted":false,"formattedCitation":"[10]","plainCitation":"[10]","noteIndex":0},"citationItems":[{"id":701,"uris":["http://zotero.org/users/local/5m9g3R6r/items/LPEJCNBZ"],"itemData":{"id":701,"type":"article-journal","abstract":"Background Dengue is a major public health problem in tropical and subtropical countries. Exploring the relationships between virological features of infection with patient immune status and outcome may help to identify predictors of disease severity and enable rational therapeutic strategies. Methods Clinical features, antibody responses and virological markers were characterized in Vietnamese adults participating in a randomised controlled treatment trial of chloroquine. Results Of the 248 patients with laboratory-confirmed dengue and defined serological and clinical classifications 29 (11.7%) had primary DF, 150 (60.5%) had secondary DF, 4 (1.6%) had primary DHF and 65 (26.2%) had secondary DHF. DENV-1 was the commonest serotype (57.3%), then DENV-2 (20.6%), DENV-3 (15.7%) and DENV-4 (2.8%). DHF was associated with secondary infection (Odds ratio = 3.13, 95% CI 1.04–12.75). DENV-1 infections resulted in significantly higher viremia levels than DENV-2 infections. Early viremia levels were higher in DENV-1 patients with DHF than with DF, even if the peak viremia level was often not observed because it occurred prior to enrolment. Peak viremias were significantly less often observed during secondary infections than primary for all disease severity grades (P = 0.001). The clearance of DENV viremia and NS1 antigenemia occurs earlier and faster in patients with secondary dengue (P&lt;0.0001). The maximum daily rate of viremia clearance was significantly higher in patients with secondary infections than primary (P&lt;0.00001). Conclusions Collectively, our findings suggest that the early magnitude of viremia is positively associated with disease severity. The clearance of DENV is associated with immune status, and there are serotype dependent differences in infection kinetics. These findings are relevant for the rational design of randomized controlled trials of therapeutic interventions, especially antivirals.","container-title":"PLOS Neglected Tropical Diseases","DOI":"10.1371/journal.pntd.0001309","ISSN":"1935-2735","issue":"9","journalAbbreviation":"PLOS Neglected Tropical Diseases","language":"en","page":"e1309","publisher":"Public Library of Science","source":"PLoS Journals","title":"Kinetics of Viremia and NS1 Antigenemia Are Shaped by Immune Status and Virus Serotype in Adults with Dengue","volume":"5","author":[{"family":"Tricou","given":"Vianney"},{"family":"Minh","given":"Nguyet Nguyen"},{"family":"Farrar","given":"Jeremy"},{"family":"Tran","given":"Hien Tinh"},{"family":"Simmons","given":"Cameron P."}],"issued":{"date-parts":[["2011",9,6]]}}}],"schema":"https://github.com/citation-style-language/schema/raw/master/csl-citation.json"} </w:instrText>
            </w:r>
            <w:r w:rsidR="00445C2E">
              <w:rPr>
                <w:rFonts w:ascii="Calibri" w:eastAsia="Calibri" w:hAnsi="Calibri" w:cs="Calibri"/>
                <w:sz w:val="16"/>
                <w:szCs w:val="16"/>
              </w:rPr>
              <w:fldChar w:fldCharType="separate"/>
            </w:r>
            <w:r w:rsidR="00445C2E" w:rsidRPr="00445C2E">
              <w:rPr>
                <w:rFonts w:ascii="Calibri" w:hAnsi="Calibri" w:cs="Calibri"/>
                <w:sz w:val="16"/>
              </w:rPr>
              <w:t>[10]</w:t>
            </w:r>
            <w:r w:rsidR="00445C2E">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53BB78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EFCE839" w14:textId="56CAFC16"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765AA4D"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2430C69" w14:textId="6B409291" w:rsidR="00627661" w:rsidRPr="00C944B2" w:rsidRDefault="00B651F0" w:rsidP="00DA08BD">
            <w:pPr>
              <w:spacing w:line="276" w:lineRule="auto"/>
              <w:rPr>
                <w:sz w:val="16"/>
                <w:szCs w:val="16"/>
              </w:rPr>
            </w:pPr>
            <w:r>
              <w:rPr>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713FFA13" w14:textId="247533F5" w:rsidR="00627661" w:rsidRPr="00B651F0" w:rsidRDefault="00B651F0" w:rsidP="00DA08BD">
            <w:pPr>
              <w:spacing w:line="276" w:lineRule="auto"/>
              <w:rPr>
                <w:rFonts w:ascii="Calibri" w:hAnsi="Calibri" w:cs="Calibri"/>
                <w:sz w:val="16"/>
                <w:szCs w:val="16"/>
              </w:rPr>
            </w:pPr>
            <w:r w:rsidRPr="00B651F0">
              <w:rPr>
                <w:rFonts w:ascii="Calibri" w:hAnsi="Calibri" w:cs="Calibri"/>
                <w:sz w:val="16"/>
                <w:szCs w:val="16"/>
              </w:rPr>
              <w:t>Moderate</w:t>
            </w:r>
          </w:p>
        </w:tc>
      </w:tr>
      <w:tr w:rsidR="00627661" w:rsidRPr="00C944B2" w14:paraId="0AA6B520"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73694412" w14:textId="3374EDEE"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Vuong (2024) </w:t>
            </w:r>
            <w:r w:rsidR="00445C2E">
              <w:rPr>
                <w:rFonts w:ascii="Calibri" w:eastAsia="Calibri" w:hAnsi="Calibri" w:cs="Calibri"/>
                <w:sz w:val="16"/>
                <w:szCs w:val="16"/>
              </w:rPr>
              <w:fldChar w:fldCharType="begin"/>
            </w:r>
            <w:r w:rsidR="00445C2E">
              <w:rPr>
                <w:rFonts w:ascii="Calibri" w:eastAsia="Calibri" w:hAnsi="Calibri" w:cs="Calibri"/>
                <w:sz w:val="16"/>
                <w:szCs w:val="16"/>
              </w:rPr>
              <w:instrText xml:space="preserve"> ADDIN ZOTERO_ITEM CSL_CITATION {"citationID":"FZ2QTYNj","properties":{"unsorted":false,"formattedCitation":"[15]","plainCitation":"[15]","noteIndex":0},"citationItems":[{"id":565,"uris":["http://zotero.org/users/local/5m9g3R6r/items/RCU4PIYT"],"itemData":{"id":565,"type":"article-journal","abstract":"Background:\nViremia is a critical factor in understanding the pathogenesis of dengue infection, but limited data exist on viremia kinetics. This study aimed to investigate the kinetics of viremia and its effects on subsequent platelet count, severe dengue, and plasma leakage.\n\nMethods:\nWe pooled data from three studies conducted in Vietnam between 2000 and 2016, involving 2340 dengue patients with daily viremia measurements and platelet counts after symptom onset. Viremia kinetics were assessed using a random effects model that accounted for left-censored data. The effects of viremia on subsequent platelet count and clinical outcomes were examined using a landmark approach with a random effects model and logistic regression model with generalized estimating equations, respectively. The rate of viremia decline was derived from the model of viremia kinetics. Its effect on the clinical outcomes was assessed by logistic regression models.\n\nResults:\nViremia levels rapidly decreased following symptom onset, with variations observed depending on the infecting serotype. DENV-1 exhibited the highest mean viremia levels during the first 5–6 days, while DENV-4 demonstrated the shortest clearance time. Higher viremia levels were associated with decreased subsequent platelet counts from day 6 onwards. Elevated viremia levels on each illness day increased the risk of developing severe dengue and plasma leakage. However, the effect size decreased with later illness days. A more rapid decline in viremia is associated with a reduced risk of the clinical outcomes.\n\nConclusions:\nThis study provides comprehensive insights into viremia kinetics and its effect on subsequent platelet count and clinical outcomes in dengue patients. Our findings underscore the importance of measuring viremia levels during the early febrile phase for dengue studies and support the use of viremia kinetics as outcome for phase-2 dengue therapeutic trials.\n\nFunding:\nWellcome Trust and European Union Seventh Framework Programme.","container-title":"eLife","DOI":"10.7554/eLife.92606","ISSN":"2050-084X","journalAbbreviation":"eLife","page":"RP92606","PMID":"38904662","PMCID":"PMC11192532","source":"PubMed Central","title":"Dengue viremia kinetics and effects on platelet count and clinical outcomes: An analysis of 2340 patients from Vietnam","title-short":"Dengue viremia kinetics and effects on platelet count and clinical outcomes","volume":"13","author":[{"family":"Vuong","given":"Nguyen Lam"},{"family":"Quyen","given":"Nguyen Than Ha"},{"family":"Tien","given":"Nguyen Thi Hanh"},{"family":"Duong Thi Hue","given":"Kien"},{"family":"Duyen","given":"Huynh Thi Le"},{"family":"Lam","given":"Phung Khanh"},{"family":"Tam","given":"Dong Thi Hoai"},{"family":"Van Ngoc","given":"Tran"},{"family":"Jaenisch","given":"Thomas"},{"family":"Simmons","given":"Cameron P"},{"family":"Yacoub","given":"Sophie"},{"family":"Wills","given":"Bridget A"},{"family":"Geskus","given":"Ronald"}]}}],"schema":"https://github.com/citation-style-language/schema/raw/master/csl-citation.json"} </w:instrText>
            </w:r>
            <w:r w:rsidR="00445C2E">
              <w:rPr>
                <w:rFonts w:ascii="Calibri" w:eastAsia="Calibri" w:hAnsi="Calibri" w:cs="Calibri"/>
                <w:sz w:val="16"/>
                <w:szCs w:val="16"/>
              </w:rPr>
              <w:fldChar w:fldCharType="separate"/>
            </w:r>
            <w:r w:rsidR="00445C2E" w:rsidRPr="00445C2E">
              <w:rPr>
                <w:rFonts w:ascii="Calibri" w:hAnsi="Calibri" w:cs="Calibri"/>
                <w:sz w:val="16"/>
              </w:rPr>
              <w:t>[15]</w:t>
            </w:r>
            <w:r w:rsidR="00445C2E">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28656B2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55CCF137"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24EA558"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E29FD0F"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9</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7BDDE4FD"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High</w:t>
            </w:r>
          </w:p>
        </w:tc>
      </w:tr>
      <w:tr w:rsidR="00627661" w:rsidRPr="00C944B2" w14:paraId="2D846A2B"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387F3FCD" w14:textId="6A0CAB9A"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Wang (2006) </w:t>
            </w:r>
            <w:r w:rsidR="00445C2E">
              <w:rPr>
                <w:rFonts w:ascii="Calibri" w:eastAsia="Calibri" w:hAnsi="Calibri" w:cs="Calibri"/>
                <w:sz w:val="16"/>
                <w:szCs w:val="16"/>
              </w:rPr>
              <w:fldChar w:fldCharType="begin"/>
            </w:r>
            <w:r w:rsidR="00445C2E">
              <w:rPr>
                <w:rFonts w:ascii="Calibri" w:eastAsia="Calibri" w:hAnsi="Calibri" w:cs="Calibri"/>
                <w:sz w:val="16"/>
                <w:szCs w:val="16"/>
              </w:rPr>
              <w:instrText xml:space="preserve"> ADDIN ZOTERO_ITEM CSL_CITATION {"citationID":"rW5ptdaG","properties":{"unsorted":false,"formattedCitation":"[11]","plainCitation":"[11]","noteIndex":0},"citationItems":[{"id":622,"uris":["http://zotero.org/users/local/5m9g3R6r/items/8A56NNTG"],"itemData":{"id":622,"type":"article-journal","abstract":"Background. Although previous studies have revealed the contribution of an initial high level of dengue virus replication to the severe and potentially life-threatening diseases dengue hemorrhagic fever (DHF) and dengue shock syndrome, the involvement of dengue virus in the immuopathological processes during the transition from fever to defervescence, which is a critical stage in determining the progression to DHF, has not been appreciated. Previously, we reported that dengue virus can be detected in the immune complexes of patients with DHF during this period.Methods. We investigated plasma dengue viral load, virus in immune complexes, antibody response, complements, and cytokines for 54 patients with dengue fever (a relatively mild form of disease) and 49 patients with DHF. The patients had confirmed secondary infection with dengue virus type 2 from a large outbreak in southern Taiwan in 2002.Results. Patients with DHF had a significantly higher viral load and a slower rate of clearance than patients with dengue fever. For viral loads &amp;gt;5.7 log RNA copies/mL on the day of defervescence, the positive and negative predictive values for DHF are 0.88 and 0.95, respectively. A higher level and slower decline of dengue virus-containing immune complexes (and a subsequently higher elevation of C5a and soluble interleukin 2 receptor) were found in patients with DHF, compared with patients with dengue fever.Conclusions. These findings indicate that slower rates of clearance of viral load and virus-containing immune complexes are associated with subsequent immune activation and contribute to the progression of DHF at this critical stage. Moreover, viral load on the day of defervescence can predict cases of DHF.","container-title":"Clinical Infectious Diseases","DOI":"10.1086/507635","ISSN":"1058-4838","issue":"8","journalAbbreviation":"Clinical Infectious Diseases","page":"1023-1030","source":"Silverchair","title":"Slower Rates of Clearance of Viral Load and Virus-Containing Immune Complexes in Patients with Dengue Hemorrhagic Fever","volume":"43","author":[{"family":"Wang","given":"Wei-Kung"},{"family":"Chen","given":"Hui-Ling"},{"family":"Yang","given":"Chao-Fu"},{"family":"Hsieh","given":"Szu-Chia"},{"family":"Juan","given":"Chung-Chou"},{"family":"Chang","given":"Shu-Mei"},{"family":"Yu","given":"Cheng-Ching"},{"family":"Lin","given":"Li-Hui"},{"family":"Huang","given":"Jyh-Hsiung"},{"family":"King","given":"Chwan-Chuen"}],"issued":{"date-parts":[["2006",10,15]]}}}],"schema":"https://github.com/citation-style-language/schema/raw/master/csl-citation.json"} </w:instrText>
            </w:r>
            <w:r w:rsidR="00445C2E">
              <w:rPr>
                <w:rFonts w:ascii="Calibri" w:eastAsia="Calibri" w:hAnsi="Calibri" w:cs="Calibri"/>
                <w:sz w:val="16"/>
                <w:szCs w:val="16"/>
              </w:rPr>
              <w:fldChar w:fldCharType="separate"/>
            </w:r>
            <w:r w:rsidR="00445C2E" w:rsidRPr="00445C2E">
              <w:rPr>
                <w:rFonts w:ascii="Calibri" w:hAnsi="Calibri" w:cs="Calibri"/>
                <w:sz w:val="16"/>
              </w:rPr>
              <w:t>[11]</w:t>
            </w:r>
            <w:r w:rsidR="00445C2E">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4BF77A3"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05D6BB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AFA8B4C"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8BEBC72"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28505973"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Moderate</w:t>
            </w:r>
          </w:p>
        </w:tc>
      </w:tr>
      <w:tr w:rsidR="00627661" w:rsidRPr="00C944B2" w14:paraId="4D55A0D4" w14:textId="77777777" w:rsidTr="00967E83">
        <w:trPr>
          <w:trHeight w:val="300"/>
        </w:trPr>
        <w:tc>
          <w:tcPr>
            <w:tcW w:w="2258" w:type="dxa"/>
            <w:tcBorders>
              <w:top w:val="single" w:sz="8" w:space="0" w:color="auto"/>
              <w:left w:val="single" w:sz="8" w:space="0" w:color="auto"/>
              <w:bottom w:val="single" w:sz="8" w:space="0" w:color="auto"/>
              <w:right w:val="single" w:sz="8" w:space="0" w:color="auto"/>
            </w:tcBorders>
            <w:tcMar>
              <w:left w:w="108" w:type="dxa"/>
              <w:right w:w="108" w:type="dxa"/>
            </w:tcMar>
          </w:tcPr>
          <w:p w14:paraId="4BE9C1D9" w14:textId="25EA809B" w:rsidR="00627661" w:rsidRPr="00C944B2" w:rsidRDefault="00627661" w:rsidP="00DA08BD">
            <w:pPr>
              <w:spacing w:line="276" w:lineRule="auto"/>
              <w:rPr>
                <w:sz w:val="16"/>
                <w:szCs w:val="16"/>
              </w:rPr>
            </w:pPr>
            <w:r w:rsidRPr="00C944B2">
              <w:rPr>
                <w:rFonts w:ascii="Calibri" w:eastAsia="Calibri" w:hAnsi="Calibri" w:cs="Calibri"/>
                <w:sz w:val="16"/>
                <w:szCs w:val="16"/>
              </w:rPr>
              <w:t xml:space="preserve">Wijesinghe (2020) </w:t>
            </w:r>
            <w:r w:rsidR="00DD665A">
              <w:rPr>
                <w:rFonts w:ascii="Calibri" w:eastAsia="Calibri" w:hAnsi="Calibri" w:cs="Calibri"/>
                <w:sz w:val="16"/>
                <w:szCs w:val="16"/>
              </w:rPr>
              <w:fldChar w:fldCharType="begin"/>
            </w:r>
            <w:r w:rsidR="00DD665A">
              <w:rPr>
                <w:rFonts w:ascii="Calibri" w:eastAsia="Calibri" w:hAnsi="Calibri" w:cs="Calibri"/>
                <w:sz w:val="16"/>
                <w:szCs w:val="16"/>
              </w:rPr>
              <w:instrText xml:space="preserve"> ADDIN ZOTERO_ITEM CSL_CITATION {"citationID":"RAXiuiGN","properties":{"unsorted":false,"formattedCitation":"[12]","plainCitation":"[12]","noteIndex":0},"citationItems":[{"id":708,"uris":["http://zotero.org/users/local/5m9g3R6r/items/8WPJAYIF"],"itemData":{"id":708,"type":"article-journal","abstract":"BACKGROUND: The association of functionality and phenotype of follicular helper T cells (Tfh) with dengue virus (DENV) specific antibody responses and clinical disease severity has not been well studied.\nMETHODS: We investigated the phenotype and functionality of Tfh cells and plasmablasts in adult patients (DF = 18, DHF = 22) with acute dengue (day 4 to 8 since onset of fever) of varying severity using multiparametric flowcytometry. The properties of Tfh cells were correlated with viraemia, disease severity, plasmablast responses and DENV-specific serum antibody responses. We further evaluated the kinetics of neutralizing antibodies (Neut50) throughout the course of illness in order to evaluate their association with clinical disease severity and viraemia.\nRESULTS: Tfh cells (especially those producing IL-21 and co-expressing PD-1 and ICOS) were found to be significantly expanded (p &lt; 0.0001) and highly activated in patients with DHF compared to those with DF. The frequency of Tfh cells significantly correlated with DENV-specific IgG, NS1-specific antibodies and Neut50 antibody titres in patients with DHF but not in those with DF. Although the Neut50 titres increased during the course of acute secondary DENV infection, they showed differences based on serotype. For instance, the Neut50 titres were significantly higher during the latter part of illness in patients with DF compared to DHF in DENV1 infection, while in DENV2, patients with DHF had significantly higher titres. The viral loads during early illness did not correlate with the subsequent rise in the Neut50 antibody titres during any time point of illness.\nCONCLUSIONS: The expansion of Tfh cells is associated with DHF and DENV-specific IgG, NS1-specific and neutralizing antibodies. Neut50 titres did not associate with disease severity or viraemia at the point of first presentation during the febrile phase, but later titres do show differential association with severity in patients with DENV1 compared to DENV2.","container-title":"Journal of Biomedical Science","DOI":"10.1186/s12929-020-00641-2","ISSN":"1423-0127","issue":"1","journalAbbreviation":"J Biomed Sci","language":"eng","page":"50","PMID":"32264870","PMCID":"PMC7140349","source":"PubMed","title":"Phenotype and functionality of follicular helper T cells in patients with acute dengue infection","volume":"27","author":[{"family":"Wijesinghe","given":"Ayesha"},{"family":"Gamage","given":"Jayani"},{"family":"Goonewardena","given":"Hemantha"},{"family":"Gomes","given":"Laksiri"},{"family":"Jayathilaka","given":"Deshni"},{"family":"Wijeratne","given":"Dulharie T."},{"family":"Alwis","given":"Ruklanthi","non-dropping-particle":"de"},{"family":"Jeewandara","given":"Chandima"},{"family":"Wijewickrama","given":"Ananda"},{"family":"Ogg","given":"Graham S."},{"family":"Malavige","given":"Gathsaurie Neelika"}],"issued":{"date-parts":[["2020",4,8]]}}}],"schema":"https://github.com/citation-style-language/schema/raw/master/csl-citation.json"} </w:instrText>
            </w:r>
            <w:r w:rsidR="00DD665A">
              <w:rPr>
                <w:rFonts w:ascii="Calibri" w:eastAsia="Calibri" w:hAnsi="Calibri" w:cs="Calibri"/>
                <w:sz w:val="16"/>
                <w:szCs w:val="16"/>
              </w:rPr>
              <w:fldChar w:fldCharType="separate"/>
            </w:r>
            <w:r w:rsidR="00DD665A" w:rsidRPr="00DD665A">
              <w:rPr>
                <w:rFonts w:ascii="Calibri" w:hAnsi="Calibri" w:cs="Calibri"/>
                <w:sz w:val="16"/>
              </w:rPr>
              <w:t>[12]</w:t>
            </w:r>
            <w:r w:rsidR="00DD665A">
              <w:rPr>
                <w:rFonts w:ascii="Calibri" w:eastAsia="Calibri" w:hAnsi="Calibri" w:cs="Calibri"/>
                <w:sz w:val="16"/>
                <w:szCs w:val="16"/>
              </w:rPr>
              <w:fldChar w:fldCharType="end"/>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61BE6D95"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17EDF78"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B4FDF7A"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23D1FD7"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7</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1DFB50C0" w14:textId="77777777" w:rsidR="00627661" w:rsidRPr="00C944B2" w:rsidRDefault="00627661" w:rsidP="00DA08BD">
            <w:pPr>
              <w:spacing w:line="276" w:lineRule="auto"/>
              <w:rPr>
                <w:sz w:val="16"/>
                <w:szCs w:val="16"/>
              </w:rPr>
            </w:pPr>
            <w:r w:rsidRPr="00C944B2">
              <w:rPr>
                <w:rFonts w:ascii="Calibri" w:eastAsia="Calibri" w:hAnsi="Calibri" w:cs="Calibri"/>
                <w:sz w:val="16"/>
                <w:szCs w:val="16"/>
              </w:rPr>
              <w:t>Moderate</w:t>
            </w:r>
          </w:p>
        </w:tc>
      </w:tr>
    </w:tbl>
    <w:p w14:paraId="6907BF01" w14:textId="77777777" w:rsidR="00627661" w:rsidRDefault="00627661" w:rsidP="00DA08BD">
      <w:pPr>
        <w:spacing w:after="0" w:line="276" w:lineRule="auto"/>
      </w:pPr>
    </w:p>
    <w:p w14:paraId="66B0B6C5" w14:textId="68EFD099" w:rsidR="585A0EDF" w:rsidRDefault="006A5F09" w:rsidP="00DA08BD">
      <w:pPr>
        <w:spacing w:after="0" w:line="276" w:lineRule="auto"/>
        <w:jc w:val="both"/>
        <w:rPr>
          <w:rFonts w:ascii="Calibri" w:eastAsia="Calibri" w:hAnsi="Calibri" w:cs="Calibri"/>
        </w:rPr>
      </w:pPr>
      <w:r>
        <w:rPr>
          <w:rFonts w:ascii="Calibri" w:eastAsia="Calibri" w:hAnsi="Calibri" w:cs="Calibri"/>
          <w:u w:val="single"/>
        </w:rPr>
        <w:lastRenderedPageBreak/>
        <w:t>Randomised Controlled Trial</w:t>
      </w:r>
    </w:p>
    <w:p w14:paraId="4A000682" w14:textId="02333A4F" w:rsidR="00D94A6C" w:rsidRDefault="00D94A6C" w:rsidP="00DA08BD">
      <w:pPr>
        <w:spacing w:after="0" w:line="276" w:lineRule="auto"/>
        <w:jc w:val="both"/>
      </w:pPr>
      <w:r>
        <w:rPr>
          <w:rFonts w:ascii="Calibri" w:eastAsia="Calibri" w:hAnsi="Calibri" w:cs="Calibri"/>
        </w:rPr>
        <w:t>S</w:t>
      </w:r>
      <w:r w:rsidRPr="00C004BA">
        <w:rPr>
          <w:rFonts w:ascii="Calibri" w:eastAsia="Calibri" w:hAnsi="Calibri" w:cs="Calibri"/>
        </w:rPr>
        <w:t>uputtamongkol</w:t>
      </w:r>
      <w:r>
        <w:rPr>
          <w:rFonts w:ascii="Calibri" w:eastAsia="Calibri" w:hAnsi="Calibri" w:cs="Calibri"/>
        </w:rPr>
        <w:t xml:space="preserve"> et al.</w:t>
      </w:r>
      <w:r w:rsidRPr="006E65CC">
        <w:rPr>
          <w:rFonts w:ascii="Calibri" w:eastAsia="Calibri" w:hAnsi="Calibri" w:cs="Calibri"/>
        </w:rPr>
        <w:t xml:space="preserve"> was a double-blind, placebo-controlled RCT</w:t>
      </w:r>
      <w:r w:rsidR="00BD4F4E">
        <w:rPr>
          <w:rFonts w:ascii="Calibri" w:eastAsia="Calibri" w:hAnsi="Calibri" w:cs="Calibri"/>
        </w:rPr>
        <w:t xml:space="preserve"> </w:t>
      </w:r>
      <w:r w:rsidR="00BD4F4E">
        <w:rPr>
          <w:rFonts w:ascii="Calibri" w:eastAsia="Calibri" w:hAnsi="Calibri" w:cs="Calibri"/>
        </w:rPr>
        <w:fldChar w:fldCharType="begin"/>
      </w:r>
      <w:r w:rsidR="00BD4F4E">
        <w:rPr>
          <w:rFonts w:ascii="Calibri" w:eastAsia="Calibri" w:hAnsi="Calibri" w:cs="Calibri"/>
        </w:rPr>
        <w:instrText xml:space="preserve"> ADDIN ZOTERO_ITEM CSL_CITATION {"citationID":"Wp3vsZiw","properties":{"unsorted":false,"formattedCitation":"[16]","plainCitation":"[16]","noteIndex":0},"citationItems":[{"id":680,"uris":["http://zotero.org/users/local/5m9g3R6r/items/3Q2PXKAF"],"itemData":{"id":680,"type":"article-journal","abstract":"BACKGROUND: Dengue is the most significant mosquito-borne viral disease; there are no specific therapeutics. The antiparasitic drug ivermectin efficiently inhibits the replication of all 4 dengue virus serotypes in vitro.\nMETHODS: We conducted 2 consecutive randomized, double-blind, placebo-controlled trials in adult dengue patients to evaluate safety and virological and clinical efficacies of ivermectin. After a phase 2 trial with 2 or 3 days of 1 daily dose of 400 µg/kg ivermectin, we continued with a phase 3, placebo-controlled trial with 3 days of 400 µg/kg ivermectin.\nRESULTS: The phase 2 trial showed a trend in reduction of plasma nonstructural protein 1 (NS1) clearance time in the 3-day ivermectin group compared with placebo. Combining phase 2 and 3 trials, 203 patients were included in the intention to treat analysis (100 and 103 patients receiving ivermectin and placebo, respectively). Dengue hemorrhagic fever occurred in 24 (24.0%) of ivermectin-treated patients and 32 (31.1%) patients receiving placebo (P = .260). The median (95% confidence interval [CI]) clearance time of NS1 antigenemia was shorter in the ivermectin group (71.5 [95% CI 59.9-84.0] hours vs 95.8 [95% CI 83.9-120.0] hours, P = .014). At discharge, 72.0% and 47.6% of patients in the ivermectin and placebo groups, respectively had undetectable plasma NS1 (P = .001). There were no differences in the viremia clearance time and incidence of adverse events between the 2 groups.\nCONCLUSIONS: A 3-day 1 daily dose of 400 µg/kg oral ivermectin was safe and accelerated NS1 antigenemia clearance in dengue patients. However, clinical efficacy of ivermectin was not observed at this dosage regimen.","container-title":"Clinical Infectious Diseases: An Official Publication of the Infectious Diseases Society of America","DOI":"10.1093/cid/ciaa1332","ISSN":"1537-6591","issue":"10","journalAbbreviation":"Clin Infect Dis","language":"eng","page":"e586-e593","PMID":"33462580","source":"PubMed","title":"Ivermectin Accelerates Circulating Nonstructural Protein 1 (NS1) Clearance in Adult Dengue Patients: A Combined Phase 2/3 Randomized Double-blinded Placebo Controlled Trial","title-short":"Ivermectin Accelerates Circulating Nonstructural Protein 1 (NS1) Clearance in Adult Dengue Patients","volume":"72","author":[{"family":"Suputtamongkol","given":"Yupin"},{"family":"Avirutnan","given":"Panisadee"},{"family":"Mairiang","given":"Dumrong"},{"family":"Angkasekwinai","given":"Nasikarn"},{"family":"Niwattayakul","given":"Kannika"},{"family":"Yamasmith","given":"Eakkawit"},{"family":"Saleh-Arong","given":"Fadhil A.-Hamad"},{"family":"Songjaeng","given":"Adisak"},{"family":"Prommool","given":"Tanapan"},{"family":"Tangthawornchaikul","given":"Nattaya"},{"family":"Puttikhunt","given":"Chunya"},{"family":"Hunnangkul","given":"Saowalak"},{"family":"Komoltri","given":"Chulaluk"},{"family":"Thammapalo","given":"Suwich"},{"family":"Malasit","given":"Prida"}],"issued":{"date-parts":[["2021",5,18]]}}}],"schema":"https://github.com/citation-style-language/schema/raw/master/csl-citation.json"} </w:instrText>
      </w:r>
      <w:r w:rsidR="00BD4F4E">
        <w:rPr>
          <w:rFonts w:ascii="Calibri" w:eastAsia="Calibri" w:hAnsi="Calibri" w:cs="Calibri"/>
        </w:rPr>
        <w:fldChar w:fldCharType="separate"/>
      </w:r>
      <w:r w:rsidR="00BD4F4E" w:rsidRPr="00BD4F4E">
        <w:rPr>
          <w:rFonts w:ascii="Calibri" w:hAnsi="Calibri" w:cs="Calibri"/>
        </w:rPr>
        <w:t>[16]</w:t>
      </w:r>
      <w:r w:rsidR="00BD4F4E">
        <w:rPr>
          <w:rFonts w:ascii="Calibri" w:eastAsia="Calibri" w:hAnsi="Calibri" w:cs="Calibri"/>
        </w:rPr>
        <w:fldChar w:fldCharType="end"/>
      </w:r>
      <w:r w:rsidRPr="006E65CC">
        <w:rPr>
          <w:rFonts w:ascii="Calibri" w:eastAsia="Calibri" w:hAnsi="Calibri" w:cs="Calibri"/>
        </w:rPr>
        <w:t>. The randomisation process, deviations from intended interventions, missing outcome data and measurement of outcomes were all judged as low risk of bias</w:t>
      </w:r>
      <w:r>
        <w:rPr>
          <w:rFonts w:ascii="Calibri" w:eastAsia="Calibri" w:hAnsi="Calibri" w:cs="Calibri"/>
        </w:rPr>
        <w:t xml:space="preserve"> (Supplementary Table 2)</w:t>
      </w:r>
      <w:r w:rsidRPr="006E65CC">
        <w:rPr>
          <w:rFonts w:ascii="Calibri" w:eastAsia="Calibri" w:hAnsi="Calibri" w:cs="Calibri"/>
        </w:rPr>
        <w:t xml:space="preserve">. However, selection of the reported result raised some concerns, as multiple virological endpoints and analyses were used without a </w:t>
      </w:r>
      <w:r>
        <w:rPr>
          <w:rFonts w:ascii="Calibri" w:eastAsia="Calibri" w:hAnsi="Calibri" w:cs="Calibri"/>
        </w:rPr>
        <w:t>clearly accessible</w:t>
      </w:r>
      <w:r w:rsidRPr="006E65CC">
        <w:rPr>
          <w:rFonts w:ascii="Calibri" w:eastAsia="Calibri" w:hAnsi="Calibri" w:cs="Calibri"/>
        </w:rPr>
        <w:t xml:space="preserve"> pre-specified analysis plan. Overall, this study was judged </w:t>
      </w:r>
      <w:r>
        <w:rPr>
          <w:rFonts w:ascii="Calibri" w:eastAsia="Calibri" w:hAnsi="Calibri" w:cs="Calibri"/>
        </w:rPr>
        <w:t>to have some concerns for risk of bias</w:t>
      </w:r>
      <w:r w:rsidRPr="006E65CC">
        <w:rPr>
          <w:rFonts w:ascii="Calibri" w:eastAsia="Calibri" w:hAnsi="Calibri" w:cs="Calibri"/>
        </w:rPr>
        <w:t>.</w:t>
      </w:r>
      <w:r w:rsidRPr="006128E3">
        <w:t xml:space="preserve"> </w:t>
      </w:r>
    </w:p>
    <w:p w14:paraId="4353BC56" w14:textId="77777777" w:rsidR="006A5F09" w:rsidRPr="006A5F09" w:rsidRDefault="006A5F09" w:rsidP="00DA08BD">
      <w:pPr>
        <w:spacing w:after="0" w:line="276" w:lineRule="auto"/>
        <w:jc w:val="both"/>
        <w:rPr>
          <w:rFonts w:ascii="Calibri" w:eastAsia="Calibri" w:hAnsi="Calibri" w:cs="Calibri"/>
        </w:rPr>
      </w:pPr>
    </w:p>
    <w:p w14:paraId="30DA667C" w14:textId="2EE41F0C" w:rsidR="486CE1B3" w:rsidRDefault="486CE1B3" w:rsidP="00DA08BD">
      <w:pPr>
        <w:spacing w:after="0" w:line="276" w:lineRule="auto"/>
        <w:jc w:val="both"/>
      </w:pPr>
      <w:r w:rsidRPr="585A0EDF">
        <w:rPr>
          <w:rFonts w:ascii="Calibri" w:eastAsia="Calibri" w:hAnsi="Calibri" w:cs="Calibri"/>
        </w:rPr>
        <w:t xml:space="preserve">Supplementary Table </w:t>
      </w:r>
      <w:r w:rsidR="002A71C8">
        <w:rPr>
          <w:rFonts w:ascii="Calibri" w:eastAsia="Calibri" w:hAnsi="Calibri" w:cs="Calibri"/>
        </w:rPr>
        <w:t>3</w:t>
      </w:r>
      <w:r w:rsidRPr="585A0EDF">
        <w:rPr>
          <w:rFonts w:ascii="Calibri" w:eastAsia="Calibri" w:hAnsi="Calibri" w:cs="Calibri"/>
        </w:rPr>
        <w:t>: Risk of bias assessment of randomised controlled trials using the Cochrane Risk of Bias 2 tool</w:t>
      </w:r>
    </w:p>
    <w:tbl>
      <w:tblPr>
        <w:tblStyle w:val="TableGrid"/>
        <w:tblW w:w="10495" w:type="dxa"/>
        <w:tblInd w:w="-15" w:type="dxa"/>
        <w:tblLook w:val="04A0" w:firstRow="1" w:lastRow="0" w:firstColumn="1" w:lastColumn="0" w:noHBand="0" w:noVBand="1"/>
      </w:tblPr>
      <w:tblGrid>
        <w:gridCol w:w="1291"/>
        <w:gridCol w:w="1266"/>
        <w:gridCol w:w="1786"/>
        <w:gridCol w:w="1275"/>
        <w:gridCol w:w="1476"/>
        <w:gridCol w:w="1842"/>
        <w:gridCol w:w="1559"/>
      </w:tblGrid>
      <w:tr w:rsidR="585A0EDF" w:rsidRPr="00C944B2" w14:paraId="3D36CD12" w14:textId="77777777" w:rsidTr="00967E83">
        <w:trPr>
          <w:trHeight w:val="446"/>
        </w:trPr>
        <w:tc>
          <w:tcPr>
            <w:tcW w:w="1291" w:type="dxa"/>
            <w:tcBorders>
              <w:top w:val="single" w:sz="8" w:space="0" w:color="auto"/>
              <w:left w:val="single" w:sz="8" w:space="0" w:color="auto"/>
              <w:bottom w:val="single" w:sz="8" w:space="0" w:color="auto"/>
              <w:right w:val="single" w:sz="8" w:space="0" w:color="auto"/>
            </w:tcBorders>
            <w:tcMar>
              <w:left w:w="108" w:type="dxa"/>
              <w:right w:w="108" w:type="dxa"/>
            </w:tcMar>
          </w:tcPr>
          <w:p w14:paraId="06FCCB68" w14:textId="0C87CD56" w:rsidR="585A0EDF" w:rsidRPr="00C944B2" w:rsidRDefault="585A0EDF" w:rsidP="00DA08BD">
            <w:pPr>
              <w:spacing w:line="276" w:lineRule="auto"/>
              <w:jc w:val="both"/>
              <w:rPr>
                <w:sz w:val="16"/>
                <w:szCs w:val="16"/>
              </w:rPr>
            </w:pPr>
            <w:r w:rsidRPr="00C944B2">
              <w:rPr>
                <w:rFonts w:ascii="Calibri" w:eastAsia="Calibri" w:hAnsi="Calibri" w:cs="Calibri"/>
                <w:b/>
                <w:bCs/>
                <w:sz w:val="16"/>
                <w:szCs w:val="16"/>
              </w:rPr>
              <w:t>Author (Year)</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50DBF507" w14:textId="7812E4DB" w:rsidR="585A0EDF" w:rsidRPr="00C944B2" w:rsidRDefault="585A0EDF" w:rsidP="00DA08BD">
            <w:pPr>
              <w:spacing w:line="276" w:lineRule="auto"/>
              <w:rPr>
                <w:sz w:val="16"/>
                <w:szCs w:val="16"/>
              </w:rPr>
            </w:pPr>
            <w:r w:rsidRPr="00C944B2">
              <w:rPr>
                <w:rFonts w:ascii="Calibri" w:eastAsia="Calibri" w:hAnsi="Calibri" w:cs="Calibri"/>
                <w:b/>
                <w:bCs/>
                <w:sz w:val="16"/>
                <w:szCs w:val="16"/>
              </w:rPr>
              <w:t>Randomisation Process</w:t>
            </w:r>
          </w:p>
        </w:tc>
        <w:tc>
          <w:tcPr>
            <w:tcW w:w="1786" w:type="dxa"/>
            <w:tcBorders>
              <w:top w:val="single" w:sz="8" w:space="0" w:color="auto"/>
              <w:left w:val="single" w:sz="8" w:space="0" w:color="auto"/>
              <w:bottom w:val="single" w:sz="8" w:space="0" w:color="auto"/>
              <w:right w:val="single" w:sz="8" w:space="0" w:color="auto"/>
            </w:tcBorders>
            <w:tcMar>
              <w:left w:w="108" w:type="dxa"/>
              <w:right w:w="108" w:type="dxa"/>
            </w:tcMar>
          </w:tcPr>
          <w:p w14:paraId="2DB923BD" w14:textId="6CC54A69" w:rsidR="585A0EDF" w:rsidRPr="00C944B2" w:rsidRDefault="585A0EDF" w:rsidP="00DA08BD">
            <w:pPr>
              <w:spacing w:line="276" w:lineRule="auto"/>
              <w:rPr>
                <w:sz w:val="16"/>
                <w:szCs w:val="16"/>
              </w:rPr>
            </w:pPr>
            <w:r w:rsidRPr="00C944B2">
              <w:rPr>
                <w:rFonts w:ascii="Calibri" w:eastAsia="Calibri" w:hAnsi="Calibri" w:cs="Calibri"/>
                <w:b/>
                <w:bCs/>
                <w:sz w:val="16"/>
                <w:szCs w:val="16"/>
              </w:rPr>
              <w:t>Deviations from Intended Interventions</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7B5589E" w14:textId="25A10ACC" w:rsidR="585A0EDF" w:rsidRPr="00C944B2" w:rsidRDefault="585A0EDF" w:rsidP="00DA08BD">
            <w:pPr>
              <w:spacing w:line="276" w:lineRule="auto"/>
              <w:rPr>
                <w:sz w:val="16"/>
                <w:szCs w:val="16"/>
              </w:rPr>
            </w:pPr>
            <w:r w:rsidRPr="00C944B2">
              <w:rPr>
                <w:rFonts w:ascii="Calibri" w:eastAsia="Calibri" w:hAnsi="Calibri" w:cs="Calibri"/>
                <w:b/>
                <w:bCs/>
                <w:sz w:val="16"/>
                <w:szCs w:val="16"/>
              </w:rPr>
              <w:t>Missing Outcome Data</w:t>
            </w:r>
          </w:p>
        </w:tc>
        <w:tc>
          <w:tcPr>
            <w:tcW w:w="1476" w:type="dxa"/>
            <w:tcBorders>
              <w:top w:val="single" w:sz="8" w:space="0" w:color="auto"/>
              <w:left w:val="single" w:sz="8" w:space="0" w:color="auto"/>
              <w:bottom w:val="single" w:sz="8" w:space="0" w:color="auto"/>
              <w:right w:val="single" w:sz="8" w:space="0" w:color="auto"/>
            </w:tcBorders>
            <w:tcMar>
              <w:left w:w="108" w:type="dxa"/>
              <w:right w:w="108" w:type="dxa"/>
            </w:tcMar>
          </w:tcPr>
          <w:p w14:paraId="6678B372" w14:textId="5FFDB0D6" w:rsidR="585A0EDF" w:rsidRPr="00C944B2" w:rsidRDefault="585A0EDF" w:rsidP="00DA08BD">
            <w:pPr>
              <w:spacing w:line="276" w:lineRule="auto"/>
              <w:rPr>
                <w:sz w:val="16"/>
                <w:szCs w:val="16"/>
              </w:rPr>
            </w:pPr>
            <w:r w:rsidRPr="00C944B2">
              <w:rPr>
                <w:rFonts w:ascii="Calibri" w:eastAsia="Calibri" w:hAnsi="Calibri" w:cs="Calibri"/>
                <w:b/>
                <w:bCs/>
                <w:sz w:val="16"/>
                <w:szCs w:val="16"/>
              </w:rPr>
              <w:t>Measurement of the Outcome</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2CC04265" w14:textId="79C8D309" w:rsidR="585A0EDF" w:rsidRPr="00C944B2" w:rsidRDefault="585A0EDF" w:rsidP="00DA08BD">
            <w:pPr>
              <w:spacing w:line="276" w:lineRule="auto"/>
              <w:rPr>
                <w:sz w:val="16"/>
                <w:szCs w:val="16"/>
              </w:rPr>
            </w:pPr>
            <w:r w:rsidRPr="00C944B2">
              <w:rPr>
                <w:rFonts w:ascii="Calibri" w:eastAsia="Calibri" w:hAnsi="Calibri" w:cs="Calibri"/>
                <w:b/>
                <w:bCs/>
                <w:sz w:val="16"/>
                <w:szCs w:val="16"/>
              </w:rPr>
              <w:t>Selection of the Reported Result</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EBE52FE" w14:textId="608DB1EC" w:rsidR="585A0EDF" w:rsidRPr="00C944B2" w:rsidRDefault="585A0EDF" w:rsidP="00DA08BD">
            <w:pPr>
              <w:spacing w:line="276" w:lineRule="auto"/>
              <w:rPr>
                <w:sz w:val="16"/>
                <w:szCs w:val="16"/>
              </w:rPr>
            </w:pPr>
            <w:r w:rsidRPr="00C944B2">
              <w:rPr>
                <w:rFonts w:ascii="Calibri" w:eastAsia="Calibri" w:hAnsi="Calibri" w:cs="Calibri"/>
                <w:b/>
                <w:bCs/>
                <w:sz w:val="16"/>
                <w:szCs w:val="16"/>
              </w:rPr>
              <w:t>Overall Bias</w:t>
            </w:r>
          </w:p>
        </w:tc>
      </w:tr>
      <w:tr w:rsidR="585A0EDF" w:rsidRPr="00C944B2" w14:paraId="4C7049C1" w14:textId="77777777" w:rsidTr="00967E83">
        <w:trPr>
          <w:trHeight w:val="300"/>
        </w:trPr>
        <w:tc>
          <w:tcPr>
            <w:tcW w:w="1291" w:type="dxa"/>
            <w:tcBorders>
              <w:top w:val="single" w:sz="8" w:space="0" w:color="auto"/>
              <w:left w:val="single" w:sz="8" w:space="0" w:color="auto"/>
              <w:bottom w:val="single" w:sz="8" w:space="0" w:color="auto"/>
              <w:right w:val="single" w:sz="8" w:space="0" w:color="auto"/>
            </w:tcBorders>
            <w:tcMar>
              <w:left w:w="108" w:type="dxa"/>
              <w:right w:w="108" w:type="dxa"/>
            </w:tcMar>
          </w:tcPr>
          <w:p w14:paraId="3051B4C6" w14:textId="0872412A" w:rsidR="585A0EDF" w:rsidRPr="00C944B2" w:rsidRDefault="585A0EDF" w:rsidP="00DA08BD">
            <w:pPr>
              <w:spacing w:line="276" w:lineRule="auto"/>
              <w:rPr>
                <w:sz w:val="16"/>
                <w:szCs w:val="16"/>
              </w:rPr>
            </w:pPr>
            <w:r w:rsidRPr="00C944B2">
              <w:rPr>
                <w:rFonts w:ascii="Calibri" w:eastAsia="Calibri" w:hAnsi="Calibri" w:cs="Calibri"/>
                <w:sz w:val="16"/>
                <w:szCs w:val="16"/>
              </w:rPr>
              <w:t xml:space="preserve">Suputtamongkol (2021) </w:t>
            </w:r>
            <w:r w:rsidR="00BD4F4E">
              <w:rPr>
                <w:rFonts w:ascii="Calibri" w:eastAsia="Calibri" w:hAnsi="Calibri" w:cs="Calibri"/>
                <w:sz w:val="16"/>
                <w:szCs w:val="16"/>
              </w:rPr>
              <w:fldChar w:fldCharType="begin"/>
            </w:r>
            <w:r w:rsidR="00BD4F4E">
              <w:rPr>
                <w:rFonts w:ascii="Calibri" w:eastAsia="Calibri" w:hAnsi="Calibri" w:cs="Calibri"/>
                <w:sz w:val="16"/>
                <w:szCs w:val="16"/>
              </w:rPr>
              <w:instrText xml:space="preserve"> ADDIN ZOTERO_ITEM CSL_CITATION {"citationID":"kLAxpy69","properties":{"unsorted":false,"formattedCitation":"[16]","plainCitation":"[16]","noteIndex":0},"citationItems":[{"id":680,"uris":["http://zotero.org/users/local/5m9g3R6r/items/3Q2PXKAF"],"itemData":{"id":680,"type":"article-journal","abstract":"BACKGROUND: Dengue is the most significant mosquito-borne viral disease; there are no specific therapeutics. The antiparasitic drug ivermectin efficiently inhibits the replication of all 4 dengue virus serotypes in vitro.\nMETHODS: We conducted 2 consecutive randomized, double-blind, placebo-controlled trials in adult dengue patients to evaluate safety and virological and clinical efficacies of ivermectin. After a phase 2 trial with 2 or 3 days of 1 daily dose of 400 µg/kg ivermectin, we continued with a phase 3, placebo-controlled trial with 3 days of 400 µg/kg ivermectin.\nRESULTS: The phase 2 trial showed a trend in reduction of plasma nonstructural protein 1 (NS1) clearance time in the 3-day ivermectin group compared with placebo. Combining phase 2 and 3 trials, 203 patients were included in the intention to treat analysis (100 and 103 patients receiving ivermectin and placebo, respectively). Dengue hemorrhagic fever occurred in 24 (24.0%) of ivermectin-treated patients and 32 (31.1%) patients receiving placebo (P = .260). The median (95% confidence interval [CI]) clearance time of NS1 antigenemia was shorter in the ivermectin group (71.5 [95% CI 59.9-84.0] hours vs 95.8 [95% CI 83.9-120.0] hours, P = .014). At discharge, 72.0% and 47.6% of patients in the ivermectin and placebo groups, respectively had undetectable plasma NS1 (P = .001). There were no differences in the viremia clearance time and incidence of adverse events between the 2 groups.\nCONCLUSIONS: A 3-day 1 daily dose of 400 µg/kg oral ivermectin was safe and accelerated NS1 antigenemia clearance in dengue patients. However, clinical efficacy of ivermectin was not observed at this dosage regimen.","container-title":"Clinical Infectious Diseases: An Official Publication of the Infectious Diseases Society of America","DOI":"10.1093/cid/ciaa1332","ISSN":"1537-6591","issue":"10","journalAbbreviation":"Clin Infect Dis","language":"eng","page":"e586-e593","PMID":"33462580","source":"PubMed","title":"Ivermectin Accelerates Circulating Nonstructural Protein 1 (NS1) Clearance in Adult Dengue Patients: A Combined Phase 2/3 Randomized Double-blinded Placebo Controlled Trial","title-short":"Ivermectin Accelerates Circulating Nonstructural Protein 1 (NS1) Clearance in Adult Dengue Patients","volume":"72","author":[{"family":"Suputtamongkol","given":"Yupin"},{"family":"Avirutnan","given":"Panisadee"},{"family":"Mairiang","given":"Dumrong"},{"family":"Angkasekwinai","given":"Nasikarn"},{"family":"Niwattayakul","given":"Kannika"},{"family":"Yamasmith","given":"Eakkawit"},{"family":"Saleh-Arong","given":"Fadhil A.-Hamad"},{"family":"Songjaeng","given":"Adisak"},{"family":"Prommool","given":"Tanapan"},{"family":"Tangthawornchaikul","given":"Nattaya"},{"family":"Puttikhunt","given":"Chunya"},{"family":"Hunnangkul","given":"Saowalak"},{"family":"Komoltri","given":"Chulaluk"},{"family":"Thammapalo","given":"Suwich"},{"family":"Malasit","given":"Prida"}],"issued":{"date-parts":[["2021",5,18]]}}}],"schema":"https://github.com/citation-style-language/schema/raw/master/csl-citation.json"} </w:instrText>
            </w:r>
            <w:r w:rsidR="00BD4F4E">
              <w:rPr>
                <w:rFonts w:ascii="Calibri" w:eastAsia="Calibri" w:hAnsi="Calibri" w:cs="Calibri"/>
                <w:sz w:val="16"/>
                <w:szCs w:val="16"/>
              </w:rPr>
              <w:fldChar w:fldCharType="separate"/>
            </w:r>
            <w:r w:rsidR="00BD4F4E" w:rsidRPr="00BD4F4E">
              <w:rPr>
                <w:rFonts w:ascii="Calibri" w:hAnsi="Calibri" w:cs="Calibri"/>
                <w:sz w:val="16"/>
              </w:rPr>
              <w:t>[16]</w:t>
            </w:r>
            <w:r w:rsidR="00BD4F4E">
              <w:rPr>
                <w:rFonts w:ascii="Calibri" w:eastAsia="Calibri" w:hAnsi="Calibri" w:cs="Calibri"/>
                <w:sz w:val="16"/>
                <w:szCs w:val="16"/>
              </w:rPr>
              <w:fldChar w:fldCharType="end"/>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650B55BE" w14:textId="0F17452A" w:rsidR="585A0EDF" w:rsidRPr="00C944B2" w:rsidRDefault="585A0EDF" w:rsidP="00DA08BD">
            <w:pPr>
              <w:spacing w:line="276" w:lineRule="auto"/>
              <w:rPr>
                <w:sz w:val="16"/>
                <w:szCs w:val="16"/>
              </w:rPr>
            </w:pPr>
            <w:r w:rsidRPr="00C944B2">
              <w:rPr>
                <w:rFonts w:ascii="Calibri" w:eastAsia="Calibri" w:hAnsi="Calibri" w:cs="Calibri"/>
                <w:sz w:val="16"/>
                <w:szCs w:val="16"/>
              </w:rPr>
              <w:t>Low</w:t>
            </w:r>
          </w:p>
        </w:tc>
        <w:tc>
          <w:tcPr>
            <w:tcW w:w="1786" w:type="dxa"/>
            <w:tcBorders>
              <w:top w:val="single" w:sz="8" w:space="0" w:color="auto"/>
              <w:left w:val="single" w:sz="8" w:space="0" w:color="auto"/>
              <w:bottom w:val="single" w:sz="8" w:space="0" w:color="auto"/>
              <w:right w:val="single" w:sz="8" w:space="0" w:color="auto"/>
            </w:tcBorders>
            <w:tcMar>
              <w:left w:w="108" w:type="dxa"/>
              <w:right w:w="108" w:type="dxa"/>
            </w:tcMar>
          </w:tcPr>
          <w:p w14:paraId="0E3CD0CE" w14:textId="48F490F5" w:rsidR="585A0EDF" w:rsidRPr="00C944B2" w:rsidRDefault="585A0EDF" w:rsidP="00DA08BD">
            <w:pPr>
              <w:spacing w:line="276" w:lineRule="auto"/>
              <w:rPr>
                <w:sz w:val="16"/>
                <w:szCs w:val="16"/>
              </w:rPr>
            </w:pPr>
            <w:r w:rsidRPr="00C944B2">
              <w:rPr>
                <w:rFonts w:ascii="Calibri" w:eastAsia="Calibri" w:hAnsi="Calibri" w:cs="Calibri"/>
                <w:sz w:val="16"/>
                <w:szCs w:val="16"/>
              </w:rPr>
              <w:t>Low</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718F332" w14:textId="3ABA097C" w:rsidR="585A0EDF" w:rsidRPr="00C944B2" w:rsidRDefault="585A0EDF" w:rsidP="00DA08BD">
            <w:pPr>
              <w:spacing w:line="276" w:lineRule="auto"/>
              <w:rPr>
                <w:sz w:val="16"/>
                <w:szCs w:val="16"/>
              </w:rPr>
            </w:pPr>
            <w:r w:rsidRPr="00C944B2">
              <w:rPr>
                <w:rFonts w:ascii="Calibri" w:eastAsia="Calibri" w:hAnsi="Calibri" w:cs="Calibri"/>
                <w:sz w:val="16"/>
                <w:szCs w:val="16"/>
              </w:rPr>
              <w:t>Low</w:t>
            </w:r>
          </w:p>
        </w:tc>
        <w:tc>
          <w:tcPr>
            <w:tcW w:w="1476" w:type="dxa"/>
            <w:tcBorders>
              <w:top w:val="single" w:sz="8" w:space="0" w:color="auto"/>
              <w:left w:val="single" w:sz="8" w:space="0" w:color="auto"/>
              <w:bottom w:val="single" w:sz="8" w:space="0" w:color="auto"/>
              <w:right w:val="single" w:sz="8" w:space="0" w:color="auto"/>
            </w:tcBorders>
            <w:tcMar>
              <w:left w:w="108" w:type="dxa"/>
              <w:right w:w="108" w:type="dxa"/>
            </w:tcMar>
          </w:tcPr>
          <w:p w14:paraId="784CE25B" w14:textId="63D78ED0" w:rsidR="585A0EDF" w:rsidRPr="00C944B2" w:rsidRDefault="585A0EDF" w:rsidP="00DA08BD">
            <w:pPr>
              <w:spacing w:line="276" w:lineRule="auto"/>
              <w:rPr>
                <w:sz w:val="16"/>
                <w:szCs w:val="16"/>
              </w:rPr>
            </w:pPr>
            <w:r w:rsidRPr="00C944B2">
              <w:rPr>
                <w:rFonts w:ascii="Calibri" w:eastAsia="Calibri" w:hAnsi="Calibri" w:cs="Calibri"/>
                <w:sz w:val="16"/>
                <w:szCs w:val="16"/>
              </w:rPr>
              <w:t>Low</w:t>
            </w:r>
          </w:p>
        </w:tc>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0444B80D" w14:textId="6C2D81A6" w:rsidR="585A0EDF" w:rsidRPr="00C944B2" w:rsidRDefault="585A0EDF" w:rsidP="00DA08BD">
            <w:pPr>
              <w:spacing w:line="276" w:lineRule="auto"/>
              <w:rPr>
                <w:sz w:val="16"/>
                <w:szCs w:val="16"/>
              </w:rPr>
            </w:pPr>
            <w:r w:rsidRPr="00C944B2">
              <w:rPr>
                <w:rFonts w:ascii="Calibri" w:eastAsia="Calibri" w:hAnsi="Calibri" w:cs="Calibri"/>
                <w:sz w:val="16"/>
                <w:szCs w:val="16"/>
              </w:rPr>
              <w:t>Some concerns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DE808E4" w14:textId="164F6932" w:rsidR="585A0EDF" w:rsidRPr="00C944B2" w:rsidRDefault="585A0EDF" w:rsidP="00DA08BD">
            <w:pPr>
              <w:spacing w:line="276" w:lineRule="auto"/>
              <w:rPr>
                <w:sz w:val="16"/>
                <w:szCs w:val="16"/>
              </w:rPr>
            </w:pPr>
            <w:r w:rsidRPr="00C944B2">
              <w:rPr>
                <w:rFonts w:ascii="Calibri" w:eastAsia="Calibri" w:hAnsi="Calibri" w:cs="Calibri"/>
                <w:sz w:val="16"/>
                <w:szCs w:val="16"/>
              </w:rPr>
              <w:t>Some concerns</w:t>
            </w:r>
          </w:p>
        </w:tc>
      </w:tr>
    </w:tbl>
    <w:p w14:paraId="5C67ED93" w14:textId="77777777" w:rsidR="006A5F09" w:rsidRDefault="006A5F09" w:rsidP="00DA08BD">
      <w:pPr>
        <w:spacing w:after="0" w:line="276" w:lineRule="auto"/>
      </w:pPr>
    </w:p>
    <w:p w14:paraId="26241965" w14:textId="64A251DD" w:rsidR="008B325B" w:rsidRPr="00DA08BD" w:rsidRDefault="008B325B" w:rsidP="00DA08BD">
      <w:pPr>
        <w:pStyle w:val="ListParagraph"/>
        <w:numPr>
          <w:ilvl w:val="0"/>
          <w:numId w:val="3"/>
        </w:numPr>
        <w:spacing w:after="0" w:line="276" w:lineRule="auto"/>
        <w:rPr>
          <w:rFonts w:ascii="Calibri" w:eastAsia="Calibri" w:hAnsi="Calibri" w:cs="Calibri"/>
          <w:b/>
          <w:bCs/>
        </w:rPr>
      </w:pPr>
      <w:r>
        <w:rPr>
          <w:rFonts w:ascii="Calibri" w:eastAsia="Calibri" w:hAnsi="Calibri" w:cs="Calibri"/>
          <w:b/>
          <w:bCs/>
        </w:rPr>
        <w:t>Certainty of Evidence</w:t>
      </w:r>
    </w:p>
    <w:p w14:paraId="70A29CA3" w14:textId="01DEEED5" w:rsidR="008B325B" w:rsidRPr="008B325B" w:rsidRDefault="0050546F" w:rsidP="00DA08BD">
      <w:pPr>
        <w:spacing w:after="0" w:line="276" w:lineRule="auto"/>
        <w:jc w:val="both"/>
        <w:rPr>
          <w:rFonts w:ascii="Calibri" w:eastAsia="Calibri" w:hAnsi="Calibri" w:cs="Calibri"/>
        </w:rPr>
      </w:pPr>
      <w:r w:rsidRPr="00834C9C">
        <w:rPr>
          <w:rFonts w:ascii="Calibri" w:eastAsia="Calibri" w:hAnsi="Calibri" w:cs="Calibri"/>
        </w:rPr>
        <w:t xml:space="preserve">The certainty of evidence was assessed using the GRADE framework and was initially rated as low due to the </w:t>
      </w:r>
      <w:r>
        <w:rPr>
          <w:rFonts w:ascii="Calibri" w:eastAsia="Calibri" w:hAnsi="Calibri" w:cs="Calibri"/>
        </w:rPr>
        <w:t xml:space="preserve">predominantly </w:t>
      </w:r>
      <w:r w:rsidRPr="00834C9C">
        <w:rPr>
          <w:rFonts w:ascii="Calibri" w:eastAsia="Calibri" w:hAnsi="Calibri" w:cs="Calibri"/>
        </w:rPr>
        <w:t>observational nature of the included studies. The evidence was downgraded for risk of bias, inconsistency</w:t>
      </w:r>
      <w:r>
        <w:rPr>
          <w:rFonts w:ascii="Calibri" w:eastAsia="Calibri" w:hAnsi="Calibri" w:cs="Calibri"/>
        </w:rPr>
        <w:t>,</w:t>
      </w:r>
      <w:r w:rsidRPr="00834C9C">
        <w:rPr>
          <w:rFonts w:ascii="Calibri" w:eastAsia="Calibri" w:hAnsi="Calibri" w:cs="Calibri"/>
        </w:rPr>
        <w:t xml:space="preserve"> and indirectness. This reflect</w:t>
      </w:r>
      <w:r>
        <w:rPr>
          <w:rFonts w:ascii="Calibri" w:eastAsia="Calibri" w:hAnsi="Calibri" w:cs="Calibri"/>
        </w:rPr>
        <w:t>ed</w:t>
      </w:r>
      <w:r w:rsidRPr="00834C9C">
        <w:rPr>
          <w:rFonts w:ascii="Calibri" w:eastAsia="Calibri" w:hAnsi="Calibri" w:cs="Calibri"/>
        </w:rPr>
        <w:t xml:space="preserve"> limitations in </w:t>
      </w:r>
      <w:r>
        <w:rPr>
          <w:rFonts w:ascii="Calibri" w:eastAsia="Calibri" w:hAnsi="Calibri" w:cs="Calibri"/>
        </w:rPr>
        <w:t xml:space="preserve">control of </w:t>
      </w:r>
      <w:r w:rsidRPr="00834C9C">
        <w:rPr>
          <w:rFonts w:ascii="Calibri" w:eastAsia="Calibri" w:hAnsi="Calibri" w:cs="Calibri"/>
        </w:rPr>
        <w:t>confound</w:t>
      </w:r>
      <w:r>
        <w:rPr>
          <w:rFonts w:ascii="Calibri" w:eastAsia="Calibri" w:hAnsi="Calibri" w:cs="Calibri"/>
        </w:rPr>
        <w:t>ing</w:t>
      </w:r>
      <w:r w:rsidRPr="00834C9C">
        <w:rPr>
          <w:rFonts w:ascii="Calibri" w:eastAsia="Calibri" w:hAnsi="Calibri" w:cs="Calibri"/>
        </w:rPr>
        <w:t>, var</w:t>
      </w:r>
      <w:r>
        <w:rPr>
          <w:rFonts w:ascii="Calibri" w:eastAsia="Calibri" w:hAnsi="Calibri" w:cs="Calibri"/>
        </w:rPr>
        <w:t>iation in</w:t>
      </w:r>
      <w:r w:rsidRPr="00834C9C">
        <w:rPr>
          <w:rFonts w:ascii="Calibri" w:eastAsia="Calibri" w:hAnsi="Calibri" w:cs="Calibri"/>
        </w:rPr>
        <w:t xml:space="preserve"> sample timings, mixed findings across studies</w:t>
      </w:r>
      <w:r>
        <w:rPr>
          <w:rFonts w:ascii="Calibri" w:eastAsia="Calibri" w:hAnsi="Calibri" w:cs="Calibri"/>
        </w:rPr>
        <w:t>,</w:t>
      </w:r>
      <w:r w:rsidRPr="00834C9C">
        <w:rPr>
          <w:rFonts w:ascii="Calibri" w:eastAsia="Calibri" w:hAnsi="Calibri" w:cs="Calibri"/>
        </w:rPr>
        <w:t xml:space="preserve"> and heterogeneity in severity definitions. The evidence was also downgraded for imprecision due to uncertainty in the magnitude of effect, as effect estimates were not consistently reported or comparable across studies. </w:t>
      </w:r>
      <w:r w:rsidR="00360CA0">
        <w:rPr>
          <w:rFonts w:ascii="Calibri" w:eastAsia="Calibri" w:hAnsi="Calibri" w:cs="Calibri"/>
        </w:rPr>
        <w:t xml:space="preserve">Publication bias could not be formally assessed because of the small number of included studies and substantial methodological heterogeneity. </w:t>
      </w:r>
      <w:r w:rsidRPr="00834C9C">
        <w:rPr>
          <w:rFonts w:ascii="Calibri" w:eastAsia="Calibri" w:hAnsi="Calibri" w:cs="Calibri"/>
        </w:rPr>
        <w:t>Overall, the certainty of evidence was judged to be very low</w:t>
      </w:r>
      <w:r>
        <w:rPr>
          <w:rFonts w:ascii="Calibri" w:eastAsia="Calibri" w:hAnsi="Calibri" w:cs="Calibri"/>
        </w:rPr>
        <w:t>,</w:t>
      </w:r>
      <w:r w:rsidRPr="00834C9C">
        <w:rPr>
          <w:rFonts w:ascii="Calibri" w:eastAsia="Calibri" w:hAnsi="Calibri" w:cs="Calibri"/>
        </w:rPr>
        <w:t xml:space="preserve"> indicat</w:t>
      </w:r>
      <w:r>
        <w:rPr>
          <w:rFonts w:ascii="Calibri" w:eastAsia="Calibri" w:hAnsi="Calibri" w:cs="Calibri"/>
        </w:rPr>
        <w:t>ing</w:t>
      </w:r>
      <w:r w:rsidRPr="00834C9C">
        <w:rPr>
          <w:rFonts w:ascii="Calibri" w:eastAsia="Calibri" w:hAnsi="Calibri" w:cs="Calibri"/>
        </w:rPr>
        <w:t xml:space="preserve"> that confidence in the association between dengue viraemia and severe disease is </w:t>
      </w:r>
      <w:r>
        <w:rPr>
          <w:rFonts w:ascii="Calibri" w:eastAsia="Calibri" w:hAnsi="Calibri" w:cs="Calibri"/>
        </w:rPr>
        <w:t>limited</w:t>
      </w:r>
      <w:r w:rsidRPr="00834C9C">
        <w:rPr>
          <w:rFonts w:ascii="Calibri" w:eastAsia="Calibri" w:hAnsi="Calibri" w:cs="Calibri"/>
        </w:rPr>
        <w:t>.</w:t>
      </w:r>
    </w:p>
    <w:p w14:paraId="6A3F1908" w14:textId="0999FCA8" w:rsidR="585A0EDF" w:rsidRDefault="585A0EDF" w:rsidP="00DA08BD">
      <w:pPr>
        <w:spacing w:after="0" w:line="276" w:lineRule="auto"/>
        <w:rPr>
          <w:rFonts w:ascii="Calibri" w:eastAsia="Calibri" w:hAnsi="Calibri" w:cs="Calibri"/>
        </w:rPr>
      </w:pPr>
    </w:p>
    <w:p w14:paraId="63C6B235" w14:textId="676AF66A" w:rsidR="004B506D" w:rsidRPr="004B506D" w:rsidRDefault="004B506D" w:rsidP="00DA08BD">
      <w:pPr>
        <w:spacing w:after="0" w:line="276" w:lineRule="auto"/>
        <w:rPr>
          <w:rFonts w:ascii="Calibri" w:eastAsia="Calibri" w:hAnsi="Calibri" w:cs="Calibri"/>
          <w:b/>
          <w:bCs/>
        </w:rPr>
      </w:pPr>
      <w:r w:rsidRPr="004B506D">
        <w:rPr>
          <w:rFonts w:ascii="Calibri" w:eastAsia="Calibri" w:hAnsi="Calibri" w:cs="Calibri"/>
          <w:b/>
          <w:bCs/>
        </w:rPr>
        <w:t>References</w:t>
      </w:r>
    </w:p>
    <w:p w14:paraId="6B6B0790" w14:textId="77777777" w:rsidR="006A4E20" w:rsidRPr="006A4E20" w:rsidRDefault="004B506D" w:rsidP="006A4E20">
      <w:pPr>
        <w:pStyle w:val="Bibliography"/>
      </w:pPr>
      <w:r>
        <w:rPr>
          <w:rFonts w:eastAsia="Calibri"/>
        </w:rPr>
        <w:fldChar w:fldCharType="begin"/>
      </w:r>
      <w:r w:rsidR="006A4E20">
        <w:rPr>
          <w:rFonts w:eastAsia="Calibri"/>
        </w:rPr>
        <w:instrText xml:space="preserve"> ADDIN ZOTERO_BIBL {"uncited":[],"omitted":[],"custom":[]} CSL_BIBLIOGRAPHY </w:instrText>
      </w:r>
      <w:r>
        <w:rPr>
          <w:rFonts w:eastAsia="Calibri"/>
        </w:rPr>
        <w:fldChar w:fldCharType="separate"/>
      </w:r>
      <w:r w:rsidR="006A4E20" w:rsidRPr="006A4E20">
        <w:t xml:space="preserve">1. </w:t>
      </w:r>
      <w:r w:rsidR="006A4E20" w:rsidRPr="006A4E20">
        <w:tab/>
        <w:t xml:space="preserve">World Health Organization. Dengue Haemorrhagic Fever: Diagnosis, Treatment, Prevention and Control. Geneva, Switzerland: World Health Organization; 1997. </w:t>
      </w:r>
    </w:p>
    <w:p w14:paraId="040E1D92" w14:textId="77777777" w:rsidR="006A4E20" w:rsidRPr="006A4E20" w:rsidRDefault="006A4E20" w:rsidP="006A4E20">
      <w:pPr>
        <w:pStyle w:val="Bibliography"/>
      </w:pPr>
      <w:r w:rsidRPr="006A4E20">
        <w:t xml:space="preserve">2. </w:t>
      </w:r>
      <w:r w:rsidRPr="006A4E20">
        <w:tab/>
        <w:t xml:space="preserve">World Health Organization. Dengue Guidelines for Diagnosis, Treatment, Prevention and Control. Geneva, Switzerland: World Health Organization; 2009. </w:t>
      </w:r>
    </w:p>
    <w:p w14:paraId="2C912010" w14:textId="77777777" w:rsidR="006A4E20" w:rsidRPr="006A4E20" w:rsidRDefault="006A4E20" w:rsidP="006A4E20">
      <w:pPr>
        <w:pStyle w:val="Bibliography"/>
      </w:pPr>
      <w:r w:rsidRPr="006A4E20">
        <w:t xml:space="preserve">3. </w:t>
      </w:r>
      <w:r w:rsidRPr="006A4E20">
        <w:tab/>
        <w:t xml:space="preserve">World Health Organization. Guidelines for Clinical Management of Arboviral Diseases: Dengue, Chikungunya, Zika and Yellow Fever. Geneva, Switzerland: World Health Organization; 2025. </w:t>
      </w:r>
    </w:p>
    <w:p w14:paraId="5687DE3A" w14:textId="77777777" w:rsidR="006A4E20" w:rsidRPr="006A4E20" w:rsidRDefault="006A4E20" w:rsidP="006A4E20">
      <w:pPr>
        <w:pStyle w:val="Bibliography"/>
      </w:pPr>
      <w:r w:rsidRPr="006A4E20">
        <w:t xml:space="preserve">4. </w:t>
      </w:r>
      <w:r w:rsidRPr="006A4E20">
        <w:tab/>
        <w:t>Luo D, Wan X, Liu J, Tong T. Optimally estimating the sample mean from the sample size, median, mid-range, and/or mid-quartile range. Stat Methods Med Res. 2018;27: 1785–1805. doi:10.1177/0962280216669183</w:t>
      </w:r>
    </w:p>
    <w:p w14:paraId="35653DCC" w14:textId="77777777" w:rsidR="006A4E20" w:rsidRPr="006A4E20" w:rsidRDefault="006A4E20" w:rsidP="006A4E20">
      <w:pPr>
        <w:pStyle w:val="Bibliography"/>
      </w:pPr>
      <w:r w:rsidRPr="006A4E20">
        <w:t xml:space="preserve">5. </w:t>
      </w:r>
      <w:r w:rsidRPr="006A4E20">
        <w:tab/>
        <w:t>Wan X, Wang W, Liu J, Tong T. Estimating the sample mean and standard deviation from the sample size, median, range and/or interquartile range. BMC Med Res Methodol. 2014;14: 135. doi:10.1186/1471-2288-14-135</w:t>
      </w:r>
    </w:p>
    <w:p w14:paraId="08009613" w14:textId="77777777" w:rsidR="006A4E20" w:rsidRPr="006A4E20" w:rsidRDefault="006A4E20" w:rsidP="006A4E20">
      <w:pPr>
        <w:pStyle w:val="Bibliography"/>
      </w:pPr>
      <w:r w:rsidRPr="006A4E20">
        <w:t xml:space="preserve">6. </w:t>
      </w:r>
      <w:r w:rsidRPr="006A4E20">
        <w:tab/>
        <w:t>Arragain L, Dupont-Rouzeyrol M, O’Connor O, Sigur N, Grangeon J-P, Huguon E, et al. Vertical Transmission of Dengue Virus in the Peripartum Period and Viral Kinetics in Newborns and Breast Milk: New Data. J Pediatric Infect Dis Soc. 2017;6: 324–331. doi:10.1093/jpids/piw058</w:t>
      </w:r>
    </w:p>
    <w:p w14:paraId="198A1E03" w14:textId="77777777" w:rsidR="006A4E20" w:rsidRPr="006A4E20" w:rsidRDefault="006A4E20" w:rsidP="006A4E20">
      <w:pPr>
        <w:pStyle w:val="Bibliography"/>
      </w:pPr>
      <w:r w:rsidRPr="006A4E20">
        <w:lastRenderedPageBreak/>
        <w:t xml:space="preserve">7. </w:t>
      </w:r>
      <w:r w:rsidRPr="006A4E20">
        <w:tab/>
        <w:t>Bhatt P, Jayaram A, Varma M, Mukhopadhyay C. Kinetics of dengue viremia and its association with disease severity: an ambispective study. VirusDis. 2024;35: 250–259. doi:10.1007/s13337-024-00872-z</w:t>
      </w:r>
    </w:p>
    <w:p w14:paraId="62AE1B06" w14:textId="77777777" w:rsidR="006A4E20" w:rsidRPr="006A4E20" w:rsidRDefault="006A4E20" w:rsidP="006A4E20">
      <w:pPr>
        <w:pStyle w:val="Bibliography"/>
      </w:pPr>
      <w:r w:rsidRPr="006A4E20">
        <w:t xml:space="preserve">8. </w:t>
      </w:r>
      <w:r w:rsidRPr="006A4E20">
        <w:tab/>
        <w:t>Murgue B, Roche C, Chungue E, Deparis X. Prospective study of the duration and magnitude of viraemia in children hospitalised during the 1996-1997 dengue-2 outbreak in French Polynesia. J Med Virol. 2000;60: 432–438. doi:10.1002/(sici)1096-9071(200004)60:4&lt;432::aid-jmv11&gt;3.0.co;2-7</w:t>
      </w:r>
    </w:p>
    <w:p w14:paraId="4C4FAF63" w14:textId="77777777" w:rsidR="006A4E20" w:rsidRPr="006A4E20" w:rsidRDefault="006A4E20" w:rsidP="006A4E20">
      <w:pPr>
        <w:pStyle w:val="Bibliography"/>
      </w:pPr>
      <w:r w:rsidRPr="006A4E20">
        <w:t xml:space="preserve">9. </w:t>
      </w:r>
      <w:r w:rsidRPr="006A4E20">
        <w:tab/>
        <w:t>Singla M, Kar M, Sethi T, Kabra SK, Lodha R, Chandele A, et al. Immune Response to Dengue Virus Infection in Pediatric Patients in New Delhi, India--Association of Viremia, Inflammatory Mediators and Monocytes with Disease Severity. PLoS Negl Trop Dis. 2016;10: e0004497. doi:10.1371/journal.pntd.0004497</w:t>
      </w:r>
    </w:p>
    <w:p w14:paraId="28084C9F" w14:textId="77777777" w:rsidR="006A4E20" w:rsidRPr="006A4E20" w:rsidRDefault="006A4E20" w:rsidP="006A4E20">
      <w:pPr>
        <w:pStyle w:val="Bibliography"/>
      </w:pPr>
      <w:r w:rsidRPr="006A4E20">
        <w:t xml:space="preserve">10. </w:t>
      </w:r>
      <w:r w:rsidRPr="006A4E20">
        <w:tab/>
        <w:t>Tricou V, Minh NN, Farrar J, Tran HT, Simmons CP. Kinetics of Viremia and NS1 Antigenemia Are Shaped by Immune Status and Virus Serotype in Adults with Dengue. PLOS Neglected Tropical Diseases. 2011;5: e1309. doi:10.1371/journal.pntd.0001309</w:t>
      </w:r>
    </w:p>
    <w:p w14:paraId="61703990" w14:textId="77777777" w:rsidR="006A4E20" w:rsidRPr="006A4E20" w:rsidRDefault="006A4E20" w:rsidP="006A4E20">
      <w:pPr>
        <w:pStyle w:val="Bibliography"/>
      </w:pPr>
      <w:r w:rsidRPr="006A4E20">
        <w:t xml:space="preserve">11. </w:t>
      </w:r>
      <w:r w:rsidRPr="006A4E20">
        <w:tab/>
        <w:t>Wang W-K, Chen H-L, Yang C-F, Hsieh S-C, Juan C-C, Chang S-M, et al. Slower Rates of Clearance of Viral Load and Virus-Containing Immune Complexes in Patients with Dengue Hemorrhagic Fever. Clinical Infectious Diseases. 2006;43: 1023–1030. doi:10.1086/507635</w:t>
      </w:r>
    </w:p>
    <w:p w14:paraId="295D464B" w14:textId="77777777" w:rsidR="006A4E20" w:rsidRPr="006A4E20" w:rsidRDefault="006A4E20" w:rsidP="006A4E20">
      <w:pPr>
        <w:pStyle w:val="Bibliography"/>
      </w:pPr>
      <w:r w:rsidRPr="006A4E20">
        <w:t xml:space="preserve">12. </w:t>
      </w:r>
      <w:r w:rsidRPr="006A4E20">
        <w:tab/>
        <w:t>Wijesinghe A, Gamage J, Goonewardena H, Gomes L, Jayathilaka D, Wijeratne DT, et al. Phenotype and functionality of follicular helper T cells in patients with acute dengue infection. J Biomed Sci. 2020;27: 50. doi:10.1186/s12929-020-00641-2</w:t>
      </w:r>
    </w:p>
    <w:p w14:paraId="7A5E842F" w14:textId="77777777" w:rsidR="006A4E20" w:rsidRPr="006A4E20" w:rsidRDefault="006A4E20" w:rsidP="006A4E20">
      <w:pPr>
        <w:pStyle w:val="Bibliography"/>
      </w:pPr>
      <w:r w:rsidRPr="006A4E20">
        <w:t xml:space="preserve">13. </w:t>
      </w:r>
      <w:r w:rsidRPr="006A4E20">
        <w:tab/>
        <w:t>Matangkasombut P, Manopwisedjaroen K, Pitabut N, Thaloengsok S, Suraamornkul S, Yingtaweesak T, et al. Dengue viremia kinetics in asymptomatic and symptomatic infection. Int J Infect Dis. 2020;101: 90–97. doi:10.1016/j.ijid.2020.09.1446</w:t>
      </w:r>
    </w:p>
    <w:p w14:paraId="1701F038" w14:textId="77777777" w:rsidR="006A4E20" w:rsidRPr="006A4E20" w:rsidRDefault="006A4E20" w:rsidP="006A4E20">
      <w:pPr>
        <w:pStyle w:val="Bibliography"/>
      </w:pPr>
      <w:r w:rsidRPr="006A4E20">
        <w:t xml:space="preserve">14. </w:t>
      </w:r>
      <w:r w:rsidRPr="006A4E20">
        <w:tab/>
        <w:t>Nainggolan L, Dewi BE, Hakiki A, Pranata AJ, Sudiro TM, Martina B, et al. Association of viral kinetics, infection history, NS1 protein with plasma leakage among Indonesian dengue infected patients. PLOS ONE. 2023;18: e0285087. doi:10.1371/journal.pone.0285087</w:t>
      </w:r>
    </w:p>
    <w:p w14:paraId="4069529C" w14:textId="77777777" w:rsidR="006A4E20" w:rsidRPr="006A4E20" w:rsidRDefault="006A4E20" w:rsidP="006A4E20">
      <w:pPr>
        <w:pStyle w:val="Bibliography"/>
      </w:pPr>
      <w:r w:rsidRPr="006A4E20">
        <w:t xml:space="preserve">15. </w:t>
      </w:r>
      <w:r w:rsidRPr="006A4E20">
        <w:tab/>
        <w:t>Vuong NL, Quyen NTH, Tien NTH, Duong Thi Hue K, Duyen HTL, Lam PK, et al. Dengue viremia kinetics and effects on platelet count and clinical outcomes: An analysis of 2340 patients from Vietnam. eLife. 13: RP92606. doi:10.7554/eLife.92606</w:t>
      </w:r>
    </w:p>
    <w:p w14:paraId="23930257" w14:textId="77777777" w:rsidR="006A4E20" w:rsidRPr="006A4E20" w:rsidRDefault="006A4E20" w:rsidP="006A4E20">
      <w:pPr>
        <w:pStyle w:val="Bibliography"/>
      </w:pPr>
      <w:r w:rsidRPr="006A4E20">
        <w:t xml:space="preserve">16. </w:t>
      </w:r>
      <w:r w:rsidRPr="006A4E20">
        <w:tab/>
        <w:t>Suputtamongkol Y, Avirutnan P, Mairiang D, Angkasekwinai N, Niwattayakul K, Yamasmith E, et al. Ivermectin Accelerates Circulating Nonstructural Protein 1 (NS1) Clearance in Adult Dengue Patients: A Combined Phase 2/3 Randomized Double-blinded Placebo Controlled Trial. Clin Infect Dis. 2021;72: e586–e593. doi:10.1093/cid/ciaa1332</w:t>
      </w:r>
    </w:p>
    <w:p w14:paraId="70C02F53" w14:textId="3D5ACFE7" w:rsidR="004B506D" w:rsidRDefault="004B506D" w:rsidP="00DA08BD">
      <w:pPr>
        <w:spacing w:after="0" w:line="276" w:lineRule="auto"/>
        <w:rPr>
          <w:rFonts w:ascii="Calibri" w:eastAsia="Calibri" w:hAnsi="Calibri" w:cs="Calibri"/>
        </w:rPr>
      </w:pPr>
      <w:r>
        <w:rPr>
          <w:rFonts w:ascii="Calibri" w:eastAsia="Calibri" w:hAnsi="Calibri" w:cs="Calibri"/>
        </w:rPr>
        <w:fldChar w:fldCharType="end"/>
      </w:r>
    </w:p>
    <w:p w14:paraId="57630DA8" w14:textId="1E8931FA" w:rsidR="585A0EDF" w:rsidRDefault="585A0EDF" w:rsidP="00DA08BD">
      <w:pPr>
        <w:spacing w:after="0" w:line="276" w:lineRule="auto"/>
        <w:rPr>
          <w:rFonts w:ascii="Calibri" w:eastAsia="Calibri" w:hAnsi="Calibri" w:cs="Calibri"/>
        </w:rPr>
      </w:pPr>
    </w:p>
    <w:sectPr w:rsidR="585A0EDF" w:rsidSect="0004020F">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F0498"/>
    <w:multiLevelType w:val="multilevel"/>
    <w:tmpl w:val="AFE0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576BE5"/>
    <w:multiLevelType w:val="multilevel"/>
    <w:tmpl w:val="DBE6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33973"/>
    <w:multiLevelType w:val="multilevel"/>
    <w:tmpl w:val="6B42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A49E9"/>
    <w:multiLevelType w:val="multilevel"/>
    <w:tmpl w:val="6EEC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E61050"/>
    <w:multiLevelType w:val="hybridMultilevel"/>
    <w:tmpl w:val="EACC54CA"/>
    <w:lvl w:ilvl="0" w:tplc="EA24EFC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629489E"/>
    <w:multiLevelType w:val="hybridMultilevel"/>
    <w:tmpl w:val="F1A848C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203DEE"/>
    <w:multiLevelType w:val="multilevel"/>
    <w:tmpl w:val="13D6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0E004A"/>
    <w:multiLevelType w:val="hybridMultilevel"/>
    <w:tmpl w:val="BCBAAB92"/>
    <w:lvl w:ilvl="0" w:tplc="FFEEE43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EC57F8"/>
    <w:multiLevelType w:val="multilevel"/>
    <w:tmpl w:val="2202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9C645A"/>
    <w:multiLevelType w:val="multilevel"/>
    <w:tmpl w:val="4F4E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60032"/>
    <w:multiLevelType w:val="multilevel"/>
    <w:tmpl w:val="619E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1E463B"/>
    <w:multiLevelType w:val="multilevel"/>
    <w:tmpl w:val="0F00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B05A35"/>
    <w:multiLevelType w:val="multilevel"/>
    <w:tmpl w:val="C086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9A1B31"/>
    <w:multiLevelType w:val="multilevel"/>
    <w:tmpl w:val="CB44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2736612">
    <w:abstractNumId w:val="5"/>
  </w:num>
  <w:num w:numId="2" w16cid:durableId="342434324">
    <w:abstractNumId w:val="7"/>
  </w:num>
  <w:num w:numId="3" w16cid:durableId="215899688">
    <w:abstractNumId w:val="4"/>
  </w:num>
  <w:num w:numId="4" w16cid:durableId="2015917622">
    <w:abstractNumId w:val="8"/>
  </w:num>
  <w:num w:numId="5" w16cid:durableId="104472011">
    <w:abstractNumId w:val="3"/>
  </w:num>
  <w:num w:numId="6" w16cid:durableId="555244562">
    <w:abstractNumId w:val="1"/>
  </w:num>
  <w:num w:numId="7" w16cid:durableId="1685008505">
    <w:abstractNumId w:val="13"/>
  </w:num>
  <w:num w:numId="8" w16cid:durableId="1654066001">
    <w:abstractNumId w:val="10"/>
  </w:num>
  <w:num w:numId="9" w16cid:durableId="2132552542">
    <w:abstractNumId w:val="6"/>
  </w:num>
  <w:num w:numId="10" w16cid:durableId="379406815">
    <w:abstractNumId w:val="12"/>
  </w:num>
  <w:num w:numId="11" w16cid:durableId="449666363">
    <w:abstractNumId w:val="2"/>
  </w:num>
  <w:num w:numId="12" w16cid:durableId="804733439">
    <w:abstractNumId w:val="11"/>
  </w:num>
  <w:num w:numId="13" w16cid:durableId="302079097">
    <w:abstractNumId w:val="0"/>
  </w:num>
  <w:num w:numId="14" w16cid:durableId="2883222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0EC18C"/>
    <w:rsid w:val="0001B523"/>
    <w:rsid w:val="000264FF"/>
    <w:rsid w:val="0004020F"/>
    <w:rsid w:val="000442FB"/>
    <w:rsid w:val="00083420"/>
    <w:rsid w:val="000F23DF"/>
    <w:rsid w:val="00107C9C"/>
    <w:rsid w:val="00135423"/>
    <w:rsid w:val="00256173"/>
    <w:rsid w:val="002A71C8"/>
    <w:rsid w:val="002B1A90"/>
    <w:rsid w:val="002F4298"/>
    <w:rsid w:val="00360CA0"/>
    <w:rsid w:val="003D7F24"/>
    <w:rsid w:val="00401673"/>
    <w:rsid w:val="004330C2"/>
    <w:rsid w:val="00437015"/>
    <w:rsid w:val="00445C2E"/>
    <w:rsid w:val="004709C5"/>
    <w:rsid w:val="004B506D"/>
    <w:rsid w:val="004C26E8"/>
    <w:rsid w:val="0050546F"/>
    <w:rsid w:val="0052132E"/>
    <w:rsid w:val="00542B35"/>
    <w:rsid w:val="00564436"/>
    <w:rsid w:val="005936EC"/>
    <w:rsid w:val="005D230F"/>
    <w:rsid w:val="005D24A9"/>
    <w:rsid w:val="005D7C80"/>
    <w:rsid w:val="00627661"/>
    <w:rsid w:val="0064009D"/>
    <w:rsid w:val="00641A07"/>
    <w:rsid w:val="006A1041"/>
    <w:rsid w:val="006A4E20"/>
    <w:rsid w:val="006A5F09"/>
    <w:rsid w:val="006F54FA"/>
    <w:rsid w:val="00725864"/>
    <w:rsid w:val="0072E239"/>
    <w:rsid w:val="0074474E"/>
    <w:rsid w:val="007475BE"/>
    <w:rsid w:val="007C2C2B"/>
    <w:rsid w:val="008057C4"/>
    <w:rsid w:val="00806D00"/>
    <w:rsid w:val="00811CEA"/>
    <w:rsid w:val="0085534D"/>
    <w:rsid w:val="008807CB"/>
    <w:rsid w:val="008A3639"/>
    <w:rsid w:val="008B325B"/>
    <w:rsid w:val="008E0581"/>
    <w:rsid w:val="008E5ACC"/>
    <w:rsid w:val="008F1818"/>
    <w:rsid w:val="00967E83"/>
    <w:rsid w:val="00996C52"/>
    <w:rsid w:val="009D445B"/>
    <w:rsid w:val="00A925CF"/>
    <w:rsid w:val="00A93AC5"/>
    <w:rsid w:val="00AB1566"/>
    <w:rsid w:val="00AD2E97"/>
    <w:rsid w:val="00AD4E6F"/>
    <w:rsid w:val="00AD6176"/>
    <w:rsid w:val="00B47A29"/>
    <w:rsid w:val="00B651F0"/>
    <w:rsid w:val="00B83CC3"/>
    <w:rsid w:val="00BD4F4E"/>
    <w:rsid w:val="00C944B2"/>
    <w:rsid w:val="00CC235A"/>
    <w:rsid w:val="00CD3651"/>
    <w:rsid w:val="00D643AE"/>
    <w:rsid w:val="00D94A6C"/>
    <w:rsid w:val="00DA08BD"/>
    <w:rsid w:val="00DD665A"/>
    <w:rsid w:val="00E13490"/>
    <w:rsid w:val="00E55B9F"/>
    <w:rsid w:val="00EA492F"/>
    <w:rsid w:val="00EB6194"/>
    <w:rsid w:val="00F333C7"/>
    <w:rsid w:val="01FBA657"/>
    <w:rsid w:val="02084986"/>
    <w:rsid w:val="02EF9902"/>
    <w:rsid w:val="039FEDE1"/>
    <w:rsid w:val="04348EAB"/>
    <w:rsid w:val="04F039FB"/>
    <w:rsid w:val="05FB0CD6"/>
    <w:rsid w:val="06F95D97"/>
    <w:rsid w:val="0B77591B"/>
    <w:rsid w:val="0C490798"/>
    <w:rsid w:val="0D6E9DF1"/>
    <w:rsid w:val="0EE15C8E"/>
    <w:rsid w:val="10224D94"/>
    <w:rsid w:val="102C3F61"/>
    <w:rsid w:val="10B7C72C"/>
    <w:rsid w:val="1170A6E2"/>
    <w:rsid w:val="117FA9F5"/>
    <w:rsid w:val="12A454F6"/>
    <w:rsid w:val="13174257"/>
    <w:rsid w:val="1404B9F8"/>
    <w:rsid w:val="16A7215D"/>
    <w:rsid w:val="18C82114"/>
    <w:rsid w:val="1B35696F"/>
    <w:rsid w:val="1BF50F26"/>
    <w:rsid w:val="1BF56B7E"/>
    <w:rsid w:val="1D3AC484"/>
    <w:rsid w:val="1D6C153A"/>
    <w:rsid w:val="1EB34259"/>
    <w:rsid w:val="1FADFC57"/>
    <w:rsid w:val="1FEC2398"/>
    <w:rsid w:val="20DA97D6"/>
    <w:rsid w:val="23B92D56"/>
    <w:rsid w:val="258D87EB"/>
    <w:rsid w:val="2603924F"/>
    <w:rsid w:val="260BD2C3"/>
    <w:rsid w:val="2668CF29"/>
    <w:rsid w:val="26C4829C"/>
    <w:rsid w:val="27CFA0DE"/>
    <w:rsid w:val="281BD5B5"/>
    <w:rsid w:val="2891D7F9"/>
    <w:rsid w:val="28D54D70"/>
    <w:rsid w:val="2952D193"/>
    <w:rsid w:val="29F724AE"/>
    <w:rsid w:val="2B332F08"/>
    <w:rsid w:val="2CA5202F"/>
    <w:rsid w:val="2DB919D3"/>
    <w:rsid w:val="2E7CB460"/>
    <w:rsid w:val="2FA7CE2C"/>
    <w:rsid w:val="300EC18C"/>
    <w:rsid w:val="305DDDC2"/>
    <w:rsid w:val="329F4BCB"/>
    <w:rsid w:val="36971D68"/>
    <w:rsid w:val="37663CE7"/>
    <w:rsid w:val="37B71748"/>
    <w:rsid w:val="3980158E"/>
    <w:rsid w:val="3C4AE7F8"/>
    <w:rsid w:val="3C7CD950"/>
    <w:rsid w:val="3D538653"/>
    <w:rsid w:val="3F401EA7"/>
    <w:rsid w:val="3F6EC75F"/>
    <w:rsid w:val="43074A0B"/>
    <w:rsid w:val="44A9229B"/>
    <w:rsid w:val="455E5D1E"/>
    <w:rsid w:val="45F0FAC4"/>
    <w:rsid w:val="47B791F3"/>
    <w:rsid w:val="47EC2A0A"/>
    <w:rsid w:val="47F52E67"/>
    <w:rsid w:val="486CE1B3"/>
    <w:rsid w:val="4961BFCA"/>
    <w:rsid w:val="49972A3A"/>
    <w:rsid w:val="49C5A1DF"/>
    <w:rsid w:val="49DB3155"/>
    <w:rsid w:val="4A4F4B13"/>
    <w:rsid w:val="4B66CAF6"/>
    <w:rsid w:val="4B9F6124"/>
    <w:rsid w:val="4C71BE10"/>
    <w:rsid w:val="4F0DC541"/>
    <w:rsid w:val="4F4A32FD"/>
    <w:rsid w:val="5621DFF3"/>
    <w:rsid w:val="575DF398"/>
    <w:rsid w:val="585A0EDF"/>
    <w:rsid w:val="5973DD79"/>
    <w:rsid w:val="59D8EEA3"/>
    <w:rsid w:val="5A52A187"/>
    <w:rsid w:val="5A7454E2"/>
    <w:rsid w:val="5B049FE4"/>
    <w:rsid w:val="5B5891A3"/>
    <w:rsid w:val="5CD2EB35"/>
    <w:rsid w:val="5E36C600"/>
    <w:rsid w:val="61075E29"/>
    <w:rsid w:val="61629148"/>
    <w:rsid w:val="61F83450"/>
    <w:rsid w:val="62EC6F44"/>
    <w:rsid w:val="648FE812"/>
    <w:rsid w:val="66F2DB62"/>
    <w:rsid w:val="67A748F8"/>
    <w:rsid w:val="69055277"/>
    <w:rsid w:val="6975D8C0"/>
    <w:rsid w:val="6B1FBA61"/>
    <w:rsid w:val="6D313979"/>
    <w:rsid w:val="6D639B3C"/>
    <w:rsid w:val="6DE4EEAA"/>
    <w:rsid w:val="6E09A9DF"/>
    <w:rsid w:val="6E895EB0"/>
    <w:rsid w:val="6E945D79"/>
    <w:rsid w:val="6FAB19F6"/>
    <w:rsid w:val="7091ACC0"/>
    <w:rsid w:val="72B5113D"/>
    <w:rsid w:val="736139D2"/>
    <w:rsid w:val="73933CA8"/>
    <w:rsid w:val="74F6A642"/>
    <w:rsid w:val="75835F4C"/>
    <w:rsid w:val="75877966"/>
    <w:rsid w:val="788AC299"/>
    <w:rsid w:val="790319C1"/>
    <w:rsid w:val="7A209D0C"/>
    <w:rsid w:val="7E46A4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0770"/>
  <w15:chartTrackingRefBased/>
  <w15:docId w15:val="{D6603B57-0C37-4112-AD69-E5550B86F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27661"/>
    <w:pPr>
      <w:ind w:left="720"/>
      <w:contextualSpacing/>
    </w:pPr>
  </w:style>
  <w:style w:type="character" w:styleId="CommentReference">
    <w:name w:val="annotation reference"/>
    <w:basedOn w:val="DefaultParagraphFont"/>
    <w:uiPriority w:val="99"/>
    <w:semiHidden/>
    <w:unhideWhenUsed/>
    <w:rsid w:val="004C26E8"/>
    <w:rPr>
      <w:sz w:val="16"/>
      <w:szCs w:val="16"/>
    </w:rPr>
  </w:style>
  <w:style w:type="paragraph" w:styleId="CommentText">
    <w:name w:val="annotation text"/>
    <w:basedOn w:val="Normal"/>
    <w:link w:val="CommentTextChar"/>
    <w:uiPriority w:val="99"/>
    <w:semiHidden/>
    <w:unhideWhenUsed/>
    <w:rsid w:val="004C26E8"/>
    <w:pPr>
      <w:spacing w:line="240" w:lineRule="auto"/>
    </w:pPr>
    <w:rPr>
      <w:sz w:val="20"/>
      <w:szCs w:val="20"/>
    </w:rPr>
  </w:style>
  <w:style w:type="character" w:customStyle="1" w:styleId="CommentTextChar">
    <w:name w:val="Comment Text Char"/>
    <w:basedOn w:val="DefaultParagraphFont"/>
    <w:link w:val="CommentText"/>
    <w:uiPriority w:val="99"/>
    <w:semiHidden/>
    <w:rsid w:val="004C26E8"/>
    <w:rPr>
      <w:sz w:val="20"/>
      <w:szCs w:val="20"/>
    </w:rPr>
  </w:style>
  <w:style w:type="paragraph" w:styleId="CommentSubject">
    <w:name w:val="annotation subject"/>
    <w:basedOn w:val="CommentText"/>
    <w:next w:val="CommentText"/>
    <w:link w:val="CommentSubjectChar"/>
    <w:uiPriority w:val="99"/>
    <w:semiHidden/>
    <w:unhideWhenUsed/>
    <w:rsid w:val="004C26E8"/>
    <w:rPr>
      <w:b/>
      <w:bCs/>
    </w:rPr>
  </w:style>
  <w:style w:type="character" w:customStyle="1" w:styleId="CommentSubjectChar">
    <w:name w:val="Comment Subject Char"/>
    <w:basedOn w:val="CommentTextChar"/>
    <w:link w:val="CommentSubject"/>
    <w:uiPriority w:val="99"/>
    <w:semiHidden/>
    <w:rsid w:val="004C26E8"/>
    <w:rPr>
      <w:b/>
      <w:bCs/>
      <w:sz w:val="20"/>
      <w:szCs w:val="20"/>
    </w:rPr>
  </w:style>
  <w:style w:type="paragraph" w:styleId="Bibliography">
    <w:name w:val="Bibliography"/>
    <w:basedOn w:val="Normal"/>
    <w:next w:val="Normal"/>
    <w:uiPriority w:val="37"/>
    <w:unhideWhenUsed/>
    <w:rsid w:val="00EA4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15315</Words>
  <Characters>87297</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Jeslyn Gonsalves</dc:creator>
  <cp:keywords/>
  <dc:description/>
  <cp:lastModifiedBy>Chan, Xin Hui (RTH) OUH</cp:lastModifiedBy>
  <cp:revision>39</cp:revision>
  <dcterms:created xsi:type="dcterms:W3CDTF">2026-08-21T11:59:00Z</dcterms:created>
  <dcterms:modified xsi:type="dcterms:W3CDTF">2026-09-03T19:34:00Z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id="Ll9kNPAW"/&gt;&lt;style id="http://www.zotero.org/styles/plos-neglected-tropical-diseases" hasBibliography="1" bibliographyStyleHasBeenSet="1"/&gt;&lt;prefs&gt;&lt;pref name="fieldType" value="Field"/&gt;&lt;/prefs&gt;&lt;/dat</vt:lpwstr>
  </property>
  <property fmtid="{D5CDD505-2E9C-101B-9397-08002B2CF9AE}" pid="3" name="ZOTERO_PREF_2">
    <vt:lpwstr>a&gt;</vt:lpwstr>
  </property>
</Properties>
</file>