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color w:val="1F3864"/>
          <w:sz w:val="30"/>
          <w:szCs w:val="30"/>
        </w:rPr>
        <w:t xml:space="preserve">Appendices 2–4</w:t>
      </w:r>
    </w:p>
    <w:p>
      <w:pPr>
        <w:spacing w:after="60" w:line="275"/>
      </w:pPr>
      <w:r>
        <w:rPr>
          <w:rFonts w:ascii="Calibri" w:cs="Calibri" w:eastAsia="Calibri" w:hAnsi="Calibri"/>
          <w:i/>
          <w:iCs/>
          <w:sz w:val="21"/>
          <w:szCs w:val="21"/>
        </w:rPr>
        <w:t>Manuscript: “Care continuity after WHO ICOPE screening: a three-year repeated cross-sectional evaluation of 11 827 assessments”</w:t>
      </w:r>
    </w:p>
    <w:p>
      <w:pPr>
        <w:spacing w:after="200" w:line="275"/>
      </w:pPr>
      <w:r>
        <w:rPr>
          <w:rFonts w:ascii="Calibri" w:cs="Calibri" w:eastAsia="Calibri" w:hAnsi="Calibri"/>
          <w:i/>
          <w:iCs/>
          <w:sz w:val="18"/>
          <w:szCs w:val="18"/>
        </w:rPr>
        <w:t xml:space="preserve">Contents — Appendix 2: Record linkage. Appendix 3: Reconstruction of domain classifications. Appendix 4: Full sensitivity analyses.</w:t>
      </w:r>
    </w:p>
    <w:p>
      <w:pPr>
        <w:pStyle w:val="Heading1"/>
        <w:spacing w:after="110" w:before="280"/>
      </w:pPr>
      <w:r>
        <w:rPr>
          <w:rFonts w:ascii="Calibri" w:cs="Calibri" w:eastAsia="Calibri" w:hAnsi="Calibri"/>
          <w:b/>
          <w:bCs/>
          <w:color w:val="1F3864"/>
          <w:sz w:val="26"/>
          <w:szCs w:val="26"/>
        </w:rPr>
        <w:t xml:space="preserve">Appendix 2. Record linkage</w:t>
      </w:r>
    </w:p>
    <w:p>
      <w:pPr>
        <w:spacing w:after="110" w:line="275"/>
      </w:pPr>
      <w:r>
        <w:rPr>
          <w:rFonts w:ascii="Calibri" w:cs="Calibri" w:eastAsia="Calibri" w:hAnsi="Calibri"/>
          <w:sz w:val="21"/>
          <w:szCs w:val="21"/>
        </w:rPr>
        <w:t xml:space="preserve">The analytic files contained no direct or pseudonymised person identifier. Post-screening records were therefore linked to initial records within each calendar year using deterministic composite keys built from de-identified administrative fields. Keys differed between years because the fields released differed. Before linkage, duplicate-key diagnostics were run within each initial-assessment file; the selected key was unique for every initial record in all three years, so no ambiguous links required exclusion.</w:t>
      </w:r>
    </w:p>
    <w:tbl>
      <w:tblPr>
        <w:tblW w:type="dxa" w:w="9400"/>
        <w:tblBorders>
          <w:top w:val="single" w:color="808080" w:sz="3"/>
          <w:left w:val="none"/>
          <w:bottom w:val="single" w:color="808080" w:sz="3"/>
          <w:right w:val="none"/>
          <w:insideH w:val="single" w:color="CCCCCC" w:sz="1"/>
          <w:insideV w:val="none"/>
        </w:tblBorders>
      </w:tblPr>
      <w:tblGrid>
        <w:gridCol w:w="800"/>
        <w:gridCol w:w="4200"/>
        <w:gridCol w:w="2400"/>
        <w:gridCol w:w="2000"/>
      </w:tblGrid>
      <w:tr>
        <w:trPr>
          <w:tblHeader/>
          <w:tblHeader w:val="true"/>
        </w:trPr>
        <w:tc>
          <w:tcPr>
            <w:tcW w:type="dxa" w:w="800"/>
            <w:shd w:fill="D9E2F3" w:val="clear"/>
            <w:tcMar>
              <w:top w:type="dxa" w:w="40"/>
              <w:left w:type="dxa" w:w="60"/>
              <w:bottom w:type="dxa" w:w="40"/>
              <w:right w:type="dxa" w:w="60"/>
            </w:tcMar>
          </w:tcPr>
          <w:p>
            <w:pPr>
              <w:spacing w:after="0" w:line="230"/>
              <w:jc w:val="left"/>
            </w:pPr>
            <w:r>
              <w:rPr>
                <w:rFonts w:ascii="Calibri" w:cs="Calibri" w:eastAsia="Calibri" w:hAnsi="Calibri"/>
                <w:b/>
                <w:bCs/>
                <w:sz w:val="17"/>
                <w:szCs w:val="17"/>
              </w:rPr>
              <w:t xml:space="preserve">Year</w:t>
            </w:r>
          </w:p>
        </w:tc>
        <w:tc>
          <w:tcPr>
            <w:tcW w:type="dxa" w:w="4200"/>
            <w:shd w:fill="D9E2F3" w:val="clear"/>
            <w:tcMar>
              <w:top w:type="dxa" w:w="40"/>
              <w:left w:type="dxa" w:w="60"/>
              <w:bottom w:type="dxa" w:w="40"/>
              <w:right w:type="dxa" w:w="60"/>
            </w:tcMar>
          </w:tcPr>
          <w:p>
            <w:pPr>
              <w:spacing w:after="0" w:line="230"/>
              <w:jc w:val="center"/>
            </w:pPr>
            <w:r>
              <w:rPr>
                <w:rFonts w:ascii="Calibri" w:cs="Calibri" w:eastAsia="Calibri" w:hAnsi="Calibri"/>
                <w:b/>
                <w:bCs/>
                <w:sz w:val="17"/>
                <w:szCs w:val="17"/>
              </w:rPr>
              <w:t xml:space="preserve">Composite linkage key</w:t>
            </w:r>
          </w:p>
        </w:tc>
        <w:tc>
          <w:tcPr>
            <w:tcW w:type="dxa" w:w="2400"/>
            <w:shd w:fill="D9E2F3" w:val="clear"/>
            <w:tcMar>
              <w:top w:type="dxa" w:w="40"/>
              <w:left w:type="dxa" w:w="60"/>
              <w:bottom w:type="dxa" w:w="40"/>
              <w:right w:type="dxa" w:w="60"/>
            </w:tcMar>
          </w:tcPr>
          <w:p>
            <w:pPr>
              <w:spacing w:after="0" w:line="230"/>
              <w:jc w:val="center"/>
            </w:pPr>
            <w:r>
              <w:rPr>
                <w:rFonts w:ascii="Calibri" w:cs="Calibri" w:eastAsia="Calibri" w:hAnsi="Calibri"/>
                <w:b/>
                <w:bCs/>
                <w:sz w:val="17"/>
                <w:szCs w:val="17"/>
              </w:rPr>
              <w:t xml:space="preserve">Duplicate keys among initial records</w:t>
            </w:r>
          </w:p>
        </w:tc>
        <w:tc>
          <w:tcPr>
            <w:tcW w:type="dxa" w:w="2000"/>
            <w:shd w:fill="D9E2F3" w:val="clear"/>
            <w:tcMar>
              <w:top w:type="dxa" w:w="40"/>
              <w:left w:type="dxa" w:w="60"/>
              <w:bottom w:type="dxa" w:w="40"/>
              <w:right w:type="dxa" w:w="60"/>
            </w:tcMar>
          </w:tcPr>
          <w:p>
            <w:pPr>
              <w:spacing w:after="0" w:line="230"/>
              <w:jc w:val="center"/>
            </w:pPr>
            <w:r>
              <w:rPr>
                <w:rFonts w:ascii="Calibri" w:cs="Calibri" w:eastAsia="Calibri" w:hAnsi="Calibri"/>
                <w:b/>
                <w:bCs/>
                <w:sz w:val="17"/>
                <w:szCs w:val="17"/>
              </w:rPr>
              <w:t xml:space="preserve">Post-screening records matched</w:t>
            </w:r>
          </w:p>
        </w:tc>
      </w:tr>
      <w:tr>
        <w:tc>
          <w:tcPr>
            <w:tcW w:type="dxa" w:w="800"/>
            <w:tcMar>
              <w:top w:type="dxa" w:w="40"/>
              <w:left w:type="dxa" w:w="60"/>
              <w:bottom w:type="dxa" w:w="40"/>
              <w:right w:type="dxa" w:w="60"/>
            </w:tcMar>
          </w:tcPr>
          <w:p>
            <w:pPr>
              <w:spacing w:after="0" w:line="230"/>
              <w:jc w:val="left"/>
            </w:pPr>
            <w:r>
              <w:rPr>
                <w:rFonts w:ascii="Calibri" w:cs="Calibri" w:eastAsia="Calibri" w:hAnsi="Calibri"/>
                <w:b w:val="false"/>
                <w:bCs w:val="false"/>
                <w:sz w:val="17"/>
                <w:szCs w:val="17"/>
              </w:rPr>
              <w:t xml:space="preserve">2023</w:t>
            </w:r>
          </w:p>
        </w:tc>
        <w:tc>
          <w:tcPr>
            <w:tcW w:type="dxa" w:w="42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Date of birth + sex + residential address</w:t>
            </w:r>
          </w:p>
        </w:tc>
        <w:tc>
          <w:tcPr>
            <w:tcW w:type="dxa" w:w="24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0 / 3 763</w:t>
            </w:r>
          </w:p>
        </w:tc>
        <w:tc>
          <w:tcPr>
            <w:tcW w:type="dxa" w:w="20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668 / 668 (100%)</w:t>
            </w:r>
          </w:p>
        </w:tc>
      </w:tr>
      <w:tr>
        <w:tc>
          <w:tcPr>
            <w:tcW w:type="dxa" w:w="800"/>
            <w:tcMar>
              <w:top w:type="dxa" w:w="40"/>
              <w:left w:type="dxa" w:w="60"/>
              <w:bottom w:type="dxa" w:w="40"/>
              <w:right w:type="dxa" w:w="60"/>
            </w:tcMar>
          </w:tcPr>
          <w:p>
            <w:pPr>
              <w:spacing w:after="0" w:line="230"/>
              <w:jc w:val="left"/>
            </w:pPr>
            <w:r>
              <w:rPr>
                <w:rFonts w:ascii="Calibri" w:cs="Calibri" w:eastAsia="Calibri" w:hAnsi="Calibri"/>
                <w:b w:val="false"/>
                <w:bCs w:val="false"/>
                <w:sz w:val="17"/>
                <w:szCs w:val="17"/>
              </w:rPr>
              <w:t xml:space="preserve">2024</w:t>
            </w:r>
          </w:p>
        </w:tc>
        <w:tc>
          <w:tcPr>
            <w:tcW w:type="dxa" w:w="42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Date of birth + sex + residential address</w:t>
            </w:r>
          </w:p>
        </w:tc>
        <w:tc>
          <w:tcPr>
            <w:tcW w:type="dxa" w:w="24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0 / 3 820</w:t>
            </w:r>
          </w:p>
        </w:tc>
        <w:tc>
          <w:tcPr>
            <w:tcW w:type="dxa" w:w="20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844 / 844 (100%)</w:t>
            </w:r>
          </w:p>
        </w:tc>
      </w:tr>
      <w:tr>
        <w:tc>
          <w:tcPr>
            <w:tcW w:type="dxa" w:w="800"/>
            <w:tcMar>
              <w:top w:type="dxa" w:w="40"/>
              <w:left w:type="dxa" w:w="60"/>
              <w:bottom w:type="dxa" w:w="40"/>
              <w:right w:type="dxa" w:w="60"/>
            </w:tcMar>
          </w:tcPr>
          <w:p>
            <w:pPr>
              <w:spacing w:after="0" w:line="230"/>
              <w:jc w:val="left"/>
            </w:pPr>
            <w:r>
              <w:rPr>
                <w:rFonts w:ascii="Calibri" w:cs="Calibri" w:eastAsia="Calibri" w:hAnsi="Calibri"/>
                <w:b w:val="false"/>
                <w:bCs w:val="false"/>
                <w:sz w:val="17"/>
                <w:szCs w:val="17"/>
              </w:rPr>
              <w:t xml:space="preserve">2025</w:t>
            </w:r>
          </w:p>
        </w:tc>
        <w:tc>
          <w:tcPr>
            <w:tcW w:type="dxa" w:w="42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Date of birth + sex + district + village + chronic disease profile</w:t>
            </w:r>
          </w:p>
        </w:tc>
        <w:tc>
          <w:tcPr>
            <w:tcW w:type="dxa" w:w="24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0 / 4 244</w:t>
            </w:r>
          </w:p>
        </w:tc>
        <w:tc>
          <w:tcPr>
            <w:tcW w:type="dxa" w:w="20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835 / 835 (100%)</w:t>
            </w:r>
          </w:p>
        </w:tc>
      </w:tr>
    </w:tbl>
    <w:p>
      <w:pPr>
        <w:spacing w:after="120" w:line="275"/>
      </w:pPr>
      <w:r>
        <w:rPr>
          <w:rFonts w:ascii="Calibri" w:cs="Calibri" w:eastAsia="Calibri" w:hAnsi="Calibri"/>
          <w:sz w:val="19"/>
          <w:szCs w:val="19"/>
        </w:rPr>
        <w:t xml:space="preserve">Address fields were not released for 2025, so a composite of district, village and the recorded chronic disease profile was substituted. This component is not strictly immutable, and false matches between people sharing every key field cannot be excluded; the resulting outcome misclassification would be expected to be small and non-differential with respect to baseline domain status. Cross-year linkage was not attempted.</w:t>
      </w:r>
    </w:p>
    <w:p>
      <w:pPr>
        <w:spacing w:after="110" w:line="275"/>
      </w:pPr>
      <w:r>
        <w:rPr>
          <w:rFonts w:ascii="Calibri" w:cs="Calibri" w:eastAsia="Calibri" w:hAnsi="Calibri"/>
          <w:b/>
          <w:bCs/>
          <w:sz w:val="21"/>
          <w:szCs w:val="21"/>
        </w:rPr>
        <w:t xml:space="preserve">Repeat participation. </w:t>
      </w:r>
      <w:r>
        <w:rPr>
          <w:rFonts w:ascii="Calibri" w:cs="Calibri" w:eastAsia="Calibri" w:hAnsi="Calibri"/>
          <w:sz w:val="21"/>
          <w:szCs w:val="21"/>
        </w:rPr>
        <w:t xml:space="preserve">The programme’s own first-screening indicator was present for 2024 and 2025 only: 1 033 of 3 820 records (27.0%) in 2024 and 1 887 of 4 244 (44.5%) in 2025 were not first screenings. An approximate person key (date of birth + sex + village) suggested overlaps of 786 records between 2023 and 2024, 704 between 2024 and 2025, 893 between 2023 and 2025 and 200 across all three years, implying about 28% of the 11 827 records represent people assessed in more than one year (7 120 apparent individuals among the 9 517 abnormal-screen records).</w:t>
      </w:r>
    </w:p>
    <w:p>
      <w:pPr>
        <w:spacing w:after="110" w:line="275"/>
      </w:pPr>
      <w:r>
        <w:rPr>
          <w:rFonts w:ascii="Calibri" w:cs="Calibri" w:eastAsia="Calibri" w:hAnsi="Calibri"/>
          <w:b/>
          <w:bCs/>
          <w:sz w:val="21"/>
          <w:szCs w:val="21"/>
        </w:rPr>
        <w:t xml:space="preserve">Four unlinked-pathway records. </w:t>
      </w:r>
      <w:r>
        <w:rPr>
          <w:rFonts w:ascii="Calibri" w:cs="Calibri" w:eastAsia="Calibri" w:hAnsi="Calibri"/>
          <w:sz w:val="21"/>
          <w:szCs w:val="21"/>
        </w:rPr>
        <w:t xml:space="preserve">In 2023, 668 records had a linked downstream assessment but only 664 of these had an abnormal core domain at screening; the remaining four are excluded from Table 2 and from the primary model, which is restricted to records with an abnormal screen. In 2024 and 2025 every linked record had an abnormal screen.</w:t>
      </w:r>
    </w:p>
    <w:p>
      <w:r>
        <w:br w:type="page"/>
      </w:r>
    </w:p>
    <w:p>
      <w:pPr>
        <w:pStyle w:val="Heading1"/>
        <w:spacing w:after="110" w:before="280"/>
      </w:pPr>
      <w:r>
        <w:rPr>
          <w:rFonts w:ascii="Calibri" w:cs="Calibri" w:eastAsia="Calibri" w:hAnsi="Calibri"/>
          <w:b/>
          <w:bCs/>
          <w:color w:val="1F3864"/>
          <w:sz w:val="26"/>
          <w:szCs w:val="26"/>
        </w:rPr>
        <w:t xml:space="preserve">Appendix 3. Reconstruction of the six domain classifications</w:t>
      </w:r>
    </w:p>
    <w:p>
      <w:pPr>
        <w:spacing w:after="110" w:line="275"/>
      </w:pPr>
      <w:r>
        <w:rPr>
          <w:rFonts w:ascii="Calibri" w:cs="Calibri" w:eastAsia="Calibri" w:hAnsi="Calibri"/>
          <w:sz w:val="21"/>
          <w:szCs w:val="21"/>
        </w:rPr>
        <w:t xml:space="preserve">The programme distributes a derived field listing abnormal domains; the rules behind it were not documented. Candidate rules were built from the raw screening responses and tested against the derived flag in each year. Concordance was complete (100%) for every domain in every year, providing internal validation of the primary exposure and allowing definitional stability to be tested directly.</w:t>
      </w:r>
    </w:p>
    <w:tbl>
      <w:tblPr>
        <w:tblW w:type="dxa" w:w="9400"/>
        <w:tblBorders>
          <w:top w:val="single" w:color="808080" w:sz="3"/>
          <w:left w:val="none"/>
          <w:bottom w:val="single" w:color="808080" w:sz="3"/>
          <w:right w:val="none"/>
          <w:insideH w:val="single" w:color="CCCCCC" w:sz="1"/>
          <w:insideV w:val="none"/>
        </w:tblBorders>
      </w:tblPr>
      <w:tblGrid>
        <w:gridCol w:w="1500"/>
        <w:gridCol w:w="3600"/>
        <w:gridCol w:w="2300"/>
        <w:gridCol w:w="2000"/>
      </w:tblGrid>
      <w:tr>
        <w:trPr>
          <w:tblHeader/>
          <w:tblHeader w:val="true"/>
        </w:trPr>
        <w:tc>
          <w:tcPr>
            <w:tcW w:type="dxa" w:w="1500"/>
            <w:shd w:fill="D9E2F3" w:val="clear"/>
            <w:tcMar>
              <w:top w:type="dxa" w:w="40"/>
              <w:left w:type="dxa" w:w="60"/>
              <w:bottom w:type="dxa" w:w="40"/>
              <w:right w:type="dxa" w:w="60"/>
            </w:tcMar>
          </w:tcPr>
          <w:p>
            <w:pPr>
              <w:spacing w:after="0" w:line="230"/>
              <w:jc w:val="left"/>
            </w:pPr>
            <w:r>
              <w:rPr>
                <w:rFonts w:ascii="Calibri" w:cs="Calibri" w:eastAsia="Calibri" w:hAnsi="Calibri"/>
                <w:b/>
                <w:bCs/>
                <w:sz w:val="17"/>
                <w:szCs w:val="17"/>
              </w:rPr>
              <w:t xml:space="preserve">Domain</w:t>
            </w:r>
          </w:p>
        </w:tc>
        <w:tc>
          <w:tcPr>
            <w:tcW w:type="dxa" w:w="3600"/>
            <w:shd w:fill="D9E2F3" w:val="clear"/>
            <w:tcMar>
              <w:top w:type="dxa" w:w="40"/>
              <w:left w:type="dxa" w:w="60"/>
              <w:bottom w:type="dxa" w:w="40"/>
              <w:right w:type="dxa" w:w="60"/>
            </w:tcMar>
          </w:tcPr>
          <w:p>
            <w:pPr>
              <w:spacing w:after="0" w:line="230"/>
              <w:jc w:val="center"/>
            </w:pPr>
            <w:r>
              <w:rPr>
                <w:rFonts w:ascii="Calibri" w:cs="Calibri" w:eastAsia="Calibri" w:hAnsi="Calibri"/>
                <w:b/>
                <w:bCs/>
                <w:sz w:val="17"/>
                <w:szCs w:val="17"/>
              </w:rPr>
              <w:t xml:space="preserve">Reconstructed rule</w:t>
            </w:r>
          </w:p>
        </w:tc>
        <w:tc>
          <w:tcPr>
            <w:tcW w:type="dxa" w:w="2300"/>
            <w:shd w:fill="D9E2F3" w:val="clear"/>
            <w:tcMar>
              <w:top w:type="dxa" w:w="40"/>
              <w:left w:type="dxa" w:w="60"/>
              <w:bottom w:type="dxa" w:w="40"/>
              <w:right w:type="dxa" w:w="60"/>
            </w:tcMar>
          </w:tcPr>
          <w:p>
            <w:pPr>
              <w:spacing w:after="0" w:line="230"/>
              <w:jc w:val="center"/>
            </w:pPr>
            <w:r>
              <w:rPr>
                <w:rFonts w:ascii="Calibri" w:cs="Calibri" w:eastAsia="Calibri" w:hAnsi="Calibri"/>
                <w:b/>
                <w:bCs/>
                <w:sz w:val="17"/>
                <w:szCs w:val="17"/>
              </w:rPr>
              <w:t xml:space="preserve">Concordance with the derived flag</w:t>
            </w:r>
          </w:p>
        </w:tc>
        <w:tc>
          <w:tcPr>
            <w:tcW w:type="dxa" w:w="2000"/>
            <w:shd w:fill="D9E2F3" w:val="clear"/>
            <w:tcMar>
              <w:top w:type="dxa" w:w="40"/>
              <w:left w:type="dxa" w:w="60"/>
              <w:bottom w:type="dxa" w:w="40"/>
              <w:right w:type="dxa" w:w="60"/>
            </w:tcMar>
          </w:tcPr>
          <w:p>
            <w:pPr>
              <w:spacing w:after="0" w:line="230"/>
              <w:jc w:val="center"/>
            </w:pPr>
            <w:r>
              <w:rPr>
                <w:rFonts w:ascii="Calibri" w:cs="Calibri" w:eastAsia="Calibri" w:hAnsi="Calibri"/>
                <w:b/>
                <w:bCs/>
                <w:sz w:val="17"/>
                <w:szCs w:val="17"/>
              </w:rPr>
              <w:t xml:space="preserve">Stable across years?</w:t>
            </w:r>
          </w:p>
        </w:tc>
      </w:tr>
      <w:tr>
        <w:tc>
          <w:tcPr>
            <w:tcW w:type="dxa" w:w="1500"/>
            <w:tcMar>
              <w:top w:type="dxa" w:w="40"/>
              <w:left w:type="dxa" w:w="60"/>
              <w:bottom w:type="dxa" w:w="40"/>
              <w:right w:type="dxa" w:w="60"/>
            </w:tcMar>
          </w:tcPr>
          <w:p>
            <w:pPr>
              <w:spacing w:after="0" w:line="230"/>
              <w:jc w:val="left"/>
            </w:pPr>
            <w:r>
              <w:rPr>
                <w:rFonts w:ascii="Calibri" w:cs="Calibri" w:eastAsia="Calibri" w:hAnsi="Calibri"/>
                <w:b w:val="false"/>
                <w:bCs w:val="false"/>
                <w:sz w:val="17"/>
                <w:szCs w:val="17"/>
              </w:rPr>
              <w:t xml:space="preserve">Cognition</w:t>
            </w:r>
          </w:p>
        </w:tc>
        <w:tc>
          <w:tcPr>
            <w:tcW w:type="dxa" w:w="36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Any of three orientation/recall items answered “no”</w:t>
            </w:r>
          </w:p>
        </w:tc>
        <w:tc>
          <w:tcPr>
            <w:tcW w:type="dxa" w:w="23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100% in 2023, 2024 and 2025</w:t>
            </w:r>
          </w:p>
        </w:tc>
        <w:tc>
          <w:tcPr>
            <w:tcW w:type="dxa" w:w="20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Yes</w:t>
            </w:r>
          </w:p>
        </w:tc>
      </w:tr>
      <w:tr>
        <w:tc>
          <w:tcPr>
            <w:tcW w:type="dxa" w:w="1500"/>
            <w:tcMar>
              <w:top w:type="dxa" w:w="40"/>
              <w:left w:type="dxa" w:w="60"/>
              <w:bottom w:type="dxa" w:w="40"/>
              <w:right w:type="dxa" w:w="60"/>
            </w:tcMar>
          </w:tcPr>
          <w:p>
            <w:pPr>
              <w:spacing w:after="0" w:line="230"/>
              <w:jc w:val="left"/>
            </w:pPr>
            <w:r>
              <w:rPr>
                <w:rFonts w:ascii="Calibri" w:cs="Calibri" w:eastAsia="Calibri" w:hAnsi="Calibri"/>
                <w:b w:val="false"/>
                <w:bCs w:val="false"/>
                <w:sz w:val="17"/>
                <w:szCs w:val="17"/>
              </w:rPr>
              <w:t xml:space="preserve">Locomotion</w:t>
            </w:r>
          </w:p>
        </w:tc>
        <w:tc>
          <w:tcPr>
            <w:tcW w:type="dxa" w:w="36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Chair-rise time &gt;12 s, or unable to perform</w:t>
            </w:r>
          </w:p>
        </w:tc>
        <w:tc>
          <w:tcPr>
            <w:tcW w:type="dxa" w:w="23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100% in 2023, 2024 and 2025</w:t>
            </w:r>
          </w:p>
        </w:tc>
        <w:tc>
          <w:tcPr>
            <w:tcW w:type="dxa" w:w="20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Threshold yes; measurement no*</w:t>
            </w:r>
          </w:p>
        </w:tc>
      </w:tr>
      <w:tr>
        <w:tc>
          <w:tcPr>
            <w:tcW w:type="dxa" w:w="1500"/>
            <w:tcMar>
              <w:top w:type="dxa" w:w="40"/>
              <w:left w:type="dxa" w:w="60"/>
              <w:bottom w:type="dxa" w:w="40"/>
              <w:right w:type="dxa" w:w="60"/>
            </w:tcMar>
          </w:tcPr>
          <w:p>
            <w:pPr>
              <w:spacing w:after="0" w:line="230"/>
              <w:jc w:val="left"/>
            </w:pPr>
            <w:r>
              <w:rPr>
                <w:rFonts w:ascii="Calibri" w:cs="Calibri" w:eastAsia="Calibri" w:hAnsi="Calibri"/>
                <w:b w:val="false"/>
                <w:bCs w:val="false"/>
                <w:sz w:val="17"/>
                <w:szCs w:val="17"/>
              </w:rPr>
              <w:t xml:space="preserve">Vitality/nutrition</w:t>
            </w:r>
          </w:p>
        </w:tc>
        <w:tc>
          <w:tcPr>
            <w:tcW w:type="dxa" w:w="36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Reduced appetite or weight loss</w:t>
            </w:r>
          </w:p>
        </w:tc>
        <w:tc>
          <w:tcPr>
            <w:tcW w:type="dxa" w:w="23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100% in 2023, 2024 and 2025</w:t>
            </w:r>
          </w:p>
        </w:tc>
        <w:tc>
          <w:tcPr>
            <w:tcW w:type="dxa" w:w="20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Yes</w:t>
            </w:r>
          </w:p>
        </w:tc>
      </w:tr>
      <w:tr>
        <w:tc>
          <w:tcPr>
            <w:tcW w:type="dxa" w:w="1500"/>
            <w:tcMar>
              <w:top w:type="dxa" w:w="40"/>
              <w:left w:type="dxa" w:w="60"/>
              <w:bottom w:type="dxa" w:w="40"/>
              <w:right w:type="dxa" w:w="60"/>
            </w:tcMar>
          </w:tcPr>
          <w:p>
            <w:pPr>
              <w:spacing w:after="0" w:line="230"/>
              <w:jc w:val="left"/>
            </w:pPr>
            <w:r>
              <w:rPr>
                <w:rFonts w:ascii="Calibri" w:cs="Calibri" w:eastAsia="Calibri" w:hAnsi="Calibri"/>
                <w:b w:val="false"/>
                <w:bCs w:val="false"/>
                <w:sz w:val="17"/>
                <w:szCs w:val="17"/>
              </w:rPr>
              <w:t xml:space="preserve">Vision</w:t>
            </w:r>
          </w:p>
        </w:tc>
        <w:tc>
          <w:tcPr>
            <w:tcW w:type="dxa" w:w="36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2023: screening item positive. 2024–25: screening item positive OR confirmatory test failed</w:t>
            </w:r>
          </w:p>
        </w:tc>
        <w:tc>
          <w:tcPr>
            <w:tcW w:type="dxa" w:w="23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100% each year under that year’s rule</w:t>
            </w:r>
          </w:p>
        </w:tc>
        <w:tc>
          <w:tcPr>
            <w:tcW w:type="dxa" w:w="20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No — algorithm changed in 2024</w:t>
            </w:r>
          </w:p>
        </w:tc>
      </w:tr>
      <w:tr>
        <w:tc>
          <w:tcPr>
            <w:tcW w:type="dxa" w:w="1500"/>
            <w:tcMar>
              <w:top w:type="dxa" w:w="40"/>
              <w:left w:type="dxa" w:w="60"/>
              <w:bottom w:type="dxa" w:w="40"/>
              <w:right w:type="dxa" w:w="60"/>
            </w:tcMar>
          </w:tcPr>
          <w:p>
            <w:pPr>
              <w:spacing w:after="0" w:line="230"/>
              <w:jc w:val="left"/>
            </w:pPr>
            <w:r>
              <w:rPr>
                <w:rFonts w:ascii="Calibri" w:cs="Calibri" w:eastAsia="Calibri" w:hAnsi="Calibri"/>
                <w:b w:val="false"/>
                <w:bCs w:val="false"/>
                <w:sz w:val="17"/>
                <w:szCs w:val="17"/>
              </w:rPr>
              <w:t xml:space="preserve">Hearing</w:t>
            </w:r>
          </w:p>
        </w:tc>
        <w:tc>
          <w:tcPr>
            <w:tcW w:type="dxa" w:w="36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Hearing field = 0 (reverse-coded relative to the data dictionary)</w:t>
            </w:r>
          </w:p>
        </w:tc>
        <w:tc>
          <w:tcPr>
            <w:tcW w:type="dxa" w:w="23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100% in 2023, 2024 and 2025</w:t>
            </w:r>
          </w:p>
        </w:tc>
        <w:tc>
          <w:tcPr>
            <w:tcW w:type="dxa" w:w="20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Yes</w:t>
            </w:r>
          </w:p>
        </w:tc>
      </w:tr>
      <w:tr>
        <w:tc>
          <w:tcPr>
            <w:tcW w:type="dxa" w:w="1500"/>
            <w:tcMar>
              <w:top w:type="dxa" w:w="40"/>
              <w:left w:type="dxa" w:w="60"/>
              <w:bottom w:type="dxa" w:w="40"/>
              <w:right w:type="dxa" w:w="60"/>
            </w:tcMar>
          </w:tcPr>
          <w:p>
            <w:pPr>
              <w:spacing w:after="0" w:line="230"/>
              <w:jc w:val="left"/>
            </w:pPr>
            <w:r>
              <w:rPr>
                <w:rFonts w:ascii="Calibri" w:cs="Calibri" w:eastAsia="Calibri" w:hAnsi="Calibri"/>
                <w:b w:val="false"/>
                <w:bCs w:val="false"/>
                <w:sz w:val="17"/>
                <w:szCs w:val="17"/>
              </w:rPr>
              <w:t xml:space="preserve">Psychological</w:t>
            </w:r>
          </w:p>
        </w:tc>
        <w:tc>
          <w:tcPr>
            <w:tcW w:type="dxa" w:w="36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Low mood or loss of interest</w:t>
            </w:r>
          </w:p>
        </w:tc>
        <w:tc>
          <w:tcPr>
            <w:tcW w:type="dxa" w:w="23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100% in 2023, 2024 and 2025</w:t>
            </w:r>
          </w:p>
        </w:tc>
        <w:tc>
          <w:tcPr>
            <w:tcW w:type="dxa" w:w="20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Yes</w:t>
            </w:r>
          </w:p>
        </w:tc>
      </w:tr>
    </w:tbl>
    <w:p>
      <w:pPr>
        <w:spacing w:after="120" w:line="275"/>
      </w:pPr>
      <w:r>
        <w:rPr>
          <w:rFonts w:ascii="Calibri" w:cs="Calibri" w:eastAsia="Calibri" w:hAnsi="Calibri"/>
          <w:i/>
          <w:iCs/>
          <w:sz w:val="17"/>
          <w:szCs w:val="17"/>
        </w:rPr>
        <w:t xml:space="preserve">*The threshold was identical in all years; the recorded measurements were not (see below).</w:t>
      </w:r>
    </w:p>
    <w:p>
      <w:pPr>
        <w:pStyle w:val="Heading2"/>
        <w:spacing w:after="80" w:before="180"/>
      </w:pPr>
      <w:r>
        <w:rPr>
          <w:rFonts w:ascii="Calibri" w:cs="Calibri" w:eastAsia="Calibri" w:hAnsi="Calibri"/>
          <w:b/>
          <w:bCs/>
          <w:color w:val="2E5E8C"/>
          <w:sz w:val="22"/>
          <w:szCs w:val="22"/>
        </w:rPr>
        <w:t xml:space="preserve">Vision: the 2024 algorithm change</w:t>
      </w:r>
    </w:p>
    <w:tbl>
      <w:tblPr>
        <w:tblW w:type="dxa" w:w="8600"/>
        <w:tblBorders>
          <w:top w:val="single" w:color="808080" w:sz="3"/>
          <w:left w:val="none"/>
          <w:bottom w:val="single" w:color="808080" w:sz="3"/>
          <w:right w:val="none"/>
          <w:insideH w:val="single" w:color="CCCCCC" w:sz="1"/>
          <w:insideV w:val="none"/>
        </w:tblBorders>
      </w:tblPr>
      <w:tblGrid>
        <w:gridCol w:w="800"/>
        <w:gridCol w:w="1400"/>
        <w:gridCol w:w="3200"/>
        <w:gridCol w:w="3200"/>
      </w:tblGrid>
      <w:tr>
        <w:trPr>
          <w:tblHeader/>
          <w:tblHeader w:val="true"/>
        </w:trPr>
        <w:tc>
          <w:tcPr>
            <w:tcW w:type="dxa" w:w="800"/>
            <w:shd w:fill="D9E2F3" w:val="clear"/>
            <w:tcMar>
              <w:top w:type="dxa" w:w="40"/>
              <w:left w:type="dxa" w:w="60"/>
              <w:bottom w:type="dxa" w:w="40"/>
              <w:right w:type="dxa" w:w="60"/>
            </w:tcMar>
          </w:tcPr>
          <w:p>
            <w:pPr>
              <w:spacing w:after="0" w:line="230"/>
              <w:jc w:val="left"/>
            </w:pPr>
            <w:r>
              <w:rPr>
                <w:rFonts w:ascii="Calibri" w:cs="Calibri" w:eastAsia="Calibri" w:hAnsi="Calibri"/>
                <w:b/>
                <w:bCs/>
                <w:sz w:val="17"/>
                <w:szCs w:val="17"/>
              </w:rPr>
              <w:t xml:space="preserve">Year</w:t>
            </w:r>
          </w:p>
        </w:tc>
        <w:tc>
          <w:tcPr>
            <w:tcW w:type="dxa" w:w="1400"/>
            <w:shd w:fill="D9E2F3" w:val="clear"/>
            <w:tcMar>
              <w:top w:type="dxa" w:w="40"/>
              <w:left w:type="dxa" w:w="60"/>
              <w:bottom w:type="dxa" w:w="40"/>
              <w:right w:type="dxa" w:w="60"/>
            </w:tcMar>
          </w:tcPr>
          <w:p>
            <w:pPr>
              <w:spacing w:after="0" w:line="230"/>
              <w:jc w:val="center"/>
            </w:pPr>
            <w:r>
              <w:rPr>
                <w:rFonts w:ascii="Calibri" w:cs="Calibri" w:eastAsia="Calibri" w:hAnsi="Calibri"/>
                <w:b/>
                <w:bCs/>
                <w:sz w:val="17"/>
                <w:szCs w:val="17"/>
              </w:rPr>
              <w:t xml:space="preserve">Derived flag, n</w:t>
            </w:r>
          </w:p>
        </w:tc>
        <w:tc>
          <w:tcPr>
            <w:tcW w:type="dxa" w:w="3200"/>
            <w:shd w:fill="D9E2F3" w:val="clear"/>
            <w:tcMar>
              <w:top w:type="dxa" w:w="40"/>
              <w:left w:type="dxa" w:w="60"/>
              <w:bottom w:type="dxa" w:w="40"/>
              <w:right w:type="dxa" w:w="60"/>
            </w:tcMar>
          </w:tcPr>
          <w:p>
            <w:pPr>
              <w:spacing w:after="0" w:line="230"/>
              <w:jc w:val="center"/>
            </w:pPr>
            <w:r>
              <w:rPr>
                <w:rFonts w:ascii="Calibri" w:cs="Calibri" w:eastAsia="Calibri" w:hAnsi="Calibri"/>
                <w:b/>
                <w:bCs/>
                <w:sz w:val="17"/>
                <w:szCs w:val="17"/>
              </w:rPr>
              <w:t xml:space="preserve">Rule: screening item only</w:t>
            </w:r>
          </w:p>
        </w:tc>
        <w:tc>
          <w:tcPr>
            <w:tcW w:type="dxa" w:w="3200"/>
            <w:shd w:fill="D9E2F3" w:val="clear"/>
            <w:tcMar>
              <w:top w:type="dxa" w:w="40"/>
              <w:left w:type="dxa" w:w="60"/>
              <w:bottom w:type="dxa" w:w="40"/>
              <w:right w:type="dxa" w:w="60"/>
            </w:tcMar>
          </w:tcPr>
          <w:p>
            <w:pPr>
              <w:spacing w:after="0" w:line="230"/>
              <w:jc w:val="center"/>
            </w:pPr>
            <w:r>
              <w:rPr>
                <w:rFonts w:ascii="Calibri" w:cs="Calibri" w:eastAsia="Calibri" w:hAnsi="Calibri"/>
                <w:b/>
                <w:bCs/>
                <w:sz w:val="17"/>
                <w:szCs w:val="17"/>
              </w:rPr>
              <w:t xml:space="preserve">Rule: item OR confirmatory test failed</w:t>
            </w:r>
          </w:p>
        </w:tc>
      </w:tr>
      <w:tr>
        <w:tc>
          <w:tcPr>
            <w:tcW w:type="dxa" w:w="800"/>
            <w:tcMar>
              <w:top w:type="dxa" w:w="40"/>
              <w:left w:type="dxa" w:w="60"/>
              <w:bottom w:type="dxa" w:w="40"/>
              <w:right w:type="dxa" w:w="60"/>
            </w:tcMar>
          </w:tcPr>
          <w:p>
            <w:pPr>
              <w:spacing w:after="0" w:line="230"/>
              <w:jc w:val="left"/>
            </w:pPr>
            <w:r>
              <w:rPr>
                <w:rFonts w:ascii="Calibri" w:cs="Calibri" w:eastAsia="Calibri" w:hAnsi="Calibri"/>
                <w:b w:val="false"/>
                <w:bCs w:val="false"/>
                <w:sz w:val="17"/>
                <w:szCs w:val="17"/>
              </w:rPr>
              <w:t xml:space="preserve">2023</w:t>
            </w:r>
          </w:p>
        </w:tc>
        <w:tc>
          <w:tcPr>
            <w:tcW w:type="dxa" w:w="14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641</w:t>
            </w:r>
          </w:p>
        </w:tc>
        <w:tc>
          <w:tcPr>
            <w:tcW w:type="dxa" w:w="32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n = 641; concordance 100%</w:t>
            </w:r>
          </w:p>
        </w:tc>
        <w:tc>
          <w:tcPr>
            <w:tcW w:type="dxa" w:w="32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n = 948; concordance 91.8%</w:t>
            </w:r>
          </w:p>
        </w:tc>
      </w:tr>
      <w:tr>
        <w:tc>
          <w:tcPr>
            <w:tcW w:type="dxa" w:w="800"/>
            <w:tcMar>
              <w:top w:type="dxa" w:w="40"/>
              <w:left w:type="dxa" w:w="60"/>
              <w:bottom w:type="dxa" w:w="40"/>
              <w:right w:type="dxa" w:w="60"/>
            </w:tcMar>
          </w:tcPr>
          <w:p>
            <w:pPr>
              <w:spacing w:after="0" w:line="230"/>
              <w:jc w:val="left"/>
            </w:pPr>
            <w:r>
              <w:rPr>
                <w:rFonts w:ascii="Calibri" w:cs="Calibri" w:eastAsia="Calibri" w:hAnsi="Calibri"/>
                <w:b w:val="false"/>
                <w:bCs w:val="false"/>
                <w:sz w:val="17"/>
                <w:szCs w:val="17"/>
              </w:rPr>
              <w:t xml:space="preserve">2024</w:t>
            </w:r>
          </w:p>
        </w:tc>
        <w:tc>
          <w:tcPr>
            <w:tcW w:type="dxa" w:w="14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1 257</w:t>
            </w:r>
          </w:p>
        </w:tc>
        <w:tc>
          <w:tcPr>
            <w:tcW w:type="dxa" w:w="32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n = 1 201; concordance 98.5%</w:t>
            </w:r>
          </w:p>
        </w:tc>
        <w:tc>
          <w:tcPr>
            <w:tcW w:type="dxa" w:w="32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n = 1 257; concordance 100%</w:t>
            </w:r>
          </w:p>
        </w:tc>
      </w:tr>
      <w:tr>
        <w:tc>
          <w:tcPr>
            <w:tcW w:type="dxa" w:w="800"/>
            <w:tcMar>
              <w:top w:type="dxa" w:w="40"/>
              <w:left w:type="dxa" w:w="60"/>
              <w:bottom w:type="dxa" w:w="40"/>
              <w:right w:type="dxa" w:w="60"/>
            </w:tcMar>
          </w:tcPr>
          <w:p>
            <w:pPr>
              <w:spacing w:after="0" w:line="230"/>
              <w:jc w:val="left"/>
            </w:pPr>
            <w:r>
              <w:rPr>
                <w:rFonts w:ascii="Calibri" w:cs="Calibri" w:eastAsia="Calibri" w:hAnsi="Calibri"/>
                <w:b w:val="false"/>
                <w:bCs w:val="false"/>
                <w:sz w:val="17"/>
                <w:szCs w:val="17"/>
              </w:rPr>
              <w:t xml:space="preserve">2025</w:t>
            </w:r>
          </w:p>
        </w:tc>
        <w:tc>
          <w:tcPr>
            <w:tcW w:type="dxa" w:w="14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1 650</w:t>
            </w:r>
          </w:p>
        </w:tc>
        <w:tc>
          <w:tcPr>
            <w:tcW w:type="dxa" w:w="32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n = 1 492; concordance 96.3%</w:t>
            </w:r>
          </w:p>
        </w:tc>
        <w:tc>
          <w:tcPr>
            <w:tcW w:type="dxa" w:w="32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n = 1 650; concordance 100%</w:t>
            </w:r>
          </w:p>
        </w:tc>
      </w:tr>
    </w:tbl>
    <w:p>
      <w:pPr>
        <w:spacing w:after="110" w:line="275"/>
      </w:pPr>
      <w:r>
        <w:rPr>
          <w:rFonts w:ascii="Calibri" w:cs="Calibri" w:eastAsia="Calibri" w:hAnsi="Calibri"/>
          <w:sz w:val="19"/>
          <w:szCs w:val="19"/>
        </w:rPr>
        <w:t xml:space="preserve">A confirmatory vision test was documented for 3 123 records in 2023 but was not used by that year’s flag. Harmonised prevalence: applying the 2023 rule to all years gives 17.0%, 31.4% and 35.2%; applying the 2024 rule gives 25.2%, 32.9% and 38.9%. Roughly eight of the 22 percentage points in the reported 2023–25 increase are therefore definitional.</w:t>
      </w:r>
    </w:p>
    <w:p>
      <w:pPr>
        <w:pStyle w:val="Heading2"/>
        <w:spacing w:after="80" w:before="180"/>
      </w:pPr>
      <w:r>
        <w:rPr>
          <w:rFonts w:ascii="Calibri" w:cs="Calibri" w:eastAsia="Calibri" w:hAnsi="Calibri"/>
          <w:b/>
          <w:bCs/>
          <w:color w:val="2E5E8C"/>
          <w:sz w:val="22"/>
          <w:szCs w:val="22"/>
        </w:rPr>
        <w:t xml:space="preserve">Locomotion: unchanged threshold, changed measurement</w:t>
      </w:r>
    </w:p>
    <w:tbl>
      <w:tblPr>
        <w:tblW w:type="dxa" w:w="8100"/>
        <w:tblBorders>
          <w:top w:val="single" w:color="808080" w:sz="3"/>
          <w:left w:val="none"/>
          <w:bottom w:val="single" w:color="808080" w:sz="3"/>
          <w:right w:val="none"/>
          <w:insideH w:val="single" w:color="CCCCCC" w:sz="1"/>
          <w:insideV w:val="none"/>
        </w:tblBorders>
      </w:tblPr>
      <w:tblGrid>
        <w:gridCol w:w="700"/>
        <w:gridCol w:w="1200"/>
        <w:gridCol w:w="1500"/>
        <w:gridCol w:w="1000"/>
        <w:gridCol w:w="900"/>
        <w:gridCol w:w="1000"/>
        <w:gridCol w:w="900"/>
        <w:gridCol w:w="900"/>
      </w:tblGrid>
      <w:tr>
        <w:trPr>
          <w:tblHeader/>
          <w:tblHeader w:val="true"/>
        </w:trPr>
        <w:tc>
          <w:tcPr>
            <w:tcW w:type="dxa" w:w="700"/>
            <w:shd w:fill="D9E2F3" w:val="clear"/>
            <w:tcMar>
              <w:top w:type="dxa" w:w="40"/>
              <w:left w:type="dxa" w:w="60"/>
              <w:bottom w:type="dxa" w:w="40"/>
              <w:right w:type="dxa" w:w="60"/>
            </w:tcMar>
          </w:tcPr>
          <w:p>
            <w:pPr>
              <w:spacing w:after="0" w:line="230"/>
              <w:jc w:val="left"/>
            </w:pPr>
            <w:r>
              <w:rPr>
                <w:rFonts w:ascii="Calibri" w:cs="Calibri" w:eastAsia="Calibri" w:hAnsi="Calibri"/>
                <w:b/>
                <w:bCs/>
                <w:sz w:val="17"/>
                <w:szCs w:val="17"/>
              </w:rPr>
              <w:t xml:space="preserve">Year</w:t>
            </w:r>
          </w:p>
        </w:tc>
        <w:tc>
          <w:tcPr>
            <w:tcW w:type="dxa" w:w="1200"/>
            <w:shd w:fill="D9E2F3" w:val="clear"/>
            <w:tcMar>
              <w:top w:type="dxa" w:w="40"/>
              <w:left w:type="dxa" w:w="60"/>
              <w:bottom w:type="dxa" w:w="40"/>
              <w:right w:type="dxa" w:w="60"/>
            </w:tcMar>
          </w:tcPr>
          <w:p>
            <w:pPr>
              <w:spacing w:after="0" w:line="230"/>
              <w:jc w:val="center"/>
            </w:pPr>
            <w:r>
              <w:rPr>
                <w:rFonts w:ascii="Calibri" w:cs="Calibri" w:eastAsia="Calibri" w:hAnsi="Calibri"/>
                <w:b/>
                <w:bCs/>
                <w:sz w:val="17"/>
                <w:szCs w:val="17"/>
              </w:rPr>
              <w:t xml:space="preserve">Derived flag, n</w:t>
            </w:r>
          </w:p>
        </w:tc>
        <w:tc>
          <w:tcPr>
            <w:tcW w:type="dxa" w:w="1500"/>
            <w:shd w:fill="D9E2F3" w:val="clear"/>
            <w:tcMar>
              <w:top w:type="dxa" w:w="40"/>
              <w:left w:type="dxa" w:w="60"/>
              <w:bottom w:type="dxa" w:w="40"/>
              <w:right w:type="dxa" w:w="60"/>
            </w:tcMar>
          </w:tcPr>
          <w:p>
            <w:pPr>
              <w:spacing w:after="0" w:line="230"/>
              <w:jc w:val="center"/>
            </w:pPr>
            <w:r>
              <w:rPr>
                <w:rFonts w:ascii="Calibri" w:cs="Calibri" w:eastAsia="Calibri" w:hAnsi="Calibri"/>
                <w:b/>
                <w:bCs/>
                <w:sz w:val="17"/>
                <w:szCs w:val="17"/>
              </w:rPr>
              <w:t xml:space="preserve">Rule (&gt;12 s or unable), n</w:t>
            </w:r>
          </w:p>
        </w:tc>
        <w:tc>
          <w:tcPr>
            <w:tcW w:type="dxa" w:w="1000"/>
            <w:shd w:fill="D9E2F3" w:val="clear"/>
            <w:tcMar>
              <w:top w:type="dxa" w:w="40"/>
              <w:left w:type="dxa" w:w="60"/>
              <w:bottom w:type="dxa" w:w="40"/>
              <w:right w:type="dxa" w:w="60"/>
            </w:tcMar>
          </w:tcPr>
          <w:p>
            <w:pPr>
              <w:spacing w:after="0" w:line="230"/>
              <w:jc w:val="center"/>
            </w:pPr>
            <w:r>
              <w:rPr>
                <w:rFonts w:ascii="Calibri" w:cs="Calibri" w:eastAsia="Calibri" w:hAnsi="Calibri"/>
                <w:b/>
                <w:bCs/>
                <w:sz w:val="17"/>
                <w:szCs w:val="17"/>
              </w:rPr>
              <w:t xml:space="preserve">Concordance</w:t>
            </w:r>
          </w:p>
        </w:tc>
        <w:tc>
          <w:tcPr>
            <w:tcW w:type="dxa" w:w="900"/>
            <w:shd w:fill="D9E2F3" w:val="clear"/>
            <w:tcMar>
              <w:top w:type="dxa" w:w="40"/>
              <w:left w:type="dxa" w:w="60"/>
              <w:bottom w:type="dxa" w:w="40"/>
              <w:right w:type="dxa" w:w="60"/>
            </w:tcMar>
          </w:tcPr>
          <w:p>
            <w:pPr>
              <w:spacing w:after="0" w:line="230"/>
              <w:jc w:val="center"/>
            </w:pPr>
            <w:r>
              <w:rPr>
                <w:rFonts w:ascii="Calibri" w:cs="Calibri" w:eastAsia="Calibri" w:hAnsi="Calibri"/>
                <w:b/>
                <w:bCs/>
                <w:sz w:val="17"/>
                <w:szCs w:val="17"/>
              </w:rPr>
              <w:t xml:space="preserve">Median (s)</w:t>
            </w:r>
          </w:p>
        </w:tc>
        <w:tc>
          <w:tcPr>
            <w:tcW w:type="dxa" w:w="1000"/>
            <w:shd w:fill="D9E2F3" w:val="clear"/>
            <w:tcMar>
              <w:top w:type="dxa" w:w="40"/>
              <w:left w:type="dxa" w:w="60"/>
              <w:bottom w:type="dxa" w:w="40"/>
              <w:right w:type="dxa" w:w="60"/>
            </w:tcMar>
          </w:tcPr>
          <w:p>
            <w:pPr>
              <w:spacing w:after="0" w:line="230"/>
              <w:jc w:val="center"/>
            </w:pPr>
            <w:r>
              <w:rPr>
                <w:rFonts w:ascii="Calibri" w:cs="Calibri" w:eastAsia="Calibri" w:hAnsi="Calibri"/>
                <w:b/>
                <w:bCs/>
                <w:sz w:val="17"/>
                <w:szCs w:val="17"/>
              </w:rPr>
              <w:t xml:space="preserve">IQR (s)</w:t>
            </w:r>
          </w:p>
        </w:tc>
        <w:tc>
          <w:tcPr>
            <w:tcW w:type="dxa" w:w="900"/>
            <w:shd w:fill="D9E2F3" w:val="clear"/>
            <w:tcMar>
              <w:top w:type="dxa" w:w="40"/>
              <w:left w:type="dxa" w:w="60"/>
              <w:bottom w:type="dxa" w:w="40"/>
              <w:right w:type="dxa" w:w="60"/>
            </w:tcMar>
          </w:tcPr>
          <w:p>
            <w:pPr>
              <w:spacing w:after="0" w:line="230"/>
              <w:jc w:val="center"/>
            </w:pPr>
            <w:r>
              <w:rPr>
                <w:rFonts w:ascii="Calibri" w:cs="Calibri" w:eastAsia="Calibri" w:hAnsi="Calibri"/>
                <w:b/>
                <w:bCs/>
                <w:sz w:val="17"/>
                <w:szCs w:val="17"/>
              </w:rPr>
              <w:t xml:space="preserve">% &gt;12 s</w:t>
            </w:r>
          </w:p>
        </w:tc>
        <w:tc>
          <w:tcPr>
            <w:tcW w:type="dxa" w:w="900"/>
            <w:shd w:fill="D9E2F3" w:val="clear"/>
            <w:tcMar>
              <w:top w:type="dxa" w:w="40"/>
              <w:left w:type="dxa" w:w="60"/>
              <w:bottom w:type="dxa" w:w="40"/>
              <w:right w:type="dxa" w:w="60"/>
            </w:tcMar>
          </w:tcPr>
          <w:p>
            <w:pPr>
              <w:spacing w:after="0" w:line="230"/>
              <w:jc w:val="center"/>
            </w:pPr>
            <w:r>
              <w:rPr>
                <w:rFonts w:ascii="Calibri" w:cs="Calibri" w:eastAsia="Calibri" w:hAnsi="Calibri"/>
                <w:b/>
                <w:bCs/>
                <w:sz w:val="17"/>
                <w:szCs w:val="17"/>
              </w:rPr>
              <w:t xml:space="preserve">Unable, n</w:t>
            </w:r>
          </w:p>
        </w:tc>
      </w:tr>
      <w:tr>
        <w:tc>
          <w:tcPr>
            <w:tcW w:type="dxa" w:w="700"/>
            <w:tcMar>
              <w:top w:type="dxa" w:w="40"/>
              <w:left w:type="dxa" w:w="60"/>
              <w:bottom w:type="dxa" w:w="40"/>
              <w:right w:type="dxa" w:w="60"/>
            </w:tcMar>
          </w:tcPr>
          <w:p>
            <w:pPr>
              <w:spacing w:after="0" w:line="230"/>
              <w:jc w:val="left"/>
            </w:pPr>
            <w:r>
              <w:rPr>
                <w:rFonts w:ascii="Calibri" w:cs="Calibri" w:eastAsia="Calibri" w:hAnsi="Calibri"/>
                <w:b w:val="false"/>
                <w:bCs w:val="false"/>
                <w:sz w:val="17"/>
                <w:szCs w:val="17"/>
              </w:rPr>
              <w:t xml:space="preserve">2023</w:t>
            </w:r>
          </w:p>
        </w:tc>
        <w:tc>
          <w:tcPr>
            <w:tcW w:type="dxa" w:w="12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2 654</w:t>
            </w:r>
          </w:p>
        </w:tc>
        <w:tc>
          <w:tcPr>
            <w:tcW w:type="dxa" w:w="15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2 654</w:t>
            </w:r>
          </w:p>
        </w:tc>
        <w:tc>
          <w:tcPr>
            <w:tcW w:type="dxa" w:w="10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100%</w:t>
            </w:r>
          </w:p>
        </w:tc>
        <w:tc>
          <w:tcPr>
            <w:tcW w:type="dxa" w:w="9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19</w:t>
            </w:r>
          </w:p>
        </w:tc>
        <w:tc>
          <w:tcPr>
            <w:tcW w:type="dxa" w:w="10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12–25</w:t>
            </w:r>
          </w:p>
        </w:tc>
        <w:tc>
          <w:tcPr>
            <w:tcW w:type="dxa" w:w="9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66.7</w:t>
            </w:r>
          </w:p>
        </w:tc>
        <w:tc>
          <w:tcPr>
            <w:tcW w:type="dxa" w:w="9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143</w:t>
            </w:r>
          </w:p>
        </w:tc>
      </w:tr>
      <w:tr>
        <w:tc>
          <w:tcPr>
            <w:tcW w:type="dxa" w:w="700"/>
            <w:tcMar>
              <w:top w:type="dxa" w:w="40"/>
              <w:left w:type="dxa" w:w="60"/>
              <w:bottom w:type="dxa" w:w="40"/>
              <w:right w:type="dxa" w:w="60"/>
            </w:tcMar>
          </w:tcPr>
          <w:p>
            <w:pPr>
              <w:spacing w:after="0" w:line="230"/>
              <w:jc w:val="left"/>
            </w:pPr>
            <w:r>
              <w:rPr>
                <w:rFonts w:ascii="Calibri" w:cs="Calibri" w:eastAsia="Calibri" w:hAnsi="Calibri"/>
                <w:b w:val="false"/>
                <w:bCs w:val="false"/>
                <w:sz w:val="17"/>
                <w:szCs w:val="17"/>
              </w:rPr>
              <w:t xml:space="preserve">2024</w:t>
            </w:r>
          </w:p>
        </w:tc>
        <w:tc>
          <w:tcPr>
            <w:tcW w:type="dxa" w:w="12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1 241</w:t>
            </w:r>
          </w:p>
        </w:tc>
        <w:tc>
          <w:tcPr>
            <w:tcW w:type="dxa" w:w="15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1 241</w:t>
            </w:r>
          </w:p>
        </w:tc>
        <w:tc>
          <w:tcPr>
            <w:tcW w:type="dxa" w:w="10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100%</w:t>
            </w:r>
          </w:p>
        </w:tc>
        <w:tc>
          <w:tcPr>
            <w:tcW w:type="dxa" w:w="9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10</w:t>
            </w:r>
          </w:p>
        </w:tc>
        <w:tc>
          <w:tcPr>
            <w:tcW w:type="dxa" w:w="10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10–13</w:t>
            </w:r>
          </w:p>
        </w:tc>
        <w:tc>
          <w:tcPr>
            <w:tcW w:type="dxa" w:w="9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27.6</w:t>
            </w:r>
          </w:p>
        </w:tc>
        <w:tc>
          <w:tcPr>
            <w:tcW w:type="dxa" w:w="9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186</w:t>
            </w:r>
          </w:p>
        </w:tc>
      </w:tr>
      <w:tr>
        <w:tc>
          <w:tcPr>
            <w:tcW w:type="dxa" w:w="700"/>
            <w:tcMar>
              <w:top w:type="dxa" w:w="40"/>
              <w:left w:type="dxa" w:w="60"/>
              <w:bottom w:type="dxa" w:w="40"/>
              <w:right w:type="dxa" w:w="60"/>
            </w:tcMar>
          </w:tcPr>
          <w:p>
            <w:pPr>
              <w:spacing w:after="0" w:line="230"/>
              <w:jc w:val="left"/>
            </w:pPr>
            <w:r>
              <w:rPr>
                <w:rFonts w:ascii="Calibri" w:cs="Calibri" w:eastAsia="Calibri" w:hAnsi="Calibri"/>
                <w:b w:val="false"/>
                <w:bCs w:val="false"/>
                <w:sz w:val="17"/>
                <w:szCs w:val="17"/>
              </w:rPr>
              <w:t xml:space="preserve">2025</w:t>
            </w:r>
          </w:p>
        </w:tc>
        <w:tc>
          <w:tcPr>
            <w:tcW w:type="dxa" w:w="12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1 584</w:t>
            </w:r>
          </w:p>
        </w:tc>
        <w:tc>
          <w:tcPr>
            <w:tcW w:type="dxa" w:w="15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1 584</w:t>
            </w:r>
          </w:p>
        </w:tc>
        <w:tc>
          <w:tcPr>
            <w:tcW w:type="dxa" w:w="10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100%</w:t>
            </w:r>
          </w:p>
        </w:tc>
        <w:tc>
          <w:tcPr>
            <w:tcW w:type="dxa" w:w="9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11</w:t>
            </w:r>
          </w:p>
        </w:tc>
        <w:tc>
          <w:tcPr>
            <w:tcW w:type="dxa" w:w="10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10–14</w:t>
            </w:r>
          </w:p>
        </w:tc>
        <w:tc>
          <w:tcPr>
            <w:tcW w:type="dxa" w:w="9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30.2</w:t>
            </w:r>
          </w:p>
        </w:tc>
        <w:tc>
          <w:tcPr>
            <w:tcW w:type="dxa" w:w="9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301</w:t>
            </w:r>
          </w:p>
        </w:tc>
      </w:tr>
    </w:tbl>
    <w:p>
      <w:pPr>
        <w:spacing w:after="110" w:line="275"/>
      </w:pPr>
      <w:r>
        <w:rPr>
          <w:rFonts w:ascii="Calibri" w:cs="Calibri" w:eastAsia="Calibri" w:hAnsi="Calibri"/>
          <w:sz w:val="19"/>
          <w:szCs w:val="19"/>
        </w:rPr>
        <w:t>Deciles of recorded chair-rise time were 12, 12, 12, 15, 19, 25, 25, 30, 30 s in 2023; 8, 9, 10, 10, 10, 12, 12, 14, 16 s in 2024; and 9, 10, 10, 10, 11, 12, 13, 15, 16 s in 2025. The 2023 values are heaped at 12, 25 and 30 s whereas later years are smooth (Mann–Whitney P&lt;0.001 for 2023 versus 2024; median difference nine seconds). In the table below, “% &gt;12 s” uses all initial assessments as the denominator. Figure 2a instead reports the percentage above 12 s among records with an observed time; records coded as unable are counted as abnormal by the programme rule but are not displayed in the histograms.</w:t>
      </w:r>
    </w:p>
    <w:p>
      <w:pPr>
        <w:spacing w:after="110" w:line="275"/>
      </w:pPr>
      <w:r>
        <w:rPr>
          <w:rFonts w:ascii="Calibri" w:cs="Calibri" w:eastAsia="Calibri" w:hAnsi="Calibri"/>
          <w:b/>
          <w:bCs/>
          <w:sz w:val="21"/>
          <w:szCs w:val="21"/>
        </w:rPr>
        <w:t xml:space="preserve">Hearing reverse-coding. </w:t>
      </w:r>
      <w:r>
        <w:rPr>
          <w:rFonts w:ascii="Calibri" w:cs="Calibri" w:eastAsia="Calibri" w:hAnsi="Calibri"/>
          <w:sz w:val="21"/>
          <w:szCs w:val="21"/>
        </w:rPr>
        <w:t xml:space="preserve">The supplied data dictionary records the hearing item as 1 = impairment present, 0 = absent. The derived abnormality flag corresponds exactly to a value of 0 in all three years (for example, in 2023, 3 763 − 3 445 = 318, equal to the flag count). Read literally, the dictionary would yield a hearing abnormality prevalence of 91.5% rather than 8.5%. Analyses used the derived flag and are unaffected, but this correction is required for reproduction.</w:t>
      </w:r>
    </w:p>
    <w:p>
      <w:r>
        <w:br w:type="page"/>
      </w:r>
    </w:p>
    <w:p>
      <w:pPr>
        <w:pStyle w:val="Heading1"/>
        <w:spacing w:after="110" w:before="280"/>
      </w:pPr>
      <w:r>
        <w:rPr>
          <w:rFonts w:ascii="Calibri" w:cs="Calibri" w:eastAsia="Calibri" w:hAnsi="Calibri"/>
          <w:b/>
          <w:bCs/>
          <w:color w:val="1F3864"/>
          <w:sz w:val="26"/>
          <w:szCs w:val="26"/>
        </w:rPr>
        <w:t xml:space="preserve">Appendix 4. Full sensitivity analyses</w:t>
      </w:r>
    </w:p>
    <w:p>
      <w:pPr>
        <w:spacing w:after="120" w:line="275"/>
      </w:pPr>
      <w:r>
        <w:rPr>
          <w:rFonts w:ascii="Calibri" w:cs="Calibri" w:eastAsia="Calibri" w:hAnsi="Calibri"/>
          <w:sz w:val="21"/>
          <w:szCs w:val="21"/>
        </w:rPr>
        <w:t>All models are fitted among the 9 517 records with at least one abnormal core domain unless stated. The outcome is non-completion of downstream assessment (7 174 events, 75.4%). Estimates are mutually adjusted for assessment year, age, sex, chronic condition count and all six domains. The locked primary specification models age per five years; Appendix A4.3 refits age in five-year categories to assess the observed non-linearity.</w:t>
      </w:r>
    </w:p>
    <w:p>
      <w:pPr>
        <w:pStyle w:val="Heading2"/>
        <w:spacing w:after="80" w:before="180"/>
      </w:pPr>
      <w:r>
        <w:rPr>
          <w:rFonts w:ascii="Calibri" w:cs="Calibri" w:eastAsia="Calibri" w:hAnsi="Calibri"/>
          <w:b/>
          <w:bCs/>
          <w:color w:val="2E5E8C"/>
          <w:sz w:val="22"/>
          <w:szCs w:val="22"/>
        </w:rPr>
        <w:t>A4.1 Primary analysis (age per five years): risk ratios versus odds ratios</w:t>
      </w:r>
    </w:p>
    <w:tbl>
      <w:tblPr>
        <w:tblW w:type="dxa" w:w="8600"/>
        <w:tblBorders>
          <w:top w:val="single" w:color="808080" w:sz="3"/>
          <w:left w:val="none"/>
          <w:bottom w:val="single" w:color="808080" w:sz="3"/>
          <w:right w:val="none"/>
          <w:insideH w:val="single" w:color="CCCCCC" w:sz="1"/>
          <w:insideV w:val="none"/>
        </w:tblBorders>
      </w:tblPr>
      <w:tblGrid>
        <w:gridCol w:w="2300"/>
        <w:gridCol w:w="1600"/>
        <w:gridCol w:w="1800"/>
        <w:gridCol w:w="1800"/>
        <w:gridCol w:w="1100"/>
      </w:tblGrid>
      <w:tr>
        <w:trPr>
          <w:tblHeader/>
          <w:tblHeader w:val="true"/>
        </w:trPr>
        <w:tc>
          <w:tcPr>
            <w:tcW w:type="dxa" w:w="2300"/>
            <w:shd w:fill="D9E2F3" w:val="clear"/>
            <w:tcMar>
              <w:top w:type="dxa" w:w="40"/>
              <w:left w:type="dxa" w:w="60"/>
              <w:bottom w:type="dxa" w:w="40"/>
              <w:right w:type="dxa" w:w="60"/>
            </w:tcMar>
          </w:tcPr>
          <w:p>
            <w:pPr>
              <w:spacing w:after="0" w:line="230"/>
              <w:jc w:val="left"/>
            </w:pPr>
            <w:r>
              <w:rPr>
                <w:rFonts w:ascii="Calibri" w:cs="Calibri" w:eastAsia="Calibri" w:hAnsi="Calibri"/>
                <w:b/>
                <w:bCs/>
                <w:sz w:val="17"/>
                <w:szCs w:val="17"/>
              </w:rPr>
              <w:t xml:space="preserve">Variable</w:t>
            </w:r>
          </w:p>
        </w:tc>
        <w:tc>
          <w:tcPr>
            <w:tcW w:type="dxa" w:w="1600"/>
            <w:shd w:fill="D9E2F3" w:val="clear"/>
            <w:tcMar>
              <w:top w:type="dxa" w:w="40"/>
              <w:left w:type="dxa" w:w="60"/>
              <w:bottom w:type="dxa" w:w="40"/>
              <w:right w:type="dxa" w:w="60"/>
            </w:tcMar>
          </w:tcPr>
          <w:p>
            <w:pPr>
              <w:spacing w:after="0" w:line="230"/>
              <w:jc w:val="center"/>
            </w:pPr>
            <w:r>
              <w:rPr>
                <w:rFonts w:ascii="Calibri" w:cs="Calibri" w:eastAsia="Calibri" w:hAnsi="Calibri"/>
                <w:b/>
                <w:bCs/>
                <w:sz w:val="17"/>
                <w:szCs w:val="17"/>
              </w:rPr>
              <w:t xml:space="preserve">Absolute non-completion, %</w:t>
            </w:r>
          </w:p>
        </w:tc>
        <w:tc>
          <w:tcPr>
            <w:tcW w:type="dxa" w:w="1800"/>
            <w:shd w:fill="D9E2F3" w:val="clear"/>
            <w:tcMar>
              <w:top w:type="dxa" w:w="40"/>
              <w:left w:type="dxa" w:w="60"/>
              <w:bottom w:type="dxa" w:w="40"/>
              <w:right w:type="dxa" w:w="60"/>
            </w:tcMar>
          </w:tcPr>
          <w:p>
            <w:pPr>
              <w:spacing w:after="0" w:line="230"/>
              <w:jc w:val="center"/>
            </w:pPr>
            <w:r>
              <w:rPr>
                <w:rFonts w:ascii="Calibri" w:cs="Calibri" w:eastAsia="Calibri" w:hAnsi="Calibri"/>
                <w:b/>
                <w:bCs/>
                <w:sz w:val="17"/>
                <w:szCs w:val="17"/>
              </w:rPr>
              <w:t xml:space="preserve">Adjusted risk ratio (95% CI)</w:t>
            </w:r>
          </w:p>
        </w:tc>
        <w:tc>
          <w:tcPr>
            <w:tcW w:type="dxa" w:w="1800"/>
            <w:shd w:fill="D9E2F3" w:val="clear"/>
            <w:tcMar>
              <w:top w:type="dxa" w:w="40"/>
              <w:left w:type="dxa" w:w="60"/>
              <w:bottom w:type="dxa" w:w="40"/>
              <w:right w:type="dxa" w:w="60"/>
            </w:tcMar>
          </w:tcPr>
          <w:p>
            <w:pPr>
              <w:spacing w:after="0" w:line="230"/>
              <w:jc w:val="center"/>
            </w:pPr>
            <w:r>
              <w:rPr>
                <w:rFonts w:ascii="Calibri" w:cs="Calibri" w:eastAsia="Calibri" w:hAnsi="Calibri"/>
                <w:b/>
                <w:bCs/>
                <w:sz w:val="17"/>
                <w:szCs w:val="17"/>
              </w:rPr>
              <w:t xml:space="preserve">Adjusted odds ratio (95% CI)</w:t>
            </w:r>
          </w:p>
        </w:tc>
        <w:tc>
          <w:tcPr>
            <w:tcW w:type="dxa" w:w="1100"/>
            <w:shd w:fill="D9E2F3" w:val="clear"/>
            <w:tcMar>
              <w:top w:type="dxa" w:w="40"/>
              <w:left w:type="dxa" w:w="60"/>
              <w:bottom w:type="dxa" w:w="40"/>
              <w:right w:type="dxa" w:w="60"/>
            </w:tcMar>
          </w:tcPr>
          <w:p>
            <w:pPr>
              <w:spacing w:after="0" w:line="230"/>
              <w:jc w:val="center"/>
            </w:pPr>
            <w:r>
              <w:rPr>
                <w:rFonts w:ascii="Calibri" w:cs="Calibri" w:eastAsia="Calibri" w:hAnsi="Calibri"/>
                <w:b/>
                <w:bCs/>
                <w:sz w:val="17"/>
                <w:szCs w:val="17"/>
              </w:rPr>
              <w:t xml:space="preserve">P (risk ratio)</w:t>
            </w:r>
          </w:p>
        </w:tc>
      </w:tr>
      <w:tr>
        <w:tc>
          <w:tcPr>
            <w:tcW w:type="dxa" w:w="2300"/>
            <w:tcMar>
              <w:top w:type="dxa" w:w="40"/>
              <w:left w:type="dxa" w:w="60"/>
              <w:bottom w:type="dxa" w:w="40"/>
              <w:right w:type="dxa" w:w="60"/>
            </w:tcMar>
          </w:tcPr>
          <w:p>
            <w:pPr>
              <w:spacing w:after="0" w:line="230"/>
              <w:jc w:val="left"/>
            </w:pPr>
            <w:r>
              <w:rPr>
                <w:rFonts w:ascii="Calibri" w:cs="Calibri" w:eastAsia="Calibri" w:hAnsi="Calibri"/>
                <w:b w:val="false"/>
                <w:bCs w:val="false"/>
                <w:sz w:val="17"/>
                <w:szCs w:val="17"/>
              </w:rPr>
              <w:t>Year 2024 v 2023</w:t>
            </w:r>
          </w:p>
        </w:tc>
        <w:tc>
          <w:tcPr>
            <w:tcW w:type="dxa" w:w="16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w:t>
            </w:r>
          </w:p>
        </w:tc>
        <w:tc>
          <w:tcPr>
            <w:tcW w:type="dxa" w:w="18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0.92 (0.89–0.95)</w:t>
            </w:r>
          </w:p>
        </w:tc>
        <w:tc>
          <w:tcPr>
            <w:tcW w:type="dxa" w:w="18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0.72 (0.63–0.82)</w:t>
            </w:r>
          </w:p>
        </w:tc>
        <w:tc>
          <w:tcPr>
            <w:tcW w:type="dxa" w:w="11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&lt;0.001</w:t>
            </w:r>
          </w:p>
        </w:tc>
      </w:tr>
      <w:tr>
        <w:tc>
          <w:tcPr>
            <w:tcW w:type="dxa" w:w="2300"/>
            <w:tcMar>
              <w:top w:type="dxa" w:w="40"/>
              <w:left w:type="dxa" w:w="60"/>
              <w:bottom w:type="dxa" w:w="40"/>
              <w:right w:type="dxa" w:w="60"/>
            </w:tcMar>
          </w:tcPr>
          <w:p>
            <w:pPr>
              <w:spacing w:after="0" w:line="230"/>
              <w:jc w:val="left"/>
            </w:pPr>
            <w:r>
              <w:rPr>
                <w:rFonts w:ascii="Calibri" w:cs="Calibri" w:eastAsia="Calibri" w:hAnsi="Calibri"/>
                <w:b w:val="false"/>
                <w:bCs w:val="false"/>
                <w:sz w:val="17"/>
                <w:szCs w:val="17"/>
              </w:rPr>
              <w:t>Year 2025 v 2023</w:t>
            </w:r>
          </w:p>
        </w:tc>
        <w:tc>
          <w:tcPr>
            <w:tcW w:type="dxa" w:w="16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w:t>
            </w:r>
          </w:p>
        </w:tc>
        <w:tc>
          <w:tcPr>
            <w:tcW w:type="dxa" w:w="18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0.97 (0.94–1.00)</w:t>
            </w:r>
          </w:p>
        </w:tc>
        <w:tc>
          <w:tcPr>
            <w:tcW w:type="dxa" w:w="18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0.89 (0.78–1.02)</w:t>
            </w:r>
          </w:p>
        </w:tc>
        <w:tc>
          <w:tcPr>
            <w:tcW w:type="dxa" w:w="11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0.081</w:t>
            </w:r>
          </w:p>
        </w:tc>
      </w:tr>
      <w:tr>
        <w:tc>
          <w:tcPr>
            <w:tcW w:type="dxa" w:w="2300"/>
            <w:tcMar>
              <w:top w:type="dxa" w:w="40"/>
              <w:left w:type="dxa" w:w="60"/>
              <w:bottom w:type="dxa" w:w="40"/>
              <w:right w:type="dxa" w:w="60"/>
            </w:tcMar>
          </w:tcPr>
          <w:p>
            <w:pPr>
              <w:spacing w:after="0" w:line="230"/>
              <w:jc w:val="left"/>
            </w:pPr>
            <w:r>
              <w:rPr>
                <w:rFonts w:ascii="Calibri" w:cs="Calibri" w:eastAsia="Calibri" w:hAnsi="Calibri"/>
                <w:b w:val="false"/>
                <w:bCs w:val="false"/>
                <w:sz w:val="17"/>
                <w:szCs w:val="17"/>
              </w:rPr>
              <w:t>Age, per 5 years</w:t>
            </w:r>
          </w:p>
        </w:tc>
        <w:tc>
          <w:tcPr>
            <w:tcW w:type="dxa" w:w="16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w:t>
            </w:r>
          </w:p>
        </w:tc>
        <w:tc>
          <w:tcPr>
            <w:tcW w:type="dxa" w:w="18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1.00 (1.00–1.01)</w:t>
            </w:r>
          </w:p>
        </w:tc>
        <w:tc>
          <w:tcPr>
            <w:tcW w:type="dxa" w:w="18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1.02 (0.98–1.06)</w:t>
            </w:r>
          </w:p>
        </w:tc>
        <w:tc>
          <w:tcPr>
            <w:tcW w:type="dxa" w:w="11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0.336</w:t>
            </w:r>
          </w:p>
        </w:tc>
      </w:tr>
      <w:tr>
        <w:tc>
          <w:tcPr>
            <w:tcW w:type="dxa" w:w="2300"/>
            <w:tcMar>
              <w:top w:type="dxa" w:w="40"/>
              <w:left w:type="dxa" w:w="60"/>
              <w:bottom w:type="dxa" w:w="40"/>
              <w:right w:type="dxa" w:w="60"/>
            </w:tcMar>
          </w:tcPr>
          <w:p>
            <w:pPr>
              <w:spacing w:after="0" w:line="230"/>
              <w:jc w:val="left"/>
            </w:pPr>
            <w:r>
              <w:rPr>
                <w:rFonts w:ascii="Calibri" w:cs="Calibri" w:eastAsia="Calibri" w:hAnsi="Calibri"/>
                <w:b w:val="false"/>
                <w:bCs w:val="false"/>
                <w:sz w:val="17"/>
                <w:szCs w:val="17"/>
              </w:rPr>
              <w:t>Women</w:t>
            </w:r>
          </w:p>
        </w:tc>
        <w:tc>
          <w:tcPr>
            <w:tcW w:type="dxa" w:w="16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w:t>
            </w:r>
          </w:p>
        </w:tc>
        <w:tc>
          <w:tcPr>
            <w:tcW w:type="dxa" w:w="18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1.00 (0.97–1.02)</w:t>
            </w:r>
          </w:p>
        </w:tc>
        <w:tc>
          <w:tcPr>
            <w:tcW w:type="dxa" w:w="18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0.99 (0.90–1.09)</w:t>
            </w:r>
          </w:p>
        </w:tc>
        <w:tc>
          <w:tcPr>
            <w:tcW w:type="dxa" w:w="11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0.848</w:t>
            </w:r>
          </w:p>
        </w:tc>
      </w:tr>
      <w:tr>
        <w:tc>
          <w:tcPr>
            <w:tcW w:type="dxa" w:w="2300"/>
            <w:tcMar>
              <w:top w:type="dxa" w:w="40"/>
              <w:left w:type="dxa" w:w="60"/>
              <w:bottom w:type="dxa" w:w="40"/>
              <w:right w:type="dxa" w:w="60"/>
            </w:tcMar>
          </w:tcPr>
          <w:p>
            <w:pPr>
              <w:spacing w:after="0" w:line="230"/>
              <w:jc w:val="left"/>
            </w:pPr>
            <w:r>
              <w:rPr>
                <w:rFonts w:ascii="Calibri" w:cs="Calibri" w:eastAsia="Calibri" w:hAnsi="Calibri"/>
                <w:b w:val="false"/>
                <w:bCs w:val="false"/>
                <w:sz w:val="17"/>
                <w:szCs w:val="17"/>
              </w:rPr>
              <w:t>Chronic conditions, per condition</w:t>
            </w:r>
          </w:p>
        </w:tc>
        <w:tc>
          <w:tcPr>
            <w:tcW w:type="dxa" w:w="16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w:t>
            </w:r>
          </w:p>
        </w:tc>
        <w:tc>
          <w:tcPr>
            <w:tcW w:type="dxa" w:w="18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0.98 (0.97–0.99)</w:t>
            </w:r>
          </w:p>
        </w:tc>
        <w:tc>
          <w:tcPr>
            <w:tcW w:type="dxa" w:w="18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0.94 (0.90–0.98)</w:t>
            </w:r>
          </w:p>
        </w:tc>
        <w:tc>
          <w:tcPr>
            <w:tcW w:type="dxa" w:w="11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0.002</w:t>
            </w:r>
          </w:p>
        </w:tc>
      </w:tr>
      <w:tr>
        <w:tc>
          <w:tcPr>
            <w:tcW w:type="dxa" w:w="2300"/>
            <w:tcMar>
              <w:top w:type="dxa" w:w="40"/>
              <w:left w:type="dxa" w:w="60"/>
              <w:bottom w:type="dxa" w:w="40"/>
              <w:right w:type="dxa" w:w="60"/>
            </w:tcMar>
          </w:tcPr>
          <w:p>
            <w:pPr>
              <w:spacing w:after="0" w:line="230"/>
              <w:jc w:val="left"/>
            </w:pPr>
            <w:r>
              <w:rPr>
                <w:rFonts w:ascii="Calibri" w:cs="Calibri" w:eastAsia="Calibri" w:hAnsi="Calibri"/>
                <w:b w:val="false"/>
                <w:bCs w:val="false"/>
                <w:sz w:val="17"/>
                <w:szCs w:val="17"/>
              </w:rPr>
              <w:t>Cognition</w:t>
            </w:r>
          </w:p>
        </w:tc>
        <w:tc>
          <w:tcPr>
            <w:tcW w:type="dxa" w:w="16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76.3 v 73.5</w:t>
            </w:r>
          </w:p>
        </w:tc>
        <w:tc>
          <w:tcPr>
            <w:tcW w:type="dxa" w:w="18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1.04 (1.02–1.07)</w:t>
            </w:r>
          </w:p>
        </w:tc>
        <w:tc>
          <w:tcPr>
            <w:tcW w:type="dxa" w:w="18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1.18 (1.07–1.31)</w:t>
            </w:r>
          </w:p>
        </w:tc>
        <w:tc>
          <w:tcPr>
            <w:tcW w:type="dxa" w:w="11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0.002</w:t>
            </w:r>
          </w:p>
        </w:tc>
      </w:tr>
      <w:tr>
        <w:tc>
          <w:tcPr>
            <w:tcW w:type="dxa" w:w="2300"/>
            <w:tcMar>
              <w:top w:type="dxa" w:w="40"/>
              <w:left w:type="dxa" w:w="60"/>
              <w:bottom w:type="dxa" w:w="40"/>
              <w:right w:type="dxa" w:w="60"/>
            </w:tcMar>
          </w:tcPr>
          <w:p>
            <w:pPr>
              <w:spacing w:after="0" w:line="230"/>
              <w:jc w:val="left"/>
            </w:pPr>
            <w:r>
              <w:rPr>
                <w:rFonts w:ascii="Calibri" w:cs="Calibri" w:eastAsia="Calibri" w:hAnsi="Calibri"/>
                <w:b w:val="false"/>
                <w:bCs w:val="false"/>
                <w:sz w:val="17"/>
                <w:szCs w:val="17"/>
              </w:rPr>
              <w:t>Locomotion</w:t>
            </w:r>
          </w:p>
        </w:tc>
        <w:tc>
          <w:tcPr>
            <w:tcW w:type="dxa" w:w="16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74.5 v 76.6</w:t>
            </w:r>
          </w:p>
        </w:tc>
        <w:tc>
          <w:tcPr>
            <w:tcW w:type="dxa" w:w="18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0.95 (0.92–0.98)</w:t>
            </w:r>
          </w:p>
        </w:tc>
        <w:tc>
          <w:tcPr>
            <w:tcW w:type="dxa" w:w="18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0.82 (0.73–0.91)</w:t>
            </w:r>
          </w:p>
        </w:tc>
        <w:tc>
          <w:tcPr>
            <w:tcW w:type="dxa" w:w="11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&lt;0.001</w:t>
            </w:r>
          </w:p>
        </w:tc>
      </w:tr>
      <w:tr>
        <w:tc>
          <w:tcPr>
            <w:tcW w:type="dxa" w:w="2300"/>
            <w:tcMar>
              <w:top w:type="dxa" w:w="40"/>
              <w:left w:type="dxa" w:w="60"/>
              <w:bottom w:type="dxa" w:w="40"/>
              <w:right w:type="dxa" w:w="60"/>
            </w:tcMar>
          </w:tcPr>
          <w:p>
            <w:pPr>
              <w:spacing w:after="0" w:line="230"/>
              <w:jc w:val="left"/>
            </w:pPr>
            <w:r>
              <w:rPr>
                <w:rFonts w:ascii="Calibri" w:cs="Calibri" w:eastAsia="Calibri" w:hAnsi="Calibri"/>
                <w:b w:val="false"/>
                <w:bCs w:val="false"/>
                <w:sz w:val="17"/>
                <w:szCs w:val="17"/>
              </w:rPr>
              <w:t>Vitality/nutrition</w:t>
            </w:r>
          </w:p>
        </w:tc>
        <w:tc>
          <w:tcPr>
            <w:tcW w:type="dxa" w:w="16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69.7 v 75.9</w:t>
            </w:r>
          </w:p>
        </w:tc>
        <w:tc>
          <w:tcPr>
            <w:tcW w:type="dxa" w:w="18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0.93 (0.88–0.98)</w:t>
            </w:r>
          </w:p>
        </w:tc>
        <w:tc>
          <w:tcPr>
            <w:tcW w:type="dxa" w:w="18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0.76 (0.65–0.90)</w:t>
            </w:r>
          </w:p>
        </w:tc>
        <w:tc>
          <w:tcPr>
            <w:tcW w:type="dxa" w:w="11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0.004</w:t>
            </w:r>
          </w:p>
        </w:tc>
      </w:tr>
      <w:tr>
        <w:tc>
          <w:tcPr>
            <w:tcW w:type="dxa" w:w="2300"/>
            <w:tcMar>
              <w:top w:type="dxa" w:w="40"/>
              <w:left w:type="dxa" w:w="60"/>
              <w:bottom w:type="dxa" w:w="40"/>
              <w:right w:type="dxa" w:w="60"/>
            </w:tcMar>
          </w:tcPr>
          <w:p>
            <w:pPr>
              <w:spacing w:after="0" w:line="230"/>
              <w:jc w:val="left"/>
            </w:pPr>
            <w:r>
              <w:rPr>
                <w:rFonts w:ascii="Calibri" w:cs="Calibri" w:eastAsia="Calibri" w:hAnsi="Calibri"/>
                <w:b w:val="false"/>
                <w:bCs w:val="false"/>
                <w:sz w:val="17"/>
                <w:szCs w:val="17"/>
              </w:rPr>
              <w:t>Vision</w:t>
            </w:r>
          </w:p>
        </w:tc>
        <w:tc>
          <w:tcPr>
            <w:tcW w:type="dxa" w:w="16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75.3 v 75.5</w:t>
            </w:r>
          </w:p>
        </w:tc>
        <w:tc>
          <w:tcPr>
            <w:tcW w:type="dxa" w:w="18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1.01 (0.98–1.03)</w:t>
            </w:r>
          </w:p>
        </w:tc>
        <w:tc>
          <w:tcPr>
            <w:tcW w:type="dxa" w:w="18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1.04 (0.94–1.15)</w:t>
            </w:r>
          </w:p>
        </w:tc>
        <w:tc>
          <w:tcPr>
            <w:tcW w:type="dxa" w:w="11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0.465</w:t>
            </w:r>
          </w:p>
        </w:tc>
      </w:tr>
      <w:tr>
        <w:tc>
          <w:tcPr>
            <w:tcW w:type="dxa" w:w="2300"/>
            <w:tcMar>
              <w:top w:type="dxa" w:w="40"/>
              <w:left w:type="dxa" w:w="60"/>
              <w:bottom w:type="dxa" w:w="40"/>
              <w:right w:type="dxa" w:w="60"/>
            </w:tcMar>
          </w:tcPr>
          <w:p>
            <w:pPr>
              <w:spacing w:after="0" w:line="230"/>
              <w:jc w:val="left"/>
            </w:pPr>
            <w:r>
              <w:rPr>
                <w:rFonts w:ascii="Calibri" w:cs="Calibri" w:eastAsia="Calibri" w:hAnsi="Calibri"/>
                <w:b w:val="false"/>
                <w:bCs w:val="false"/>
                <w:sz w:val="17"/>
                <w:szCs w:val="17"/>
              </w:rPr>
              <w:t>Hearing</w:t>
            </w:r>
          </w:p>
        </w:tc>
        <w:tc>
          <w:tcPr>
            <w:tcW w:type="dxa" w:w="16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71.7 v 76.1</w:t>
            </w:r>
          </w:p>
        </w:tc>
        <w:tc>
          <w:tcPr>
            <w:tcW w:type="dxa" w:w="18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0.95 (0.91–0.98)</w:t>
            </w:r>
          </w:p>
        </w:tc>
        <w:tc>
          <w:tcPr>
            <w:tcW w:type="dxa" w:w="18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0.81 (0.71–0.91)</w:t>
            </w:r>
          </w:p>
        </w:tc>
        <w:tc>
          <w:tcPr>
            <w:tcW w:type="dxa" w:w="11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0.002</w:t>
            </w:r>
          </w:p>
        </w:tc>
      </w:tr>
      <w:tr>
        <w:tc>
          <w:tcPr>
            <w:tcW w:type="dxa" w:w="2300"/>
            <w:tcMar>
              <w:top w:type="dxa" w:w="40"/>
              <w:left w:type="dxa" w:w="60"/>
              <w:bottom w:type="dxa" w:w="40"/>
              <w:right w:type="dxa" w:w="60"/>
            </w:tcMar>
          </w:tcPr>
          <w:p>
            <w:pPr>
              <w:spacing w:after="0" w:line="230"/>
              <w:jc w:val="left"/>
            </w:pPr>
            <w:r>
              <w:rPr>
                <w:rFonts w:ascii="Calibri" w:cs="Calibri" w:eastAsia="Calibri" w:hAnsi="Calibri"/>
                <w:b w:val="false"/>
                <w:bCs w:val="false"/>
                <w:sz w:val="17"/>
                <w:szCs w:val="17"/>
              </w:rPr>
              <w:t>Psychological</w:t>
            </w:r>
          </w:p>
        </w:tc>
        <w:tc>
          <w:tcPr>
            <w:tcW w:type="dxa" w:w="16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73.9 v 75.5</w:t>
            </w:r>
          </w:p>
        </w:tc>
        <w:tc>
          <w:tcPr>
            <w:tcW w:type="dxa" w:w="18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1.01 (0.96–1.07)</w:t>
            </w:r>
          </w:p>
        </w:tc>
        <w:tc>
          <w:tcPr>
            <w:tcW w:type="dxa" w:w="18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1.05 (0.86–1.28)</w:t>
            </w:r>
          </w:p>
        </w:tc>
        <w:tc>
          <w:tcPr>
            <w:tcW w:type="dxa" w:w="11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0.655</w:t>
            </w:r>
          </w:p>
        </w:tc>
      </w:tr>
    </w:tbl>
    <w:p>
      <w:pPr>
        <w:spacing w:after="110" w:line="275"/>
      </w:pPr>
      <w:r>
        <w:rPr>
          <w:rFonts w:ascii="Calibri" w:cs="Calibri" w:eastAsia="Calibri" w:hAnsi="Calibri"/>
          <w:i/>
          <w:iCs/>
          <w:sz w:val="17"/>
          <w:szCs w:val="17"/>
        </w:rPr>
        <w:t>With a 75.4%-prevalent outcome, the odds ratio materially exaggerates departures from the null compared with the risk ratio (for cognition, odds ratio 1.18 versus risk ratio 1.04). These are the same locked primary-model estimates reported in manuscript Table 3. Age is modelled per five years; the categorical-age sensitivity analysis is reported in A4.3.</w:t>
      </w:r>
    </w:p>
    <w:p>
      <w:pPr>
        <w:pStyle w:val="Heading2"/>
        <w:spacing w:after="80" w:before="180"/>
      </w:pPr>
      <w:r>
        <w:rPr>
          <w:rFonts w:ascii="Calibri" w:cs="Calibri" w:eastAsia="Calibri" w:hAnsi="Calibri"/>
          <w:b/>
          <w:bCs/>
          <w:color w:val="2E5E8C"/>
          <w:sz w:val="22"/>
          <w:szCs w:val="22"/>
        </w:rPr>
        <w:t xml:space="preserve">A4.2 Discrimination and effect modification</w:t>
      </w:r>
    </w:p>
    <w:p>
      <w:pPr>
        <w:spacing w:after="110" w:line="275"/>
      </w:pPr>
      <w:r>
        <w:rPr>
          <w:rFonts w:ascii="Calibri" w:cs="Calibri" w:eastAsia="Calibri" w:hAnsi="Calibri"/>
          <w:sz w:val="19"/>
          <w:szCs w:val="19"/>
        </w:rPr>
        <w:t xml:space="preserve">Model c-statistic 0.55 for the full model and 0.523 for a model containing assessment year alone: all six domains together add 0.027. Sanity checks: random predictions give c ≈ 0.51 and perfect predictions give c = 1.000.</w:t>
      </w:r>
    </w:p>
    <w:p>
      <w:pPr>
        <w:spacing w:after="80" w:line="275"/>
      </w:pPr>
      <w:r>
        <w:rPr>
          <w:rFonts w:ascii="Calibri" w:cs="Calibri" w:eastAsia="Calibri" w:hAnsi="Calibri"/>
          <w:sz w:val="19"/>
          <w:szCs w:val="19"/>
        </w:rPr>
        <w:t xml:space="preserve">Likelihood-ratio test of year × cognition interaction: χ² = 7.78 on 2 df, P = 0.02. Year-specific estimates:</w:t>
      </w:r>
    </w:p>
    <w:tbl>
      <w:tblPr>
        <w:tblW w:type="dxa" w:w="7200"/>
        <w:tblBorders>
          <w:top w:val="single" w:color="808080" w:sz="3"/>
          <w:left w:val="none"/>
          <w:bottom w:val="single" w:color="808080" w:sz="3"/>
          <w:right w:val="none"/>
          <w:insideH w:val="single" w:color="CCCCCC" w:sz="1"/>
          <w:insideV w:val="none"/>
        </w:tblBorders>
      </w:tblPr>
      <w:tblGrid>
        <w:gridCol w:w="1000"/>
        <w:gridCol w:w="3600"/>
        <w:gridCol w:w="2600"/>
      </w:tblGrid>
      <w:tr>
        <w:trPr>
          <w:tblHeader/>
          <w:tblHeader w:val="true"/>
        </w:trPr>
        <w:tc>
          <w:tcPr>
            <w:tcW w:type="dxa" w:w="1000"/>
            <w:shd w:fill="D9E2F3" w:val="clear"/>
            <w:tcMar>
              <w:top w:type="dxa" w:w="40"/>
              <w:left w:type="dxa" w:w="60"/>
              <w:bottom w:type="dxa" w:w="40"/>
              <w:right w:type="dxa" w:w="60"/>
            </w:tcMar>
          </w:tcPr>
          <w:p>
            <w:pPr>
              <w:spacing w:after="0" w:line="230"/>
              <w:jc w:val="left"/>
            </w:pPr>
            <w:r>
              <w:rPr>
                <w:rFonts w:ascii="Calibri" w:cs="Calibri" w:eastAsia="Calibri" w:hAnsi="Calibri"/>
                <w:b/>
                <w:bCs/>
                <w:sz w:val="17"/>
                <w:szCs w:val="17"/>
              </w:rPr>
              <w:t xml:space="preserve">Year</w:t>
            </w:r>
          </w:p>
        </w:tc>
        <w:tc>
          <w:tcPr>
            <w:tcW w:type="dxa" w:w="3600"/>
            <w:shd w:fill="D9E2F3" w:val="clear"/>
            <w:tcMar>
              <w:top w:type="dxa" w:w="40"/>
              <w:left w:type="dxa" w:w="60"/>
              <w:bottom w:type="dxa" w:w="40"/>
              <w:right w:type="dxa" w:w="60"/>
            </w:tcMar>
          </w:tcPr>
          <w:p>
            <w:pPr>
              <w:spacing w:after="0" w:line="230"/>
              <w:jc w:val="center"/>
            </w:pPr>
            <w:r>
              <w:rPr>
                <w:rFonts w:ascii="Calibri" w:cs="Calibri" w:eastAsia="Calibri" w:hAnsi="Calibri"/>
                <w:b/>
                <w:bCs/>
                <w:sz w:val="17"/>
                <w:szCs w:val="17"/>
              </w:rPr>
              <w:t xml:space="preserve">Cognition, adjusted odds ratio (95% CI)</w:t>
            </w:r>
          </w:p>
        </w:tc>
        <w:tc>
          <w:tcPr>
            <w:tcW w:type="dxa" w:w="2600"/>
            <w:shd w:fill="D9E2F3" w:val="clear"/>
            <w:tcMar>
              <w:top w:type="dxa" w:w="40"/>
              <w:left w:type="dxa" w:w="60"/>
              <w:bottom w:type="dxa" w:w="40"/>
              <w:right w:type="dxa" w:w="60"/>
            </w:tcMar>
          </w:tcPr>
          <w:p>
            <w:pPr>
              <w:spacing w:after="0" w:line="230"/>
              <w:jc w:val="center"/>
            </w:pPr>
            <w:r>
              <w:rPr>
                <w:rFonts w:ascii="Calibri" w:cs="Calibri" w:eastAsia="Calibri" w:hAnsi="Calibri"/>
                <w:b/>
                <w:bCs/>
                <w:sz w:val="17"/>
                <w:szCs w:val="17"/>
              </w:rPr>
              <w:t xml:space="preserve">Records with an abnormal screen, n</w:t>
            </w:r>
          </w:p>
        </w:tc>
      </w:tr>
      <w:tr>
        <w:tc>
          <w:tcPr>
            <w:tcW w:type="dxa" w:w="1000"/>
            <w:tcMar>
              <w:top w:type="dxa" w:w="40"/>
              <w:left w:type="dxa" w:w="60"/>
              <w:bottom w:type="dxa" w:w="40"/>
              <w:right w:type="dxa" w:w="60"/>
            </w:tcMar>
          </w:tcPr>
          <w:p>
            <w:pPr>
              <w:spacing w:after="0" w:line="230"/>
              <w:jc w:val="left"/>
            </w:pPr>
            <w:r>
              <w:rPr>
                <w:rFonts w:ascii="Calibri" w:cs="Calibri" w:eastAsia="Calibri" w:hAnsi="Calibri"/>
                <w:b w:val="false"/>
                <w:bCs w:val="false"/>
                <w:sz w:val="17"/>
                <w:szCs w:val="17"/>
              </w:rPr>
              <w:t xml:space="preserve">2023</w:t>
            </w:r>
          </w:p>
        </w:tc>
        <w:tc>
          <w:tcPr>
            <w:tcW w:type="dxa" w:w="36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1.40 (1.16–1.69)</w:t>
            </w:r>
          </w:p>
        </w:tc>
        <w:tc>
          <w:tcPr>
            <w:tcW w:type="dxa" w:w="26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2853</w:t>
            </w:r>
          </w:p>
        </w:tc>
      </w:tr>
      <w:tr>
        <w:tc>
          <w:tcPr>
            <w:tcW w:type="dxa" w:w="1000"/>
            <w:tcMar>
              <w:top w:type="dxa" w:w="40"/>
              <w:left w:type="dxa" w:w="60"/>
              <w:bottom w:type="dxa" w:w="40"/>
              <w:right w:type="dxa" w:w="60"/>
            </w:tcMar>
          </w:tcPr>
          <w:p>
            <w:pPr>
              <w:spacing w:after="0" w:line="230"/>
              <w:jc w:val="left"/>
            </w:pPr>
            <w:r>
              <w:rPr>
                <w:rFonts w:ascii="Calibri" w:cs="Calibri" w:eastAsia="Calibri" w:hAnsi="Calibri"/>
                <w:b w:val="false"/>
                <w:bCs w:val="false"/>
                <w:sz w:val="17"/>
                <w:szCs w:val="17"/>
              </w:rPr>
              <w:t xml:space="preserve">2024</w:t>
            </w:r>
          </w:p>
        </w:tc>
        <w:tc>
          <w:tcPr>
            <w:tcW w:type="dxa" w:w="36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1.07 (0.89–1.30)</w:t>
            </w:r>
          </w:p>
        </w:tc>
        <w:tc>
          <w:tcPr>
            <w:tcW w:type="dxa" w:w="26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3102</w:t>
            </w:r>
          </w:p>
        </w:tc>
      </w:tr>
      <w:tr>
        <w:tc>
          <w:tcPr>
            <w:tcW w:type="dxa" w:w="1000"/>
            <w:tcMar>
              <w:top w:type="dxa" w:w="40"/>
              <w:left w:type="dxa" w:w="60"/>
              <w:bottom w:type="dxa" w:w="40"/>
              <w:right w:type="dxa" w:w="60"/>
            </w:tcMar>
          </w:tcPr>
          <w:p>
            <w:pPr>
              <w:spacing w:after="0" w:line="230"/>
              <w:jc w:val="left"/>
            </w:pPr>
            <w:r>
              <w:rPr>
                <w:rFonts w:ascii="Calibri" w:cs="Calibri" w:eastAsia="Calibri" w:hAnsi="Calibri"/>
                <w:b w:val="false"/>
                <w:bCs w:val="false"/>
                <w:sz w:val="17"/>
                <w:szCs w:val="17"/>
              </w:rPr>
              <w:t xml:space="preserve">2025</w:t>
            </w:r>
          </w:p>
        </w:tc>
        <w:tc>
          <w:tcPr>
            <w:tcW w:type="dxa" w:w="36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1.12 (0.94–1.33)</w:t>
            </w:r>
          </w:p>
        </w:tc>
        <w:tc>
          <w:tcPr>
            <w:tcW w:type="dxa" w:w="26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3562</w:t>
            </w:r>
          </w:p>
        </w:tc>
      </w:tr>
    </w:tbl>
    <w:p>
      <w:pPr>
        <w:spacing w:after="110" w:line="275"/>
      </w:pPr>
      <w:r>
        <w:rPr>
          <w:rFonts w:ascii="Calibri" w:cs="Calibri" w:eastAsia="Calibri" w:hAnsi="Calibri"/>
          <w:i/>
          <w:iCs/>
          <w:sz w:val="17"/>
          <w:szCs w:val="17"/>
        </w:rPr>
        <w:t xml:space="preserve">The pooled cognition estimate is driven by 2023, the year in which the locomotion measurement anomaly is most marked. Pooled estimates for this domain are therefore not reported as a principal finding.</w:t>
      </w:r>
    </w:p>
    <w:p>
      <w:pPr>
        <w:pStyle w:val="Heading2"/>
        <w:spacing w:after="80" w:before="180"/>
      </w:pPr>
      <w:r>
        <w:rPr>
          <w:rFonts w:ascii="Calibri" w:cs="Calibri" w:eastAsia="Calibri" w:hAnsi="Calibri"/>
          <w:b/>
          <w:bCs/>
          <w:color w:val="2E5E8C"/>
          <w:sz w:val="22"/>
          <w:szCs w:val="22"/>
        </w:rPr>
        <w:t>A4.3 Sensitivity analysis: age modelled in five-year categories</w:t>
      </w:r>
    </w:p>
    <w:p>
      <w:pPr>
        <w:spacing w:after="80" w:line="275"/>
      </w:pPr>
      <w:r>
        <w:rPr>
          <w:rFonts w:ascii="Calibri" w:cs="Calibri" w:eastAsia="Calibri" w:hAnsi="Calibri"/>
          <w:sz w:val="19"/>
          <w:szCs w:val="19"/>
        </w:rPr>
        <w:t>A quadratic age term improved logistic-model fit (likelihood-ratio χ²=26.88, 1 df, P&lt;0.001). We therefore refitted age in five-year categories as a sensitivity analysis. Non-completion by age group was: 65–69 years, 77.2% (n=2 441); 70–74 years, 75.4% (n=2 901); 75–79 years, 72.4% (n=1 913); 80–84 years, 74.2% (n=1 295); and 85 years and over, 78.4% (n=967).</w:t>
      </w:r>
    </w:p>
    <w:tbl>
      <w:tblPr>
        <w:tblW w:type="dxa" w:w="6000"/>
        <w:tblBorders>
          <w:top w:val="single" w:color="808080" w:sz="3"/>
          <w:left w:val="none"/>
          <w:bottom w:val="single" w:color="808080" w:sz="3"/>
          <w:right w:val="none"/>
          <w:insideH w:val="single" w:color="CCCCCC" w:sz="1"/>
          <w:insideV w:val="none"/>
        </w:tblBorders>
      </w:tblPr>
      <w:tblGrid>
        <w:gridCol w:w="3000"/>
        <w:gridCol w:w="3000"/>
      </w:tblGrid>
      <w:tr>
        <w:trPr>
          <w:tblHeader/>
          <w:tblHeader w:val="true"/>
        </w:trPr>
        <w:tc>
          <w:tcPr>
            <w:tcW w:type="dxa" w:w="3000"/>
            <w:shd w:fill="D9E2F3" w:val="clear"/>
            <w:tcMar>
              <w:top w:type="dxa" w:w="40"/>
              <w:left w:type="dxa" w:w="60"/>
              <w:bottom w:type="dxa" w:w="40"/>
              <w:right w:type="dxa" w:w="60"/>
            </w:tcMar>
          </w:tcPr>
          <w:p>
            <w:pPr>
              <w:spacing w:after="0" w:line="230"/>
              <w:jc w:val="left"/>
            </w:pPr>
            <w:r>
              <w:rPr>
                <w:rFonts w:ascii="Calibri" w:cs="Calibri" w:eastAsia="Calibri" w:hAnsi="Calibri"/>
                <w:b/>
                <w:bCs/>
                <w:sz w:val="17"/>
                <w:szCs w:val="17"/>
              </w:rPr>
              <w:t xml:space="preserve">Variable</w:t>
            </w:r>
          </w:p>
        </w:tc>
        <w:tc>
          <w:tcPr>
            <w:tcW w:type="dxa" w:w="3000"/>
            <w:shd w:fill="D9E2F3" w:val="clear"/>
            <w:tcMar>
              <w:top w:type="dxa" w:w="40"/>
              <w:left w:type="dxa" w:w="60"/>
              <w:bottom w:type="dxa" w:w="40"/>
              <w:right w:type="dxa" w:w="60"/>
            </w:tcMar>
          </w:tcPr>
          <w:p>
            <w:pPr>
              <w:spacing w:after="0" w:line="230"/>
              <w:jc w:val="center"/>
            </w:pPr>
            <w:r>
              <w:rPr>
                <w:rFonts w:ascii="Calibri" w:cs="Calibri" w:eastAsia="Calibri" w:hAnsi="Calibri"/>
                <w:b/>
                <w:bCs/>
                <w:sz w:val="17"/>
                <w:szCs w:val="17"/>
              </w:rPr>
              <w:t xml:space="preserve">Adjusted odds ratio (95% CI)</w:t>
            </w:r>
          </w:p>
        </w:tc>
      </w:tr>
      <w:tr>
        <w:tc>
          <w:tcPr>
            <w:tcW w:type="dxa" w:w="3000"/>
            <w:tcMar>
              <w:top w:type="dxa" w:w="40"/>
              <w:left w:type="dxa" w:w="60"/>
              <w:bottom w:type="dxa" w:w="40"/>
              <w:right w:type="dxa" w:w="60"/>
            </w:tcMar>
          </w:tcPr>
          <w:p>
            <w:pPr>
              <w:spacing w:after="0" w:line="230"/>
              <w:jc w:val="left"/>
            </w:pPr>
            <w:r>
              <w:rPr>
                <w:rFonts w:ascii="Calibri" w:cs="Calibri" w:eastAsia="Calibri" w:hAnsi="Calibri"/>
                <w:b w:val="false"/>
                <w:bCs w:val="false"/>
                <w:sz w:val="17"/>
                <w:szCs w:val="17"/>
              </w:rPr>
              <w:t xml:space="preserve">Age 70–74 v 65–69</w:t>
            </w:r>
          </w:p>
        </w:tc>
        <w:tc>
          <w:tcPr>
            <w:tcW w:type="dxa" w:w="30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0.91 (0.80–1.04)</w:t>
            </w:r>
          </w:p>
        </w:tc>
      </w:tr>
      <w:tr>
        <w:tc>
          <w:tcPr>
            <w:tcW w:type="dxa" w:w="3000"/>
            <w:tcMar>
              <w:top w:type="dxa" w:w="40"/>
              <w:left w:type="dxa" w:w="60"/>
              <w:bottom w:type="dxa" w:w="40"/>
              <w:right w:type="dxa" w:w="60"/>
            </w:tcMar>
          </w:tcPr>
          <w:p>
            <w:pPr>
              <w:spacing w:after="0" w:line="230"/>
              <w:jc w:val="left"/>
            </w:pPr>
            <w:r>
              <w:rPr>
                <w:rFonts w:ascii="Calibri" w:cs="Calibri" w:eastAsia="Calibri" w:hAnsi="Calibri"/>
                <w:b w:val="false"/>
                <w:bCs w:val="false"/>
                <w:sz w:val="17"/>
                <w:szCs w:val="17"/>
              </w:rPr>
              <w:t xml:space="preserve">Age 75–79 v 65–69</w:t>
            </w:r>
          </w:p>
        </w:tc>
        <w:tc>
          <w:tcPr>
            <w:tcW w:type="dxa" w:w="30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0.79 (0.69–0.92)</w:t>
            </w:r>
          </w:p>
        </w:tc>
      </w:tr>
      <w:tr>
        <w:tc>
          <w:tcPr>
            <w:tcW w:type="dxa" w:w="3000"/>
            <w:tcMar>
              <w:top w:type="dxa" w:w="40"/>
              <w:left w:type="dxa" w:w="60"/>
              <w:bottom w:type="dxa" w:w="40"/>
              <w:right w:type="dxa" w:w="60"/>
            </w:tcMar>
          </w:tcPr>
          <w:p>
            <w:pPr>
              <w:spacing w:after="0" w:line="230"/>
              <w:jc w:val="left"/>
            </w:pPr>
            <w:r>
              <w:rPr>
                <w:rFonts w:ascii="Calibri" w:cs="Calibri" w:eastAsia="Calibri" w:hAnsi="Calibri"/>
                <w:b w:val="false"/>
                <w:bCs w:val="false"/>
                <w:sz w:val="17"/>
                <w:szCs w:val="17"/>
              </w:rPr>
              <w:t xml:space="preserve">Age 80–84 v 65–69</w:t>
            </w:r>
          </w:p>
        </w:tc>
        <w:tc>
          <w:tcPr>
            <w:tcW w:type="dxa" w:w="30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0.89 (0.76–1.05)</w:t>
            </w:r>
          </w:p>
        </w:tc>
      </w:tr>
      <w:tr>
        <w:tc>
          <w:tcPr>
            <w:tcW w:type="dxa" w:w="3000"/>
            <w:tcMar>
              <w:top w:type="dxa" w:w="40"/>
              <w:left w:type="dxa" w:w="60"/>
              <w:bottom w:type="dxa" w:w="40"/>
              <w:right w:type="dxa" w:w="60"/>
            </w:tcMar>
          </w:tcPr>
          <w:p>
            <w:pPr>
              <w:spacing w:after="0" w:line="230"/>
              <w:jc w:val="left"/>
            </w:pPr>
            <w:r>
              <w:rPr>
                <w:rFonts w:ascii="Calibri" w:cs="Calibri" w:eastAsia="Calibri" w:hAnsi="Calibri"/>
                <w:b w:val="false"/>
                <w:bCs w:val="false"/>
                <w:sz w:val="17"/>
                <w:szCs w:val="17"/>
              </w:rPr>
              <w:t xml:space="preserve">Age 85+ v 65–69</w:t>
            </w:r>
          </w:p>
        </w:tc>
        <w:tc>
          <w:tcPr>
            <w:tcW w:type="dxa" w:w="30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1.17 (0.96–1.41)</w:t>
            </w:r>
          </w:p>
        </w:tc>
      </w:tr>
      <w:tr>
        <w:tc>
          <w:tcPr>
            <w:tcW w:type="dxa" w:w="3000"/>
            <w:tcMar>
              <w:top w:type="dxa" w:w="40"/>
              <w:left w:type="dxa" w:w="60"/>
              <w:bottom w:type="dxa" w:w="40"/>
              <w:right w:type="dxa" w:w="60"/>
            </w:tcMar>
          </w:tcPr>
          <w:p>
            <w:pPr>
              <w:spacing w:after="0" w:line="230"/>
              <w:jc w:val="left"/>
            </w:pPr>
            <w:r>
              <w:rPr>
                <w:rFonts w:ascii="Calibri" w:cs="Calibri" w:eastAsia="Calibri" w:hAnsi="Calibri"/>
                <w:b w:val="false"/>
                <w:bCs w:val="false"/>
                <w:sz w:val="17"/>
                <w:szCs w:val="17"/>
              </w:rPr>
              <w:t xml:space="preserve">Cognition</w:t>
            </w:r>
          </w:p>
        </w:tc>
        <w:tc>
          <w:tcPr>
            <w:tcW w:type="dxa" w:w="30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1.20 (1.08–1.33)</w:t>
            </w:r>
          </w:p>
        </w:tc>
      </w:tr>
      <w:tr>
        <w:tc>
          <w:tcPr>
            <w:tcW w:type="dxa" w:w="3000"/>
            <w:tcMar>
              <w:top w:type="dxa" w:w="40"/>
              <w:left w:type="dxa" w:w="60"/>
              <w:bottom w:type="dxa" w:w="40"/>
              <w:right w:type="dxa" w:w="60"/>
            </w:tcMar>
          </w:tcPr>
          <w:p>
            <w:pPr>
              <w:spacing w:after="0" w:line="230"/>
              <w:jc w:val="left"/>
            </w:pPr>
            <w:r>
              <w:rPr>
                <w:rFonts w:ascii="Calibri" w:cs="Calibri" w:eastAsia="Calibri" w:hAnsi="Calibri"/>
                <w:b w:val="false"/>
                <w:bCs w:val="false"/>
                <w:sz w:val="17"/>
                <w:szCs w:val="17"/>
              </w:rPr>
              <w:t xml:space="preserve">Locomotion</w:t>
            </w:r>
          </w:p>
        </w:tc>
        <w:tc>
          <w:tcPr>
            <w:tcW w:type="dxa" w:w="30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0.82 (0.73–0.91)</w:t>
            </w:r>
          </w:p>
        </w:tc>
      </w:tr>
      <w:tr>
        <w:tc>
          <w:tcPr>
            <w:tcW w:type="dxa" w:w="3000"/>
            <w:tcMar>
              <w:top w:type="dxa" w:w="40"/>
              <w:left w:type="dxa" w:w="60"/>
              <w:bottom w:type="dxa" w:w="40"/>
              <w:right w:type="dxa" w:w="60"/>
            </w:tcMar>
          </w:tcPr>
          <w:p>
            <w:pPr>
              <w:spacing w:after="0" w:line="230"/>
              <w:jc w:val="left"/>
            </w:pPr>
            <w:r>
              <w:rPr>
                <w:rFonts w:ascii="Calibri" w:cs="Calibri" w:eastAsia="Calibri" w:hAnsi="Calibri"/>
                <w:b w:val="false"/>
                <w:bCs w:val="false"/>
                <w:sz w:val="17"/>
                <w:szCs w:val="17"/>
              </w:rPr>
              <w:t xml:space="preserve">Vitality/nutrition</w:t>
            </w:r>
          </w:p>
        </w:tc>
        <w:tc>
          <w:tcPr>
            <w:tcW w:type="dxa" w:w="30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0.76 (0.65–0.90)</w:t>
            </w:r>
          </w:p>
        </w:tc>
      </w:tr>
      <w:tr>
        <w:tc>
          <w:tcPr>
            <w:tcW w:type="dxa" w:w="3000"/>
            <w:tcMar>
              <w:top w:type="dxa" w:w="40"/>
              <w:left w:type="dxa" w:w="60"/>
              <w:bottom w:type="dxa" w:w="40"/>
              <w:right w:type="dxa" w:w="60"/>
            </w:tcMar>
          </w:tcPr>
          <w:p>
            <w:pPr>
              <w:spacing w:after="0" w:line="230"/>
              <w:jc w:val="left"/>
            </w:pPr>
            <w:r>
              <w:rPr>
                <w:rFonts w:ascii="Calibri" w:cs="Calibri" w:eastAsia="Calibri" w:hAnsi="Calibri"/>
                <w:b w:val="false"/>
                <w:bCs w:val="false"/>
                <w:sz w:val="17"/>
                <w:szCs w:val="17"/>
              </w:rPr>
              <w:t xml:space="preserve">Vision</w:t>
            </w:r>
          </w:p>
        </w:tc>
        <w:tc>
          <w:tcPr>
            <w:tcW w:type="dxa" w:w="30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1.03 (0.94–1.14)</w:t>
            </w:r>
          </w:p>
        </w:tc>
      </w:tr>
      <w:tr>
        <w:tc>
          <w:tcPr>
            <w:tcW w:type="dxa" w:w="3000"/>
            <w:tcMar>
              <w:top w:type="dxa" w:w="40"/>
              <w:left w:type="dxa" w:w="60"/>
              <w:bottom w:type="dxa" w:w="40"/>
              <w:right w:type="dxa" w:w="60"/>
            </w:tcMar>
          </w:tcPr>
          <w:p>
            <w:pPr>
              <w:spacing w:after="0" w:line="230"/>
              <w:jc w:val="left"/>
            </w:pPr>
            <w:r>
              <w:rPr>
                <w:rFonts w:ascii="Calibri" w:cs="Calibri" w:eastAsia="Calibri" w:hAnsi="Calibri"/>
                <w:b w:val="false"/>
                <w:bCs w:val="false"/>
                <w:sz w:val="17"/>
                <w:szCs w:val="17"/>
              </w:rPr>
              <w:t xml:space="preserve">Hearing</w:t>
            </w:r>
          </w:p>
        </w:tc>
        <w:tc>
          <w:tcPr>
            <w:tcW w:type="dxa" w:w="30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0.80 (0.71–0.91)</w:t>
            </w:r>
          </w:p>
        </w:tc>
      </w:tr>
      <w:tr>
        <w:tc>
          <w:tcPr>
            <w:tcW w:type="dxa" w:w="3000"/>
            <w:tcMar>
              <w:top w:type="dxa" w:w="40"/>
              <w:left w:type="dxa" w:w="60"/>
              <w:bottom w:type="dxa" w:w="40"/>
              <w:right w:type="dxa" w:w="60"/>
            </w:tcMar>
          </w:tcPr>
          <w:p>
            <w:pPr>
              <w:spacing w:after="0" w:line="230"/>
              <w:jc w:val="left"/>
            </w:pPr>
            <w:r>
              <w:rPr>
                <w:rFonts w:ascii="Calibri" w:cs="Calibri" w:eastAsia="Calibri" w:hAnsi="Calibri"/>
                <w:b w:val="false"/>
                <w:bCs w:val="false"/>
                <w:sz w:val="17"/>
                <w:szCs w:val="17"/>
              </w:rPr>
              <w:t xml:space="preserve">Psychological</w:t>
            </w:r>
          </w:p>
        </w:tc>
        <w:tc>
          <w:tcPr>
            <w:tcW w:type="dxa" w:w="30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1.05 (0.86–1.29)</w:t>
            </w:r>
          </w:p>
        </w:tc>
      </w:tr>
    </w:tbl>
    <w:p>
      <w:pPr>
        <w:spacing w:after="110" w:line="275"/>
      </w:pPr>
      <w:r>
        <w:rPr>
          <w:rFonts w:ascii="Calibri" w:cs="Calibri" w:eastAsia="Calibri" w:hAnsi="Calibri"/>
          <w:i/>
          <w:iCs/>
          <w:sz w:val="17"/>
          <w:szCs w:val="17"/>
        </w:rPr>
        <w:t>Domain-level conclusions were unchanged from the locked linear-age specification (for cognition, adjusted odds ratio 1.20 with categorical age versus 1.18 with age per five years). Small numerical differences between this table and A4.1 therefore reflect the stated age parameterisation rather than transcription error.</w:t>
      </w:r>
    </w:p>
    <w:p>
      <w:pPr>
        <w:pStyle w:val="Heading2"/>
        <w:spacing w:after="80" w:before="180"/>
      </w:pPr>
      <w:r>
        <w:rPr>
          <w:rFonts w:ascii="Calibri" w:cs="Calibri" w:eastAsia="Calibri" w:hAnsi="Calibri"/>
          <w:b/>
          <w:bCs/>
          <w:color w:val="2E5E8C"/>
          <w:sz w:val="22"/>
          <w:szCs w:val="22"/>
        </w:rPr>
        <w:t xml:space="preserve">A4.4 Cluster-robust variance for repeat participation</w:t>
      </w:r>
    </w:p>
    <w:p>
      <w:pPr>
        <w:spacing w:after="80" w:line="275"/>
      </w:pPr>
      <w:r>
        <w:rPr>
          <w:rFonts w:ascii="Calibri" w:cs="Calibri" w:eastAsia="Calibri" w:hAnsi="Calibri"/>
          <w:sz w:val="19"/>
          <w:szCs w:val="19"/>
        </w:rPr>
        <w:t xml:space="preserve">Records were clustered on an approximate person key (date of birth + sex + village): 7120 clusters among 9 517 observations, mean 1.34 records per cluster. Standard errors inflated by less than 2%.</w:t>
      </w:r>
    </w:p>
    <w:tbl>
      <w:tblPr>
        <w:tblW w:type="dxa" w:w="7000"/>
        <w:tblBorders>
          <w:top w:val="single" w:color="808080" w:sz="3"/>
          <w:left w:val="none"/>
          <w:bottom w:val="single" w:color="808080" w:sz="3"/>
          <w:right w:val="none"/>
          <w:insideH w:val="single" w:color="CCCCCC" w:sz="1"/>
          <w:insideV w:val="none"/>
        </w:tblBorders>
      </w:tblPr>
      <w:tblGrid>
        <w:gridCol w:w="2400"/>
        <w:gridCol w:w="2300"/>
        <w:gridCol w:w="2300"/>
      </w:tblGrid>
      <w:tr>
        <w:trPr>
          <w:tblHeader/>
          <w:tblHeader w:val="true"/>
        </w:trPr>
        <w:tc>
          <w:tcPr>
            <w:tcW w:type="dxa" w:w="2400"/>
            <w:shd w:fill="D9E2F3" w:val="clear"/>
            <w:tcMar>
              <w:top w:type="dxa" w:w="40"/>
              <w:left w:type="dxa" w:w="60"/>
              <w:bottom w:type="dxa" w:w="40"/>
              <w:right w:type="dxa" w:w="60"/>
            </w:tcMar>
          </w:tcPr>
          <w:p>
            <w:pPr>
              <w:spacing w:after="0" w:line="230"/>
              <w:jc w:val="left"/>
            </w:pPr>
            <w:r>
              <w:rPr>
                <w:rFonts w:ascii="Calibri" w:cs="Calibri" w:eastAsia="Calibri" w:hAnsi="Calibri"/>
                <w:b/>
                <w:bCs/>
                <w:sz w:val="17"/>
                <w:szCs w:val="17"/>
              </w:rPr>
              <w:t xml:space="preserve">Variable</w:t>
            </w:r>
          </w:p>
        </w:tc>
        <w:tc>
          <w:tcPr>
            <w:tcW w:type="dxa" w:w="2300"/>
            <w:shd w:fill="D9E2F3" w:val="clear"/>
            <w:tcMar>
              <w:top w:type="dxa" w:w="40"/>
              <w:left w:type="dxa" w:w="60"/>
              <w:bottom w:type="dxa" w:w="40"/>
              <w:right w:type="dxa" w:w="60"/>
            </w:tcMar>
          </w:tcPr>
          <w:p>
            <w:pPr>
              <w:spacing w:after="0" w:line="230"/>
              <w:jc w:val="center"/>
            </w:pPr>
            <w:r>
              <w:rPr>
                <w:rFonts w:ascii="Calibri" w:cs="Calibri" w:eastAsia="Calibri" w:hAnsi="Calibri"/>
                <w:b/>
                <w:bCs/>
                <w:sz w:val="17"/>
                <w:szCs w:val="17"/>
              </w:rPr>
              <w:t xml:space="preserve">Model-based (95% CI)</w:t>
            </w:r>
          </w:p>
        </w:tc>
        <w:tc>
          <w:tcPr>
            <w:tcW w:type="dxa" w:w="2300"/>
            <w:shd w:fill="D9E2F3" w:val="clear"/>
            <w:tcMar>
              <w:top w:type="dxa" w:w="40"/>
              <w:left w:type="dxa" w:w="60"/>
              <w:bottom w:type="dxa" w:w="40"/>
              <w:right w:type="dxa" w:w="60"/>
            </w:tcMar>
          </w:tcPr>
          <w:p>
            <w:pPr>
              <w:spacing w:after="0" w:line="230"/>
              <w:jc w:val="center"/>
            </w:pPr>
            <w:r>
              <w:rPr>
                <w:rFonts w:ascii="Calibri" w:cs="Calibri" w:eastAsia="Calibri" w:hAnsi="Calibri"/>
                <w:b/>
                <w:bCs/>
                <w:sz w:val="17"/>
                <w:szCs w:val="17"/>
              </w:rPr>
              <w:t xml:space="preserve">Cluster-robust (95% CI)</w:t>
            </w:r>
          </w:p>
        </w:tc>
      </w:tr>
      <w:tr>
        <w:tc>
          <w:tcPr>
            <w:tcW w:type="dxa" w:w="2400"/>
            <w:tcMar>
              <w:top w:type="dxa" w:w="40"/>
              <w:left w:type="dxa" w:w="60"/>
              <w:bottom w:type="dxa" w:w="40"/>
              <w:right w:type="dxa" w:w="60"/>
            </w:tcMar>
          </w:tcPr>
          <w:p>
            <w:pPr>
              <w:spacing w:after="0" w:line="230"/>
              <w:jc w:val="left"/>
            </w:pPr>
            <w:r>
              <w:rPr>
                <w:rFonts w:ascii="Calibri" w:cs="Calibri" w:eastAsia="Calibri" w:hAnsi="Calibri"/>
                <w:b w:val="false"/>
                <w:bCs w:val="false"/>
                <w:sz w:val="17"/>
                <w:szCs w:val="17"/>
              </w:rPr>
              <w:t xml:space="preserve">Year 2024 v 2023</w:t>
            </w:r>
          </w:p>
        </w:tc>
        <w:tc>
          <w:tcPr>
            <w:tcW w:type="dxa" w:w="23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0.72 (0.63–0.82)</w:t>
            </w:r>
          </w:p>
        </w:tc>
        <w:tc>
          <w:tcPr>
            <w:tcW w:type="dxa" w:w="23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0.72 (0.63–0.82)</w:t>
            </w:r>
          </w:p>
        </w:tc>
      </w:tr>
      <w:tr>
        <w:tc>
          <w:tcPr>
            <w:tcW w:type="dxa" w:w="2400"/>
            <w:tcMar>
              <w:top w:type="dxa" w:w="40"/>
              <w:left w:type="dxa" w:w="60"/>
              <w:bottom w:type="dxa" w:w="40"/>
              <w:right w:type="dxa" w:w="60"/>
            </w:tcMar>
          </w:tcPr>
          <w:p>
            <w:pPr>
              <w:spacing w:after="0" w:line="230"/>
              <w:jc w:val="left"/>
            </w:pPr>
            <w:r>
              <w:rPr>
                <w:rFonts w:ascii="Calibri" w:cs="Calibri" w:eastAsia="Calibri" w:hAnsi="Calibri"/>
                <w:b w:val="false"/>
                <w:bCs w:val="false"/>
                <w:sz w:val="17"/>
                <w:szCs w:val="17"/>
              </w:rPr>
              <w:t xml:space="preserve">Year 2025 v 2023</w:t>
            </w:r>
          </w:p>
        </w:tc>
        <w:tc>
          <w:tcPr>
            <w:tcW w:type="dxa" w:w="23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0.89 (0.78–1.02)</w:t>
            </w:r>
          </w:p>
        </w:tc>
        <w:tc>
          <w:tcPr>
            <w:tcW w:type="dxa" w:w="23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0.89 (0.78–1.02)</w:t>
            </w:r>
          </w:p>
        </w:tc>
      </w:tr>
      <w:tr>
        <w:tc>
          <w:tcPr>
            <w:tcW w:type="dxa" w:w="2400"/>
            <w:tcMar>
              <w:top w:type="dxa" w:w="40"/>
              <w:left w:type="dxa" w:w="60"/>
              <w:bottom w:type="dxa" w:w="40"/>
              <w:right w:type="dxa" w:w="60"/>
            </w:tcMar>
          </w:tcPr>
          <w:p>
            <w:pPr>
              <w:spacing w:after="0" w:line="230"/>
              <w:jc w:val="left"/>
            </w:pPr>
            <w:r>
              <w:rPr>
                <w:rFonts w:ascii="Calibri" w:cs="Calibri" w:eastAsia="Calibri" w:hAnsi="Calibri"/>
                <w:b w:val="false"/>
                <w:bCs w:val="false"/>
                <w:sz w:val="17"/>
                <w:szCs w:val="17"/>
              </w:rPr>
              <w:t xml:space="preserve">Age, per 5 years</w:t>
            </w:r>
          </w:p>
        </w:tc>
        <w:tc>
          <w:tcPr>
            <w:tcW w:type="dxa" w:w="23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1.02 (0.98–1.06)</w:t>
            </w:r>
          </w:p>
        </w:tc>
        <w:tc>
          <w:tcPr>
            <w:tcW w:type="dxa" w:w="23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1.02 (0.98–1.06)</w:t>
            </w:r>
          </w:p>
        </w:tc>
      </w:tr>
      <w:tr>
        <w:tc>
          <w:tcPr>
            <w:tcW w:type="dxa" w:w="2400"/>
            <w:tcMar>
              <w:top w:type="dxa" w:w="40"/>
              <w:left w:type="dxa" w:w="60"/>
              <w:bottom w:type="dxa" w:w="40"/>
              <w:right w:type="dxa" w:w="60"/>
            </w:tcMar>
          </w:tcPr>
          <w:p>
            <w:pPr>
              <w:spacing w:after="0" w:line="230"/>
              <w:jc w:val="left"/>
            </w:pPr>
            <w:r>
              <w:rPr>
                <w:rFonts w:ascii="Calibri" w:cs="Calibri" w:eastAsia="Calibri" w:hAnsi="Calibri"/>
                <w:b w:val="false"/>
                <w:bCs w:val="false"/>
                <w:sz w:val="17"/>
                <w:szCs w:val="17"/>
              </w:rPr>
              <w:t xml:space="preserve">Women</w:t>
            </w:r>
          </w:p>
        </w:tc>
        <w:tc>
          <w:tcPr>
            <w:tcW w:type="dxa" w:w="23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0.99 (0.90–1.09)</w:t>
            </w:r>
          </w:p>
        </w:tc>
        <w:tc>
          <w:tcPr>
            <w:tcW w:type="dxa" w:w="23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0.99 (0.90–1.09)</w:t>
            </w:r>
          </w:p>
        </w:tc>
      </w:tr>
      <w:tr>
        <w:tc>
          <w:tcPr>
            <w:tcW w:type="dxa" w:w="2400"/>
            <w:tcMar>
              <w:top w:type="dxa" w:w="40"/>
              <w:left w:type="dxa" w:w="60"/>
              <w:bottom w:type="dxa" w:w="40"/>
              <w:right w:type="dxa" w:w="60"/>
            </w:tcMar>
          </w:tcPr>
          <w:p>
            <w:pPr>
              <w:spacing w:after="0" w:line="230"/>
              <w:jc w:val="left"/>
            </w:pPr>
            <w:r>
              <w:rPr>
                <w:rFonts w:ascii="Calibri" w:cs="Calibri" w:eastAsia="Calibri" w:hAnsi="Calibri"/>
                <w:b w:val="false"/>
                <w:bCs w:val="false"/>
                <w:sz w:val="17"/>
                <w:szCs w:val="17"/>
              </w:rPr>
              <w:t xml:space="preserve">Chronic conditions, per condition</w:t>
            </w:r>
          </w:p>
        </w:tc>
        <w:tc>
          <w:tcPr>
            <w:tcW w:type="dxa" w:w="23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0.94 (0.90–0.98)</w:t>
            </w:r>
          </w:p>
        </w:tc>
        <w:tc>
          <w:tcPr>
            <w:tcW w:type="dxa" w:w="23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0.94 (0.90–0.97)</w:t>
            </w:r>
          </w:p>
        </w:tc>
      </w:tr>
      <w:tr>
        <w:tc>
          <w:tcPr>
            <w:tcW w:type="dxa" w:w="2400"/>
            <w:tcMar>
              <w:top w:type="dxa" w:w="40"/>
              <w:left w:type="dxa" w:w="60"/>
              <w:bottom w:type="dxa" w:w="40"/>
              <w:right w:type="dxa" w:w="60"/>
            </w:tcMar>
          </w:tcPr>
          <w:p>
            <w:pPr>
              <w:spacing w:after="0" w:line="230"/>
              <w:jc w:val="left"/>
            </w:pPr>
            <w:r>
              <w:rPr>
                <w:rFonts w:ascii="Calibri" w:cs="Calibri" w:eastAsia="Calibri" w:hAnsi="Calibri"/>
                <w:b w:val="false"/>
                <w:bCs w:val="false"/>
                <w:sz w:val="17"/>
                <w:szCs w:val="17"/>
              </w:rPr>
              <w:t xml:space="preserve">Cognition</w:t>
            </w:r>
          </w:p>
        </w:tc>
        <w:tc>
          <w:tcPr>
            <w:tcW w:type="dxa" w:w="23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1.18 (1.07–1.31)</w:t>
            </w:r>
          </w:p>
        </w:tc>
        <w:tc>
          <w:tcPr>
            <w:tcW w:type="dxa" w:w="23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1.18 (1.07–1.31)</w:t>
            </w:r>
          </w:p>
        </w:tc>
      </w:tr>
      <w:tr>
        <w:tc>
          <w:tcPr>
            <w:tcW w:type="dxa" w:w="2400"/>
            <w:tcMar>
              <w:top w:type="dxa" w:w="40"/>
              <w:left w:type="dxa" w:w="60"/>
              <w:bottom w:type="dxa" w:w="40"/>
              <w:right w:type="dxa" w:w="60"/>
            </w:tcMar>
          </w:tcPr>
          <w:p>
            <w:pPr>
              <w:spacing w:after="0" w:line="230"/>
              <w:jc w:val="left"/>
            </w:pPr>
            <w:r>
              <w:rPr>
                <w:rFonts w:ascii="Calibri" w:cs="Calibri" w:eastAsia="Calibri" w:hAnsi="Calibri"/>
                <w:b w:val="false"/>
                <w:bCs w:val="false"/>
                <w:sz w:val="17"/>
                <w:szCs w:val="17"/>
              </w:rPr>
              <w:t xml:space="preserve">Locomotion</w:t>
            </w:r>
          </w:p>
        </w:tc>
        <w:tc>
          <w:tcPr>
            <w:tcW w:type="dxa" w:w="23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0.82 (0.73–0.91)</w:t>
            </w:r>
          </w:p>
        </w:tc>
        <w:tc>
          <w:tcPr>
            <w:tcW w:type="dxa" w:w="23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0.82 (0.73–0.92)</w:t>
            </w:r>
          </w:p>
        </w:tc>
      </w:tr>
      <w:tr>
        <w:tc>
          <w:tcPr>
            <w:tcW w:type="dxa" w:w="2400"/>
            <w:tcMar>
              <w:top w:type="dxa" w:w="40"/>
              <w:left w:type="dxa" w:w="60"/>
              <w:bottom w:type="dxa" w:w="40"/>
              <w:right w:type="dxa" w:w="60"/>
            </w:tcMar>
          </w:tcPr>
          <w:p>
            <w:pPr>
              <w:spacing w:after="0" w:line="230"/>
              <w:jc w:val="left"/>
            </w:pPr>
            <w:r>
              <w:rPr>
                <w:rFonts w:ascii="Calibri" w:cs="Calibri" w:eastAsia="Calibri" w:hAnsi="Calibri"/>
                <w:b w:val="false"/>
                <w:bCs w:val="false"/>
                <w:sz w:val="17"/>
                <w:szCs w:val="17"/>
              </w:rPr>
              <w:t xml:space="preserve">Vitality/nutrition</w:t>
            </w:r>
          </w:p>
        </w:tc>
        <w:tc>
          <w:tcPr>
            <w:tcW w:type="dxa" w:w="23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0.76 (0.65–0.90)</w:t>
            </w:r>
          </w:p>
        </w:tc>
        <w:tc>
          <w:tcPr>
            <w:tcW w:type="dxa" w:w="23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0.76 (0.65–0.90)</w:t>
            </w:r>
          </w:p>
        </w:tc>
      </w:tr>
      <w:tr>
        <w:tc>
          <w:tcPr>
            <w:tcW w:type="dxa" w:w="2400"/>
            <w:tcMar>
              <w:top w:type="dxa" w:w="40"/>
              <w:left w:type="dxa" w:w="60"/>
              <w:bottom w:type="dxa" w:w="40"/>
              <w:right w:type="dxa" w:w="60"/>
            </w:tcMar>
          </w:tcPr>
          <w:p>
            <w:pPr>
              <w:spacing w:after="0" w:line="230"/>
              <w:jc w:val="left"/>
            </w:pPr>
            <w:r>
              <w:rPr>
                <w:rFonts w:ascii="Calibri" w:cs="Calibri" w:eastAsia="Calibri" w:hAnsi="Calibri"/>
                <w:b w:val="false"/>
                <w:bCs w:val="false"/>
                <w:sz w:val="17"/>
                <w:szCs w:val="17"/>
              </w:rPr>
              <w:t xml:space="preserve">Vision</w:t>
            </w:r>
          </w:p>
        </w:tc>
        <w:tc>
          <w:tcPr>
            <w:tcW w:type="dxa" w:w="23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1.04 (0.94–1.15)</w:t>
            </w:r>
          </w:p>
        </w:tc>
        <w:tc>
          <w:tcPr>
            <w:tcW w:type="dxa" w:w="23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1.04 (0.94–1.14)</w:t>
            </w:r>
          </w:p>
        </w:tc>
      </w:tr>
      <w:tr>
        <w:tc>
          <w:tcPr>
            <w:tcW w:type="dxa" w:w="2400"/>
            <w:tcMar>
              <w:top w:type="dxa" w:w="40"/>
              <w:left w:type="dxa" w:w="60"/>
              <w:bottom w:type="dxa" w:w="40"/>
              <w:right w:type="dxa" w:w="60"/>
            </w:tcMar>
          </w:tcPr>
          <w:p>
            <w:pPr>
              <w:spacing w:after="0" w:line="230"/>
              <w:jc w:val="left"/>
            </w:pPr>
            <w:r>
              <w:rPr>
                <w:rFonts w:ascii="Calibri" w:cs="Calibri" w:eastAsia="Calibri" w:hAnsi="Calibri"/>
                <w:b w:val="false"/>
                <w:bCs w:val="false"/>
                <w:sz w:val="17"/>
                <w:szCs w:val="17"/>
              </w:rPr>
              <w:t xml:space="preserve">Hearing</w:t>
            </w:r>
          </w:p>
        </w:tc>
        <w:tc>
          <w:tcPr>
            <w:tcW w:type="dxa" w:w="23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0.81 (0.71–0.91)</w:t>
            </w:r>
          </w:p>
        </w:tc>
        <w:tc>
          <w:tcPr>
            <w:tcW w:type="dxa" w:w="23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0.81 (0.71–0.91)</w:t>
            </w:r>
          </w:p>
        </w:tc>
      </w:tr>
      <w:tr>
        <w:tc>
          <w:tcPr>
            <w:tcW w:type="dxa" w:w="2400"/>
            <w:tcMar>
              <w:top w:type="dxa" w:w="40"/>
              <w:left w:type="dxa" w:w="60"/>
              <w:bottom w:type="dxa" w:w="40"/>
              <w:right w:type="dxa" w:w="60"/>
            </w:tcMar>
          </w:tcPr>
          <w:p>
            <w:pPr>
              <w:spacing w:after="0" w:line="230"/>
              <w:jc w:val="left"/>
            </w:pPr>
            <w:r>
              <w:rPr>
                <w:rFonts w:ascii="Calibri" w:cs="Calibri" w:eastAsia="Calibri" w:hAnsi="Calibri"/>
                <w:b w:val="false"/>
                <w:bCs w:val="false"/>
                <w:sz w:val="17"/>
                <w:szCs w:val="17"/>
              </w:rPr>
              <w:t xml:space="preserve">Psychological</w:t>
            </w:r>
          </w:p>
        </w:tc>
        <w:tc>
          <w:tcPr>
            <w:tcW w:type="dxa" w:w="23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1.05 (0.86–1.28)</w:t>
            </w:r>
          </w:p>
        </w:tc>
        <w:tc>
          <w:tcPr>
            <w:tcW w:type="dxa" w:w="23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1.05 (0.86–1.28)</w:t>
            </w:r>
          </w:p>
        </w:tc>
      </w:tr>
    </w:tbl>
    <w:p>
      <w:pPr>
        <w:spacing w:after="110" w:line="275"/>
      </w:pPr>
      <w:r>
        <w:rPr>
          <w:rFonts w:ascii="Calibri" w:cs="Calibri" w:eastAsia="Calibri" w:hAnsi="Calibri"/>
          <w:i/>
          <w:iCs/>
          <w:sz w:val="17"/>
          <w:szCs w:val="17"/>
        </w:rPr>
        <w:t xml:space="preserve">The programme’s own repeat-participation indicator (2024–25 only) was not associated with non-completion: adjusted odds ratio 0.95 (0.85–1.07), P = 0.41; unadjusted 74.3% among repeat participants versus 75.1% among first screenings. Non-independence therefore affects neither the point estimates nor their precision materially.</w:t>
      </w:r>
    </w:p>
    <w:p>
      <w:pPr>
        <w:pStyle w:val="Heading2"/>
        <w:spacing w:after="80" w:before="180"/>
      </w:pPr>
      <w:r>
        <w:rPr>
          <w:rFonts w:ascii="Calibri" w:cs="Calibri" w:eastAsia="Calibri" w:hAnsi="Calibri"/>
          <w:b/>
          <w:bCs/>
          <w:color w:val="2E5E8C"/>
          <w:sz w:val="22"/>
          <w:szCs w:val="22"/>
        </w:rPr>
        <w:t xml:space="preserve">A4.5 Comorbidity count expanded to include free-text conditions</w:t>
      </w:r>
    </w:p>
    <w:p>
      <w:pPr>
        <w:spacing w:after="80" w:line="275"/>
      </w:pPr>
      <w:r>
        <w:rPr>
          <w:rFonts w:ascii="Calibri" w:cs="Calibri" w:eastAsia="Calibri" w:hAnsi="Calibri"/>
          <w:sz w:val="19"/>
          <w:szCs w:val="19"/>
        </w:rPr>
        <w:t xml:space="preserve">The primary chronic condition count uses the coded checklist only. A separate free-text field was completed for 2 870 records (24.3%); 775 records had a blank coded field but a documented condition in free text (for example, specific cancers, Parkinson’s disease) and were therefore counted as having no chronic condition in the primary analysis. Re-fitting with the expanded count:</w:t>
      </w:r>
    </w:p>
    <w:tbl>
      <w:tblPr>
        <w:tblW w:type="dxa" w:w="7000"/>
        <w:tblBorders>
          <w:top w:val="single" w:color="808080" w:sz="3"/>
          <w:left w:val="none"/>
          <w:bottom w:val="single" w:color="808080" w:sz="3"/>
          <w:right w:val="none"/>
          <w:insideH w:val="single" w:color="CCCCCC" w:sz="1"/>
          <w:insideV w:val="none"/>
        </w:tblBorders>
      </w:tblPr>
      <w:tblGrid>
        <w:gridCol w:w="2400"/>
        <w:gridCol w:w="2300"/>
        <w:gridCol w:w="2300"/>
      </w:tblGrid>
      <w:tr>
        <w:trPr>
          <w:tblHeader/>
          <w:tblHeader w:val="true"/>
        </w:trPr>
        <w:tc>
          <w:tcPr>
            <w:tcW w:type="dxa" w:w="2400"/>
            <w:shd w:fill="D9E2F3" w:val="clear"/>
            <w:tcMar>
              <w:top w:type="dxa" w:w="40"/>
              <w:left w:type="dxa" w:w="60"/>
              <w:bottom w:type="dxa" w:w="40"/>
              <w:right w:type="dxa" w:w="60"/>
            </w:tcMar>
          </w:tcPr>
          <w:p>
            <w:pPr>
              <w:spacing w:after="0" w:line="230"/>
              <w:jc w:val="left"/>
            </w:pPr>
            <w:r>
              <w:rPr>
                <w:rFonts w:ascii="Calibri" w:cs="Calibri" w:eastAsia="Calibri" w:hAnsi="Calibri"/>
                <w:b/>
                <w:bCs/>
                <w:sz w:val="17"/>
                <w:szCs w:val="17"/>
              </w:rPr>
              <w:t xml:space="preserve">Variable</w:t>
            </w:r>
          </w:p>
        </w:tc>
        <w:tc>
          <w:tcPr>
            <w:tcW w:type="dxa" w:w="2300"/>
            <w:shd w:fill="D9E2F3" w:val="clear"/>
            <w:tcMar>
              <w:top w:type="dxa" w:w="40"/>
              <w:left w:type="dxa" w:w="60"/>
              <w:bottom w:type="dxa" w:w="40"/>
              <w:right w:type="dxa" w:w="60"/>
            </w:tcMar>
          </w:tcPr>
          <w:p>
            <w:pPr>
              <w:spacing w:after="0" w:line="230"/>
              <w:jc w:val="center"/>
            </w:pPr>
            <w:r>
              <w:rPr>
                <w:rFonts w:ascii="Calibri" w:cs="Calibri" w:eastAsia="Calibri" w:hAnsi="Calibri"/>
                <w:b/>
                <w:bCs/>
                <w:sz w:val="17"/>
                <w:szCs w:val="17"/>
              </w:rPr>
              <w:t xml:space="preserve">Primary count (95% CI)</w:t>
            </w:r>
          </w:p>
        </w:tc>
        <w:tc>
          <w:tcPr>
            <w:tcW w:type="dxa" w:w="2300"/>
            <w:shd w:fill="D9E2F3" w:val="clear"/>
            <w:tcMar>
              <w:top w:type="dxa" w:w="40"/>
              <w:left w:type="dxa" w:w="60"/>
              <w:bottom w:type="dxa" w:w="40"/>
              <w:right w:type="dxa" w:w="60"/>
            </w:tcMar>
          </w:tcPr>
          <w:p>
            <w:pPr>
              <w:spacing w:after="0" w:line="230"/>
              <w:jc w:val="center"/>
            </w:pPr>
            <w:r>
              <w:rPr>
                <w:rFonts w:ascii="Calibri" w:cs="Calibri" w:eastAsia="Calibri" w:hAnsi="Calibri"/>
                <w:b/>
                <w:bCs/>
                <w:sz w:val="17"/>
                <w:szCs w:val="17"/>
              </w:rPr>
              <w:t xml:space="preserve">Expanded count (95% CI)</w:t>
            </w:r>
          </w:p>
        </w:tc>
      </w:tr>
      <w:tr>
        <w:tc>
          <w:tcPr>
            <w:tcW w:type="dxa" w:w="2400"/>
            <w:tcMar>
              <w:top w:type="dxa" w:w="40"/>
              <w:left w:type="dxa" w:w="60"/>
              <w:bottom w:type="dxa" w:w="40"/>
              <w:right w:type="dxa" w:w="60"/>
            </w:tcMar>
          </w:tcPr>
          <w:p>
            <w:pPr>
              <w:spacing w:after="0" w:line="230"/>
              <w:jc w:val="left"/>
            </w:pPr>
            <w:r>
              <w:rPr>
                <w:rFonts w:ascii="Calibri" w:cs="Calibri" w:eastAsia="Calibri" w:hAnsi="Calibri"/>
                <w:b w:val="false"/>
                <w:bCs w:val="false"/>
                <w:sz w:val="17"/>
                <w:szCs w:val="17"/>
              </w:rPr>
              <w:t xml:space="preserve">Year 2024 v 2023</w:t>
            </w:r>
          </w:p>
        </w:tc>
        <w:tc>
          <w:tcPr>
            <w:tcW w:type="dxa" w:w="23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0.72 (0.63–0.82)</w:t>
            </w:r>
          </w:p>
        </w:tc>
        <w:tc>
          <w:tcPr>
            <w:tcW w:type="dxa" w:w="23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0.71 (0.62–0.81)</w:t>
            </w:r>
          </w:p>
        </w:tc>
      </w:tr>
      <w:tr>
        <w:tc>
          <w:tcPr>
            <w:tcW w:type="dxa" w:w="2400"/>
            <w:tcMar>
              <w:top w:type="dxa" w:w="40"/>
              <w:left w:type="dxa" w:w="60"/>
              <w:bottom w:type="dxa" w:w="40"/>
              <w:right w:type="dxa" w:w="60"/>
            </w:tcMar>
          </w:tcPr>
          <w:p>
            <w:pPr>
              <w:spacing w:after="0" w:line="230"/>
              <w:jc w:val="left"/>
            </w:pPr>
            <w:r>
              <w:rPr>
                <w:rFonts w:ascii="Calibri" w:cs="Calibri" w:eastAsia="Calibri" w:hAnsi="Calibri"/>
                <w:b w:val="false"/>
                <w:bCs w:val="false"/>
                <w:sz w:val="17"/>
                <w:szCs w:val="17"/>
              </w:rPr>
              <w:t xml:space="preserve">Year 2025 v 2023</w:t>
            </w:r>
          </w:p>
        </w:tc>
        <w:tc>
          <w:tcPr>
            <w:tcW w:type="dxa" w:w="23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0.89 (0.78–1.02)</w:t>
            </w:r>
          </w:p>
        </w:tc>
        <w:tc>
          <w:tcPr>
            <w:tcW w:type="dxa" w:w="23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0.88 (0.77–1.01)</w:t>
            </w:r>
          </w:p>
        </w:tc>
      </w:tr>
      <w:tr>
        <w:tc>
          <w:tcPr>
            <w:tcW w:type="dxa" w:w="2400"/>
            <w:tcMar>
              <w:top w:type="dxa" w:w="40"/>
              <w:left w:type="dxa" w:w="60"/>
              <w:bottom w:type="dxa" w:w="40"/>
              <w:right w:type="dxa" w:w="60"/>
            </w:tcMar>
          </w:tcPr>
          <w:p>
            <w:pPr>
              <w:spacing w:after="0" w:line="230"/>
              <w:jc w:val="left"/>
            </w:pPr>
            <w:r>
              <w:rPr>
                <w:rFonts w:ascii="Calibri" w:cs="Calibri" w:eastAsia="Calibri" w:hAnsi="Calibri"/>
                <w:b w:val="false"/>
                <w:bCs w:val="false"/>
                <w:sz w:val="17"/>
                <w:szCs w:val="17"/>
              </w:rPr>
              <w:t xml:space="preserve">Age, per 5 years</w:t>
            </w:r>
          </w:p>
        </w:tc>
        <w:tc>
          <w:tcPr>
            <w:tcW w:type="dxa" w:w="23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1.02 (0.98–1.06)</w:t>
            </w:r>
          </w:p>
        </w:tc>
        <w:tc>
          <w:tcPr>
            <w:tcW w:type="dxa" w:w="23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1.02 (0.98–1.06)</w:t>
            </w:r>
          </w:p>
        </w:tc>
      </w:tr>
      <w:tr>
        <w:tc>
          <w:tcPr>
            <w:tcW w:type="dxa" w:w="2400"/>
            <w:tcMar>
              <w:top w:type="dxa" w:w="40"/>
              <w:left w:type="dxa" w:w="60"/>
              <w:bottom w:type="dxa" w:w="40"/>
              <w:right w:type="dxa" w:w="60"/>
            </w:tcMar>
          </w:tcPr>
          <w:p>
            <w:pPr>
              <w:spacing w:after="0" w:line="230"/>
              <w:jc w:val="left"/>
            </w:pPr>
            <w:r>
              <w:rPr>
                <w:rFonts w:ascii="Calibri" w:cs="Calibri" w:eastAsia="Calibri" w:hAnsi="Calibri"/>
                <w:b w:val="false"/>
                <w:bCs w:val="false"/>
                <w:sz w:val="17"/>
                <w:szCs w:val="17"/>
              </w:rPr>
              <w:t xml:space="preserve">Women</w:t>
            </w:r>
          </w:p>
        </w:tc>
        <w:tc>
          <w:tcPr>
            <w:tcW w:type="dxa" w:w="23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0.99 (0.90–1.09)</w:t>
            </w:r>
          </w:p>
        </w:tc>
        <w:tc>
          <w:tcPr>
            <w:tcW w:type="dxa" w:w="23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0.99 (0.90–1.09)</w:t>
            </w:r>
          </w:p>
        </w:tc>
      </w:tr>
      <w:tr>
        <w:tc>
          <w:tcPr>
            <w:tcW w:type="dxa" w:w="2400"/>
            <w:tcMar>
              <w:top w:type="dxa" w:w="40"/>
              <w:left w:type="dxa" w:w="60"/>
              <w:bottom w:type="dxa" w:w="40"/>
              <w:right w:type="dxa" w:w="60"/>
            </w:tcMar>
          </w:tcPr>
          <w:p>
            <w:pPr>
              <w:spacing w:after="0" w:line="230"/>
              <w:jc w:val="left"/>
            </w:pPr>
            <w:r>
              <w:rPr>
                <w:rFonts w:ascii="Calibri" w:cs="Calibri" w:eastAsia="Calibri" w:hAnsi="Calibri"/>
                <w:b w:val="false"/>
                <w:bCs w:val="false"/>
                <w:sz w:val="17"/>
                <w:szCs w:val="17"/>
              </w:rPr>
              <w:t xml:space="preserve">Chronic conditions, per condition</w:t>
            </w:r>
          </w:p>
        </w:tc>
        <w:tc>
          <w:tcPr>
            <w:tcW w:type="dxa" w:w="23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0.94 (0.90–0.98)</w:t>
            </w:r>
          </w:p>
        </w:tc>
        <w:tc>
          <w:tcPr>
            <w:tcW w:type="dxa" w:w="23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0.93 (0.90–0.97)</w:t>
            </w:r>
          </w:p>
        </w:tc>
      </w:tr>
      <w:tr>
        <w:tc>
          <w:tcPr>
            <w:tcW w:type="dxa" w:w="2400"/>
            <w:tcMar>
              <w:top w:type="dxa" w:w="40"/>
              <w:left w:type="dxa" w:w="60"/>
              <w:bottom w:type="dxa" w:w="40"/>
              <w:right w:type="dxa" w:w="60"/>
            </w:tcMar>
          </w:tcPr>
          <w:p>
            <w:pPr>
              <w:spacing w:after="0" w:line="230"/>
              <w:jc w:val="left"/>
            </w:pPr>
            <w:r>
              <w:rPr>
                <w:rFonts w:ascii="Calibri" w:cs="Calibri" w:eastAsia="Calibri" w:hAnsi="Calibri"/>
                <w:b w:val="false"/>
                <w:bCs w:val="false"/>
                <w:sz w:val="17"/>
                <w:szCs w:val="17"/>
              </w:rPr>
              <w:t xml:space="preserve">Cognition</w:t>
            </w:r>
          </w:p>
        </w:tc>
        <w:tc>
          <w:tcPr>
            <w:tcW w:type="dxa" w:w="23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1.18 (1.07–1.31)</w:t>
            </w:r>
          </w:p>
        </w:tc>
        <w:tc>
          <w:tcPr>
            <w:tcW w:type="dxa" w:w="23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1.19 (1.07–1.31)</w:t>
            </w:r>
          </w:p>
        </w:tc>
      </w:tr>
      <w:tr>
        <w:tc>
          <w:tcPr>
            <w:tcW w:type="dxa" w:w="2400"/>
            <w:tcMar>
              <w:top w:type="dxa" w:w="40"/>
              <w:left w:type="dxa" w:w="60"/>
              <w:bottom w:type="dxa" w:w="40"/>
              <w:right w:type="dxa" w:w="60"/>
            </w:tcMar>
          </w:tcPr>
          <w:p>
            <w:pPr>
              <w:spacing w:after="0" w:line="230"/>
              <w:jc w:val="left"/>
            </w:pPr>
            <w:r>
              <w:rPr>
                <w:rFonts w:ascii="Calibri" w:cs="Calibri" w:eastAsia="Calibri" w:hAnsi="Calibri"/>
                <w:b w:val="false"/>
                <w:bCs w:val="false"/>
                <w:sz w:val="17"/>
                <w:szCs w:val="17"/>
              </w:rPr>
              <w:t xml:space="preserve">Locomotion</w:t>
            </w:r>
          </w:p>
        </w:tc>
        <w:tc>
          <w:tcPr>
            <w:tcW w:type="dxa" w:w="23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0.82 (0.73–0.91)</w:t>
            </w:r>
          </w:p>
        </w:tc>
        <w:tc>
          <w:tcPr>
            <w:tcW w:type="dxa" w:w="23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0.82 (0.73–0.91)</w:t>
            </w:r>
          </w:p>
        </w:tc>
      </w:tr>
      <w:tr>
        <w:tc>
          <w:tcPr>
            <w:tcW w:type="dxa" w:w="2400"/>
            <w:tcMar>
              <w:top w:type="dxa" w:w="40"/>
              <w:left w:type="dxa" w:w="60"/>
              <w:bottom w:type="dxa" w:w="40"/>
              <w:right w:type="dxa" w:w="60"/>
            </w:tcMar>
          </w:tcPr>
          <w:p>
            <w:pPr>
              <w:spacing w:after="0" w:line="230"/>
              <w:jc w:val="left"/>
            </w:pPr>
            <w:r>
              <w:rPr>
                <w:rFonts w:ascii="Calibri" w:cs="Calibri" w:eastAsia="Calibri" w:hAnsi="Calibri"/>
                <w:b w:val="false"/>
                <w:bCs w:val="false"/>
                <w:sz w:val="17"/>
                <w:szCs w:val="17"/>
              </w:rPr>
              <w:t xml:space="preserve">Vitality/nutrition</w:t>
            </w:r>
          </w:p>
        </w:tc>
        <w:tc>
          <w:tcPr>
            <w:tcW w:type="dxa" w:w="23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0.76 (0.65–0.90)</w:t>
            </w:r>
          </w:p>
        </w:tc>
        <w:tc>
          <w:tcPr>
            <w:tcW w:type="dxa" w:w="23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0.76 (0.64–0.90)</w:t>
            </w:r>
          </w:p>
        </w:tc>
      </w:tr>
      <w:tr>
        <w:tc>
          <w:tcPr>
            <w:tcW w:type="dxa" w:w="2400"/>
            <w:tcMar>
              <w:top w:type="dxa" w:w="40"/>
              <w:left w:type="dxa" w:w="60"/>
              <w:bottom w:type="dxa" w:w="40"/>
              <w:right w:type="dxa" w:w="60"/>
            </w:tcMar>
          </w:tcPr>
          <w:p>
            <w:pPr>
              <w:spacing w:after="0" w:line="230"/>
              <w:jc w:val="left"/>
            </w:pPr>
            <w:r>
              <w:rPr>
                <w:rFonts w:ascii="Calibri" w:cs="Calibri" w:eastAsia="Calibri" w:hAnsi="Calibri"/>
                <w:b w:val="false"/>
                <w:bCs w:val="false"/>
                <w:sz w:val="17"/>
                <w:szCs w:val="17"/>
              </w:rPr>
              <w:t xml:space="preserve">Vision</w:t>
            </w:r>
          </w:p>
        </w:tc>
        <w:tc>
          <w:tcPr>
            <w:tcW w:type="dxa" w:w="23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1.04 (0.94–1.15)</w:t>
            </w:r>
          </w:p>
        </w:tc>
        <w:tc>
          <w:tcPr>
            <w:tcW w:type="dxa" w:w="23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1.03 (0.94–1.14)</w:t>
            </w:r>
          </w:p>
        </w:tc>
      </w:tr>
      <w:tr>
        <w:tc>
          <w:tcPr>
            <w:tcW w:type="dxa" w:w="2400"/>
            <w:tcMar>
              <w:top w:type="dxa" w:w="40"/>
              <w:left w:type="dxa" w:w="60"/>
              <w:bottom w:type="dxa" w:w="40"/>
              <w:right w:type="dxa" w:w="60"/>
            </w:tcMar>
          </w:tcPr>
          <w:p>
            <w:pPr>
              <w:spacing w:after="0" w:line="230"/>
              <w:jc w:val="left"/>
            </w:pPr>
            <w:r>
              <w:rPr>
                <w:rFonts w:ascii="Calibri" w:cs="Calibri" w:eastAsia="Calibri" w:hAnsi="Calibri"/>
                <w:b w:val="false"/>
                <w:bCs w:val="false"/>
                <w:sz w:val="17"/>
                <w:szCs w:val="17"/>
              </w:rPr>
              <w:t xml:space="preserve">Hearing</w:t>
            </w:r>
          </w:p>
        </w:tc>
        <w:tc>
          <w:tcPr>
            <w:tcW w:type="dxa" w:w="23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0.81 (0.71–0.91)</w:t>
            </w:r>
          </w:p>
        </w:tc>
        <w:tc>
          <w:tcPr>
            <w:tcW w:type="dxa" w:w="23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0.80 (0.71–0.91)</w:t>
            </w:r>
          </w:p>
        </w:tc>
      </w:tr>
      <w:tr>
        <w:tc>
          <w:tcPr>
            <w:tcW w:type="dxa" w:w="2400"/>
            <w:tcMar>
              <w:top w:type="dxa" w:w="40"/>
              <w:left w:type="dxa" w:w="60"/>
              <w:bottom w:type="dxa" w:w="40"/>
              <w:right w:type="dxa" w:w="60"/>
            </w:tcMar>
          </w:tcPr>
          <w:p>
            <w:pPr>
              <w:spacing w:after="0" w:line="230"/>
              <w:jc w:val="left"/>
            </w:pPr>
            <w:r>
              <w:rPr>
                <w:rFonts w:ascii="Calibri" w:cs="Calibri" w:eastAsia="Calibri" w:hAnsi="Calibri"/>
                <w:b w:val="false"/>
                <w:bCs w:val="false"/>
                <w:sz w:val="17"/>
                <w:szCs w:val="17"/>
              </w:rPr>
              <w:t xml:space="preserve">Psychological</w:t>
            </w:r>
          </w:p>
        </w:tc>
        <w:tc>
          <w:tcPr>
            <w:tcW w:type="dxa" w:w="23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1.05 (0.86–1.28)</w:t>
            </w:r>
          </w:p>
        </w:tc>
        <w:tc>
          <w:tcPr>
            <w:tcW w:type="dxa" w:w="23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1.06 (0.86–1.29)</w:t>
            </w:r>
          </w:p>
        </w:tc>
      </w:tr>
    </w:tbl>
    <w:p>
      <w:pPr>
        <w:spacing w:after="110" w:line="275"/>
      </w:pPr>
      <w:r>
        <w:rPr>
          <w:rFonts w:ascii="Calibri" w:cs="Calibri" w:eastAsia="Calibri" w:hAnsi="Calibri"/>
          <w:i/>
          <w:iCs/>
          <w:sz w:val="17"/>
          <w:szCs w:val="17"/>
        </w:rPr>
        <w:t xml:space="preserve">Only the comorbidity estimate itself moves; no domain estimate changes. Comorbidity burden is probably underestimated by the primary count, and this is stated as a limitation.</w:t>
      </w:r>
    </w:p>
    <w:p>
      <w:pPr>
        <w:pStyle w:val="Heading2"/>
        <w:spacing w:after="80" w:before="180"/>
      </w:pPr>
      <w:r>
        <w:rPr>
          <w:rFonts w:ascii="Calibri" w:cs="Calibri" w:eastAsia="Calibri" w:hAnsi="Calibri"/>
          <w:b/>
          <w:bCs/>
          <w:color w:val="2E5E8C"/>
          <w:sz w:val="22"/>
          <w:szCs w:val="22"/>
        </w:rPr>
        <w:t xml:space="preserve">A4.6 Completers-only outcome: inverse-probability-of-completion weighting</w:t>
      </w:r>
    </w:p>
    <w:p>
      <w:pPr>
        <w:spacing w:after="80" w:line="275"/>
      </w:pPr>
      <w:r>
        <w:rPr>
          <w:rFonts w:ascii="Calibri" w:cs="Calibri" w:eastAsia="Calibri" w:hAnsi="Calibri"/>
          <w:sz w:val="19"/>
          <w:szCs w:val="19"/>
        </w:rPr>
        <w:t xml:space="preserve">Residual abnormality among linked completers is subject to selection into observed follow-up. Weights were the inverse of the predicted probability of completion from the primary model (range 2.21–6.13; stable).</w:t>
      </w:r>
    </w:p>
    <w:tbl>
      <w:tblPr>
        <w:tblW w:type="dxa" w:w="7000"/>
        <w:tblBorders>
          <w:top w:val="single" w:color="808080" w:sz="3"/>
          <w:left w:val="none"/>
          <w:bottom w:val="single" w:color="808080" w:sz="3"/>
          <w:right w:val="none"/>
          <w:insideH w:val="single" w:color="CCCCCC" w:sz="1"/>
          <w:insideV w:val="none"/>
        </w:tblBorders>
      </w:tblPr>
      <w:tblGrid>
        <w:gridCol w:w="2400"/>
        <w:gridCol w:w="2300"/>
        <w:gridCol w:w="2300"/>
      </w:tblGrid>
      <w:tr>
        <w:trPr>
          <w:tblHeader/>
          <w:tblHeader w:val="true"/>
        </w:trPr>
        <w:tc>
          <w:tcPr>
            <w:tcW w:type="dxa" w:w="2400"/>
            <w:shd w:fill="D9E2F3" w:val="clear"/>
            <w:tcMar>
              <w:top w:type="dxa" w:w="40"/>
              <w:left w:type="dxa" w:w="60"/>
              <w:bottom w:type="dxa" w:w="40"/>
              <w:right w:type="dxa" w:w="60"/>
            </w:tcMar>
          </w:tcPr>
          <w:p>
            <w:pPr>
              <w:spacing w:after="0" w:line="230"/>
              <w:jc w:val="left"/>
            </w:pPr>
            <w:r>
              <w:rPr>
                <w:rFonts w:ascii="Calibri" w:cs="Calibri" w:eastAsia="Calibri" w:hAnsi="Calibri"/>
                <w:b/>
                <w:bCs/>
                <w:sz w:val="17"/>
                <w:szCs w:val="17"/>
              </w:rPr>
              <w:t xml:space="preserve">Variable</w:t>
            </w:r>
          </w:p>
        </w:tc>
        <w:tc>
          <w:tcPr>
            <w:tcW w:type="dxa" w:w="2300"/>
            <w:shd w:fill="D9E2F3" w:val="clear"/>
            <w:tcMar>
              <w:top w:type="dxa" w:w="40"/>
              <w:left w:type="dxa" w:w="60"/>
              <w:bottom w:type="dxa" w:w="40"/>
              <w:right w:type="dxa" w:w="60"/>
            </w:tcMar>
          </w:tcPr>
          <w:p>
            <w:pPr>
              <w:spacing w:after="0" w:line="230"/>
              <w:jc w:val="center"/>
            </w:pPr>
            <w:r>
              <w:rPr>
                <w:rFonts w:ascii="Calibri" w:cs="Calibri" w:eastAsia="Calibri" w:hAnsi="Calibri"/>
                <w:b/>
                <w:bCs/>
                <w:sz w:val="17"/>
                <w:szCs w:val="17"/>
              </w:rPr>
              <w:t xml:space="preserve">Unweighted (95% CI)</w:t>
            </w:r>
          </w:p>
        </w:tc>
        <w:tc>
          <w:tcPr>
            <w:tcW w:type="dxa" w:w="2300"/>
            <w:shd w:fill="D9E2F3" w:val="clear"/>
            <w:tcMar>
              <w:top w:type="dxa" w:w="40"/>
              <w:left w:type="dxa" w:w="60"/>
              <w:bottom w:type="dxa" w:w="40"/>
              <w:right w:type="dxa" w:w="60"/>
            </w:tcMar>
          </w:tcPr>
          <w:p>
            <w:pPr>
              <w:spacing w:after="0" w:line="230"/>
              <w:jc w:val="center"/>
            </w:pPr>
            <w:r>
              <w:rPr>
                <w:rFonts w:ascii="Calibri" w:cs="Calibri" w:eastAsia="Calibri" w:hAnsi="Calibri"/>
                <w:b/>
                <w:bCs/>
                <w:sz w:val="17"/>
                <w:szCs w:val="17"/>
              </w:rPr>
              <w:t xml:space="preserve">IPW-weighted (95% CI)</w:t>
            </w:r>
          </w:p>
        </w:tc>
      </w:tr>
      <w:tr>
        <w:tc>
          <w:tcPr>
            <w:tcW w:type="dxa" w:w="2400"/>
            <w:tcMar>
              <w:top w:type="dxa" w:w="40"/>
              <w:left w:type="dxa" w:w="60"/>
              <w:bottom w:type="dxa" w:w="40"/>
              <w:right w:type="dxa" w:w="60"/>
            </w:tcMar>
          </w:tcPr>
          <w:p>
            <w:pPr>
              <w:spacing w:after="0" w:line="230"/>
              <w:jc w:val="left"/>
            </w:pPr>
            <w:r>
              <w:rPr>
                <w:rFonts w:ascii="Calibri" w:cs="Calibri" w:eastAsia="Calibri" w:hAnsi="Calibri"/>
                <w:b w:val="false"/>
                <w:bCs w:val="false"/>
                <w:sz w:val="17"/>
                <w:szCs w:val="17"/>
              </w:rPr>
              <w:t xml:space="preserve">Year 2024 v 2023</w:t>
            </w:r>
          </w:p>
        </w:tc>
        <w:tc>
          <w:tcPr>
            <w:tcW w:type="dxa" w:w="23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0.20 (0.15–0.28)</w:t>
            </w:r>
          </w:p>
        </w:tc>
        <w:tc>
          <w:tcPr>
            <w:tcW w:type="dxa" w:w="23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0.21 (0.16–0.29)</w:t>
            </w:r>
          </w:p>
        </w:tc>
      </w:tr>
      <w:tr>
        <w:tc>
          <w:tcPr>
            <w:tcW w:type="dxa" w:w="2400"/>
            <w:tcMar>
              <w:top w:type="dxa" w:w="40"/>
              <w:left w:type="dxa" w:w="60"/>
              <w:bottom w:type="dxa" w:w="40"/>
              <w:right w:type="dxa" w:w="60"/>
            </w:tcMar>
          </w:tcPr>
          <w:p>
            <w:pPr>
              <w:spacing w:after="0" w:line="230"/>
              <w:jc w:val="left"/>
            </w:pPr>
            <w:r>
              <w:rPr>
                <w:rFonts w:ascii="Calibri" w:cs="Calibri" w:eastAsia="Calibri" w:hAnsi="Calibri"/>
                <w:b w:val="false"/>
                <w:bCs w:val="false"/>
                <w:sz w:val="17"/>
                <w:szCs w:val="17"/>
              </w:rPr>
              <w:t xml:space="preserve">Year 2025 v 2023</w:t>
            </w:r>
          </w:p>
        </w:tc>
        <w:tc>
          <w:tcPr>
            <w:tcW w:type="dxa" w:w="23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0.23 (0.17–0.31)</w:t>
            </w:r>
          </w:p>
        </w:tc>
        <w:tc>
          <w:tcPr>
            <w:tcW w:type="dxa" w:w="23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0.24 (0.18–0.33)</w:t>
            </w:r>
          </w:p>
        </w:tc>
      </w:tr>
      <w:tr>
        <w:tc>
          <w:tcPr>
            <w:tcW w:type="dxa" w:w="2400"/>
            <w:tcMar>
              <w:top w:type="dxa" w:w="40"/>
              <w:left w:type="dxa" w:w="60"/>
              <w:bottom w:type="dxa" w:w="40"/>
              <w:right w:type="dxa" w:w="60"/>
            </w:tcMar>
          </w:tcPr>
          <w:p>
            <w:pPr>
              <w:spacing w:after="0" w:line="230"/>
              <w:jc w:val="left"/>
            </w:pPr>
            <w:r>
              <w:rPr>
                <w:rFonts w:ascii="Calibri" w:cs="Calibri" w:eastAsia="Calibri" w:hAnsi="Calibri"/>
                <w:b w:val="false"/>
                <w:bCs w:val="false"/>
                <w:sz w:val="17"/>
                <w:szCs w:val="17"/>
              </w:rPr>
              <w:t xml:space="preserve">Age, per 5 years</w:t>
            </w:r>
          </w:p>
        </w:tc>
        <w:tc>
          <w:tcPr>
            <w:tcW w:type="dxa" w:w="23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1.23 (1.13–1.33)</w:t>
            </w:r>
          </w:p>
        </w:tc>
        <w:tc>
          <w:tcPr>
            <w:tcW w:type="dxa" w:w="23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1.22 (1.12–1.32)</w:t>
            </w:r>
          </w:p>
        </w:tc>
      </w:tr>
      <w:tr>
        <w:tc>
          <w:tcPr>
            <w:tcW w:type="dxa" w:w="2400"/>
            <w:tcMar>
              <w:top w:type="dxa" w:w="40"/>
              <w:left w:type="dxa" w:w="60"/>
              <w:bottom w:type="dxa" w:w="40"/>
              <w:right w:type="dxa" w:w="60"/>
            </w:tcMar>
          </w:tcPr>
          <w:p>
            <w:pPr>
              <w:spacing w:after="0" w:line="230"/>
              <w:jc w:val="left"/>
            </w:pPr>
            <w:r>
              <w:rPr>
                <w:rFonts w:ascii="Calibri" w:cs="Calibri" w:eastAsia="Calibri" w:hAnsi="Calibri"/>
                <w:b w:val="false"/>
                <w:bCs w:val="false"/>
                <w:sz w:val="17"/>
                <w:szCs w:val="17"/>
              </w:rPr>
              <w:t xml:space="preserve">Women</w:t>
            </w:r>
          </w:p>
        </w:tc>
        <w:tc>
          <w:tcPr>
            <w:tcW w:type="dxa" w:w="23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1.08 (0.90–1.31)</w:t>
            </w:r>
          </w:p>
        </w:tc>
        <w:tc>
          <w:tcPr>
            <w:tcW w:type="dxa" w:w="23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1.07 (0.88–1.29)</w:t>
            </w:r>
          </w:p>
        </w:tc>
      </w:tr>
      <w:tr>
        <w:tc>
          <w:tcPr>
            <w:tcW w:type="dxa" w:w="2400"/>
            <w:tcMar>
              <w:top w:type="dxa" w:w="40"/>
              <w:left w:type="dxa" w:w="60"/>
              <w:bottom w:type="dxa" w:w="40"/>
              <w:right w:type="dxa" w:w="60"/>
            </w:tcMar>
          </w:tcPr>
          <w:p>
            <w:pPr>
              <w:spacing w:after="0" w:line="230"/>
              <w:jc w:val="left"/>
            </w:pPr>
            <w:r>
              <w:rPr>
                <w:rFonts w:ascii="Calibri" w:cs="Calibri" w:eastAsia="Calibri" w:hAnsi="Calibri"/>
                <w:b w:val="false"/>
                <w:bCs w:val="false"/>
                <w:sz w:val="17"/>
                <w:szCs w:val="17"/>
              </w:rPr>
              <w:t xml:space="preserve">Chronic conditions, per condition</w:t>
            </w:r>
          </w:p>
        </w:tc>
        <w:tc>
          <w:tcPr>
            <w:tcW w:type="dxa" w:w="23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1.17 (1.08–1.27)</w:t>
            </w:r>
          </w:p>
        </w:tc>
        <w:tc>
          <w:tcPr>
            <w:tcW w:type="dxa" w:w="23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1.18 (1.09–1.29)</w:t>
            </w:r>
          </w:p>
        </w:tc>
      </w:tr>
      <w:tr>
        <w:tc>
          <w:tcPr>
            <w:tcW w:type="dxa" w:w="2400"/>
            <w:tcMar>
              <w:top w:type="dxa" w:w="40"/>
              <w:left w:type="dxa" w:w="60"/>
              <w:bottom w:type="dxa" w:w="40"/>
              <w:right w:type="dxa" w:w="60"/>
            </w:tcMar>
          </w:tcPr>
          <w:p>
            <w:pPr>
              <w:spacing w:after="0" w:line="230"/>
              <w:jc w:val="left"/>
            </w:pPr>
            <w:r>
              <w:rPr>
                <w:rFonts w:ascii="Calibri" w:cs="Calibri" w:eastAsia="Calibri" w:hAnsi="Calibri"/>
                <w:b w:val="false"/>
                <w:bCs w:val="false"/>
                <w:sz w:val="17"/>
                <w:szCs w:val="17"/>
              </w:rPr>
              <w:t xml:space="preserve">Cognition</w:t>
            </w:r>
          </w:p>
        </w:tc>
        <w:tc>
          <w:tcPr>
            <w:tcW w:type="dxa" w:w="23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1.21 (0.98–1.48)</w:t>
            </w:r>
          </w:p>
        </w:tc>
        <w:tc>
          <w:tcPr>
            <w:tcW w:type="dxa" w:w="23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1.20 (0.98–1.48)</w:t>
            </w:r>
          </w:p>
        </w:tc>
      </w:tr>
      <w:tr>
        <w:tc>
          <w:tcPr>
            <w:tcW w:type="dxa" w:w="2400"/>
            <w:tcMar>
              <w:top w:type="dxa" w:w="40"/>
              <w:left w:type="dxa" w:w="60"/>
              <w:bottom w:type="dxa" w:w="40"/>
              <w:right w:type="dxa" w:w="60"/>
            </w:tcMar>
          </w:tcPr>
          <w:p>
            <w:pPr>
              <w:spacing w:after="0" w:line="230"/>
              <w:jc w:val="left"/>
            </w:pPr>
            <w:r>
              <w:rPr>
                <w:rFonts w:ascii="Calibri" w:cs="Calibri" w:eastAsia="Calibri" w:hAnsi="Calibri"/>
                <w:b w:val="false"/>
                <w:bCs w:val="false"/>
                <w:sz w:val="17"/>
                <w:szCs w:val="17"/>
              </w:rPr>
              <w:t xml:space="preserve">Locomotion</w:t>
            </w:r>
          </w:p>
        </w:tc>
        <w:tc>
          <w:tcPr>
            <w:tcW w:type="dxa" w:w="23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2.50 (2.05–3.06)</w:t>
            </w:r>
          </w:p>
        </w:tc>
        <w:tc>
          <w:tcPr>
            <w:tcW w:type="dxa" w:w="23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2.55 (2.07–3.15)</w:t>
            </w:r>
          </w:p>
        </w:tc>
      </w:tr>
      <w:tr>
        <w:tc>
          <w:tcPr>
            <w:tcW w:type="dxa" w:w="2400"/>
            <w:tcMar>
              <w:top w:type="dxa" w:w="40"/>
              <w:left w:type="dxa" w:w="60"/>
              <w:bottom w:type="dxa" w:w="40"/>
              <w:right w:type="dxa" w:w="60"/>
            </w:tcMar>
          </w:tcPr>
          <w:p>
            <w:pPr>
              <w:spacing w:after="0" w:line="230"/>
              <w:jc w:val="left"/>
            </w:pPr>
            <w:r>
              <w:rPr>
                <w:rFonts w:ascii="Calibri" w:cs="Calibri" w:eastAsia="Calibri" w:hAnsi="Calibri"/>
                <w:b w:val="false"/>
                <w:bCs w:val="false"/>
                <w:sz w:val="17"/>
                <w:szCs w:val="17"/>
              </w:rPr>
              <w:t xml:space="preserve">Vitality/nutrition</w:t>
            </w:r>
          </w:p>
        </w:tc>
        <w:tc>
          <w:tcPr>
            <w:tcW w:type="dxa" w:w="23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1.17 (0.85–1.63)</w:t>
            </w:r>
          </w:p>
        </w:tc>
        <w:tc>
          <w:tcPr>
            <w:tcW w:type="dxa" w:w="23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1.21 (0.87–1.67)</w:t>
            </w:r>
          </w:p>
        </w:tc>
      </w:tr>
      <w:tr>
        <w:tc>
          <w:tcPr>
            <w:tcW w:type="dxa" w:w="2400"/>
            <w:tcMar>
              <w:top w:type="dxa" w:w="40"/>
              <w:left w:type="dxa" w:w="60"/>
              <w:bottom w:type="dxa" w:w="40"/>
              <w:right w:type="dxa" w:w="60"/>
            </w:tcMar>
          </w:tcPr>
          <w:p>
            <w:pPr>
              <w:spacing w:after="0" w:line="230"/>
              <w:jc w:val="left"/>
            </w:pPr>
            <w:r>
              <w:rPr>
                <w:rFonts w:ascii="Calibri" w:cs="Calibri" w:eastAsia="Calibri" w:hAnsi="Calibri"/>
                <w:b w:val="false"/>
                <w:bCs w:val="false"/>
                <w:sz w:val="17"/>
                <w:szCs w:val="17"/>
              </w:rPr>
              <w:t xml:space="preserve">Vision</w:t>
            </w:r>
          </w:p>
        </w:tc>
        <w:tc>
          <w:tcPr>
            <w:tcW w:type="dxa" w:w="23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1.06 (0.87–1.29)</w:t>
            </w:r>
          </w:p>
        </w:tc>
        <w:tc>
          <w:tcPr>
            <w:tcW w:type="dxa" w:w="23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1.02 (0.83–1.25)</w:t>
            </w:r>
          </w:p>
        </w:tc>
      </w:tr>
      <w:tr>
        <w:tc>
          <w:tcPr>
            <w:tcW w:type="dxa" w:w="2400"/>
            <w:tcMar>
              <w:top w:type="dxa" w:w="40"/>
              <w:left w:type="dxa" w:w="60"/>
              <w:bottom w:type="dxa" w:w="40"/>
              <w:right w:type="dxa" w:w="60"/>
            </w:tcMar>
          </w:tcPr>
          <w:p>
            <w:pPr>
              <w:spacing w:after="0" w:line="230"/>
              <w:jc w:val="left"/>
            </w:pPr>
            <w:r>
              <w:rPr>
                <w:rFonts w:ascii="Calibri" w:cs="Calibri" w:eastAsia="Calibri" w:hAnsi="Calibri"/>
                <w:b w:val="false"/>
                <w:bCs w:val="false"/>
                <w:sz w:val="17"/>
                <w:szCs w:val="17"/>
              </w:rPr>
              <w:t xml:space="preserve">Hearing</w:t>
            </w:r>
          </w:p>
        </w:tc>
        <w:tc>
          <w:tcPr>
            <w:tcW w:type="dxa" w:w="23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1.13 (0.88–1.46)</w:t>
            </w:r>
          </w:p>
        </w:tc>
        <w:tc>
          <w:tcPr>
            <w:tcW w:type="dxa" w:w="23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1.14 (0.89–1.46)</w:t>
            </w:r>
          </w:p>
        </w:tc>
      </w:tr>
      <w:tr>
        <w:tc>
          <w:tcPr>
            <w:tcW w:type="dxa" w:w="2400"/>
            <w:tcMar>
              <w:top w:type="dxa" w:w="40"/>
              <w:left w:type="dxa" w:w="60"/>
              <w:bottom w:type="dxa" w:w="40"/>
              <w:right w:type="dxa" w:w="60"/>
            </w:tcMar>
          </w:tcPr>
          <w:p>
            <w:pPr>
              <w:spacing w:after="0" w:line="230"/>
              <w:jc w:val="left"/>
            </w:pPr>
            <w:r>
              <w:rPr>
                <w:rFonts w:ascii="Calibri" w:cs="Calibri" w:eastAsia="Calibri" w:hAnsi="Calibri"/>
                <w:b w:val="false"/>
                <w:bCs w:val="false"/>
                <w:sz w:val="17"/>
                <w:szCs w:val="17"/>
              </w:rPr>
              <w:t xml:space="preserve">Psychological</w:t>
            </w:r>
          </w:p>
        </w:tc>
        <w:tc>
          <w:tcPr>
            <w:tcW w:type="dxa" w:w="23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1.06 (0.70–1.59)</w:t>
            </w:r>
          </w:p>
        </w:tc>
        <w:tc>
          <w:tcPr>
            <w:tcW w:type="dxa" w:w="23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0.93 (0.60–1.42)</w:t>
            </w:r>
          </w:p>
        </w:tc>
      </w:tr>
    </w:tbl>
    <w:p>
      <w:pPr>
        <w:spacing w:after="110" w:line="275"/>
      </w:pPr>
      <w:r>
        <w:rPr>
          <w:rFonts w:ascii="Calibri" w:cs="Calibri" w:eastAsia="Calibri" w:hAnsi="Calibri"/>
          <w:i/>
          <w:iCs/>
          <w:sz w:val="17"/>
          <w:szCs w:val="17"/>
        </w:rPr>
        <w:t xml:space="preserve">Estimates are essentially unchanged (locomotion 2.50 unweighted versus 2.55 weighted). Restricting the completer analysis to the 2 343 completers with an abnormal baseline screen also leaves conclusions unchanged (locomotion 2.50, 2.05–3.06; cognition 1.21, 0.98–1.48). These analyses remain descriptive: weighting can only adjust for measured determinants of completion, and the c-statistic of 0.55 indicates that the measured variables explain very little of it.</w:t>
      </w:r>
    </w:p>
    <w:p>
      <w:pPr>
        <w:pStyle w:val="Heading2"/>
        <w:spacing w:after="80" w:before="180"/>
      </w:pPr>
      <w:r>
        <w:rPr>
          <w:rFonts w:ascii="Calibri" w:cs="Calibri" w:eastAsia="Calibri" w:hAnsi="Calibri"/>
          <w:b/>
          <w:bCs/>
          <w:color w:val="2E5E8C"/>
          <w:sz w:val="22"/>
          <w:szCs w:val="22"/>
        </w:rPr>
        <w:t xml:space="preserve">A4.7 Ten most frequent exact baseline profiles (all years pooled, n = 11 827)</w:t>
      </w:r>
    </w:p>
    <w:tbl>
      <w:tblPr>
        <w:tblW w:type="dxa" w:w="7000"/>
        <w:tblBorders>
          <w:top w:val="single" w:color="808080" w:sz="3"/>
          <w:left w:val="none"/>
          <w:bottom w:val="single" w:color="808080" w:sz="3"/>
          <w:right w:val="none"/>
          <w:insideH w:val="single" w:color="CCCCCC" w:sz="1"/>
          <w:insideV w:val="none"/>
        </w:tblBorders>
      </w:tblPr>
      <w:tblGrid>
        <w:gridCol w:w="800"/>
        <w:gridCol w:w="4200"/>
        <w:gridCol w:w="2000"/>
      </w:tblGrid>
      <w:tr>
        <w:trPr>
          <w:tblHeader/>
          <w:tblHeader w:val="true"/>
        </w:trPr>
        <w:tc>
          <w:tcPr>
            <w:tcW w:type="dxa" w:w="800"/>
            <w:shd w:fill="D9E2F3" w:val="clear"/>
            <w:tcMar>
              <w:top w:type="dxa" w:w="40"/>
              <w:left w:type="dxa" w:w="60"/>
              <w:bottom w:type="dxa" w:w="40"/>
              <w:right w:type="dxa" w:w="60"/>
            </w:tcMar>
          </w:tcPr>
          <w:p>
            <w:pPr>
              <w:spacing w:after="0" w:line="230"/>
              <w:jc w:val="left"/>
            </w:pPr>
            <w:r>
              <w:rPr>
                <w:rFonts w:ascii="Calibri" w:cs="Calibri" w:eastAsia="Calibri" w:hAnsi="Calibri"/>
                <w:b/>
                <w:bCs/>
                <w:sz w:val="17"/>
                <w:szCs w:val="17"/>
              </w:rPr>
              <w:t xml:space="preserve">Rank</w:t>
            </w:r>
          </w:p>
        </w:tc>
        <w:tc>
          <w:tcPr>
            <w:tcW w:type="dxa" w:w="4200"/>
            <w:shd w:fill="D9E2F3" w:val="clear"/>
            <w:tcMar>
              <w:top w:type="dxa" w:w="40"/>
              <w:left w:type="dxa" w:w="60"/>
              <w:bottom w:type="dxa" w:w="40"/>
              <w:right w:type="dxa" w:w="60"/>
            </w:tcMar>
          </w:tcPr>
          <w:p>
            <w:pPr>
              <w:spacing w:after="0" w:line="230"/>
              <w:jc w:val="center"/>
            </w:pPr>
            <w:r>
              <w:rPr>
                <w:rFonts w:ascii="Calibri" w:cs="Calibri" w:eastAsia="Calibri" w:hAnsi="Calibri"/>
                <w:b/>
                <w:bCs/>
                <w:sz w:val="17"/>
                <w:szCs w:val="17"/>
              </w:rPr>
              <w:t xml:space="preserve">Exact profile</w:t>
            </w:r>
          </w:p>
        </w:tc>
        <w:tc>
          <w:tcPr>
            <w:tcW w:type="dxa" w:w="2000"/>
            <w:shd w:fill="D9E2F3" w:val="clear"/>
            <w:tcMar>
              <w:top w:type="dxa" w:w="40"/>
              <w:left w:type="dxa" w:w="60"/>
              <w:bottom w:type="dxa" w:w="40"/>
              <w:right w:type="dxa" w:w="60"/>
            </w:tcMar>
          </w:tcPr>
          <w:p>
            <w:pPr>
              <w:spacing w:after="0" w:line="230"/>
              <w:jc w:val="center"/>
            </w:pPr>
            <w:r>
              <w:rPr>
                <w:rFonts w:ascii="Calibri" w:cs="Calibri" w:eastAsia="Calibri" w:hAnsi="Calibri"/>
                <w:b/>
                <w:bCs/>
                <w:sz w:val="17"/>
                <w:szCs w:val="17"/>
              </w:rPr>
              <w:t xml:space="preserve">n (%)</w:t>
            </w:r>
          </w:p>
        </w:tc>
      </w:tr>
      <w:tr>
        <w:tc>
          <w:tcPr>
            <w:tcW w:type="dxa" w:w="800"/>
            <w:tcMar>
              <w:top w:type="dxa" w:w="40"/>
              <w:left w:type="dxa" w:w="60"/>
              <w:bottom w:type="dxa" w:w="40"/>
              <w:right w:type="dxa" w:w="60"/>
            </w:tcMar>
          </w:tcPr>
          <w:p>
            <w:pPr>
              <w:spacing w:after="0" w:line="230"/>
              <w:jc w:val="left"/>
            </w:pPr>
            <w:r>
              <w:rPr>
                <w:rFonts w:ascii="Calibri" w:cs="Calibri" w:eastAsia="Calibri" w:hAnsi="Calibri"/>
                <w:b w:val="false"/>
                <w:bCs w:val="false"/>
                <w:sz w:val="17"/>
                <w:szCs w:val="17"/>
              </w:rPr>
              <w:t xml:space="preserve">1</w:t>
            </w:r>
          </w:p>
        </w:tc>
        <w:tc>
          <w:tcPr>
            <w:tcW w:type="dxa" w:w="42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No core-domain abnormality</w:t>
            </w:r>
          </w:p>
        </w:tc>
        <w:tc>
          <w:tcPr>
            <w:tcW w:type="dxa" w:w="20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2 310 (19.5)</w:t>
            </w:r>
          </w:p>
        </w:tc>
      </w:tr>
      <w:tr>
        <w:tc>
          <w:tcPr>
            <w:tcW w:type="dxa" w:w="800"/>
            <w:tcMar>
              <w:top w:type="dxa" w:w="40"/>
              <w:left w:type="dxa" w:w="60"/>
              <w:bottom w:type="dxa" w:w="40"/>
              <w:right w:type="dxa" w:w="60"/>
            </w:tcMar>
          </w:tcPr>
          <w:p>
            <w:pPr>
              <w:spacing w:after="0" w:line="230"/>
              <w:jc w:val="left"/>
            </w:pPr>
            <w:r>
              <w:rPr>
                <w:rFonts w:ascii="Calibri" w:cs="Calibri" w:eastAsia="Calibri" w:hAnsi="Calibri"/>
                <w:b w:val="false"/>
                <w:bCs w:val="false"/>
                <w:sz w:val="17"/>
                <w:szCs w:val="17"/>
              </w:rPr>
              <w:t xml:space="preserve">2</w:t>
            </w:r>
          </w:p>
        </w:tc>
        <w:tc>
          <w:tcPr>
            <w:tcW w:type="dxa" w:w="42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Cognition only</w:t>
            </w:r>
          </w:p>
        </w:tc>
        <w:tc>
          <w:tcPr>
            <w:tcW w:type="dxa" w:w="20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1 753 (14.8)</w:t>
            </w:r>
          </w:p>
        </w:tc>
      </w:tr>
      <w:tr>
        <w:tc>
          <w:tcPr>
            <w:tcW w:type="dxa" w:w="800"/>
            <w:tcMar>
              <w:top w:type="dxa" w:w="40"/>
              <w:left w:type="dxa" w:w="60"/>
              <w:bottom w:type="dxa" w:w="40"/>
              <w:right w:type="dxa" w:w="60"/>
            </w:tcMar>
          </w:tcPr>
          <w:p>
            <w:pPr>
              <w:spacing w:after="0" w:line="230"/>
              <w:jc w:val="left"/>
            </w:pPr>
            <w:r>
              <w:rPr>
                <w:rFonts w:ascii="Calibri" w:cs="Calibri" w:eastAsia="Calibri" w:hAnsi="Calibri"/>
                <w:b w:val="false"/>
                <w:bCs w:val="false"/>
                <w:sz w:val="17"/>
                <w:szCs w:val="17"/>
              </w:rPr>
              <w:t xml:space="preserve">3</w:t>
            </w:r>
          </w:p>
        </w:tc>
        <w:tc>
          <w:tcPr>
            <w:tcW w:type="dxa" w:w="42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Cognition + locomotion</w:t>
            </w:r>
          </w:p>
        </w:tc>
        <w:tc>
          <w:tcPr>
            <w:tcW w:type="dxa" w:w="20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1 638 (13.8)</w:t>
            </w:r>
          </w:p>
        </w:tc>
      </w:tr>
      <w:tr>
        <w:tc>
          <w:tcPr>
            <w:tcW w:type="dxa" w:w="800"/>
            <w:tcMar>
              <w:top w:type="dxa" w:w="40"/>
              <w:left w:type="dxa" w:w="60"/>
              <w:bottom w:type="dxa" w:w="40"/>
              <w:right w:type="dxa" w:w="60"/>
            </w:tcMar>
          </w:tcPr>
          <w:p>
            <w:pPr>
              <w:spacing w:after="0" w:line="230"/>
              <w:jc w:val="left"/>
            </w:pPr>
            <w:r>
              <w:rPr>
                <w:rFonts w:ascii="Calibri" w:cs="Calibri" w:eastAsia="Calibri" w:hAnsi="Calibri"/>
                <w:b w:val="false"/>
                <w:bCs w:val="false"/>
                <w:sz w:val="17"/>
                <w:szCs w:val="17"/>
              </w:rPr>
              <w:t xml:space="preserve">4</w:t>
            </w:r>
          </w:p>
        </w:tc>
        <w:tc>
          <w:tcPr>
            <w:tcW w:type="dxa" w:w="42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Locomotion only</w:t>
            </w:r>
          </w:p>
        </w:tc>
        <w:tc>
          <w:tcPr>
            <w:tcW w:type="dxa" w:w="20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1 195 (10.1)</w:t>
            </w:r>
          </w:p>
        </w:tc>
      </w:tr>
      <w:tr>
        <w:tc>
          <w:tcPr>
            <w:tcW w:type="dxa" w:w="800"/>
            <w:tcMar>
              <w:top w:type="dxa" w:w="40"/>
              <w:left w:type="dxa" w:w="60"/>
              <w:bottom w:type="dxa" w:w="40"/>
              <w:right w:type="dxa" w:w="60"/>
            </w:tcMar>
          </w:tcPr>
          <w:p>
            <w:pPr>
              <w:spacing w:after="0" w:line="230"/>
              <w:jc w:val="left"/>
            </w:pPr>
            <w:r>
              <w:rPr>
                <w:rFonts w:ascii="Calibri" w:cs="Calibri" w:eastAsia="Calibri" w:hAnsi="Calibri"/>
                <w:b w:val="false"/>
                <w:bCs w:val="false"/>
                <w:sz w:val="17"/>
                <w:szCs w:val="17"/>
              </w:rPr>
              <w:t xml:space="preserve">5</w:t>
            </w:r>
          </w:p>
        </w:tc>
        <w:tc>
          <w:tcPr>
            <w:tcW w:type="dxa" w:w="42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Vision only</w:t>
            </w:r>
          </w:p>
        </w:tc>
        <w:tc>
          <w:tcPr>
            <w:tcW w:type="dxa" w:w="20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825 (7.0)</w:t>
            </w:r>
          </w:p>
        </w:tc>
      </w:tr>
      <w:tr>
        <w:tc>
          <w:tcPr>
            <w:tcW w:type="dxa" w:w="800"/>
            <w:tcMar>
              <w:top w:type="dxa" w:w="40"/>
              <w:left w:type="dxa" w:w="60"/>
              <w:bottom w:type="dxa" w:w="40"/>
              <w:right w:type="dxa" w:w="60"/>
            </w:tcMar>
          </w:tcPr>
          <w:p>
            <w:pPr>
              <w:spacing w:after="0" w:line="230"/>
              <w:jc w:val="left"/>
            </w:pPr>
            <w:r>
              <w:rPr>
                <w:rFonts w:ascii="Calibri" w:cs="Calibri" w:eastAsia="Calibri" w:hAnsi="Calibri"/>
                <w:b w:val="false"/>
                <w:bCs w:val="false"/>
                <w:sz w:val="17"/>
                <w:szCs w:val="17"/>
              </w:rPr>
              <w:t xml:space="preserve">6</w:t>
            </w:r>
          </w:p>
        </w:tc>
        <w:tc>
          <w:tcPr>
            <w:tcW w:type="dxa" w:w="42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Cognition + locomotion + vision</w:t>
            </w:r>
          </w:p>
        </w:tc>
        <w:tc>
          <w:tcPr>
            <w:tcW w:type="dxa" w:w="20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789 (6.7)</w:t>
            </w:r>
          </w:p>
        </w:tc>
      </w:tr>
      <w:tr>
        <w:tc>
          <w:tcPr>
            <w:tcW w:type="dxa" w:w="800"/>
            <w:tcMar>
              <w:top w:type="dxa" w:w="40"/>
              <w:left w:type="dxa" w:w="60"/>
              <w:bottom w:type="dxa" w:w="40"/>
              <w:right w:type="dxa" w:w="60"/>
            </w:tcMar>
          </w:tcPr>
          <w:p>
            <w:pPr>
              <w:spacing w:after="0" w:line="230"/>
              <w:jc w:val="left"/>
            </w:pPr>
            <w:r>
              <w:rPr>
                <w:rFonts w:ascii="Calibri" w:cs="Calibri" w:eastAsia="Calibri" w:hAnsi="Calibri"/>
                <w:b w:val="false"/>
                <w:bCs w:val="false"/>
                <w:sz w:val="17"/>
                <w:szCs w:val="17"/>
              </w:rPr>
              <w:t xml:space="preserve">7</w:t>
            </w:r>
          </w:p>
        </w:tc>
        <w:tc>
          <w:tcPr>
            <w:tcW w:type="dxa" w:w="42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Cognition + vision</w:t>
            </w:r>
          </w:p>
        </w:tc>
        <w:tc>
          <w:tcPr>
            <w:tcW w:type="dxa" w:w="20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599 (5.1)</w:t>
            </w:r>
          </w:p>
        </w:tc>
      </w:tr>
      <w:tr>
        <w:tc>
          <w:tcPr>
            <w:tcW w:type="dxa" w:w="800"/>
            <w:tcMar>
              <w:top w:type="dxa" w:w="40"/>
              <w:left w:type="dxa" w:w="60"/>
              <w:bottom w:type="dxa" w:w="40"/>
              <w:right w:type="dxa" w:w="60"/>
            </w:tcMar>
          </w:tcPr>
          <w:p>
            <w:pPr>
              <w:spacing w:after="0" w:line="230"/>
              <w:jc w:val="left"/>
            </w:pPr>
            <w:r>
              <w:rPr>
                <w:rFonts w:ascii="Calibri" w:cs="Calibri" w:eastAsia="Calibri" w:hAnsi="Calibri"/>
                <w:b w:val="false"/>
                <w:bCs w:val="false"/>
                <w:sz w:val="17"/>
                <w:szCs w:val="17"/>
              </w:rPr>
              <w:t xml:space="preserve">8</w:t>
            </w:r>
          </w:p>
        </w:tc>
        <w:tc>
          <w:tcPr>
            <w:tcW w:type="dxa" w:w="42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Locomotion + vision</w:t>
            </w:r>
          </w:p>
        </w:tc>
        <w:tc>
          <w:tcPr>
            <w:tcW w:type="dxa" w:w="20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274 (2.3)</w:t>
            </w:r>
          </w:p>
        </w:tc>
      </w:tr>
      <w:tr>
        <w:tc>
          <w:tcPr>
            <w:tcW w:type="dxa" w:w="800"/>
            <w:tcMar>
              <w:top w:type="dxa" w:w="40"/>
              <w:left w:type="dxa" w:w="60"/>
              <w:bottom w:type="dxa" w:w="40"/>
              <w:right w:type="dxa" w:w="60"/>
            </w:tcMar>
          </w:tcPr>
          <w:p>
            <w:pPr>
              <w:spacing w:after="0" w:line="230"/>
              <w:jc w:val="left"/>
            </w:pPr>
            <w:r>
              <w:rPr>
                <w:rFonts w:ascii="Calibri" w:cs="Calibri" w:eastAsia="Calibri" w:hAnsi="Calibri"/>
                <w:b w:val="false"/>
                <w:bCs w:val="false"/>
                <w:sz w:val="17"/>
                <w:szCs w:val="17"/>
              </w:rPr>
              <w:t xml:space="preserve">9</w:t>
            </w:r>
          </w:p>
        </w:tc>
        <w:tc>
          <w:tcPr>
            <w:tcW w:type="dxa" w:w="42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Hearing only</w:t>
            </w:r>
          </w:p>
        </w:tc>
        <w:tc>
          <w:tcPr>
            <w:tcW w:type="dxa" w:w="20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246 (2.1)</w:t>
            </w:r>
          </w:p>
        </w:tc>
      </w:tr>
      <w:tr>
        <w:tc>
          <w:tcPr>
            <w:tcW w:type="dxa" w:w="800"/>
            <w:tcMar>
              <w:top w:type="dxa" w:w="40"/>
              <w:left w:type="dxa" w:w="60"/>
              <w:bottom w:type="dxa" w:w="40"/>
              <w:right w:type="dxa" w:w="60"/>
            </w:tcMar>
          </w:tcPr>
          <w:p>
            <w:pPr>
              <w:spacing w:after="0" w:line="230"/>
              <w:jc w:val="left"/>
            </w:pPr>
            <w:r>
              <w:rPr>
                <w:rFonts w:ascii="Calibri" w:cs="Calibri" w:eastAsia="Calibri" w:hAnsi="Calibri"/>
                <w:b w:val="false"/>
                <w:bCs w:val="false"/>
                <w:sz w:val="17"/>
                <w:szCs w:val="17"/>
              </w:rPr>
              <w:t xml:space="preserve">10</w:t>
            </w:r>
          </w:p>
        </w:tc>
        <w:tc>
          <w:tcPr>
            <w:tcW w:type="dxa" w:w="42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Cognition + locomotion + vision + hearing</w:t>
            </w:r>
          </w:p>
        </w:tc>
        <w:tc>
          <w:tcPr>
            <w:tcW w:type="dxa" w:w="2000"/>
            <w:tcMar>
              <w:top w:type="dxa" w:w="40"/>
              <w:left w:type="dxa" w:w="60"/>
              <w:bottom w:type="dxa" w:w="40"/>
              <w:right w:type="dxa" w:w="60"/>
            </w:tcMar>
          </w:tcPr>
          <w:p>
            <w:pPr>
              <w:spacing w:after="0" w:line="230"/>
              <w:jc w:val="center"/>
            </w:pPr>
            <w:r>
              <w:rPr>
                <w:rFonts w:ascii="Calibri" w:cs="Calibri" w:eastAsia="Calibri" w:hAnsi="Calibri"/>
                <w:b w:val="false"/>
                <w:bCs w:val="false"/>
                <w:sz w:val="17"/>
                <w:szCs w:val="17"/>
              </w:rPr>
              <w:t xml:space="preserve">240 (2.0)</w:t>
            </w:r>
          </w:p>
        </w:tc>
      </w:tr>
    </w:tbl>
    <w:p>
      <w:pPr>
        <w:pStyle w:val="Heading2"/>
        <w:spacing w:after="80" w:before="180"/>
      </w:pPr>
      <w:r>
        <w:rPr>
          <w:rFonts w:ascii="Calibri" w:cs="Calibri" w:eastAsia="Calibri" w:hAnsi="Calibri"/>
          <w:b/>
          <w:bCs/>
          <w:color w:val="2E5E8C"/>
          <w:sz w:val="22"/>
          <w:szCs w:val="22"/>
        </w:rPr>
        <w:t xml:space="preserve">A4.8 Summary</w:t>
      </w:r>
    </w:p>
    <w:p>
      <w:pPr>
        <w:spacing w:after="110" w:line="275"/>
      </w:pPr>
      <w:r>
        <w:rPr>
          <w:rFonts w:ascii="Calibri" w:cs="Calibri" w:eastAsia="Calibri" w:hAnsi="Calibri"/>
          <w:sz w:val="19"/>
          <w:szCs w:val="19"/>
        </w:rPr>
        <w:t>No sensitivity analysis materially altered the direction or interpretation of any domain estimate. The two findings that were stable across specifications were the size of the attrition gap (75.4%; 76.7%, 72.8% and 76.6% by year) and the near-null discrimination of baseline profiles (c=0.550 versus 0.523 for year alone).</w:t>
      </w:r>
    </w:p>
    <w:sectPr>
      <w:pgSz w:w="11906" w:h="16838" w:orient="landscape"/>
      <w:pgMar w:top="1000" w:right="1000" w:bottom="10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2026-07-17T21:49:56.323Z</dcterms:created>
  <dcterms:modified xsi:type="dcterms:W3CDTF">2026-07-17T21:49:56.323Z</dcterms:modified>
</cp:coreProperties>
</file>

<file path=docProps/custom.xml><?xml version="1.0" encoding="utf-8"?>
<Properties xmlns="http://schemas.openxmlformats.org/officeDocument/2006/custom-properties" xmlns:vt="http://schemas.openxmlformats.org/officeDocument/2006/docPropsVTypes"/>
</file>