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4E13FA" w14:textId="77777777" w:rsidR="0099783A" w:rsidRPr="005F0D9B" w:rsidRDefault="0099783A" w:rsidP="0099783A">
      <w:pPr>
        <w:keepNext/>
        <w:spacing w:line="480" w:lineRule="auto"/>
        <w:outlineLvl w:val="0"/>
        <w:rPr>
          <w:b/>
          <w:sz w:val="24"/>
        </w:rPr>
      </w:pPr>
      <w:r>
        <w:rPr>
          <w:rFonts w:hint="eastAsia"/>
          <w:b/>
          <w:sz w:val="24"/>
        </w:rPr>
        <w:t>TABLE</w:t>
      </w:r>
      <w:r>
        <w:rPr>
          <w:b/>
          <w:sz w:val="24"/>
        </w:rPr>
        <w:t xml:space="preserve"> LEGENDS</w:t>
      </w:r>
    </w:p>
    <w:p w14:paraId="6C611DA8" w14:textId="77777777" w:rsidR="0099783A" w:rsidRDefault="0099783A" w:rsidP="0099783A">
      <w:pPr>
        <w:spacing w:line="360" w:lineRule="auto"/>
        <w:rPr>
          <w:sz w:val="24"/>
        </w:rPr>
      </w:pPr>
    </w:p>
    <w:p w14:paraId="64BBACF1" w14:textId="77777777" w:rsidR="0099783A" w:rsidRPr="00676489" w:rsidRDefault="0099783A" w:rsidP="0099783A">
      <w:pPr>
        <w:spacing w:line="360" w:lineRule="auto"/>
        <w:rPr>
          <w:sz w:val="24"/>
        </w:rPr>
      </w:pPr>
      <w:bookmarkStart w:id="0" w:name="OLE_LINK5"/>
      <w:bookmarkStart w:id="1" w:name="OLE_LINK6"/>
      <w:r>
        <w:rPr>
          <w:sz w:val="24"/>
        </w:rPr>
        <w:t>Table 1. Baseline characteristics of patients in the propensity score-matched cohort.</w:t>
      </w:r>
    </w:p>
    <w:p w14:paraId="0EE67D95" w14:textId="77777777" w:rsidR="0099783A" w:rsidRPr="00676489" w:rsidRDefault="0099783A" w:rsidP="0099783A">
      <w:pPr>
        <w:spacing w:line="360" w:lineRule="auto"/>
        <w:rPr>
          <w:sz w:val="24"/>
        </w:rPr>
      </w:pPr>
    </w:p>
    <w:p w14:paraId="3B6C836A" w14:textId="77777777" w:rsidR="0099783A" w:rsidRPr="00676489" w:rsidRDefault="0099783A" w:rsidP="0099783A">
      <w:pPr>
        <w:spacing w:line="360" w:lineRule="auto"/>
        <w:rPr>
          <w:sz w:val="24"/>
        </w:rPr>
      </w:pPr>
      <w:r>
        <w:rPr>
          <w:sz w:val="24"/>
        </w:rPr>
        <w:t xml:space="preserve">Data are presented as mean ± standard deviation or number (percentage). Statistical comparison was performed using Mann-Whitney U test for continuous variables and Fisher's exact test for categorical variables. After 1:1 optimal Hungarian matching (caliper = 0.20 × standard deviation of the logit propensity score), 98 matched pairs (196 patients) were derived. After matching, 7 of 8 covariates achieved </w:t>
      </w:r>
      <w:proofErr w:type="spellStart"/>
      <w:r>
        <w:rPr>
          <w:sz w:val="24"/>
        </w:rPr>
        <w:t>standardised</w:t>
      </w:r>
      <w:proofErr w:type="spellEnd"/>
      <w:r>
        <w:rPr>
          <w:sz w:val="24"/>
        </w:rPr>
        <w:t xml:space="preserve"> mean differences (SMDs) &lt; 0.10. Hypertension showed a marginally elevated SMD of 0.111, which was considered clinically acceptable.</w:t>
      </w:r>
    </w:p>
    <w:p w14:paraId="4CFA3B85" w14:textId="77777777" w:rsidR="0099783A" w:rsidRPr="00676489" w:rsidRDefault="0099783A" w:rsidP="0099783A">
      <w:pPr>
        <w:spacing w:line="360" w:lineRule="auto"/>
        <w:rPr>
          <w:sz w:val="24"/>
        </w:rPr>
      </w:pPr>
    </w:p>
    <w:p w14:paraId="36CA3821" w14:textId="77777777" w:rsidR="0099783A" w:rsidRPr="00676489" w:rsidRDefault="0099783A" w:rsidP="0099783A">
      <w:pPr>
        <w:spacing w:line="360" w:lineRule="auto"/>
        <w:rPr>
          <w:sz w:val="24"/>
        </w:rPr>
      </w:pPr>
      <w:r>
        <w:rPr>
          <w:sz w:val="24"/>
        </w:rPr>
        <w:t xml:space="preserve">BMI, body mass index; CEAP, Clinical-Etiology-Anatomy-Pathophysiology; CVAFS, controlled </w:t>
      </w:r>
      <w:proofErr w:type="spellStart"/>
      <w:r>
        <w:rPr>
          <w:sz w:val="24"/>
        </w:rPr>
        <w:t>venospasm</w:t>
      </w:r>
      <w:proofErr w:type="spellEnd"/>
      <w:r>
        <w:rPr>
          <w:sz w:val="24"/>
        </w:rPr>
        <w:t xml:space="preserve">-assisted foam sclerotherapy; GSV, great saphenous vein; RFA, radiofrequency ablation; SD, standard deviation; SFJ, </w:t>
      </w:r>
      <w:proofErr w:type="spellStart"/>
      <w:r>
        <w:rPr>
          <w:sz w:val="24"/>
        </w:rPr>
        <w:t>saphenofemoral</w:t>
      </w:r>
      <w:proofErr w:type="spellEnd"/>
      <w:r>
        <w:rPr>
          <w:sz w:val="24"/>
        </w:rPr>
        <w:t xml:space="preserve"> junction; SMD, </w:t>
      </w:r>
      <w:proofErr w:type="spellStart"/>
      <w:r>
        <w:rPr>
          <w:sz w:val="24"/>
        </w:rPr>
        <w:t>standardised</w:t>
      </w:r>
      <w:proofErr w:type="spellEnd"/>
      <w:r>
        <w:rPr>
          <w:sz w:val="24"/>
        </w:rPr>
        <w:t xml:space="preserve"> mean difference; VCSS, Venous Clinical Severity Score.</w:t>
      </w:r>
    </w:p>
    <w:p w14:paraId="06D82987" w14:textId="77777777" w:rsidR="0099783A" w:rsidRPr="00676489" w:rsidRDefault="0099783A" w:rsidP="0099783A">
      <w:pPr>
        <w:spacing w:line="360" w:lineRule="auto"/>
        <w:rPr>
          <w:sz w:val="24"/>
        </w:rPr>
      </w:pPr>
    </w:p>
    <w:p w14:paraId="2DBDC3DC" w14:textId="77777777" w:rsidR="0099783A" w:rsidRPr="00676489" w:rsidRDefault="0099783A" w:rsidP="0099783A">
      <w:pPr>
        <w:spacing w:line="360" w:lineRule="auto"/>
        <w:rPr>
          <w:sz w:val="24"/>
        </w:rPr>
      </w:pPr>
    </w:p>
    <w:p w14:paraId="640FA204" w14:textId="77777777" w:rsidR="0099783A" w:rsidRPr="00676489" w:rsidRDefault="0099783A" w:rsidP="0099783A">
      <w:pPr>
        <w:spacing w:line="360" w:lineRule="auto"/>
        <w:rPr>
          <w:sz w:val="24"/>
        </w:rPr>
      </w:pPr>
      <w:r>
        <w:rPr>
          <w:sz w:val="24"/>
        </w:rPr>
        <w:t>Table 2. Perioperative outcomes before and after propensity score matching.</w:t>
      </w:r>
    </w:p>
    <w:p w14:paraId="46C75E27" w14:textId="77777777" w:rsidR="0099783A" w:rsidRPr="00676489" w:rsidRDefault="0099783A" w:rsidP="0099783A">
      <w:pPr>
        <w:spacing w:line="360" w:lineRule="auto"/>
        <w:rPr>
          <w:sz w:val="24"/>
        </w:rPr>
      </w:pPr>
    </w:p>
    <w:p w14:paraId="6973CAD1" w14:textId="77777777" w:rsidR="0099783A" w:rsidRPr="00676489" w:rsidRDefault="0099783A" w:rsidP="0099783A">
      <w:pPr>
        <w:spacing w:line="360" w:lineRule="auto"/>
        <w:rPr>
          <w:sz w:val="24"/>
        </w:rPr>
      </w:pPr>
      <w:r>
        <w:rPr>
          <w:sz w:val="24"/>
        </w:rPr>
        <w:t>Data are presented as mean ± standard deviation or number (percentage). P values were calculated using Mann-Whitney U test (continuous variables) or Fisher's exact test (categorical variables). Technical success was defined as completion of the assigned procedure without unplanned conversion. Bruising and paresthesia are minor perioperative events that resolved spontaneously without intervention. No cases of deep vein thrombosis, pulmonary embolism, or wound infection were observed in either group.</w:t>
      </w:r>
    </w:p>
    <w:p w14:paraId="1A38AD2A" w14:textId="77777777" w:rsidR="0099783A" w:rsidRPr="00676489" w:rsidRDefault="0099783A" w:rsidP="0099783A">
      <w:pPr>
        <w:spacing w:line="360" w:lineRule="auto"/>
        <w:rPr>
          <w:sz w:val="24"/>
        </w:rPr>
      </w:pPr>
    </w:p>
    <w:p w14:paraId="0B57D3B1" w14:textId="77777777" w:rsidR="0099783A" w:rsidRPr="00676489" w:rsidRDefault="0099783A" w:rsidP="0099783A">
      <w:pPr>
        <w:spacing w:line="360" w:lineRule="auto"/>
        <w:rPr>
          <w:sz w:val="24"/>
        </w:rPr>
      </w:pPr>
      <w:r>
        <w:rPr>
          <w:sz w:val="24"/>
        </w:rPr>
        <w:t xml:space="preserve">CVAFS, controlled </w:t>
      </w:r>
      <w:proofErr w:type="spellStart"/>
      <w:r>
        <w:rPr>
          <w:sz w:val="24"/>
        </w:rPr>
        <w:t>venospasm</w:t>
      </w:r>
      <w:proofErr w:type="spellEnd"/>
      <w:r>
        <w:rPr>
          <w:sz w:val="24"/>
        </w:rPr>
        <w:t xml:space="preserve">-assisted foam sclerotherapy; DVT, deep vein </w:t>
      </w:r>
      <w:r>
        <w:rPr>
          <w:sz w:val="24"/>
        </w:rPr>
        <w:lastRenderedPageBreak/>
        <w:t>thrombosis; PSM, propensity score matching; RFA, radiofrequency ablation; VAS, visual analogue scale.</w:t>
      </w:r>
    </w:p>
    <w:p w14:paraId="4360DFF4" w14:textId="77777777" w:rsidR="0099783A" w:rsidRPr="00676489" w:rsidRDefault="0099783A" w:rsidP="0099783A">
      <w:pPr>
        <w:spacing w:line="360" w:lineRule="auto"/>
        <w:rPr>
          <w:sz w:val="24"/>
        </w:rPr>
      </w:pPr>
    </w:p>
    <w:p w14:paraId="767C6562" w14:textId="77777777" w:rsidR="0099783A" w:rsidRPr="00676489" w:rsidRDefault="0099783A" w:rsidP="0099783A">
      <w:pPr>
        <w:spacing w:line="360" w:lineRule="auto"/>
        <w:rPr>
          <w:sz w:val="24"/>
        </w:rPr>
      </w:pPr>
    </w:p>
    <w:p w14:paraId="1D4A6753" w14:textId="77777777" w:rsidR="0099783A" w:rsidRPr="00676489" w:rsidRDefault="0099783A" w:rsidP="0099783A">
      <w:pPr>
        <w:spacing w:line="360" w:lineRule="auto"/>
        <w:rPr>
          <w:sz w:val="24"/>
        </w:rPr>
      </w:pPr>
      <w:r>
        <w:rPr>
          <w:sz w:val="24"/>
        </w:rPr>
        <w:t>Table 3. 12-month clinical outcomes in RFA and CVAFS groups before and after propensity score matching.</w:t>
      </w:r>
    </w:p>
    <w:p w14:paraId="4A6AA568" w14:textId="77777777" w:rsidR="0099783A" w:rsidRPr="00676489" w:rsidRDefault="0099783A" w:rsidP="0099783A">
      <w:pPr>
        <w:spacing w:line="360" w:lineRule="auto"/>
        <w:rPr>
          <w:sz w:val="24"/>
        </w:rPr>
      </w:pPr>
    </w:p>
    <w:p w14:paraId="785860D8" w14:textId="77777777" w:rsidR="0099783A" w:rsidRPr="00676489" w:rsidRDefault="0099783A" w:rsidP="0099783A">
      <w:pPr>
        <w:spacing w:line="360" w:lineRule="auto"/>
        <w:rPr>
          <w:sz w:val="24"/>
        </w:rPr>
      </w:pPr>
      <w:r>
        <w:rPr>
          <w:sz w:val="24"/>
        </w:rPr>
        <w:t xml:space="preserve">Data are presented as mean ± standard deviation or number (percentage). P values were calculated using Mann-Whitney U test (continuous variables) or Fisher's exact test (categorical variables). The co-primary outcomes were 12-month target vein occlusion rate (defined as complete absence of flow within the treated vein segment on </w:t>
      </w:r>
      <w:proofErr w:type="spellStart"/>
      <w:r>
        <w:rPr>
          <w:sz w:val="24"/>
        </w:rPr>
        <w:t>colour</w:t>
      </w:r>
      <w:proofErr w:type="spellEnd"/>
      <w:r>
        <w:rPr>
          <w:sz w:val="24"/>
        </w:rPr>
        <w:t xml:space="preserve"> duplex ultrasound) and change in Venous Clinical Severity Score (VCSS) from baseline to 12 months. Kaplan-Meier estimates of freedom from target vein </w:t>
      </w:r>
      <w:proofErr w:type="spellStart"/>
      <w:r>
        <w:rPr>
          <w:sz w:val="24"/>
        </w:rPr>
        <w:t>recanalisation</w:t>
      </w:r>
      <w:proofErr w:type="spellEnd"/>
      <w:r>
        <w:rPr>
          <w:sz w:val="24"/>
        </w:rPr>
        <w:t xml:space="preserve"> are presented in Figure 6.</w:t>
      </w:r>
    </w:p>
    <w:p w14:paraId="7188250B" w14:textId="77777777" w:rsidR="0099783A" w:rsidRPr="00676489" w:rsidRDefault="0099783A" w:rsidP="0099783A">
      <w:pPr>
        <w:spacing w:line="360" w:lineRule="auto"/>
        <w:rPr>
          <w:sz w:val="24"/>
        </w:rPr>
      </w:pPr>
    </w:p>
    <w:p w14:paraId="0F020A77" w14:textId="77777777" w:rsidR="0099783A" w:rsidRDefault="0099783A" w:rsidP="0099783A">
      <w:pPr>
        <w:spacing w:line="360" w:lineRule="auto"/>
        <w:rPr>
          <w:rFonts w:hint="eastAsia"/>
          <w:sz w:val="24"/>
        </w:rPr>
      </w:pPr>
      <w:r>
        <w:rPr>
          <w:sz w:val="24"/>
        </w:rPr>
        <w:t xml:space="preserve">CI, confidence interval; CVAFS, controlled </w:t>
      </w:r>
      <w:proofErr w:type="spellStart"/>
      <w:r>
        <w:rPr>
          <w:sz w:val="24"/>
        </w:rPr>
        <w:t>venospasm</w:t>
      </w:r>
      <w:proofErr w:type="spellEnd"/>
      <w:r>
        <w:rPr>
          <w:sz w:val="24"/>
        </w:rPr>
        <w:t>-assisted foam sclerotherapy; DVT, deep vein thrombosis; GSV, great saphenous vein; PSM, propensity score matching; RFA, radiofrequency ablation; VCSS, Venous Clinical Severity Score.</w:t>
      </w:r>
      <w:bookmarkEnd w:id="0"/>
      <w:bookmarkEnd w:id="1"/>
    </w:p>
    <w:p w14:paraId="74E5B735" w14:textId="77777777" w:rsidR="001D1E0A" w:rsidRPr="0099783A" w:rsidRDefault="001D1E0A" w:rsidP="0099783A">
      <w:bookmarkStart w:id="2" w:name="_GoBack"/>
      <w:bookmarkEnd w:id="2"/>
    </w:p>
    <w:sectPr w:rsidR="001D1E0A" w:rsidRPr="0099783A" w:rsidSect="00CA63D6">
      <w:headerReference w:type="default" r:id="rId6"/>
      <w:footerReference w:type="default" r:id="rId7"/>
      <w:pgSz w:w="11906" w:h="16838"/>
      <w:pgMar w:top="1440" w:right="1800" w:bottom="1440" w:left="1800" w:header="851" w:footer="992" w:gutter="0"/>
      <w:lnNumType w:countBy="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E61D16" w14:textId="77777777" w:rsidR="00AF3124" w:rsidRDefault="00AF3124" w:rsidP="00EA227E">
      <w:r>
        <w:separator/>
      </w:r>
    </w:p>
  </w:endnote>
  <w:endnote w:type="continuationSeparator" w:id="0">
    <w:p w14:paraId="552E0F1B" w14:textId="77777777" w:rsidR="00AF3124" w:rsidRDefault="00AF3124" w:rsidP="00EA22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F9AF05" w14:textId="77777777" w:rsidR="009C6127" w:rsidRDefault="00AF3124">
    <w:pPr>
      <w:pStyle w:val="a5"/>
      <w:jc w:val="center"/>
    </w:pPr>
    <w:r>
      <w:fldChar w:fldCharType="begin"/>
    </w:r>
    <w:r>
      <w:instrText>PAGE   \* MERGEFORMAT</w:instrText>
    </w:r>
    <w:r>
      <w:fldChar w:fldCharType="separate"/>
    </w:r>
    <w:r w:rsidRPr="00FF293F">
      <w:rPr>
        <w:noProof/>
        <w:lang w:val="zh-CN"/>
      </w:rPr>
      <w:t>1</w:t>
    </w:r>
    <w:r>
      <w:fldChar w:fldCharType="end"/>
    </w:r>
  </w:p>
  <w:p w14:paraId="1CBC0FCF" w14:textId="77777777" w:rsidR="009C6127" w:rsidRDefault="00AF312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5199D0" w14:textId="77777777" w:rsidR="00AF3124" w:rsidRDefault="00AF3124" w:rsidP="00EA227E">
      <w:r>
        <w:separator/>
      </w:r>
    </w:p>
  </w:footnote>
  <w:footnote w:type="continuationSeparator" w:id="0">
    <w:p w14:paraId="243ADCFF" w14:textId="77777777" w:rsidR="00AF3124" w:rsidRDefault="00AF3124" w:rsidP="00EA22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582742" w14:textId="77777777" w:rsidR="009C6127" w:rsidRPr="007A7291" w:rsidRDefault="00AF3124">
    <w:pPr>
      <w:pStyle w:val="a3"/>
      <w:rPr>
        <w:sz w:val="36"/>
        <w:szCs w:val="36"/>
      </w:rPr>
    </w:pP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7350"/>
    <w:rsid w:val="001D1E0A"/>
    <w:rsid w:val="008B5104"/>
    <w:rsid w:val="0099783A"/>
    <w:rsid w:val="00AF3124"/>
    <w:rsid w:val="00B17350"/>
    <w:rsid w:val="00EA22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257E5E8-910C-4CF4-A64F-1D082497E2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A227E"/>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EA227E"/>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4">
    <w:name w:val="页眉 字符"/>
    <w:basedOn w:val="a0"/>
    <w:link w:val="a3"/>
    <w:rsid w:val="00EA227E"/>
    <w:rPr>
      <w:sz w:val="18"/>
      <w:szCs w:val="18"/>
    </w:rPr>
  </w:style>
  <w:style w:type="paragraph" w:styleId="a5">
    <w:name w:val="footer"/>
    <w:basedOn w:val="a"/>
    <w:link w:val="a6"/>
    <w:uiPriority w:val="99"/>
    <w:unhideWhenUsed/>
    <w:rsid w:val="00EA227E"/>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6">
    <w:name w:val="页脚 字符"/>
    <w:basedOn w:val="a0"/>
    <w:link w:val="a5"/>
    <w:uiPriority w:val="99"/>
    <w:rsid w:val="00EA227E"/>
    <w:rPr>
      <w:sz w:val="18"/>
      <w:szCs w:val="18"/>
    </w:rPr>
  </w:style>
  <w:style w:type="character" w:styleId="a7">
    <w:name w:val="line number"/>
    <w:basedOn w:val="a0"/>
    <w:uiPriority w:val="99"/>
    <w:semiHidden/>
    <w:unhideWhenUsed/>
    <w:rsid w:val="009978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387</Words>
  <Characters>2212</Characters>
  <Application>Microsoft Office Word</Application>
  <DocSecurity>0</DocSecurity>
  <Lines>18</Lines>
  <Paragraphs>5</Paragraphs>
  <ScaleCrop>false</ScaleCrop>
  <Company/>
  <LinksUpToDate>false</LinksUpToDate>
  <CharactersWithSpaces>2594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刘正立</dc:creator>
  <cp:keywords/>
  <dc:description/>
  <cp:lastModifiedBy>刘正立</cp:lastModifiedBy>
  <cp:revision>3</cp:revision>
  <dcterms:created xsi:type="dcterms:W3CDTF">2026-08-23T07:57:00Z</dcterms:created>
  <dcterms:modified xsi:type="dcterms:W3CDTF">2026-08-23T08:03:00Z</dcterms:modified>
</cp:coreProperties>
</file>