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0"/>
        </w:rPr>
        <w:t>Table 1. Baseline characteristics before and after propensity score matching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c>
          <w:tcPr>
            <w:tcW w:type="dxa" w:w="1040"/>
            <w:tcBorders>
              <w:left w:val="none" w:sz="0" w:color="000000"/>
              <w:right w:val="none" w:sz="0" w:color="000000"/>
              <w:top w:val="single" w:sz="15" w:color="000000"/>
            </w:tcBorders>
          </w:tcPr>
          <w:p>
            <w:pPr>
              <w:jc w:val="center"/>
              <w:spacing w:line="240" w:after="0"/>
            </w:pPr>
            <w:r>
              <w:t>Variables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4160"/>
            <w:gridSpan w:val="4"/>
            <w:tcBorders>
              <w:left w:val="none" w:sz="0" w:color="000000"/>
              <w:right w:val="none" w:sz="0" w:color="000000"/>
              <w:top w:val="single" w:sz="15" w:color="000000"/>
            </w:tcBorders>
          </w:tcPr>
          <w:p>
            <w:pPr>
              <w:jc w:val="center"/>
              <w:spacing w:line="240" w:after="0"/>
            </w:pPr>
            <w:r>
              <w:t>Before matching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4160"/>
            <w:gridSpan w:val="4"/>
            <w:tcBorders>
              <w:left w:val="none" w:sz="0" w:color="000000"/>
              <w:right w:val="none" w:sz="0" w:color="000000"/>
              <w:top w:val="single" w:sz="15" w:color="000000"/>
            </w:tcBorders>
          </w:tcPr>
          <w:p>
            <w:pPr>
              <w:jc w:val="center"/>
              <w:spacing w:line="240" w:after="0"/>
            </w:pPr>
            <w:r>
              <w:t>After matching</w:t>
              <w:rPr>
                <w:rFonts w:ascii="Times New Roman" w:hAnsi="Times New Roman"/>
                <w:sz w:val="17"/>
                <w:b/>
              </w:rPr>
            </w:r>
          </w:p>
        </w:tc>
      </w:tr>
      <w:tr>
        <w:tc>
          <w:tcPr>
            <w:tcW w:type="dxa" w:w="104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RFA</w:t>
              <w:br/>
              <w:t>(266 pts, 346 lim)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CVAFS</w:t>
              <w:br/>
              <w:t>(210 pts, 269 lim)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t/χ²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P value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RFA</w:t>
              <w:br/>
              <w:t>(98 pts, 128 lim)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CVAFS</w:t>
              <w:br/>
              <w:t>(98 pts, 126 lim)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t/χ²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P value</w:t>
              <w:rPr>
                <w:rFonts w:ascii="Times New Roman" w:hAnsi="Times New Roman"/>
                <w:sz w:val="17"/>
                <w:b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Sex, n (%)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 xml:space="preserve">  Female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133 (50.0%)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102 (48.6%)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49 (50.0%)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50 (51.0%)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 xml:space="preserve">  Male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133 (50.0%)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108 (51.4%)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0.047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0.828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49 (50.0%)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48 (49.0%)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0.000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1.000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Age (yr)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58.75 ± 7.55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67.53 ± 10.31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-10.726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&lt;0.0001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62.51 ± 7.47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62.58 ± 9.07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-0.060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0.9521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BMI (kg/m²)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24.46 ± 2.88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28.65 ± 3.88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-13.513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&lt;0.0001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26.23 ± 2.55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26.35 ± 3.11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-0.312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0.7557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Smoking, n (%)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41 (15.4%)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45 (21.4%)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2.476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0.116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17 (17.3%)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20 (20.4%)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0.133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0.715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Diabetes mellitus, n (%)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48 (18.0%)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49 (23.3%)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1.710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0.191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24 (24.5%)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24 (24.5%)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0.000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1.000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Hypertension, n (%)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66 (24.8%)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76 (36.2%)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6.725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0.010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27 (27.6%)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32 (32.7%)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0.388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0.533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Hyperlipidemia, n (%)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42 (15.8%)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65 (31.0%)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14.625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&lt;0.001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22 (22.4%)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25 (25.5%)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0.112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0.738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Coronary artery disease, n (%)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25 (9.4%)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29 (13.8%)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1.853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0.173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14 (14.3%)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11 (11.2%)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0.183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0.668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Chronic kidney disease, n (%)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18 (6.8%)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21 (10.0%)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1.229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0.268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5 (5.1%)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11 (11.2%)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1.701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0.192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Stroke, n (%)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8 (3.0%)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13 (6.2%)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2.115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0.146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3 (3.1%)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7 (7.1%)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0.948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0.330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Peripheral artery disease, n (%)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15 (5.6%)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18 (8.6%)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1.142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0.285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6 (6.1%)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7 (7.1%)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0.000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1.000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Previous venous surgery, n (%)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33 (12.4%)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14 (6.7%)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3.723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0.054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8 (8.2%)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8 (8.2%)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0.000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1.000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CEAP grade, n (%)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 xml:space="preserve">  C2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124 (35.8%)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88 (32.7%)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0.6689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50 (39.1%)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43 (34.1%)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0.1278</w:t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 xml:space="preserve">  C3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77 (22.3%)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65 (24.2%)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35 (27.3%)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30 (23.8%)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 xml:space="preserve">  C4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97 (28.0%)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86 (32.0%)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27 (21.1%)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44 (34.9%)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 xml:space="preserve">  C5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36 (10.4%)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23 (8.6%)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13 (10.2%)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8 (6.3%)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104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left"/>
              <w:spacing w:line="240" w:after="0"/>
            </w:pPr>
            <w:r>
              <w:t xml:space="preserve">  C6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12 (3.5%)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7 (2.6%)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3 (2.3%)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1 (0.8%)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04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