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20"/>
        </w:rPr>
        <w:t>Table 3. 12-month clinical outcomes in RFA and CVAFS groups before and after propensity score matching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c>
          <w:tcPr>
            <w:tcW w:type="dxa" w:w="1170"/>
            <w:tcBorders>
              <w:left w:val="none" w:sz="0" w:color="000000"/>
              <w:right w:val="none" w:sz="0" w:color="000000"/>
              <w:top w:val="single" w:sz="15" w:color="000000"/>
            </w:tcBorders>
          </w:tcPr>
          <w:p>
            <w:pPr>
              <w:jc w:val="center"/>
              <w:spacing w:line="240" w:after="0"/>
            </w:pPr>
            <w:r>
              <w:t>Outcome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3510"/>
            <w:gridSpan w:val="3"/>
            <w:tcBorders>
              <w:left w:val="none" w:sz="0" w:color="000000"/>
              <w:right w:val="none" w:sz="0" w:color="000000"/>
              <w:top w:val="single" w:sz="15" w:color="000000"/>
            </w:tcBorders>
          </w:tcPr>
          <w:p>
            <w:pPr>
              <w:jc w:val="center"/>
              <w:spacing w:line="240" w:after="0"/>
            </w:pPr>
            <w:r>
              <w:t>Before matching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170"/>
            <w:tcBorders>
              <w:left w:val="none" w:sz="0" w:color="000000"/>
              <w:right w:val="none" w:sz="0" w:color="000000"/>
              <w:top w:val="single" w:sz="15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3510"/>
            <w:gridSpan w:val="3"/>
            <w:tcBorders>
              <w:left w:val="none" w:sz="0" w:color="000000"/>
              <w:right w:val="none" w:sz="0" w:color="000000"/>
              <w:top w:val="single" w:sz="15" w:color="000000"/>
            </w:tcBorders>
          </w:tcPr>
          <w:p>
            <w:pPr>
              <w:jc w:val="center"/>
              <w:spacing w:line="240" w:after="0"/>
            </w:pPr>
            <w:r>
              <w:t>After matching</w:t>
              <w:rPr>
                <w:rFonts w:ascii="Times New Roman" w:hAnsi="Times New Roman"/>
                <w:sz w:val="17"/>
                <w:b/>
              </w:rPr>
            </w:r>
          </w:p>
        </w:tc>
      </w:tr>
      <w:tr>
        <w:tc>
          <w:tcPr>
            <w:tcW w:type="dxa" w:w="117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17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RFA</w:t>
              <w:br/>
              <w:t>(245 pts, 317 lim)</w:t>
            </w:r>
          </w:p>
        </w:tc>
        <w:tc>
          <w:tcPr>
            <w:tcW w:type="dxa" w:w="117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CVAFS</w:t>
              <w:br/>
              <w:t>(194 pts, 251 lim)</w:t>
            </w:r>
          </w:p>
        </w:tc>
        <w:tc>
          <w:tcPr>
            <w:tcW w:type="dxa" w:w="117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P value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17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17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RFA</w:t>
              <w:br/>
              <w:t>(98 pts, 128 lim)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17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CVAFS</w:t>
              <w:br/>
              <w:t>(98 pts, 126 lim)</w:t>
              <w:rPr>
                <w:rFonts w:ascii="Times New Roman" w:hAnsi="Times New Roman"/>
                <w:sz w:val="17"/>
                <w:b/>
              </w:rPr>
            </w:r>
          </w:p>
        </w:tc>
        <w:tc>
          <w:tcPr>
            <w:tcW w:type="dxa" w:w="1170"/>
            <w:tcBorders>
              <w:bottom w:val="single" w:sz="1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P value</w:t>
              <w:rPr>
                <w:rFonts w:ascii="Times New Roman" w:hAnsi="Times New Roman"/>
                <w:sz w:val="17"/>
                <w:b/>
              </w:rPr>
            </w:r>
          </w:p>
        </w:tc>
      </w:tr>
      <w:tr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Crude 12-month occlusion rate</w:t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r>
              <w:t>303/317 (95.6%)</w:t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239/251 (95.2%)</w:t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0.842</w:t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122/128 (95.3%)</w:t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120/126 (95.2%)</w:t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1.000</w:t>
            </w:r>
          </w:p>
        </w:tc>
      </w:tr>
      <w:tr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Preoperative VCSS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8.29 ± 3.53</w:t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8.35 ± 3.30</w:t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0.546</w:t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7.78 ± 3.30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7.96 ± 3.08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0.401</w:t>
            </w:r>
          </w:p>
        </w:tc>
      </w:tr>
      <w:tr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left"/>
              <w:spacing w:line="240" w:after="0"/>
            </w:pPr>
            <w:r>
              <w:t>VCSS at 6 months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2.17 ± 2.06</w:t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2.28 ± 2.16</w:t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0.611</w:t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1.98 ± 2.00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2.25 ± 2.23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bottom w:val="none" w:sz="0" w:color="000000"/>
              <w:left w:val="none" w:sz="0" w:color="000000"/>
              <w:right w:val="none" w:sz="0" w:color="000000"/>
            </w:tcBorders>
          </w:tcPr>
          <w:p>
            <w:pPr>
              <w:jc w:val="center"/>
              <w:spacing w:line="240" w:after="0"/>
            </w:pPr>
            <w:r>
              <w:t>0.519</w:t>
            </w:r>
          </w:p>
        </w:tc>
      </w:tr>
      <w:tr>
        <w:tc>
          <w:tcPr>
            <w:tcW w:type="dxa" w:w="117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left"/>
              <w:spacing w:line="240" w:after="0"/>
            </w:pPr>
            <w:r>
              <w:t>VCSS at 12 months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t>0.83 ± 0.84</w:t>
            </w:r>
          </w:p>
        </w:tc>
        <w:tc>
          <w:tcPr>
            <w:tcW w:type="dxa" w:w="117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t>0.86 ± 0.89</w:t>
            </w:r>
          </w:p>
        </w:tc>
        <w:tc>
          <w:tcPr>
            <w:tcW w:type="dxa" w:w="117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t>0.830</w:t>
            </w:r>
          </w:p>
        </w:tc>
        <w:tc>
          <w:tcPr>
            <w:tcW w:type="dxa" w:w="117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t>0.71 ± 0.81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t>0.85 ± 0.89</w:t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1170"/>
            <w:tcBorders>
              <w:top w:val="none" w:sz="0" w:color="000000"/>
              <w:left w:val="none" w:sz="0" w:color="000000"/>
              <w:right w:val="none" w:sz="0" w:color="000000"/>
              <w:bottom w:val="single" w:sz="15" w:color="000000"/>
            </w:tcBorders>
          </w:tcPr>
          <w:p>
            <w:pPr>
              <w:jc w:val="center"/>
              <w:spacing w:line="240" w:after="0"/>
            </w:pPr>
            <w:r>
              <w:t>0.264</w:t>
            </w:r>
          </w:p>
        </w:tc>
      </w:tr>
    </w:tbl>
    <w:p>
      <w:r>
        <w:t>*Crude 12-month occlusion rate is presented as raw proportions based on the complete-case pre-matching population (excluding 29 RFA limbs and 18 CVAFS limbs lost to follow-up before the 12-month endpoint) and the post-matching cohort.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