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1B895" w14:textId="23D7344D" w:rsidR="00CD0EE4" w:rsidRPr="00F87E1D" w:rsidRDefault="00957EEF">
      <w:pPr>
        <w:pStyle w:val="berschrift1"/>
        <w:rPr>
          <w:lang w:val="en-US"/>
        </w:rPr>
      </w:pPr>
      <w:r w:rsidRPr="6C21720C">
        <w:rPr>
          <w:lang w:val="en-US"/>
        </w:rPr>
        <w:t xml:space="preserve">Additional File </w:t>
      </w:r>
      <w:r w:rsidR="7D81810A" w:rsidRPr="6C21720C">
        <w:rPr>
          <w:lang w:val="en-US"/>
        </w:rPr>
        <w:t>2</w:t>
      </w:r>
      <w:r w:rsidRPr="6C21720C">
        <w:rPr>
          <w:lang w:val="en-US"/>
        </w:rPr>
        <w:t>. Sensitivity analysis by stimulation system (n = 112)</w:t>
      </w:r>
    </w:p>
    <w:p w14:paraId="39C1B896" w14:textId="5878C6A4" w:rsidR="00CD0EE4" w:rsidRPr="00F87E1D" w:rsidRDefault="00957EEF">
      <w:pPr>
        <w:rPr>
          <w:lang w:val="en-US"/>
        </w:rPr>
      </w:pPr>
      <w:r w:rsidRPr="00F87E1D">
        <w:rPr>
          <w:b/>
          <w:bCs/>
          <w:lang w:val="en-US"/>
        </w:rPr>
        <w:t xml:space="preserve">From trials to practice: contralesional 1 Hz rTMS in chronic stroke </w:t>
      </w:r>
      <w:r w:rsidR="00D07B20">
        <w:rPr>
          <w:b/>
          <w:bCs/>
          <w:lang w:val="en-US"/>
        </w:rPr>
        <w:t xml:space="preserve">- a </w:t>
      </w:r>
      <w:r w:rsidRPr="00F87E1D">
        <w:rPr>
          <w:b/>
          <w:bCs/>
          <w:lang w:val="en-US"/>
        </w:rPr>
        <w:t>first real-world retrospective cohort of 112 patients treated in routine outpatient care</w:t>
      </w:r>
    </w:p>
    <w:p w14:paraId="39C1B897" w14:textId="77777777" w:rsidR="00CD0EE4" w:rsidRPr="00F87E1D" w:rsidRDefault="00957EEF">
      <w:pPr>
        <w:rPr>
          <w:lang w:val="en-US"/>
        </w:rPr>
      </w:pPr>
      <w:r w:rsidRPr="00F87E1D">
        <w:rPr>
          <w:lang w:val="en-US"/>
        </w:rPr>
        <w:t xml:space="preserve">Anne Lieb, Claudia Resch, Cristina Kohlmann </w:t>
      </w:r>
      <w:proofErr w:type="spellStart"/>
      <w:r w:rsidRPr="00F87E1D">
        <w:rPr>
          <w:lang w:val="en-US"/>
        </w:rPr>
        <w:t>Dell’Acqua</w:t>
      </w:r>
      <w:proofErr w:type="spellEnd"/>
      <w:r w:rsidRPr="00F87E1D">
        <w:rPr>
          <w:lang w:val="en-US"/>
        </w:rPr>
        <w:t>, Peter Martus, Dania Humaidan, Andreas Jooß, Leidy Reyes Jimenez, Gabor Kozák, Joachim Liepert, Ulf Ziemann</w:t>
      </w:r>
    </w:p>
    <w:p w14:paraId="4E0762FB" w14:textId="77777777" w:rsidR="00F87E1D" w:rsidRPr="00F87E1D" w:rsidRDefault="00F87E1D">
      <w:pPr>
        <w:rPr>
          <w:lang w:val="en-US"/>
        </w:rPr>
      </w:pPr>
    </w:p>
    <w:p w14:paraId="39C1B898" w14:textId="3D7E44F2" w:rsidR="00CD0EE4" w:rsidRPr="00F87E1D" w:rsidRDefault="00957EEF" w:rsidP="00F87E1D">
      <w:pPr>
        <w:jc w:val="both"/>
        <w:rPr>
          <w:lang w:val="en-US"/>
        </w:rPr>
      </w:pPr>
      <w:r w:rsidRPr="00F87E1D">
        <w:rPr>
          <w:lang w:val="en-US"/>
        </w:rPr>
        <w:t xml:space="preserve">The stimulation system used in the outpatient clinic changed during the observation period. Until December 2021, stimulation was delivered with a </w:t>
      </w:r>
      <w:proofErr w:type="spellStart"/>
      <w:r w:rsidRPr="00F87E1D">
        <w:rPr>
          <w:lang w:val="en-US"/>
        </w:rPr>
        <w:t>Nexstim</w:t>
      </w:r>
      <w:proofErr w:type="spellEnd"/>
      <w:r w:rsidRPr="00F87E1D">
        <w:rPr>
          <w:lang w:val="en-US"/>
        </w:rPr>
        <w:t xml:space="preserve"> NBT System 2 with integrated MRI-based neuronavigation; from January 2022 onward, a Magstim Horizon system with a 70-mm air-cooled figure-of-eight coil and a separate Localite TMS-Navigator was used. Stimulation site, frequency, pulse number per session and intensity relative to the individually determined resting motor threshold were identical under both configurations</w:t>
      </w:r>
      <w:r w:rsidR="00390F76">
        <w:rPr>
          <w:lang w:val="en-US"/>
        </w:rPr>
        <w:t xml:space="preserve"> and each patient was treated with the same </w:t>
      </w:r>
      <w:r w:rsidR="0023525E">
        <w:rPr>
          <w:lang w:val="en-US"/>
        </w:rPr>
        <w:t>system</w:t>
      </w:r>
      <w:r w:rsidR="007332B7">
        <w:rPr>
          <w:lang w:val="en-US"/>
        </w:rPr>
        <w:t xml:space="preserve"> throughout the whole treatment cycle including pre- and post-assessment</w:t>
      </w:r>
      <w:r w:rsidR="000D4C88">
        <w:rPr>
          <w:lang w:val="en-US"/>
        </w:rPr>
        <w:t xml:space="preserve"> of the resting motor threshold</w:t>
      </w:r>
      <w:r w:rsidR="007332B7">
        <w:rPr>
          <w:lang w:val="en-US"/>
        </w:rPr>
        <w:t>.</w:t>
      </w:r>
      <w:r w:rsidRPr="00F87E1D">
        <w:rPr>
          <w:lang w:val="en-US"/>
        </w:rPr>
        <w:t xml:space="preserve"> Because a change of hardware in the middle of an observational cohort may affect the outcomes, we report a comparison of the two treatment periods. The analyses below are exploratory and were not prespecified.</w:t>
      </w:r>
    </w:p>
    <w:p w14:paraId="39C1B899" w14:textId="77777777" w:rsidR="00CD0EE4" w:rsidRPr="00F87E1D" w:rsidRDefault="00957EEF" w:rsidP="00F87E1D">
      <w:pPr>
        <w:pStyle w:val="berschrift2"/>
        <w:jc w:val="both"/>
        <w:rPr>
          <w:lang w:val="en-US"/>
        </w:rPr>
      </w:pPr>
      <w:r w:rsidRPr="00F87E1D">
        <w:rPr>
          <w:lang w:val="en-US"/>
        </w:rPr>
        <w:t>Method</w:t>
      </w:r>
    </w:p>
    <w:p w14:paraId="39C1B89B" w14:textId="7AF572C3" w:rsidR="00CD0EE4" w:rsidRPr="00F87E1D" w:rsidRDefault="00700139" w:rsidP="00F87E1D">
      <w:pPr>
        <w:jc w:val="both"/>
        <w:rPr>
          <w:lang w:val="en-US"/>
        </w:rPr>
      </w:pPr>
      <w:r>
        <w:rPr>
          <w:lang w:val="en-US"/>
        </w:rPr>
        <w:t>T</w:t>
      </w:r>
      <w:r w:rsidRPr="00F87E1D">
        <w:rPr>
          <w:lang w:val="en-US"/>
        </w:rPr>
        <w:t xml:space="preserve">he change took place in January 2022, with 27 patients treated under the </w:t>
      </w:r>
      <w:proofErr w:type="spellStart"/>
      <w:r w:rsidRPr="00F87E1D">
        <w:rPr>
          <w:lang w:val="en-US"/>
        </w:rPr>
        <w:t>Nexstim</w:t>
      </w:r>
      <w:proofErr w:type="spellEnd"/>
      <w:r w:rsidRPr="00F87E1D">
        <w:rPr>
          <w:lang w:val="en-US"/>
        </w:rPr>
        <w:t xml:space="preserve"> configuration and 85 under the Magstim configuration. Comparisons between the two periods were made with the Mann-Whitney U test, chosen because the modified Ashworth-derived scores are ordinal, several distributions depart from normality, and the two groups differ substantially in size. Effect sizes are reported as r = Z / √N. Modified Ashworth values are given on the same scale as in the main text, that is, as the mean across the per-direction ratings at each joint. No correction for multiple comparisons was applied; the p-values below are descriptive.</w:t>
      </w:r>
    </w:p>
    <w:p w14:paraId="39C1B89C" w14:textId="77777777" w:rsidR="00CD0EE4" w:rsidRPr="00F87E1D" w:rsidRDefault="00957EEF" w:rsidP="00F87E1D">
      <w:pPr>
        <w:pStyle w:val="berschrift2"/>
        <w:jc w:val="both"/>
        <w:rPr>
          <w:lang w:val="en-US"/>
        </w:rPr>
      </w:pPr>
      <w:r w:rsidRPr="00F87E1D">
        <w:rPr>
          <w:lang w:val="en-US"/>
        </w:rPr>
        <w:t>Comparability of the two periods at baseline</w:t>
      </w:r>
    </w:p>
    <w:p w14:paraId="39C1B89D" w14:textId="77777777" w:rsidR="00CD0EE4" w:rsidRPr="00F87E1D" w:rsidRDefault="00957EEF" w:rsidP="00F87E1D">
      <w:pPr>
        <w:jc w:val="both"/>
        <w:rPr>
          <w:lang w:val="en-US"/>
        </w:rPr>
      </w:pPr>
      <w:r w:rsidRPr="00F87E1D">
        <w:rPr>
          <w:lang w:val="en-US"/>
        </w:rPr>
        <w:t xml:space="preserve">The two periods did not differ in motor impairment at baseline (FMA-UE 21.1 ± 15.2 versus 21.8 ± 14.2, p = 0.60) or in time since stroke (4.1 ± 4.5 versus 3.7 ± 3.2 years, p = 0.78). Modified Ashworth-derived scores at baseline were numerically lower in the earlier period at every joint segment, most clearly at the finger and thumb, although the difference did not reach the conventional threshold at the shoulder (1.35 ± 1.06 versus 1.81 ± 1.20, p = 0.085; Table S3). The earlier period therefore comprised a </w:t>
      </w:r>
      <w:r w:rsidRPr="00F87E1D">
        <w:rPr>
          <w:lang w:val="en-US"/>
        </w:rPr>
        <w:t xml:space="preserve">somewhat less spastic cohort </w:t>
      </w:r>
      <w:r w:rsidRPr="00F87E1D">
        <w:rPr>
          <w:lang w:val="en-US"/>
        </w:rPr>
        <w:t>at entry.</w:t>
      </w:r>
    </w:p>
    <w:p w14:paraId="39C1B89E" w14:textId="77777777" w:rsidR="00CD0EE4" w:rsidRPr="00F87E1D" w:rsidRDefault="00957EEF" w:rsidP="00F87E1D">
      <w:pPr>
        <w:jc w:val="both"/>
        <w:rPr>
          <w:lang w:val="en-US"/>
        </w:rPr>
      </w:pPr>
      <w:r w:rsidRPr="00F87E1D">
        <w:rPr>
          <w:lang w:val="en-US"/>
        </w:rPr>
        <w:t xml:space="preserve">Resting motor threshold at baseline differed markedly between the periods (37.7 ± 7.4 versus 52.3 ± 6.8% MSO, p &lt; 0.001). This difference reflects the two stimulator and coil configurations rather than a difference between patients: the percentage of maximum stimulator output </w:t>
      </w:r>
      <w:r w:rsidRPr="00F87E1D">
        <w:rPr>
          <w:lang w:val="en-US"/>
        </w:rPr>
        <w:lastRenderedPageBreak/>
        <w:t>required to reach a given physiological threshold is device-specific and is not comparable across systems.</w:t>
      </w:r>
    </w:p>
    <w:p w14:paraId="39C1B89F" w14:textId="77777777" w:rsidR="00CD0EE4" w:rsidRPr="00F87E1D" w:rsidRDefault="00957EEF" w:rsidP="00F87E1D">
      <w:pPr>
        <w:pStyle w:val="berschrift2"/>
        <w:jc w:val="both"/>
        <w:rPr>
          <w:lang w:val="en-US"/>
        </w:rPr>
      </w:pPr>
      <w:r w:rsidRPr="00F87E1D">
        <w:rPr>
          <w:lang w:val="en-US"/>
        </w:rPr>
        <w:t>Comparison of outcomes</w:t>
      </w:r>
    </w:p>
    <w:p w14:paraId="39C1B8A0" w14:textId="77777777" w:rsidR="00CD0EE4" w:rsidRPr="00F87E1D" w:rsidRDefault="00957EEF" w:rsidP="00F87E1D">
      <w:pPr>
        <w:jc w:val="both"/>
        <w:rPr>
          <w:lang w:val="en-US"/>
        </w:rPr>
      </w:pPr>
      <w:r w:rsidRPr="00F87E1D">
        <w:rPr>
          <w:lang w:val="en-US"/>
        </w:rPr>
        <w:t>Change in FMA-UE was smaller in the earlier period (+2.52 ± 4.40 versus +4.39 ± 5.04 points, p = 0.035, r = 0.20). Change in modified Ashworth-derived scores was also smaller in the earlier period at every joint, reaching the conventional threshold at the elbow (−0.15 versus −0.49, p = 0.036) and not at the remaining five segments (Table S4).</w:t>
      </w:r>
    </w:p>
    <w:p w14:paraId="39C1B8A1" w14:textId="77777777" w:rsidR="00CD0EE4" w:rsidRPr="00F87E1D" w:rsidRDefault="00957EEF" w:rsidP="00F87E1D">
      <w:pPr>
        <w:jc w:val="both"/>
        <w:rPr>
          <w:lang w:val="en-US"/>
        </w:rPr>
      </w:pPr>
      <w:r w:rsidRPr="00F87E1D">
        <w:rPr>
          <w:lang w:val="en-US"/>
        </w:rPr>
        <w:t xml:space="preserve">For the spasticity-related outcomes, this pattern is consistent with the baseline-conditional relationship reported in the main text, where higher baseline scores at a given joint were associated with greater reduction at that joint (Spearman </w:t>
      </w:r>
      <w:r>
        <w:t>ρ</w:t>
      </w:r>
      <w:r w:rsidRPr="00F87E1D">
        <w:rPr>
          <w:lang w:val="en-US"/>
        </w:rPr>
        <w:t xml:space="preserve"> 0.40 to 0.66). The earlier period started from lower baseline scores and would therefore be expected to show smaller reductions irrespective of the stimulation system. For the FMA-UE difference this explanation does not apply, since baseline motor impairment was nearly identical in the two periods.</w:t>
      </w:r>
    </w:p>
    <w:p w14:paraId="39C1B8A2" w14:textId="77777777" w:rsidR="00CD0EE4" w:rsidRPr="00F87E1D" w:rsidRDefault="00957EEF" w:rsidP="00F87E1D">
      <w:pPr>
        <w:jc w:val="both"/>
        <w:rPr>
          <w:lang w:val="en-US"/>
        </w:rPr>
      </w:pPr>
      <w:r w:rsidRPr="00F87E1D">
        <w:rPr>
          <w:lang w:val="en-US"/>
        </w:rPr>
        <w:t>Change in resting motor threshold was almost identical under both configurations (+0.94 ± 4.15 versus +1.21 ± 4.39% MSO; Table S5). Because each patient was assessed before and after treatment on the same system, the device-specific offset in absolute values cancels within patients, and the pre-post comparison reported in the main text is unaffected.</w:t>
      </w:r>
    </w:p>
    <w:p w14:paraId="39C1B8A3" w14:textId="77777777" w:rsidR="00CD0EE4" w:rsidRPr="00F87E1D" w:rsidRDefault="00957EEF" w:rsidP="00F87E1D">
      <w:pPr>
        <w:pStyle w:val="berschrift2"/>
        <w:jc w:val="both"/>
        <w:rPr>
          <w:lang w:val="en-US"/>
        </w:rPr>
      </w:pPr>
      <w:r w:rsidRPr="00F87E1D">
        <w:rPr>
          <w:lang w:val="en-US"/>
        </w:rPr>
        <w:t>Methodological limitations</w:t>
      </w:r>
    </w:p>
    <w:p w14:paraId="39C1B8A4" w14:textId="77777777" w:rsidR="00CD0EE4" w:rsidRPr="00F87E1D" w:rsidRDefault="00957EEF" w:rsidP="00F87E1D">
      <w:pPr>
        <w:jc w:val="both"/>
        <w:rPr>
          <w:lang w:val="en-US"/>
        </w:rPr>
      </w:pPr>
      <w:r w:rsidRPr="00F87E1D">
        <w:rPr>
          <w:lang w:val="en-US"/>
        </w:rPr>
        <w:t>The stimulation system and calendar period are completely confounded. The earlier period covers 2019 to 2021 and the later period 2022 to 2025, so any development over time is inseparable from the change of hardware: growing team experience, increasing routine in protocol delivery, changes in referral patterns, and the COVID-19 period, during which the three pandemic-related discontinuations occurred. The differences reported here can therefore be described but cannot be attributed to the stimulation system</w:t>
      </w:r>
      <w:r w:rsidRPr="00F87E1D">
        <w:rPr>
          <w:lang w:val="en-US"/>
        </w:rPr>
        <w:t>, in either direction.</w:t>
      </w:r>
    </w:p>
    <w:p w14:paraId="39C1B8A5" w14:textId="77777777" w:rsidR="00CD0EE4" w:rsidRPr="00F87E1D" w:rsidRDefault="00957EEF" w:rsidP="003B28FF">
      <w:pPr>
        <w:spacing w:after="240"/>
        <w:jc w:val="both"/>
        <w:rPr>
          <w:lang w:val="en-US"/>
        </w:rPr>
      </w:pPr>
      <w:r w:rsidRPr="00F87E1D">
        <w:rPr>
          <w:lang w:val="en-US"/>
        </w:rPr>
        <w:t>Two further constraints apply. The earlier group is small (n = 27), so the comparison has limited power, and the numerically consistent but individually non-significant differences at five of the six joint segments should not be over-interpreted. The assignment of patients to periods rests on the order of the clinic identifier rather than on recorded treatment dates; while this reproduces the confirmed group sizes and the documented introduction of grip strength testing, individual assignment close to the c</w:t>
      </w:r>
      <w:r w:rsidRPr="00F87E1D">
        <w:rPr>
          <w:lang w:val="en-US"/>
        </w:rPr>
        <w:t>hangeover cannot be verified from the analysis dataset. Repeating the comparison with the boundary shifted by one patient in either direction changes the FMA-UE estimates by less than 0.06 points.</w:t>
      </w:r>
    </w:p>
    <w:p w14:paraId="39C1B8A6" w14:textId="77777777" w:rsidR="00CD0EE4" w:rsidRPr="00F87E1D" w:rsidRDefault="00957EEF" w:rsidP="00F87E1D">
      <w:pPr>
        <w:jc w:val="both"/>
        <w:rPr>
          <w:lang w:val="en-US"/>
        </w:rPr>
      </w:pPr>
      <w:r w:rsidRPr="00F87E1D">
        <w:rPr>
          <w:lang w:val="en-US"/>
        </w:rPr>
        <w:t>One observation from this analysis affects the interpretation of the main text. The absolute resting motor threshold reported for the whole cohort (48.75 ± 9.30% MSO) pools the two device scales. The standard deviation within a single configuration is 6.92% MSO, so approximately 45% of the reported variance is attributable to the difference between systems rather than to variability between patients. Likewise, the correlation between pre- and post-intervention thresholds is 0.90 across the pooled cohort but</w:t>
      </w:r>
      <w:r w:rsidRPr="00F87E1D">
        <w:rPr>
          <w:lang w:val="en-US"/>
        </w:rPr>
        <w:t xml:space="preserve"> 0.84 and 0.81 within the earlier </w:t>
      </w:r>
      <w:r w:rsidRPr="00F87E1D">
        <w:rPr>
          <w:lang w:val="en-US"/>
        </w:rPr>
        <w:lastRenderedPageBreak/>
        <w:t>and later periods, respectively. Absolute threshold values and the pooled correlation should be read with this in mind; the within-patient change is not affected.</w:t>
      </w:r>
    </w:p>
    <w:p w14:paraId="39C1B8A7" w14:textId="77777777" w:rsidR="00CD0EE4" w:rsidRDefault="00957EEF">
      <w:pPr>
        <w:pStyle w:val="berschrift2"/>
      </w:pPr>
      <w:r>
        <w:t>Tables</w:t>
      </w:r>
    </w:p>
    <w:tbl>
      <w:tblPr>
        <w:tblStyle w:val="Tabellenraster"/>
        <w:tblW w:w="5000" w:type="pct"/>
        <w:tblLayout w:type="fixed"/>
        <w:tblLook w:val="0020" w:firstRow="1" w:lastRow="0" w:firstColumn="0" w:lastColumn="0" w:noHBand="0" w:noVBand="0"/>
      </w:tblPr>
      <w:tblGrid>
        <w:gridCol w:w="2254"/>
        <w:gridCol w:w="2254"/>
        <w:gridCol w:w="2254"/>
        <w:gridCol w:w="2254"/>
      </w:tblGrid>
      <w:tr w:rsidR="00CD0EE4" w14:paraId="39C1B8AC" w14:textId="77777777">
        <w:trPr>
          <w:tblHeader/>
        </w:trPr>
        <w:tc>
          <w:tcPr>
            <w:tcW w:w="1980" w:type="dxa"/>
          </w:tcPr>
          <w:p w14:paraId="39C1B8A8" w14:textId="77777777" w:rsidR="00CD0EE4" w:rsidRDefault="00957EEF">
            <w:r>
              <w:rPr>
                <w:b/>
                <w:bCs/>
              </w:rPr>
              <w:t>Characteristic</w:t>
            </w:r>
          </w:p>
        </w:tc>
        <w:tc>
          <w:tcPr>
            <w:tcW w:w="1980" w:type="dxa"/>
          </w:tcPr>
          <w:p w14:paraId="39C1B8A9" w14:textId="77777777" w:rsidR="00CD0EE4" w:rsidRDefault="00957EEF">
            <w:r>
              <w:rPr>
                <w:b/>
                <w:bCs/>
              </w:rPr>
              <w:t>Nexstim period (n = 27)</w:t>
            </w:r>
          </w:p>
        </w:tc>
        <w:tc>
          <w:tcPr>
            <w:tcW w:w="1980" w:type="dxa"/>
          </w:tcPr>
          <w:p w14:paraId="39C1B8AA" w14:textId="77777777" w:rsidR="00CD0EE4" w:rsidRDefault="00957EEF">
            <w:r>
              <w:rPr>
                <w:b/>
                <w:bCs/>
              </w:rPr>
              <w:t>Magstim period (n = 85)</w:t>
            </w:r>
          </w:p>
        </w:tc>
        <w:tc>
          <w:tcPr>
            <w:tcW w:w="1980" w:type="dxa"/>
          </w:tcPr>
          <w:p w14:paraId="39C1B8AB" w14:textId="77777777" w:rsidR="00CD0EE4" w:rsidRDefault="00957EEF">
            <w:r>
              <w:rPr>
                <w:b/>
                <w:bCs/>
              </w:rPr>
              <w:t>p</w:t>
            </w:r>
          </w:p>
        </w:tc>
      </w:tr>
      <w:tr w:rsidR="00CD0EE4" w14:paraId="39C1B8B1" w14:textId="77777777">
        <w:tc>
          <w:tcPr>
            <w:tcW w:w="1980" w:type="dxa"/>
          </w:tcPr>
          <w:p w14:paraId="39C1B8AD" w14:textId="77777777" w:rsidR="00CD0EE4" w:rsidRDefault="00957EEF">
            <w:r>
              <w:t>FMA-UE, baseline</w:t>
            </w:r>
          </w:p>
        </w:tc>
        <w:tc>
          <w:tcPr>
            <w:tcW w:w="1980" w:type="dxa"/>
          </w:tcPr>
          <w:p w14:paraId="39C1B8AE" w14:textId="77777777" w:rsidR="00CD0EE4" w:rsidRDefault="00957EEF">
            <w:r>
              <w:t>21.1 ± 15.2</w:t>
            </w:r>
          </w:p>
        </w:tc>
        <w:tc>
          <w:tcPr>
            <w:tcW w:w="1980" w:type="dxa"/>
          </w:tcPr>
          <w:p w14:paraId="39C1B8AF" w14:textId="77777777" w:rsidR="00CD0EE4" w:rsidRDefault="00957EEF">
            <w:r>
              <w:t>21.8 ± 14.2</w:t>
            </w:r>
          </w:p>
        </w:tc>
        <w:tc>
          <w:tcPr>
            <w:tcW w:w="1980" w:type="dxa"/>
          </w:tcPr>
          <w:p w14:paraId="39C1B8B0" w14:textId="77777777" w:rsidR="00CD0EE4" w:rsidRDefault="00957EEF">
            <w:r>
              <w:t>0.60</w:t>
            </w:r>
          </w:p>
        </w:tc>
      </w:tr>
      <w:tr w:rsidR="00CD0EE4" w14:paraId="39C1B8B6" w14:textId="77777777">
        <w:tc>
          <w:tcPr>
            <w:tcW w:w="1980" w:type="dxa"/>
          </w:tcPr>
          <w:p w14:paraId="39C1B8B2" w14:textId="77777777" w:rsidR="00CD0EE4" w:rsidRDefault="00957EEF">
            <w:r>
              <w:t>Time since stroke, years</w:t>
            </w:r>
          </w:p>
        </w:tc>
        <w:tc>
          <w:tcPr>
            <w:tcW w:w="1980" w:type="dxa"/>
          </w:tcPr>
          <w:p w14:paraId="39C1B8B3" w14:textId="77777777" w:rsidR="00CD0EE4" w:rsidRDefault="00957EEF">
            <w:r>
              <w:t>4.1 ± 4.5</w:t>
            </w:r>
          </w:p>
        </w:tc>
        <w:tc>
          <w:tcPr>
            <w:tcW w:w="1980" w:type="dxa"/>
          </w:tcPr>
          <w:p w14:paraId="39C1B8B4" w14:textId="77777777" w:rsidR="00CD0EE4" w:rsidRDefault="00957EEF">
            <w:r>
              <w:t>3.7 ± 3.2</w:t>
            </w:r>
          </w:p>
        </w:tc>
        <w:tc>
          <w:tcPr>
            <w:tcW w:w="1980" w:type="dxa"/>
          </w:tcPr>
          <w:p w14:paraId="39C1B8B5" w14:textId="77777777" w:rsidR="00CD0EE4" w:rsidRDefault="00957EEF">
            <w:r>
              <w:t>0.78</w:t>
            </w:r>
          </w:p>
        </w:tc>
      </w:tr>
      <w:tr w:rsidR="00CD0EE4" w14:paraId="39C1B8BB" w14:textId="77777777">
        <w:tc>
          <w:tcPr>
            <w:tcW w:w="1980" w:type="dxa"/>
          </w:tcPr>
          <w:p w14:paraId="39C1B8B7" w14:textId="77777777" w:rsidR="00CD0EE4" w:rsidRDefault="00957EEF">
            <w:r>
              <w:t>mAS shoulder, baseline</w:t>
            </w:r>
          </w:p>
        </w:tc>
        <w:tc>
          <w:tcPr>
            <w:tcW w:w="1980" w:type="dxa"/>
          </w:tcPr>
          <w:p w14:paraId="39C1B8B8" w14:textId="77777777" w:rsidR="00CD0EE4" w:rsidRDefault="00957EEF">
            <w:r>
              <w:t>1.35 ± 1.06</w:t>
            </w:r>
          </w:p>
        </w:tc>
        <w:tc>
          <w:tcPr>
            <w:tcW w:w="1980" w:type="dxa"/>
          </w:tcPr>
          <w:p w14:paraId="39C1B8B9" w14:textId="77777777" w:rsidR="00CD0EE4" w:rsidRDefault="00957EEF">
            <w:r>
              <w:t>1.81 ± 1.20</w:t>
            </w:r>
          </w:p>
        </w:tc>
        <w:tc>
          <w:tcPr>
            <w:tcW w:w="1980" w:type="dxa"/>
          </w:tcPr>
          <w:p w14:paraId="39C1B8BA" w14:textId="77777777" w:rsidR="00CD0EE4" w:rsidRDefault="00957EEF">
            <w:r>
              <w:t>0.085</w:t>
            </w:r>
          </w:p>
        </w:tc>
      </w:tr>
      <w:tr w:rsidR="00CD0EE4" w14:paraId="39C1B8C0" w14:textId="77777777">
        <w:tc>
          <w:tcPr>
            <w:tcW w:w="1980" w:type="dxa"/>
          </w:tcPr>
          <w:p w14:paraId="39C1B8BC" w14:textId="77777777" w:rsidR="00CD0EE4" w:rsidRDefault="00957EEF">
            <w:r>
              <w:t>mAS elbow, baseline</w:t>
            </w:r>
          </w:p>
        </w:tc>
        <w:tc>
          <w:tcPr>
            <w:tcW w:w="1980" w:type="dxa"/>
          </w:tcPr>
          <w:p w14:paraId="39C1B8BD" w14:textId="77777777" w:rsidR="00CD0EE4" w:rsidRDefault="00957EEF">
            <w:r>
              <w:t>1.39 ± 0.88</w:t>
            </w:r>
          </w:p>
        </w:tc>
        <w:tc>
          <w:tcPr>
            <w:tcW w:w="1980" w:type="dxa"/>
          </w:tcPr>
          <w:p w14:paraId="39C1B8BE" w14:textId="77777777" w:rsidR="00CD0EE4" w:rsidRDefault="00957EEF">
            <w:r>
              <w:t>1.98 ± 1.31</w:t>
            </w:r>
          </w:p>
        </w:tc>
        <w:tc>
          <w:tcPr>
            <w:tcW w:w="1980" w:type="dxa"/>
          </w:tcPr>
          <w:p w14:paraId="39C1B8BF" w14:textId="77777777" w:rsidR="00CD0EE4" w:rsidRDefault="00957EEF">
            <w:r>
              <w:t>—</w:t>
            </w:r>
          </w:p>
        </w:tc>
      </w:tr>
      <w:tr w:rsidR="00CD0EE4" w14:paraId="39C1B8C5" w14:textId="77777777">
        <w:tc>
          <w:tcPr>
            <w:tcW w:w="1980" w:type="dxa"/>
          </w:tcPr>
          <w:p w14:paraId="39C1B8C1" w14:textId="77777777" w:rsidR="00CD0EE4" w:rsidRDefault="00957EEF">
            <w:r>
              <w:t>mAS forearm, baseline</w:t>
            </w:r>
          </w:p>
        </w:tc>
        <w:tc>
          <w:tcPr>
            <w:tcW w:w="1980" w:type="dxa"/>
          </w:tcPr>
          <w:p w14:paraId="39C1B8C2" w14:textId="77777777" w:rsidR="00CD0EE4" w:rsidRDefault="00957EEF">
            <w:r>
              <w:t>1.04 ± 0.63</w:t>
            </w:r>
          </w:p>
        </w:tc>
        <w:tc>
          <w:tcPr>
            <w:tcW w:w="1980" w:type="dxa"/>
          </w:tcPr>
          <w:p w14:paraId="39C1B8C3" w14:textId="77777777" w:rsidR="00CD0EE4" w:rsidRDefault="00957EEF">
            <w:r>
              <w:t>1.72 ± 1.56</w:t>
            </w:r>
          </w:p>
        </w:tc>
        <w:tc>
          <w:tcPr>
            <w:tcW w:w="1980" w:type="dxa"/>
          </w:tcPr>
          <w:p w14:paraId="39C1B8C4" w14:textId="77777777" w:rsidR="00CD0EE4" w:rsidRDefault="00957EEF">
            <w:r>
              <w:t>—</w:t>
            </w:r>
          </w:p>
        </w:tc>
      </w:tr>
      <w:tr w:rsidR="00CD0EE4" w14:paraId="39C1B8CA" w14:textId="77777777">
        <w:tc>
          <w:tcPr>
            <w:tcW w:w="1980" w:type="dxa"/>
          </w:tcPr>
          <w:p w14:paraId="39C1B8C6" w14:textId="77777777" w:rsidR="00CD0EE4" w:rsidRDefault="00957EEF">
            <w:r>
              <w:t>mAS wrist, baseline</w:t>
            </w:r>
          </w:p>
        </w:tc>
        <w:tc>
          <w:tcPr>
            <w:tcW w:w="1980" w:type="dxa"/>
          </w:tcPr>
          <w:p w14:paraId="39C1B8C7" w14:textId="77777777" w:rsidR="00CD0EE4" w:rsidRDefault="00957EEF">
            <w:r>
              <w:t>1.28 ± 1.35</w:t>
            </w:r>
          </w:p>
        </w:tc>
        <w:tc>
          <w:tcPr>
            <w:tcW w:w="1980" w:type="dxa"/>
          </w:tcPr>
          <w:p w14:paraId="39C1B8C8" w14:textId="77777777" w:rsidR="00CD0EE4" w:rsidRDefault="00957EEF">
            <w:r>
              <w:t>1.62 ± 1.37</w:t>
            </w:r>
          </w:p>
        </w:tc>
        <w:tc>
          <w:tcPr>
            <w:tcW w:w="1980" w:type="dxa"/>
          </w:tcPr>
          <w:p w14:paraId="39C1B8C9" w14:textId="77777777" w:rsidR="00CD0EE4" w:rsidRDefault="00957EEF">
            <w:r>
              <w:t>—</w:t>
            </w:r>
          </w:p>
        </w:tc>
      </w:tr>
      <w:tr w:rsidR="00CD0EE4" w14:paraId="39C1B8CF" w14:textId="77777777">
        <w:tc>
          <w:tcPr>
            <w:tcW w:w="1980" w:type="dxa"/>
          </w:tcPr>
          <w:p w14:paraId="39C1B8CB" w14:textId="77777777" w:rsidR="00CD0EE4" w:rsidRDefault="00957EEF">
            <w:r>
              <w:t>mAS finger, baseline</w:t>
            </w:r>
          </w:p>
        </w:tc>
        <w:tc>
          <w:tcPr>
            <w:tcW w:w="1980" w:type="dxa"/>
          </w:tcPr>
          <w:p w14:paraId="39C1B8CC" w14:textId="77777777" w:rsidR="00CD0EE4" w:rsidRDefault="00957EEF">
            <w:r>
              <w:t>0.70 ± 1.05</w:t>
            </w:r>
          </w:p>
        </w:tc>
        <w:tc>
          <w:tcPr>
            <w:tcW w:w="1980" w:type="dxa"/>
          </w:tcPr>
          <w:p w14:paraId="39C1B8CD" w14:textId="77777777" w:rsidR="00CD0EE4" w:rsidRDefault="00957EEF">
            <w:r>
              <w:t>1.64 ± 1.28</w:t>
            </w:r>
          </w:p>
        </w:tc>
        <w:tc>
          <w:tcPr>
            <w:tcW w:w="1980" w:type="dxa"/>
          </w:tcPr>
          <w:p w14:paraId="39C1B8CE" w14:textId="77777777" w:rsidR="00CD0EE4" w:rsidRDefault="00957EEF">
            <w:r>
              <w:t>—</w:t>
            </w:r>
          </w:p>
        </w:tc>
      </w:tr>
      <w:tr w:rsidR="00CD0EE4" w14:paraId="39C1B8D4" w14:textId="77777777">
        <w:tc>
          <w:tcPr>
            <w:tcW w:w="1980" w:type="dxa"/>
          </w:tcPr>
          <w:p w14:paraId="39C1B8D0" w14:textId="77777777" w:rsidR="00CD0EE4" w:rsidRDefault="00957EEF">
            <w:r>
              <w:t>mAS thumb, baseline</w:t>
            </w:r>
          </w:p>
        </w:tc>
        <w:tc>
          <w:tcPr>
            <w:tcW w:w="1980" w:type="dxa"/>
          </w:tcPr>
          <w:p w14:paraId="39C1B8D1" w14:textId="77777777" w:rsidR="00CD0EE4" w:rsidRDefault="00957EEF">
            <w:r>
              <w:t>0.54 ± 0.72</w:t>
            </w:r>
          </w:p>
        </w:tc>
        <w:tc>
          <w:tcPr>
            <w:tcW w:w="1980" w:type="dxa"/>
          </w:tcPr>
          <w:p w14:paraId="39C1B8D2" w14:textId="77777777" w:rsidR="00CD0EE4" w:rsidRDefault="00957EEF">
            <w:r>
              <w:t>1.28 ± 1.41</w:t>
            </w:r>
          </w:p>
        </w:tc>
        <w:tc>
          <w:tcPr>
            <w:tcW w:w="1980" w:type="dxa"/>
          </w:tcPr>
          <w:p w14:paraId="39C1B8D3" w14:textId="77777777" w:rsidR="00CD0EE4" w:rsidRDefault="00957EEF">
            <w:r>
              <w:t>—</w:t>
            </w:r>
          </w:p>
        </w:tc>
      </w:tr>
      <w:tr w:rsidR="00CD0EE4" w14:paraId="39C1B8D9" w14:textId="77777777">
        <w:tc>
          <w:tcPr>
            <w:tcW w:w="1980" w:type="dxa"/>
          </w:tcPr>
          <w:p w14:paraId="39C1B8D5" w14:textId="77777777" w:rsidR="00CD0EE4" w:rsidRDefault="00957EEF">
            <w:r>
              <w:t>RMT, baseline (% MSO)</w:t>
            </w:r>
          </w:p>
        </w:tc>
        <w:tc>
          <w:tcPr>
            <w:tcW w:w="1980" w:type="dxa"/>
          </w:tcPr>
          <w:p w14:paraId="39C1B8D6" w14:textId="77777777" w:rsidR="00CD0EE4" w:rsidRDefault="00957EEF">
            <w:r>
              <w:t>37.7 ± 7.4</w:t>
            </w:r>
          </w:p>
        </w:tc>
        <w:tc>
          <w:tcPr>
            <w:tcW w:w="1980" w:type="dxa"/>
          </w:tcPr>
          <w:p w14:paraId="39C1B8D7" w14:textId="77777777" w:rsidR="00CD0EE4" w:rsidRDefault="00957EEF">
            <w:r>
              <w:t>52.3 ± 6.8</w:t>
            </w:r>
          </w:p>
        </w:tc>
        <w:tc>
          <w:tcPr>
            <w:tcW w:w="1980" w:type="dxa"/>
          </w:tcPr>
          <w:p w14:paraId="39C1B8D8" w14:textId="77777777" w:rsidR="00CD0EE4" w:rsidRDefault="00957EEF">
            <w:r>
              <w:t>&lt; 0.001</w:t>
            </w:r>
          </w:p>
        </w:tc>
      </w:tr>
    </w:tbl>
    <w:p w14:paraId="39C1B8DA" w14:textId="77777777" w:rsidR="00CD0EE4" w:rsidRDefault="00957EEF">
      <w:pPr>
        <w:rPr>
          <w:lang w:val="en-US"/>
        </w:rPr>
      </w:pPr>
      <w:r w:rsidRPr="00F87E1D">
        <w:rPr>
          <w:b/>
          <w:bCs/>
          <w:lang w:val="en-US"/>
        </w:rPr>
        <w:t>Table S3</w:t>
      </w:r>
      <w:r w:rsidRPr="00F87E1D">
        <w:rPr>
          <w:lang w:val="en-US"/>
        </w:rPr>
        <w:t xml:space="preserve"> Baseline characteristics by stimulation period (n = 112). Values are mean ± SD. FMA-UE, upper-extremity Fugl-Meyer Assessment; </w:t>
      </w:r>
      <w:proofErr w:type="spellStart"/>
      <w:r w:rsidRPr="00F87E1D">
        <w:rPr>
          <w:lang w:val="en-US"/>
        </w:rPr>
        <w:t>mAS</w:t>
      </w:r>
      <w:proofErr w:type="spellEnd"/>
      <w:r w:rsidRPr="00F87E1D">
        <w:rPr>
          <w:lang w:val="en-US"/>
        </w:rPr>
        <w:t>, modified Ashworth Scale, given as the mean across the per-direction ratings at each joint; RMT, resting motor threshold; MSO, maximum stimulator output. p-values from Mann-Whitney U tests; where no p-value is given the comparison was not formally tested. The difference in RMT reflects the device-specific scaling of % MSO and not a difference between patients.</w:t>
      </w:r>
    </w:p>
    <w:p w14:paraId="524F2107" w14:textId="77777777" w:rsidR="00F87E1D" w:rsidRPr="00F87E1D" w:rsidRDefault="00F87E1D">
      <w:pPr>
        <w:rPr>
          <w:lang w:val="en-US"/>
        </w:rPr>
      </w:pPr>
    </w:p>
    <w:tbl>
      <w:tblPr>
        <w:tblStyle w:val="Tabellenraster"/>
        <w:tblW w:w="0" w:type="auto"/>
        <w:tblLook w:val="0020" w:firstRow="1" w:lastRow="0" w:firstColumn="0" w:lastColumn="0" w:noHBand="0" w:noVBand="0"/>
      </w:tblPr>
      <w:tblGrid>
        <w:gridCol w:w="1977"/>
        <w:gridCol w:w="2643"/>
        <w:gridCol w:w="2680"/>
        <w:gridCol w:w="767"/>
        <w:gridCol w:w="645"/>
      </w:tblGrid>
      <w:tr w:rsidR="00CD0EE4" w14:paraId="39C1B8E0" w14:textId="77777777">
        <w:trPr>
          <w:tblHeader/>
        </w:trPr>
        <w:tc>
          <w:tcPr>
            <w:tcW w:w="0" w:type="auto"/>
          </w:tcPr>
          <w:p w14:paraId="39C1B8DB" w14:textId="77777777" w:rsidR="00CD0EE4" w:rsidRDefault="00957EEF">
            <w:r>
              <w:rPr>
                <w:b/>
                <w:bCs/>
              </w:rPr>
              <w:t>Outcome</w:t>
            </w:r>
          </w:p>
        </w:tc>
        <w:tc>
          <w:tcPr>
            <w:tcW w:w="0" w:type="auto"/>
          </w:tcPr>
          <w:p w14:paraId="39C1B8DC" w14:textId="77777777" w:rsidR="00CD0EE4" w:rsidRDefault="00957EEF">
            <w:r>
              <w:rPr>
                <w:b/>
                <w:bCs/>
              </w:rPr>
              <w:t>Nexstim period (n = 27)</w:t>
            </w:r>
          </w:p>
        </w:tc>
        <w:tc>
          <w:tcPr>
            <w:tcW w:w="0" w:type="auto"/>
          </w:tcPr>
          <w:p w14:paraId="39C1B8DD" w14:textId="77777777" w:rsidR="00CD0EE4" w:rsidRDefault="00957EEF">
            <w:r>
              <w:rPr>
                <w:b/>
                <w:bCs/>
              </w:rPr>
              <w:t>Magstim period (n = 85)</w:t>
            </w:r>
          </w:p>
        </w:tc>
        <w:tc>
          <w:tcPr>
            <w:tcW w:w="0" w:type="auto"/>
          </w:tcPr>
          <w:p w14:paraId="39C1B8DE" w14:textId="77777777" w:rsidR="00CD0EE4" w:rsidRDefault="00957EEF">
            <w:r>
              <w:rPr>
                <w:b/>
                <w:bCs/>
              </w:rPr>
              <w:t>p</w:t>
            </w:r>
          </w:p>
        </w:tc>
        <w:tc>
          <w:tcPr>
            <w:tcW w:w="0" w:type="auto"/>
          </w:tcPr>
          <w:p w14:paraId="39C1B8DF" w14:textId="77777777" w:rsidR="00CD0EE4" w:rsidRDefault="00957EEF">
            <w:r>
              <w:rPr>
                <w:b/>
                <w:bCs/>
              </w:rPr>
              <w:t>r</w:t>
            </w:r>
          </w:p>
        </w:tc>
      </w:tr>
      <w:tr w:rsidR="00CD0EE4" w14:paraId="39C1B8E6" w14:textId="77777777">
        <w:tc>
          <w:tcPr>
            <w:tcW w:w="0" w:type="auto"/>
          </w:tcPr>
          <w:p w14:paraId="39C1B8E1" w14:textId="77777777" w:rsidR="00CD0EE4" w:rsidRDefault="00957EEF">
            <w:r>
              <w:t>Δ FMA-UE, points</w:t>
            </w:r>
          </w:p>
        </w:tc>
        <w:tc>
          <w:tcPr>
            <w:tcW w:w="0" w:type="auto"/>
          </w:tcPr>
          <w:p w14:paraId="39C1B8E2" w14:textId="77777777" w:rsidR="00CD0EE4" w:rsidRDefault="00957EEF">
            <w:r>
              <w:t>+2.52 ± 4.40</w:t>
            </w:r>
          </w:p>
        </w:tc>
        <w:tc>
          <w:tcPr>
            <w:tcW w:w="0" w:type="auto"/>
          </w:tcPr>
          <w:p w14:paraId="39C1B8E3" w14:textId="77777777" w:rsidR="00CD0EE4" w:rsidRDefault="00957EEF">
            <w:r>
              <w:t>+4.39 ± 5.04</w:t>
            </w:r>
          </w:p>
        </w:tc>
        <w:tc>
          <w:tcPr>
            <w:tcW w:w="0" w:type="auto"/>
          </w:tcPr>
          <w:p w14:paraId="39C1B8E4" w14:textId="77777777" w:rsidR="00CD0EE4" w:rsidRDefault="00957EEF">
            <w:r>
              <w:t>0.035</w:t>
            </w:r>
          </w:p>
        </w:tc>
        <w:tc>
          <w:tcPr>
            <w:tcW w:w="0" w:type="auto"/>
          </w:tcPr>
          <w:p w14:paraId="39C1B8E5" w14:textId="77777777" w:rsidR="00CD0EE4" w:rsidRDefault="00957EEF">
            <w:r>
              <w:t>0.20</w:t>
            </w:r>
          </w:p>
        </w:tc>
      </w:tr>
      <w:tr w:rsidR="00CD0EE4" w14:paraId="39C1B8EC" w14:textId="77777777">
        <w:tc>
          <w:tcPr>
            <w:tcW w:w="0" w:type="auto"/>
          </w:tcPr>
          <w:p w14:paraId="39C1B8E7" w14:textId="77777777" w:rsidR="00CD0EE4" w:rsidRDefault="00957EEF">
            <w:r>
              <w:t>Δ mAS shoulder</w:t>
            </w:r>
          </w:p>
        </w:tc>
        <w:tc>
          <w:tcPr>
            <w:tcW w:w="0" w:type="auto"/>
          </w:tcPr>
          <w:p w14:paraId="39C1B8E8" w14:textId="77777777" w:rsidR="00CD0EE4" w:rsidRDefault="00957EEF">
            <w:r>
              <w:t>−</w:t>
            </w:r>
            <w:r>
              <w:t>0.30</w:t>
            </w:r>
          </w:p>
        </w:tc>
        <w:tc>
          <w:tcPr>
            <w:tcW w:w="0" w:type="auto"/>
          </w:tcPr>
          <w:p w14:paraId="39C1B8E9" w14:textId="77777777" w:rsidR="00CD0EE4" w:rsidRDefault="00957EEF">
            <w:r>
              <w:t>−</w:t>
            </w:r>
            <w:r>
              <w:t>0.49</w:t>
            </w:r>
          </w:p>
        </w:tc>
        <w:tc>
          <w:tcPr>
            <w:tcW w:w="0" w:type="auto"/>
          </w:tcPr>
          <w:p w14:paraId="39C1B8EA" w14:textId="77777777" w:rsidR="00CD0EE4" w:rsidRDefault="00957EEF">
            <w:r>
              <w:t>0.149</w:t>
            </w:r>
          </w:p>
        </w:tc>
        <w:tc>
          <w:tcPr>
            <w:tcW w:w="0" w:type="auto"/>
          </w:tcPr>
          <w:p w14:paraId="39C1B8EB" w14:textId="77777777" w:rsidR="00CD0EE4" w:rsidRDefault="00957EEF">
            <w:r>
              <w:t>0.14</w:t>
            </w:r>
          </w:p>
        </w:tc>
      </w:tr>
      <w:tr w:rsidR="00CD0EE4" w14:paraId="39C1B8F2" w14:textId="77777777">
        <w:tc>
          <w:tcPr>
            <w:tcW w:w="0" w:type="auto"/>
          </w:tcPr>
          <w:p w14:paraId="39C1B8ED" w14:textId="77777777" w:rsidR="00CD0EE4" w:rsidRDefault="00957EEF">
            <w:r>
              <w:t>Δ mAS elbow</w:t>
            </w:r>
          </w:p>
        </w:tc>
        <w:tc>
          <w:tcPr>
            <w:tcW w:w="0" w:type="auto"/>
          </w:tcPr>
          <w:p w14:paraId="39C1B8EE" w14:textId="77777777" w:rsidR="00CD0EE4" w:rsidRDefault="00957EEF">
            <w:r>
              <w:t>−</w:t>
            </w:r>
            <w:r>
              <w:t>0.15</w:t>
            </w:r>
          </w:p>
        </w:tc>
        <w:tc>
          <w:tcPr>
            <w:tcW w:w="0" w:type="auto"/>
          </w:tcPr>
          <w:p w14:paraId="39C1B8EF" w14:textId="77777777" w:rsidR="00CD0EE4" w:rsidRDefault="00957EEF">
            <w:r>
              <w:t>−</w:t>
            </w:r>
            <w:r>
              <w:t>0.49</w:t>
            </w:r>
          </w:p>
        </w:tc>
        <w:tc>
          <w:tcPr>
            <w:tcW w:w="0" w:type="auto"/>
          </w:tcPr>
          <w:p w14:paraId="39C1B8F0" w14:textId="77777777" w:rsidR="00CD0EE4" w:rsidRDefault="00957EEF">
            <w:r>
              <w:t>0.036</w:t>
            </w:r>
          </w:p>
        </w:tc>
        <w:tc>
          <w:tcPr>
            <w:tcW w:w="0" w:type="auto"/>
          </w:tcPr>
          <w:p w14:paraId="39C1B8F1" w14:textId="77777777" w:rsidR="00CD0EE4" w:rsidRDefault="00957EEF">
            <w:r>
              <w:t>—</w:t>
            </w:r>
          </w:p>
        </w:tc>
      </w:tr>
      <w:tr w:rsidR="00CD0EE4" w14:paraId="39C1B8F8" w14:textId="77777777">
        <w:tc>
          <w:tcPr>
            <w:tcW w:w="0" w:type="auto"/>
          </w:tcPr>
          <w:p w14:paraId="39C1B8F3" w14:textId="77777777" w:rsidR="00CD0EE4" w:rsidRDefault="00957EEF">
            <w:r>
              <w:t>Δ mAS forearm</w:t>
            </w:r>
          </w:p>
        </w:tc>
        <w:tc>
          <w:tcPr>
            <w:tcW w:w="0" w:type="auto"/>
          </w:tcPr>
          <w:p w14:paraId="39C1B8F4" w14:textId="77777777" w:rsidR="00CD0EE4" w:rsidRDefault="00957EEF">
            <w:r>
              <w:t>−</w:t>
            </w:r>
            <w:r>
              <w:t>0.17</w:t>
            </w:r>
          </w:p>
        </w:tc>
        <w:tc>
          <w:tcPr>
            <w:tcW w:w="0" w:type="auto"/>
          </w:tcPr>
          <w:p w14:paraId="39C1B8F5" w14:textId="77777777" w:rsidR="00CD0EE4" w:rsidRDefault="00957EEF">
            <w:r>
              <w:t>−</w:t>
            </w:r>
            <w:r>
              <w:t>0.29</w:t>
            </w:r>
          </w:p>
        </w:tc>
        <w:tc>
          <w:tcPr>
            <w:tcW w:w="0" w:type="auto"/>
          </w:tcPr>
          <w:p w14:paraId="39C1B8F6" w14:textId="77777777" w:rsidR="00CD0EE4" w:rsidRDefault="00957EEF">
            <w:r>
              <w:t>0.618</w:t>
            </w:r>
          </w:p>
        </w:tc>
        <w:tc>
          <w:tcPr>
            <w:tcW w:w="0" w:type="auto"/>
          </w:tcPr>
          <w:p w14:paraId="39C1B8F7" w14:textId="77777777" w:rsidR="00CD0EE4" w:rsidRDefault="00957EEF">
            <w:r>
              <w:t>—</w:t>
            </w:r>
          </w:p>
        </w:tc>
      </w:tr>
      <w:tr w:rsidR="00CD0EE4" w14:paraId="39C1B8FE" w14:textId="77777777">
        <w:tc>
          <w:tcPr>
            <w:tcW w:w="0" w:type="auto"/>
          </w:tcPr>
          <w:p w14:paraId="39C1B8F9" w14:textId="77777777" w:rsidR="00CD0EE4" w:rsidRDefault="00957EEF">
            <w:r>
              <w:t>Δ mAS wrist</w:t>
            </w:r>
          </w:p>
        </w:tc>
        <w:tc>
          <w:tcPr>
            <w:tcW w:w="0" w:type="auto"/>
          </w:tcPr>
          <w:p w14:paraId="39C1B8FA" w14:textId="77777777" w:rsidR="00CD0EE4" w:rsidRDefault="00957EEF">
            <w:r>
              <w:t>−</w:t>
            </w:r>
            <w:r>
              <w:t>0.31</w:t>
            </w:r>
          </w:p>
        </w:tc>
        <w:tc>
          <w:tcPr>
            <w:tcW w:w="0" w:type="auto"/>
          </w:tcPr>
          <w:p w14:paraId="39C1B8FB" w14:textId="77777777" w:rsidR="00CD0EE4" w:rsidRDefault="00957EEF">
            <w:r>
              <w:t>−</w:t>
            </w:r>
            <w:r>
              <w:t>0.35</w:t>
            </w:r>
          </w:p>
        </w:tc>
        <w:tc>
          <w:tcPr>
            <w:tcW w:w="0" w:type="auto"/>
          </w:tcPr>
          <w:p w14:paraId="39C1B8FC" w14:textId="77777777" w:rsidR="00CD0EE4" w:rsidRDefault="00957EEF">
            <w:r>
              <w:t>0.925</w:t>
            </w:r>
          </w:p>
        </w:tc>
        <w:tc>
          <w:tcPr>
            <w:tcW w:w="0" w:type="auto"/>
          </w:tcPr>
          <w:p w14:paraId="39C1B8FD" w14:textId="77777777" w:rsidR="00CD0EE4" w:rsidRDefault="00957EEF">
            <w:r>
              <w:t>—</w:t>
            </w:r>
          </w:p>
        </w:tc>
      </w:tr>
      <w:tr w:rsidR="00CD0EE4" w14:paraId="39C1B904" w14:textId="77777777">
        <w:tc>
          <w:tcPr>
            <w:tcW w:w="0" w:type="auto"/>
          </w:tcPr>
          <w:p w14:paraId="39C1B8FF" w14:textId="77777777" w:rsidR="00CD0EE4" w:rsidRDefault="00957EEF">
            <w:r>
              <w:t>Δ mAS finger</w:t>
            </w:r>
          </w:p>
        </w:tc>
        <w:tc>
          <w:tcPr>
            <w:tcW w:w="0" w:type="auto"/>
          </w:tcPr>
          <w:p w14:paraId="39C1B900" w14:textId="77777777" w:rsidR="00CD0EE4" w:rsidRDefault="00957EEF">
            <w:r>
              <w:t>−</w:t>
            </w:r>
            <w:r>
              <w:t>0.22</w:t>
            </w:r>
          </w:p>
        </w:tc>
        <w:tc>
          <w:tcPr>
            <w:tcW w:w="0" w:type="auto"/>
          </w:tcPr>
          <w:p w14:paraId="39C1B901" w14:textId="77777777" w:rsidR="00CD0EE4" w:rsidRDefault="00957EEF">
            <w:r>
              <w:t>−</w:t>
            </w:r>
            <w:r>
              <w:t>0.41</w:t>
            </w:r>
          </w:p>
        </w:tc>
        <w:tc>
          <w:tcPr>
            <w:tcW w:w="0" w:type="auto"/>
          </w:tcPr>
          <w:p w14:paraId="39C1B902" w14:textId="77777777" w:rsidR="00CD0EE4" w:rsidRDefault="00957EEF">
            <w:r>
              <w:t>0.216</w:t>
            </w:r>
          </w:p>
        </w:tc>
        <w:tc>
          <w:tcPr>
            <w:tcW w:w="0" w:type="auto"/>
          </w:tcPr>
          <w:p w14:paraId="39C1B903" w14:textId="77777777" w:rsidR="00CD0EE4" w:rsidRDefault="00957EEF">
            <w:r>
              <w:t>—</w:t>
            </w:r>
          </w:p>
        </w:tc>
      </w:tr>
      <w:tr w:rsidR="00CD0EE4" w14:paraId="39C1B90A" w14:textId="77777777">
        <w:tc>
          <w:tcPr>
            <w:tcW w:w="0" w:type="auto"/>
          </w:tcPr>
          <w:p w14:paraId="39C1B905" w14:textId="77777777" w:rsidR="00CD0EE4" w:rsidRDefault="00957EEF">
            <w:r>
              <w:t>Δ mAS thumb</w:t>
            </w:r>
          </w:p>
        </w:tc>
        <w:tc>
          <w:tcPr>
            <w:tcW w:w="0" w:type="auto"/>
          </w:tcPr>
          <w:p w14:paraId="39C1B906" w14:textId="77777777" w:rsidR="00CD0EE4" w:rsidRDefault="00957EEF">
            <w:r>
              <w:t>−</w:t>
            </w:r>
            <w:r>
              <w:t>0.17</w:t>
            </w:r>
          </w:p>
        </w:tc>
        <w:tc>
          <w:tcPr>
            <w:tcW w:w="0" w:type="auto"/>
          </w:tcPr>
          <w:p w14:paraId="39C1B907" w14:textId="77777777" w:rsidR="00CD0EE4" w:rsidRDefault="00957EEF">
            <w:r>
              <w:t>−</w:t>
            </w:r>
            <w:r>
              <w:t>0.40</w:t>
            </w:r>
          </w:p>
        </w:tc>
        <w:tc>
          <w:tcPr>
            <w:tcW w:w="0" w:type="auto"/>
          </w:tcPr>
          <w:p w14:paraId="39C1B908" w14:textId="77777777" w:rsidR="00CD0EE4" w:rsidRDefault="00957EEF">
            <w:r>
              <w:t>0.213</w:t>
            </w:r>
          </w:p>
        </w:tc>
        <w:tc>
          <w:tcPr>
            <w:tcW w:w="0" w:type="auto"/>
          </w:tcPr>
          <w:p w14:paraId="39C1B909" w14:textId="77777777" w:rsidR="00CD0EE4" w:rsidRDefault="00957EEF">
            <w:r>
              <w:t>—</w:t>
            </w:r>
          </w:p>
        </w:tc>
      </w:tr>
    </w:tbl>
    <w:p w14:paraId="39C1B90B" w14:textId="77777777" w:rsidR="00CD0EE4" w:rsidRPr="00F87E1D" w:rsidRDefault="00957EEF">
      <w:pPr>
        <w:rPr>
          <w:lang w:val="en-US"/>
        </w:rPr>
      </w:pPr>
      <w:r w:rsidRPr="00F87E1D">
        <w:rPr>
          <w:b/>
          <w:bCs/>
          <w:lang w:val="en-US"/>
        </w:rPr>
        <w:t>Table S4</w:t>
      </w:r>
      <w:r w:rsidRPr="00F87E1D">
        <w:rPr>
          <w:lang w:val="en-US"/>
        </w:rPr>
        <w:t xml:space="preserve"> </w:t>
      </w:r>
      <w:proofErr w:type="gramStart"/>
      <w:r w:rsidRPr="00F87E1D">
        <w:rPr>
          <w:lang w:val="en-US"/>
        </w:rPr>
        <w:t>Pre-post</w:t>
      </w:r>
      <w:proofErr w:type="gramEnd"/>
      <w:r w:rsidRPr="00F87E1D">
        <w:rPr>
          <w:lang w:val="en-US"/>
        </w:rPr>
        <w:t xml:space="preserve"> change by stimulation period (n = 112 for FMA-UE, n = 111 for all modified Ashworth-derived scores). Values are mean ± SD for FMA-UE and mean change for the modified Ashworth-derived scores, expressed on the per-direction scale used in the main text. Negative values denote a reduction. p-values from Mann-Whitney U tests, uncorrected for multiple comparisons; r = Z / √N. All analyses are exploratory.</w:t>
      </w:r>
    </w:p>
    <w:tbl>
      <w:tblPr>
        <w:tblStyle w:val="Tabellenraster"/>
        <w:tblW w:w="5000" w:type="pct"/>
        <w:tblLayout w:type="fixed"/>
        <w:tblLook w:val="0020" w:firstRow="1" w:lastRow="0" w:firstColumn="0" w:lastColumn="0" w:noHBand="0" w:noVBand="0"/>
      </w:tblPr>
      <w:tblGrid>
        <w:gridCol w:w="2254"/>
        <w:gridCol w:w="2254"/>
        <w:gridCol w:w="2254"/>
        <w:gridCol w:w="2254"/>
      </w:tblGrid>
      <w:tr w:rsidR="00CD0EE4" w14:paraId="39C1B910" w14:textId="77777777">
        <w:trPr>
          <w:tblHeader/>
        </w:trPr>
        <w:tc>
          <w:tcPr>
            <w:tcW w:w="1980" w:type="dxa"/>
          </w:tcPr>
          <w:p w14:paraId="39C1B90C" w14:textId="77777777" w:rsidR="00CD0EE4" w:rsidRDefault="00957EEF">
            <w:proofErr w:type="spellStart"/>
            <w:r>
              <w:rPr>
                <w:b/>
                <w:bCs/>
              </w:rPr>
              <w:t>Measure</w:t>
            </w:r>
            <w:proofErr w:type="spellEnd"/>
          </w:p>
        </w:tc>
        <w:tc>
          <w:tcPr>
            <w:tcW w:w="1980" w:type="dxa"/>
          </w:tcPr>
          <w:p w14:paraId="39C1B90D" w14:textId="77777777" w:rsidR="00CD0EE4" w:rsidRDefault="00957EEF">
            <w:r>
              <w:rPr>
                <w:b/>
                <w:bCs/>
              </w:rPr>
              <w:t>Nexstim period (n = 27)</w:t>
            </w:r>
          </w:p>
        </w:tc>
        <w:tc>
          <w:tcPr>
            <w:tcW w:w="1980" w:type="dxa"/>
          </w:tcPr>
          <w:p w14:paraId="39C1B90E" w14:textId="77777777" w:rsidR="00CD0EE4" w:rsidRDefault="00957EEF">
            <w:r>
              <w:rPr>
                <w:b/>
                <w:bCs/>
              </w:rPr>
              <w:t>Magstim period (n = 85)</w:t>
            </w:r>
          </w:p>
        </w:tc>
        <w:tc>
          <w:tcPr>
            <w:tcW w:w="1980" w:type="dxa"/>
          </w:tcPr>
          <w:p w14:paraId="39C1B90F" w14:textId="77777777" w:rsidR="00CD0EE4" w:rsidRDefault="00957EEF">
            <w:r>
              <w:rPr>
                <w:b/>
                <w:bCs/>
              </w:rPr>
              <w:t>Pooled (n = 112)</w:t>
            </w:r>
          </w:p>
        </w:tc>
      </w:tr>
      <w:tr w:rsidR="00CD0EE4" w14:paraId="39C1B915" w14:textId="77777777">
        <w:tc>
          <w:tcPr>
            <w:tcW w:w="1980" w:type="dxa"/>
          </w:tcPr>
          <w:p w14:paraId="39C1B911" w14:textId="77777777" w:rsidR="00CD0EE4" w:rsidRDefault="00957EEF">
            <w:r>
              <w:t>RMT baseline (% MSO)</w:t>
            </w:r>
          </w:p>
        </w:tc>
        <w:tc>
          <w:tcPr>
            <w:tcW w:w="1980" w:type="dxa"/>
          </w:tcPr>
          <w:p w14:paraId="39C1B912" w14:textId="77777777" w:rsidR="00CD0EE4" w:rsidRDefault="00957EEF">
            <w:r>
              <w:t>37.7 ± 7.4</w:t>
            </w:r>
          </w:p>
        </w:tc>
        <w:tc>
          <w:tcPr>
            <w:tcW w:w="1980" w:type="dxa"/>
          </w:tcPr>
          <w:p w14:paraId="39C1B913" w14:textId="77777777" w:rsidR="00CD0EE4" w:rsidRDefault="00957EEF">
            <w:r>
              <w:t>52.3 ± 6.8</w:t>
            </w:r>
          </w:p>
        </w:tc>
        <w:tc>
          <w:tcPr>
            <w:tcW w:w="1980" w:type="dxa"/>
          </w:tcPr>
          <w:p w14:paraId="39C1B914" w14:textId="77777777" w:rsidR="00CD0EE4" w:rsidRDefault="00957EEF">
            <w:r>
              <w:t>48.75 ± 9.30</w:t>
            </w:r>
          </w:p>
        </w:tc>
      </w:tr>
      <w:tr w:rsidR="00CD0EE4" w14:paraId="39C1B91A" w14:textId="77777777">
        <w:tc>
          <w:tcPr>
            <w:tcW w:w="1980" w:type="dxa"/>
          </w:tcPr>
          <w:p w14:paraId="39C1B916" w14:textId="77777777" w:rsidR="00CD0EE4" w:rsidRDefault="00957EEF">
            <w:r>
              <w:t>Δ RMT (% MSO)</w:t>
            </w:r>
          </w:p>
        </w:tc>
        <w:tc>
          <w:tcPr>
            <w:tcW w:w="1980" w:type="dxa"/>
          </w:tcPr>
          <w:p w14:paraId="39C1B917" w14:textId="77777777" w:rsidR="00CD0EE4" w:rsidRDefault="00957EEF">
            <w:r>
              <w:t>+0.94 ± 4.15</w:t>
            </w:r>
          </w:p>
        </w:tc>
        <w:tc>
          <w:tcPr>
            <w:tcW w:w="1980" w:type="dxa"/>
          </w:tcPr>
          <w:p w14:paraId="39C1B918" w14:textId="77777777" w:rsidR="00CD0EE4" w:rsidRDefault="00957EEF">
            <w:r>
              <w:t>+1.21 ± 4.39</w:t>
            </w:r>
          </w:p>
        </w:tc>
        <w:tc>
          <w:tcPr>
            <w:tcW w:w="1980" w:type="dxa"/>
          </w:tcPr>
          <w:p w14:paraId="39C1B919" w14:textId="77777777" w:rsidR="00CD0EE4" w:rsidRDefault="00957EEF">
            <w:r>
              <w:t>+1.14 ± 4.32</w:t>
            </w:r>
          </w:p>
        </w:tc>
      </w:tr>
      <w:tr w:rsidR="00CD0EE4" w14:paraId="39C1B91F" w14:textId="77777777">
        <w:tc>
          <w:tcPr>
            <w:tcW w:w="1980" w:type="dxa"/>
          </w:tcPr>
          <w:p w14:paraId="39C1B91B" w14:textId="77777777" w:rsidR="00CD0EE4" w:rsidRDefault="00957EEF">
            <w:r>
              <w:t>Correlation pre-post</w:t>
            </w:r>
          </w:p>
        </w:tc>
        <w:tc>
          <w:tcPr>
            <w:tcW w:w="1980" w:type="dxa"/>
          </w:tcPr>
          <w:p w14:paraId="39C1B91C" w14:textId="77777777" w:rsidR="00CD0EE4" w:rsidRDefault="00957EEF">
            <w:r>
              <w:t>0.84</w:t>
            </w:r>
          </w:p>
        </w:tc>
        <w:tc>
          <w:tcPr>
            <w:tcW w:w="1980" w:type="dxa"/>
          </w:tcPr>
          <w:p w14:paraId="39C1B91D" w14:textId="77777777" w:rsidR="00CD0EE4" w:rsidRDefault="00957EEF">
            <w:r>
              <w:t>0.81</w:t>
            </w:r>
          </w:p>
        </w:tc>
        <w:tc>
          <w:tcPr>
            <w:tcW w:w="1980" w:type="dxa"/>
          </w:tcPr>
          <w:p w14:paraId="39C1B91E" w14:textId="77777777" w:rsidR="00CD0EE4" w:rsidRDefault="00957EEF">
            <w:r>
              <w:t>0.90</w:t>
            </w:r>
          </w:p>
        </w:tc>
      </w:tr>
    </w:tbl>
    <w:p w14:paraId="39C1B920" w14:textId="77777777" w:rsidR="00CD0EE4" w:rsidRPr="00F87E1D" w:rsidRDefault="00957EEF">
      <w:pPr>
        <w:rPr>
          <w:lang w:val="en-US"/>
        </w:rPr>
      </w:pPr>
      <w:r w:rsidRPr="00F87E1D">
        <w:rPr>
          <w:b/>
          <w:bCs/>
          <w:lang w:val="en-US"/>
        </w:rPr>
        <w:lastRenderedPageBreak/>
        <w:t>Table S5</w:t>
      </w:r>
      <w:r w:rsidRPr="00F87E1D">
        <w:rPr>
          <w:lang w:val="en-US"/>
        </w:rPr>
        <w:t xml:space="preserve"> Contralesional resting motor threshold by stimulation period. Values are mean ± SD; correlations are Pearson coefficients between baseline and post-intervention values. Each patient was assessed on the same system at both time points, so the device-specific offset cancels within patients and the change scores are directly comparable across periods. The pooled baseline value and the pooled correlation combine the two device scales and should be interpreted accordingly.</w:t>
      </w:r>
    </w:p>
    <w:sectPr w:rsidR="00CD0EE4" w:rsidRPr="00F87E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6FF6" w14:textId="77777777" w:rsidR="00957EEF" w:rsidRDefault="00957EEF">
      <w:pPr>
        <w:spacing w:line="240" w:lineRule="auto"/>
      </w:pPr>
      <w:r>
        <w:separator/>
      </w:r>
    </w:p>
  </w:endnote>
  <w:endnote w:type="continuationSeparator" w:id="0">
    <w:p w14:paraId="1106B19A" w14:textId="77777777" w:rsidR="00957EEF" w:rsidRDefault="00957E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horndale"/>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B923" w14:textId="77777777" w:rsidR="00412A00" w:rsidRDefault="00412A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B924" w14:textId="77777777" w:rsidR="007904C5" w:rsidRDefault="00986C5E">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5E6059">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5E6059">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B926" w14:textId="77777777" w:rsidR="00412A00" w:rsidRDefault="00412A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B2E86" w14:textId="77777777" w:rsidR="00957EEF" w:rsidRDefault="00957EEF">
      <w:pPr>
        <w:spacing w:line="240" w:lineRule="auto"/>
      </w:pPr>
      <w:r>
        <w:separator/>
      </w:r>
    </w:p>
  </w:footnote>
  <w:footnote w:type="continuationSeparator" w:id="0">
    <w:p w14:paraId="47218F43" w14:textId="77777777" w:rsidR="00957EEF" w:rsidRDefault="00957E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B921" w14:textId="77777777" w:rsidR="00412A00" w:rsidRDefault="00412A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B922" w14:textId="77777777" w:rsidR="007904C5" w:rsidRPr="005E6059" w:rsidRDefault="007904C5">
    <w:pP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B925" w14:textId="77777777" w:rsidR="00412A00" w:rsidRDefault="00412A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79A95B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439D12EA"/>
    <w:multiLevelType w:val="hybridMultilevel"/>
    <w:tmpl w:val="FA567326"/>
    <w:lvl w:ilvl="0" w:tplc="D61466D8">
      <w:start w:val="1"/>
      <w:numFmt w:val="bullet"/>
      <w:lvlText w:val="●"/>
      <w:lvlJc w:val="left"/>
      <w:pPr>
        <w:ind w:left="720" w:hanging="360"/>
      </w:pPr>
    </w:lvl>
    <w:lvl w:ilvl="1" w:tplc="F8D6DB62">
      <w:start w:val="1"/>
      <w:numFmt w:val="bullet"/>
      <w:lvlText w:val="○"/>
      <w:lvlJc w:val="left"/>
      <w:pPr>
        <w:ind w:left="1440" w:hanging="360"/>
      </w:pPr>
    </w:lvl>
    <w:lvl w:ilvl="2" w:tplc="DF98806C">
      <w:start w:val="1"/>
      <w:numFmt w:val="bullet"/>
      <w:lvlText w:val="■"/>
      <w:lvlJc w:val="left"/>
      <w:pPr>
        <w:ind w:left="2160" w:hanging="360"/>
      </w:pPr>
    </w:lvl>
    <w:lvl w:ilvl="3" w:tplc="3E98A69C">
      <w:start w:val="1"/>
      <w:numFmt w:val="bullet"/>
      <w:lvlText w:val="●"/>
      <w:lvlJc w:val="left"/>
      <w:pPr>
        <w:ind w:left="2880" w:hanging="360"/>
      </w:pPr>
    </w:lvl>
    <w:lvl w:ilvl="4" w:tplc="23DE7E48">
      <w:start w:val="1"/>
      <w:numFmt w:val="bullet"/>
      <w:lvlText w:val="○"/>
      <w:lvlJc w:val="left"/>
      <w:pPr>
        <w:ind w:left="3600" w:hanging="360"/>
      </w:pPr>
    </w:lvl>
    <w:lvl w:ilvl="5" w:tplc="13342D8E">
      <w:start w:val="1"/>
      <w:numFmt w:val="bullet"/>
      <w:lvlText w:val="■"/>
      <w:lvlJc w:val="left"/>
      <w:pPr>
        <w:ind w:left="4320" w:hanging="360"/>
      </w:pPr>
    </w:lvl>
    <w:lvl w:ilvl="6" w:tplc="0DEED1C6">
      <w:start w:val="1"/>
      <w:numFmt w:val="bullet"/>
      <w:lvlText w:val="●"/>
      <w:lvlJc w:val="left"/>
      <w:pPr>
        <w:ind w:left="5040" w:hanging="360"/>
      </w:pPr>
    </w:lvl>
    <w:lvl w:ilvl="7" w:tplc="48A8C204">
      <w:start w:val="1"/>
      <w:numFmt w:val="bullet"/>
      <w:lvlText w:val="●"/>
      <w:lvlJc w:val="left"/>
      <w:pPr>
        <w:ind w:left="5760" w:hanging="360"/>
      </w:pPr>
    </w:lvl>
    <w:lvl w:ilvl="8" w:tplc="C3005148">
      <w:start w:val="1"/>
      <w:numFmt w:val="bullet"/>
      <w:lvlText w:val="●"/>
      <w:lvlJc w:val="left"/>
      <w:pPr>
        <w:ind w:left="6480" w:hanging="360"/>
      </w:pPr>
    </w:lvl>
  </w:abstractNum>
  <w:num w:numId="1" w16cid:durableId="2136635773">
    <w:abstractNumId w:val="1"/>
    <w:lvlOverride w:ilvl="0">
      <w:startOverride w:val="1"/>
    </w:lvlOverride>
  </w:num>
  <w:num w:numId="2" w16cid:durableId="1970547183">
    <w:abstractNumId w:val="0"/>
  </w:num>
  <w:num w:numId="3" w16cid:durableId="1955163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4C5"/>
    <w:rsid w:val="00000B21"/>
    <w:rsid w:val="00001FB7"/>
    <w:rsid w:val="000022C6"/>
    <w:rsid w:val="00002C67"/>
    <w:rsid w:val="00004E30"/>
    <w:rsid w:val="000058DB"/>
    <w:rsid w:val="00007446"/>
    <w:rsid w:val="000119C5"/>
    <w:rsid w:val="00014CC2"/>
    <w:rsid w:val="0001543F"/>
    <w:rsid w:val="000160C4"/>
    <w:rsid w:val="00023A02"/>
    <w:rsid w:val="00024303"/>
    <w:rsid w:val="000322FF"/>
    <w:rsid w:val="00035639"/>
    <w:rsid w:val="00036C1A"/>
    <w:rsid w:val="00043957"/>
    <w:rsid w:val="00045BF2"/>
    <w:rsid w:val="00050343"/>
    <w:rsid w:val="00054170"/>
    <w:rsid w:val="00056103"/>
    <w:rsid w:val="000566A4"/>
    <w:rsid w:val="00062754"/>
    <w:rsid w:val="0006294E"/>
    <w:rsid w:val="00063F8E"/>
    <w:rsid w:val="0006681C"/>
    <w:rsid w:val="00066C1C"/>
    <w:rsid w:val="00067F47"/>
    <w:rsid w:val="000732DF"/>
    <w:rsid w:val="0007490A"/>
    <w:rsid w:val="00076219"/>
    <w:rsid w:val="000767AA"/>
    <w:rsid w:val="0008186B"/>
    <w:rsid w:val="000818AB"/>
    <w:rsid w:val="00081D60"/>
    <w:rsid w:val="0008606D"/>
    <w:rsid w:val="0008726C"/>
    <w:rsid w:val="00090237"/>
    <w:rsid w:val="0009181D"/>
    <w:rsid w:val="00091A37"/>
    <w:rsid w:val="000937B0"/>
    <w:rsid w:val="000976C1"/>
    <w:rsid w:val="000A671B"/>
    <w:rsid w:val="000A782A"/>
    <w:rsid w:val="000B14CF"/>
    <w:rsid w:val="000B2EE0"/>
    <w:rsid w:val="000B3D34"/>
    <w:rsid w:val="000B469F"/>
    <w:rsid w:val="000C65BE"/>
    <w:rsid w:val="000C731C"/>
    <w:rsid w:val="000D09F7"/>
    <w:rsid w:val="000D4C88"/>
    <w:rsid w:val="000E1A17"/>
    <w:rsid w:val="000E3F7E"/>
    <w:rsid w:val="000E4E63"/>
    <w:rsid w:val="000E51D2"/>
    <w:rsid w:val="000E6584"/>
    <w:rsid w:val="000F22AF"/>
    <w:rsid w:val="000F2D87"/>
    <w:rsid w:val="000F3AA7"/>
    <w:rsid w:val="000F53CF"/>
    <w:rsid w:val="000F6917"/>
    <w:rsid w:val="000F6BCB"/>
    <w:rsid w:val="001000E2"/>
    <w:rsid w:val="001013F2"/>
    <w:rsid w:val="001022C0"/>
    <w:rsid w:val="001034CF"/>
    <w:rsid w:val="00104DEE"/>
    <w:rsid w:val="00112174"/>
    <w:rsid w:val="001140E8"/>
    <w:rsid w:val="001205A6"/>
    <w:rsid w:val="00133FE1"/>
    <w:rsid w:val="00133FFB"/>
    <w:rsid w:val="00134C7C"/>
    <w:rsid w:val="00141ACB"/>
    <w:rsid w:val="00142395"/>
    <w:rsid w:val="00142E79"/>
    <w:rsid w:val="00145B8C"/>
    <w:rsid w:val="00145CA1"/>
    <w:rsid w:val="00145D5C"/>
    <w:rsid w:val="001462C4"/>
    <w:rsid w:val="00147107"/>
    <w:rsid w:val="001520B7"/>
    <w:rsid w:val="0015238C"/>
    <w:rsid w:val="00157233"/>
    <w:rsid w:val="00160599"/>
    <w:rsid w:val="001629C6"/>
    <w:rsid w:val="001649B6"/>
    <w:rsid w:val="001722B0"/>
    <w:rsid w:val="00173145"/>
    <w:rsid w:val="0017775B"/>
    <w:rsid w:val="0018181A"/>
    <w:rsid w:val="00182740"/>
    <w:rsid w:val="001A51A2"/>
    <w:rsid w:val="001B0353"/>
    <w:rsid w:val="001B1510"/>
    <w:rsid w:val="001B4030"/>
    <w:rsid w:val="001C0746"/>
    <w:rsid w:val="001C07F4"/>
    <w:rsid w:val="001C19F0"/>
    <w:rsid w:val="001C3BBC"/>
    <w:rsid w:val="001C5185"/>
    <w:rsid w:val="001C575C"/>
    <w:rsid w:val="001C578C"/>
    <w:rsid w:val="001C5A85"/>
    <w:rsid w:val="001C64FC"/>
    <w:rsid w:val="001C6D09"/>
    <w:rsid w:val="001C74C1"/>
    <w:rsid w:val="001C7DE1"/>
    <w:rsid w:val="001D24DA"/>
    <w:rsid w:val="001D3358"/>
    <w:rsid w:val="001D5760"/>
    <w:rsid w:val="001E050A"/>
    <w:rsid w:val="001E3DC1"/>
    <w:rsid w:val="001E4951"/>
    <w:rsid w:val="001F0CCF"/>
    <w:rsid w:val="001F1CE7"/>
    <w:rsid w:val="001F5B96"/>
    <w:rsid w:val="001F696F"/>
    <w:rsid w:val="00202622"/>
    <w:rsid w:val="00202683"/>
    <w:rsid w:val="002057E0"/>
    <w:rsid w:val="0020662A"/>
    <w:rsid w:val="00210E8A"/>
    <w:rsid w:val="00214FB9"/>
    <w:rsid w:val="00217A86"/>
    <w:rsid w:val="002324D4"/>
    <w:rsid w:val="002335CF"/>
    <w:rsid w:val="00234AB8"/>
    <w:rsid w:val="0023525E"/>
    <w:rsid w:val="00237E39"/>
    <w:rsid w:val="00252F59"/>
    <w:rsid w:val="00256149"/>
    <w:rsid w:val="002571EF"/>
    <w:rsid w:val="002572A3"/>
    <w:rsid w:val="00257A8E"/>
    <w:rsid w:val="00262D65"/>
    <w:rsid w:val="00263753"/>
    <w:rsid w:val="00265293"/>
    <w:rsid w:val="002674CE"/>
    <w:rsid w:val="002677C3"/>
    <w:rsid w:val="00271940"/>
    <w:rsid w:val="00277E88"/>
    <w:rsid w:val="00280699"/>
    <w:rsid w:val="00283807"/>
    <w:rsid w:val="002849FA"/>
    <w:rsid w:val="00293FD9"/>
    <w:rsid w:val="002964DD"/>
    <w:rsid w:val="00297544"/>
    <w:rsid w:val="002A00A6"/>
    <w:rsid w:val="002A0AE4"/>
    <w:rsid w:val="002A21DE"/>
    <w:rsid w:val="002A3DD3"/>
    <w:rsid w:val="002A462F"/>
    <w:rsid w:val="002A4BB8"/>
    <w:rsid w:val="002B1D0E"/>
    <w:rsid w:val="002B2682"/>
    <w:rsid w:val="002B311C"/>
    <w:rsid w:val="002B3266"/>
    <w:rsid w:val="002B4580"/>
    <w:rsid w:val="002B7D6C"/>
    <w:rsid w:val="002D08A6"/>
    <w:rsid w:val="002D2038"/>
    <w:rsid w:val="002D6447"/>
    <w:rsid w:val="002D720C"/>
    <w:rsid w:val="002D76C2"/>
    <w:rsid w:val="002D7D42"/>
    <w:rsid w:val="002E2ECC"/>
    <w:rsid w:val="002E6902"/>
    <w:rsid w:val="002F1DAB"/>
    <w:rsid w:val="002F254B"/>
    <w:rsid w:val="002F66DA"/>
    <w:rsid w:val="00301353"/>
    <w:rsid w:val="00301A73"/>
    <w:rsid w:val="00303E13"/>
    <w:rsid w:val="0030409D"/>
    <w:rsid w:val="003045ED"/>
    <w:rsid w:val="00304F27"/>
    <w:rsid w:val="00320749"/>
    <w:rsid w:val="003210F5"/>
    <w:rsid w:val="00321C2D"/>
    <w:rsid w:val="00325606"/>
    <w:rsid w:val="00326A6E"/>
    <w:rsid w:val="00326E8E"/>
    <w:rsid w:val="00327ABE"/>
    <w:rsid w:val="00336096"/>
    <w:rsid w:val="00337CF6"/>
    <w:rsid w:val="00352C70"/>
    <w:rsid w:val="003551D9"/>
    <w:rsid w:val="003561F9"/>
    <w:rsid w:val="003564D3"/>
    <w:rsid w:val="0036666D"/>
    <w:rsid w:val="00375350"/>
    <w:rsid w:val="00377043"/>
    <w:rsid w:val="00380559"/>
    <w:rsid w:val="00390F76"/>
    <w:rsid w:val="0039362F"/>
    <w:rsid w:val="00396301"/>
    <w:rsid w:val="00397B0A"/>
    <w:rsid w:val="003A0185"/>
    <w:rsid w:val="003A36BD"/>
    <w:rsid w:val="003A45C2"/>
    <w:rsid w:val="003A7207"/>
    <w:rsid w:val="003B28FF"/>
    <w:rsid w:val="003B352A"/>
    <w:rsid w:val="003B46AB"/>
    <w:rsid w:val="003C79F2"/>
    <w:rsid w:val="003D13AD"/>
    <w:rsid w:val="003D1A12"/>
    <w:rsid w:val="003D1E82"/>
    <w:rsid w:val="003D6350"/>
    <w:rsid w:val="003D6E3D"/>
    <w:rsid w:val="003E1041"/>
    <w:rsid w:val="003E5BBC"/>
    <w:rsid w:val="003E661C"/>
    <w:rsid w:val="003F1E75"/>
    <w:rsid w:val="003F7E42"/>
    <w:rsid w:val="00403983"/>
    <w:rsid w:val="00406197"/>
    <w:rsid w:val="00406E2B"/>
    <w:rsid w:val="004078EA"/>
    <w:rsid w:val="00412A00"/>
    <w:rsid w:val="00414866"/>
    <w:rsid w:val="0042140B"/>
    <w:rsid w:val="00421DB1"/>
    <w:rsid w:val="00424CED"/>
    <w:rsid w:val="0042522A"/>
    <w:rsid w:val="00425CB1"/>
    <w:rsid w:val="00425DF4"/>
    <w:rsid w:val="0043170E"/>
    <w:rsid w:val="0043399B"/>
    <w:rsid w:val="00433AAE"/>
    <w:rsid w:val="00434589"/>
    <w:rsid w:val="00441DCF"/>
    <w:rsid w:val="0044376D"/>
    <w:rsid w:val="00443802"/>
    <w:rsid w:val="004535EB"/>
    <w:rsid w:val="00454317"/>
    <w:rsid w:val="004566F6"/>
    <w:rsid w:val="00456FDF"/>
    <w:rsid w:val="004570CB"/>
    <w:rsid w:val="00457E0F"/>
    <w:rsid w:val="00465088"/>
    <w:rsid w:val="004669C0"/>
    <w:rsid w:val="0046704A"/>
    <w:rsid w:val="004720D9"/>
    <w:rsid w:val="00472BCB"/>
    <w:rsid w:val="00474353"/>
    <w:rsid w:val="00480E7B"/>
    <w:rsid w:val="00482398"/>
    <w:rsid w:val="0048282E"/>
    <w:rsid w:val="00483EBF"/>
    <w:rsid w:val="004875AF"/>
    <w:rsid w:val="004919F5"/>
    <w:rsid w:val="00492FA2"/>
    <w:rsid w:val="00495B0A"/>
    <w:rsid w:val="00496918"/>
    <w:rsid w:val="00497C34"/>
    <w:rsid w:val="004A2B6D"/>
    <w:rsid w:val="004A32A6"/>
    <w:rsid w:val="004A6342"/>
    <w:rsid w:val="004A733A"/>
    <w:rsid w:val="004B2AE4"/>
    <w:rsid w:val="004B6990"/>
    <w:rsid w:val="004C341D"/>
    <w:rsid w:val="004C535A"/>
    <w:rsid w:val="004C765B"/>
    <w:rsid w:val="004C7917"/>
    <w:rsid w:val="004D6822"/>
    <w:rsid w:val="004D6A8F"/>
    <w:rsid w:val="004E3650"/>
    <w:rsid w:val="004E41EA"/>
    <w:rsid w:val="004E5757"/>
    <w:rsid w:val="00500573"/>
    <w:rsid w:val="005006D4"/>
    <w:rsid w:val="00500FE8"/>
    <w:rsid w:val="00504D12"/>
    <w:rsid w:val="005051B9"/>
    <w:rsid w:val="005074F0"/>
    <w:rsid w:val="00511C9B"/>
    <w:rsid w:val="00513DDF"/>
    <w:rsid w:val="00514B2B"/>
    <w:rsid w:val="00516F8D"/>
    <w:rsid w:val="00520729"/>
    <w:rsid w:val="00523871"/>
    <w:rsid w:val="00524627"/>
    <w:rsid w:val="005302F5"/>
    <w:rsid w:val="00530367"/>
    <w:rsid w:val="00531A99"/>
    <w:rsid w:val="005349F2"/>
    <w:rsid w:val="00540795"/>
    <w:rsid w:val="005435FD"/>
    <w:rsid w:val="00545455"/>
    <w:rsid w:val="0054555F"/>
    <w:rsid w:val="00546A29"/>
    <w:rsid w:val="00556797"/>
    <w:rsid w:val="00564B89"/>
    <w:rsid w:val="0056639A"/>
    <w:rsid w:val="005663DF"/>
    <w:rsid w:val="00566404"/>
    <w:rsid w:val="005679BF"/>
    <w:rsid w:val="00567B8F"/>
    <w:rsid w:val="00567F58"/>
    <w:rsid w:val="005705FF"/>
    <w:rsid w:val="00570940"/>
    <w:rsid w:val="00570B6F"/>
    <w:rsid w:val="00571103"/>
    <w:rsid w:val="00572027"/>
    <w:rsid w:val="005732D2"/>
    <w:rsid w:val="005764AD"/>
    <w:rsid w:val="00581D8B"/>
    <w:rsid w:val="005868B5"/>
    <w:rsid w:val="00590B39"/>
    <w:rsid w:val="00590D4B"/>
    <w:rsid w:val="00597F14"/>
    <w:rsid w:val="005A0729"/>
    <w:rsid w:val="005A1D21"/>
    <w:rsid w:val="005A224F"/>
    <w:rsid w:val="005A3968"/>
    <w:rsid w:val="005A5326"/>
    <w:rsid w:val="005A5B13"/>
    <w:rsid w:val="005B2447"/>
    <w:rsid w:val="005B5CB7"/>
    <w:rsid w:val="005B602B"/>
    <w:rsid w:val="005C0894"/>
    <w:rsid w:val="005C1D29"/>
    <w:rsid w:val="005C523D"/>
    <w:rsid w:val="005C587B"/>
    <w:rsid w:val="005C7912"/>
    <w:rsid w:val="005D0547"/>
    <w:rsid w:val="005D0D65"/>
    <w:rsid w:val="005D3A65"/>
    <w:rsid w:val="005D6DC7"/>
    <w:rsid w:val="005E3889"/>
    <w:rsid w:val="005E3A84"/>
    <w:rsid w:val="005E6059"/>
    <w:rsid w:val="005F2458"/>
    <w:rsid w:val="005F2BB7"/>
    <w:rsid w:val="005F2CE6"/>
    <w:rsid w:val="005F4249"/>
    <w:rsid w:val="005F4B62"/>
    <w:rsid w:val="005F5D70"/>
    <w:rsid w:val="005F6E14"/>
    <w:rsid w:val="005F7619"/>
    <w:rsid w:val="00600CD3"/>
    <w:rsid w:val="00611159"/>
    <w:rsid w:val="006148F3"/>
    <w:rsid w:val="006202FF"/>
    <w:rsid w:val="00621C7F"/>
    <w:rsid w:val="00623EE6"/>
    <w:rsid w:val="00625856"/>
    <w:rsid w:val="00625C98"/>
    <w:rsid w:val="00635AFE"/>
    <w:rsid w:val="006432CC"/>
    <w:rsid w:val="00645B97"/>
    <w:rsid w:val="006501D5"/>
    <w:rsid w:val="0065198C"/>
    <w:rsid w:val="00653AD3"/>
    <w:rsid w:val="006554FE"/>
    <w:rsid w:val="006621EC"/>
    <w:rsid w:val="00663CF2"/>
    <w:rsid w:val="00664C8D"/>
    <w:rsid w:val="006705C6"/>
    <w:rsid w:val="00676C83"/>
    <w:rsid w:val="00677B93"/>
    <w:rsid w:val="0068091E"/>
    <w:rsid w:val="006A05D3"/>
    <w:rsid w:val="006A092C"/>
    <w:rsid w:val="006A0F00"/>
    <w:rsid w:val="006A2880"/>
    <w:rsid w:val="006A2E46"/>
    <w:rsid w:val="006A3C99"/>
    <w:rsid w:val="006A5B42"/>
    <w:rsid w:val="006A689B"/>
    <w:rsid w:val="006A6CCE"/>
    <w:rsid w:val="006B24D3"/>
    <w:rsid w:val="006B63C9"/>
    <w:rsid w:val="006B7641"/>
    <w:rsid w:val="006B78D0"/>
    <w:rsid w:val="006B7EA6"/>
    <w:rsid w:val="006D1CEE"/>
    <w:rsid w:val="006E2338"/>
    <w:rsid w:val="006E3A64"/>
    <w:rsid w:val="006F1E88"/>
    <w:rsid w:val="006F2322"/>
    <w:rsid w:val="006F2508"/>
    <w:rsid w:val="006F4769"/>
    <w:rsid w:val="006F6A82"/>
    <w:rsid w:val="00700139"/>
    <w:rsid w:val="007028E3"/>
    <w:rsid w:val="00712F9A"/>
    <w:rsid w:val="007134B2"/>
    <w:rsid w:val="00713EEE"/>
    <w:rsid w:val="00715F14"/>
    <w:rsid w:val="00716458"/>
    <w:rsid w:val="00720FA0"/>
    <w:rsid w:val="00722A27"/>
    <w:rsid w:val="0072346B"/>
    <w:rsid w:val="007261F2"/>
    <w:rsid w:val="00730678"/>
    <w:rsid w:val="007320F7"/>
    <w:rsid w:val="007332B7"/>
    <w:rsid w:val="0073368D"/>
    <w:rsid w:val="00734722"/>
    <w:rsid w:val="00735B4D"/>
    <w:rsid w:val="0074066D"/>
    <w:rsid w:val="00741D66"/>
    <w:rsid w:val="00743971"/>
    <w:rsid w:val="00747A3B"/>
    <w:rsid w:val="00752B66"/>
    <w:rsid w:val="00753DCF"/>
    <w:rsid w:val="00756269"/>
    <w:rsid w:val="00760748"/>
    <w:rsid w:val="007619E2"/>
    <w:rsid w:val="00761F20"/>
    <w:rsid w:val="007628F2"/>
    <w:rsid w:val="00762A8D"/>
    <w:rsid w:val="007638B0"/>
    <w:rsid w:val="00763E7C"/>
    <w:rsid w:val="007662B4"/>
    <w:rsid w:val="0076759C"/>
    <w:rsid w:val="0077004B"/>
    <w:rsid w:val="00780C15"/>
    <w:rsid w:val="007816B8"/>
    <w:rsid w:val="0078252B"/>
    <w:rsid w:val="007830E0"/>
    <w:rsid w:val="00784FB7"/>
    <w:rsid w:val="00786561"/>
    <w:rsid w:val="00786EB2"/>
    <w:rsid w:val="007904C5"/>
    <w:rsid w:val="007A232F"/>
    <w:rsid w:val="007B1B1F"/>
    <w:rsid w:val="007B349B"/>
    <w:rsid w:val="007C54B9"/>
    <w:rsid w:val="007C6EAB"/>
    <w:rsid w:val="007C7794"/>
    <w:rsid w:val="007D0F7A"/>
    <w:rsid w:val="007D11C4"/>
    <w:rsid w:val="007D3174"/>
    <w:rsid w:val="007D4D11"/>
    <w:rsid w:val="007D5A48"/>
    <w:rsid w:val="007D69A9"/>
    <w:rsid w:val="007E05D3"/>
    <w:rsid w:val="007E1135"/>
    <w:rsid w:val="007E2105"/>
    <w:rsid w:val="007E5550"/>
    <w:rsid w:val="007F0EBA"/>
    <w:rsid w:val="007F1CC9"/>
    <w:rsid w:val="007F2610"/>
    <w:rsid w:val="007F5567"/>
    <w:rsid w:val="008021CF"/>
    <w:rsid w:val="00802FD9"/>
    <w:rsid w:val="00807443"/>
    <w:rsid w:val="0080764E"/>
    <w:rsid w:val="00810474"/>
    <w:rsid w:val="0081065C"/>
    <w:rsid w:val="00810716"/>
    <w:rsid w:val="00810B28"/>
    <w:rsid w:val="00810B55"/>
    <w:rsid w:val="008119D0"/>
    <w:rsid w:val="0081313B"/>
    <w:rsid w:val="00813742"/>
    <w:rsid w:val="00817C93"/>
    <w:rsid w:val="00822DB0"/>
    <w:rsid w:val="008241D1"/>
    <w:rsid w:val="0082631C"/>
    <w:rsid w:val="008322DB"/>
    <w:rsid w:val="00833731"/>
    <w:rsid w:val="00835F89"/>
    <w:rsid w:val="00836A2B"/>
    <w:rsid w:val="00846D76"/>
    <w:rsid w:val="00846EFC"/>
    <w:rsid w:val="0084711E"/>
    <w:rsid w:val="0085294A"/>
    <w:rsid w:val="00856D1B"/>
    <w:rsid w:val="0085736C"/>
    <w:rsid w:val="0086104D"/>
    <w:rsid w:val="008656DB"/>
    <w:rsid w:val="008673D1"/>
    <w:rsid w:val="00871AF9"/>
    <w:rsid w:val="0087504F"/>
    <w:rsid w:val="0088197C"/>
    <w:rsid w:val="00881DCE"/>
    <w:rsid w:val="00882BBF"/>
    <w:rsid w:val="00885F09"/>
    <w:rsid w:val="0089354E"/>
    <w:rsid w:val="008938F7"/>
    <w:rsid w:val="008A5F27"/>
    <w:rsid w:val="008A78A4"/>
    <w:rsid w:val="008B0703"/>
    <w:rsid w:val="008B0A4B"/>
    <w:rsid w:val="008B527B"/>
    <w:rsid w:val="008B7B10"/>
    <w:rsid w:val="008C438A"/>
    <w:rsid w:val="008C79F7"/>
    <w:rsid w:val="008D02F7"/>
    <w:rsid w:val="008D21E4"/>
    <w:rsid w:val="008D37F7"/>
    <w:rsid w:val="008D5918"/>
    <w:rsid w:val="008D6D7A"/>
    <w:rsid w:val="008E0284"/>
    <w:rsid w:val="008E0B19"/>
    <w:rsid w:val="008E127E"/>
    <w:rsid w:val="008E7468"/>
    <w:rsid w:val="008E7C40"/>
    <w:rsid w:val="008F04AD"/>
    <w:rsid w:val="008F4D83"/>
    <w:rsid w:val="008F6D7E"/>
    <w:rsid w:val="008F6E2A"/>
    <w:rsid w:val="00901973"/>
    <w:rsid w:val="0090367A"/>
    <w:rsid w:val="00907C35"/>
    <w:rsid w:val="00914B95"/>
    <w:rsid w:val="0091696C"/>
    <w:rsid w:val="0091774A"/>
    <w:rsid w:val="009201FE"/>
    <w:rsid w:val="0092142D"/>
    <w:rsid w:val="009346E2"/>
    <w:rsid w:val="00941F26"/>
    <w:rsid w:val="009431F6"/>
    <w:rsid w:val="009508A6"/>
    <w:rsid w:val="009543BA"/>
    <w:rsid w:val="0095697A"/>
    <w:rsid w:val="00957EEF"/>
    <w:rsid w:val="00960F67"/>
    <w:rsid w:val="00961F5B"/>
    <w:rsid w:val="00962341"/>
    <w:rsid w:val="00964132"/>
    <w:rsid w:val="0096539D"/>
    <w:rsid w:val="00971BAD"/>
    <w:rsid w:val="00973FEB"/>
    <w:rsid w:val="009764D9"/>
    <w:rsid w:val="009829A9"/>
    <w:rsid w:val="00984152"/>
    <w:rsid w:val="00985285"/>
    <w:rsid w:val="00986C5E"/>
    <w:rsid w:val="009876E0"/>
    <w:rsid w:val="0099126C"/>
    <w:rsid w:val="00991ECB"/>
    <w:rsid w:val="009934B4"/>
    <w:rsid w:val="00994848"/>
    <w:rsid w:val="0099607A"/>
    <w:rsid w:val="00997A9E"/>
    <w:rsid w:val="009A240C"/>
    <w:rsid w:val="009A2728"/>
    <w:rsid w:val="009A34FA"/>
    <w:rsid w:val="009B39FB"/>
    <w:rsid w:val="009B5D86"/>
    <w:rsid w:val="009B7FB5"/>
    <w:rsid w:val="009C2B05"/>
    <w:rsid w:val="009C5679"/>
    <w:rsid w:val="009D1ADC"/>
    <w:rsid w:val="009D29AA"/>
    <w:rsid w:val="009E1F18"/>
    <w:rsid w:val="009E7B2D"/>
    <w:rsid w:val="009F104A"/>
    <w:rsid w:val="009F1810"/>
    <w:rsid w:val="009F2021"/>
    <w:rsid w:val="009F30DB"/>
    <w:rsid w:val="009F3E81"/>
    <w:rsid w:val="00A00C7B"/>
    <w:rsid w:val="00A17FCE"/>
    <w:rsid w:val="00A20FBC"/>
    <w:rsid w:val="00A2226F"/>
    <w:rsid w:val="00A2532E"/>
    <w:rsid w:val="00A27258"/>
    <w:rsid w:val="00A31DE5"/>
    <w:rsid w:val="00A41446"/>
    <w:rsid w:val="00A45E90"/>
    <w:rsid w:val="00A47636"/>
    <w:rsid w:val="00A50415"/>
    <w:rsid w:val="00A512A6"/>
    <w:rsid w:val="00A5270D"/>
    <w:rsid w:val="00A52A19"/>
    <w:rsid w:val="00A53247"/>
    <w:rsid w:val="00A539E1"/>
    <w:rsid w:val="00A53C67"/>
    <w:rsid w:val="00A55662"/>
    <w:rsid w:val="00A62347"/>
    <w:rsid w:val="00A65150"/>
    <w:rsid w:val="00A65B37"/>
    <w:rsid w:val="00A6715D"/>
    <w:rsid w:val="00A7103D"/>
    <w:rsid w:val="00A734F5"/>
    <w:rsid w:val="00A73BC6"/>
    <w:rsid w:val="00A819F2"/>
    <w:rsid w:val="00A81C5B"/>
    <w:rsid w:val="00A83939"/>
    <w:rsid w:val="00A86924"/>
    <w:rsid w:val="00A92110"/>
    <w:rsid w:val="00A933EE"/>
    <w:rsid w:val="00A94F5E"/>
    <w:rsid w:val="00A970F8"/>
    <w:rsid w:val="00AA0A72"/>
    <w:rsid w:val="00AA2A8A"/>
    <w:rsid w:val="00AA37FD"/>
    <w:rsid w:val="00AA3912"/>
    <w:rsid w:val="00AB1055"/>
    <w:rsid w:val="00AB27EA"/>
    <w:rsid w:val="00AB3976"/>
    <w:rsid w:val="00AC473A"/>
    <w:rsid w:val="00AC47EA"/>
    <w:rsid w:val="00AC6EA4"/>
    <w:rsid w:val="00AD73B3"/>
    <w:rsid w:val="00AE5C15"/>
    <w:rsid w:val="00AF0C05"/>
    <w:rsid w:val="00AF6DAE"/>
    <w:rsid w:val="00AF707F"/>
    <w:rsid w:val="00AF77D3"/>
    <w:rsid w:val="00B07B78"/>
    <w:rsid w:val="00B1510D"/>
    <w:rsid w:val="00B20D7C"/>
    <w:rsid w:val="00B25297"/>
    <w:rsid w:val="00B42126"/>
    <w:rsid w:val="00B42C2A"/>
    <w:rsid w:val="00B438AD"/>
    <w:rsid w:val="00B47A8C"/>
    <w:rsid w:val="00B52C0F"/>
    <w:rsid w:val="00B53541"/>
    <w:rsid w:val="00B54252"/>
    <w:rsid w:val="00B56E28"/>
    <w:rsid w:val="00B630C5"/>
    <w:rsid w:val="00B63D41"/>
    <w:rsid w:val="00B760CB"/>
    <w:rsid w:val="00B774EE"/>
    <w:rsid w:val="00B81C0A"/>
    <w:rsid w:val="00B84FE2"/>
    <w:rsid w:val="00B868A1"/>
    <w:rsid w:val="00B878EF"/>
    <w:rsid w:val="00B87F16"/>
    <w:rsid w:val="00B924CD"/>
    <w:rsid w:val="00B94C32"/>
    <w:rsid w:val="00B950FC"/>
    <w:rsid w:val="00B95E63"/>
    <w:rsid w:val="00B97AEE"/>
    <w:rsid w:val="00BA060B"/>
    <w:rsid w:val="00BA0CD2"/>
    <w:rsid w:val="00BA0D04"/>
    <w:rsid w:val="00BA12C6"/>
    <w:rsid w:val="00BA27EF"/>
    <w:rsid w:val="00BA4474"/>
    <w:rsid w:val="00BA4EED"/>
    <w:rsid w:val="00BA6354"/>
    <w:rsid w:val="00BB63ED"/>
    <w:rsid w:val="00BB6786"/>
    <w:rsid w:val="00BB7EE2"/>
    <w:rsid w:val="00BC0A33"/>
    <w:rsid w:val="00BC1EC1"/>
    <w:rsid w:val="00BC2BD6"/>
    <w:rsid w:val="00BC346F"/>
    <w:rsid w:val="00BC3CAA"/>
    <w:rsid w:val="00BC4E9F"/>
    <w:rsid w:val="00BC60F5"/>
    <w:rsid w:val="00BD018E"/>
    <w:rsid w:val="00BD3799"/>
    <w:rsid w:val="00BD594D"/>
    <w:rsid w:val="00BE56E3"/>
    <w:rsid w:val="00BF18BC"/>
    <w:rsid w:val="00BF77D7"/>
    <w:rsid w:val="00C03B10"/>
    <w:rsid w:val="00C03CD0"/>
    <w:rsid w:val="00C12440"/>
    <w:rsid w:val="00C15BBA"/>
    <w:rsid w:val="00C15F10"/>
    <w:rsid w:val="00C21A04"/>
    <w:rsid w:val="00C26197"/>
    <w:rsid w:val="00C327A7"/>
    <w:rsid w:val="00C32DDA"/>
    <w:rsid w:val="00C33282"/>
    <w:rsid w:val="00C4030D"/>
    <w:rsid w:val="00C40C93"/>
    <w:rsid w:val="00C40FB1"/>
    <w:rsid w:val="00C416A0"/>
    <w:rsid w:val="00C430BB"/>
    <w:rsid w:val="00C433D4"/>
    <w:rsid w:val="00C43707"/>
    <w:rsid w:val="00C44832"/>
    <w:rsid w:val="00C4501D"/>
    <w:rsid w:val="00C50B6B"/>
    <w:rsid w:val="00C50C52"/>
    <w:rsid w:val="00C61734"/>
    <w:rsid w:val="00C6298F"/>
    <w:rsid w:val="00C63B05"/>
    <w:rsid w:val="00C64CF3"/>
    <w:rsid w:val="00C6558D"/>
    <w:rsid w:val="00C70FA5"/>
    <w:rsid w:val="00C70FA8"/>
    <w:rsid w:val="00C7663A"/>
    <w:rsid w:val="00C97764"/>
    <w:rsid w:val="00CA3009"/>
    <w:rsid w:val="00CA5EA7"/>
    <w:rsid w:val="00CB0642"/>
    <w:rsid w:val="00CB0D24"/>
    <w:rsid w:val="00CB1B27"/>
    <w:rsid w:val="00CB279F"/>
    <w:rsid w:val="00CB4D8E"/>
    <w:rsid w:val="00CB7F02"/>
    <w:rsid w:val="00CC4C32"/>
    <w:rsid w:val="00CC66D0"/>
    <w:rsid w:val="00CC6707"/>
    <w:rsid w:val="00CC7528"/>
    <w:rsid w:val="00CD0EA5"/>
    <w:rsid w:val="00CD0EE4"/>
    <w:rsid w:val="00CD187D"/>
    <w:rsid w:val="00CD18A9"/>
    <w:rsid w:val="00CD2247"/>
    <w:rsid w:val="00CD5FCB"/>
    <w:rsid w:val="00CD60D7"/>
    <w:rsid w:val="00CD759F"/>
    <w:rsid w:val="00CE1D22"/>
    <w:rsid w:val="00CE2D1C"/>
    <w:rsid w:val="00CF4285"/>
    <w:rsid w:val="00CF7D89"/>
    <w:rsid w:val="00D02AD3"/>
    <w:rsid w:val="00D056F8"/>
    <w:rsid w:val="00D067CD"/>
    <w:rsid w:val="00D07B20"/>
    <w:rsid w:val="00D10A8C"/>
    <w:rsid w:val="00D146E4"/>
    <w:rsid w:val="00D15323"/>
    <w:rsid w:val="00D15E4A"/>
    <w:rsid w:val="00D2262E"/>
    <w:rsid w:val="00D23519"/>
    <w:rsid w:val="00D2544E"/>
    <w:rsid w:val="00D27C88"/>
    <w:rsid w:val="00D33B26"/>
    <w:rsid w:val="00D33D0D"/>
    <w:rsid w:val="00D3530A"/>
    <w:rsid w:val="00D40F9C"/>
    <w:rsid w:val="00D57965"/>
    <w:rsid w:val="00D6009D"/>
    <w:rsid w:val="00D62898"/>
    <w:rsid w:val="00D62DF3"/>
    <w:rsid w:val="00D72316"/>
    <w:rsid w:val="00D7332A"/>
    <w:rsid w:val="00D73CA9"/>
    <w:rsid w:val="00D7536F"/>
    <w:rsid w:val="00D76F2F"/>
    <w:rsid w:val="00D77B2A"/>
    <w:rsid w:val="00D803D9"/>
    <w:rsid w:val="00D82D52"/>
    <w:rsid w:val="00D83252"/>
    <w:rsid w:val="00D83C93"/>
    <w:rsid w:val="00D84E8A"/>
    <w:rsid w:val="00D865AA"/>
    <w:rsid w:val="00D90983"/>
    <w:rsid w:val="00D91C72"/>
    <w:rsid w:val="00D96175"/>
    <w:rsid w:val="00D96D0C"/>
    <w:rsid w:val="00D974BC"/>
    <w:rsid w:val="00DA05D6"/>
    <w:rsid w:val="00DA132E"/>
    <w:rsid w:val="00DA6A6E"/>
    <w:rsid w:val="00DA6B2D"/>
    <w:rsid w:val="00DB0117"/>
    <w:rsid w:val="00DB0F20"/>
    <w:rsid w:val="00DB149E"/>
    <w:rsid w:val="00DC1D72"/>
    <w:rsid w:val="00DC236E"/>
    <w:rsid w:val="00DC356B"/>
    <w:rsid w:val="00DC5FD0"/>
    <w:rsid w:val="00DC7413"/>
    <w:rsid w:val="00DD094D"/>
    <w:rsid w:val="00DD2D24"/>
    <w:rsid w:val="00DD33FE"/>
    <w:rsid w:val="00DE2B0A"/>
    <w:rsid w:val="00DE2BAE"/>
    <w:rsid w:val="00DE3278"/>
    <w:rsid w:val="00DF1060"/>
    <w:rsid w:val="00DF136F"/>
    <w:rsid w:val="00DF4D01"/>
    <w:rsid w:val="00E016B6"/>
    <w:rsid w:val="00E07486"/>
    <w:rsid w:val="00E124FB"/>
    <w:rsid w:val="00E15812"/>
    <w:rsid w:val="00E175A8"/>
    <w:rsid w:val="00E200DC"/>
    <w:rsid w:val="00E20B9F"/>
    <w:rsid w:val="00E24C56"/>
    <w:rsid w:val="00E25C24"/>
    <w:rsid w:val="00E30950"/>
    <w:rsid w:val="00E31B65"/>
    <w:rsid w:val="00E4093D"/>
    <w:rsid w:val="00E43917"/>
    <w:rsid w:val="00E442A0"/>
    <w:rsid w:val="00E44F07"/>
    <w:rsid w:val="00E46448"/>
    <w:rsid w:val="00E46461"/>
    <w:rsid w:val="00E50886"/>
    <w:rsid w:val="00E57756"/>
    <w:rsid w:val="00E60BD9"/>
    <w:rsid w:val="00E62606"/>
    <w:rsid w:val="00E66472"/>
    <w:rsid w:val="00E714B8"/>
    <w:rsid w:val="00E727A5"/>
    <w:rsid w:val="00E727E0"/>
    <w:rsid w:val="00E73CA7"/>
    <w:rsid w:val="00E874DF"/>
    <w:rsid w:val="00E94374"/>
    <w:rsid w:val="00E95CA5"/>
    <w:rsid w:val="00EA0357"/>
    <w:rsid w:val="00EA2249"/>
    <w:rsid w:val="00EA3297"/>
    <w:rsid w:val="00EA5639"/>
    <w:rsid w:val="00EB26B2"/>
    <w:rsid w:val="00EB3A91"/>
    <w:rsid w:val="00EB3FE4"/>
    <w:rsid w:val="00EB5650"/>
    <w:rsid w:val="00EC02B2"/>
    <w:rsid w:val="00EC4196"/>
    <w:rsid w:val="00EC44C7"/>
    <w:rsid w:val="00EC5F17"/>
    <w:rsid w:val="00ED018C"/>
    <w:rsid w:val="00ED05A3"/>
    <w:rsid w:val="00ED0BB4"/>
    <w:rsid w:val="00ED7070"/>
    <w:rsid w:val="00EE2BAA"/>
    <w:rsid w:val="00EE5B60"/>
    <w:rsid w:val="00EF341A"/>
    <w:rsid w:val="00EF3742"/>
    <w:rsid w:val="00EF37CB"/>
    <w:rsid w:val="00EF6D00"/>
    <w:rsid w:val="00EF7022"/>
    <w:rsid w:val="00F003FE"/>
    <w:rsid w:val="00F01569"/>
    <w:rsid w:val="00F049C3"/>
    <w:rsid w:val="00F07881"/>
    <w:rsid w:val="00F1200E"/>
    <w:rsid w:val="00F1225E"/>
    <w:rsid w:val="00F128BF"/>
    <w:rsid w:val="00F22211"/>
    <w:rsid w:val="00F310B2"/>
    <w:rsid w:val="00F31B59"/>
    <w:rsid w:val="00F3275D"/>
    <w:rsid w:val="00F32C18"/>
    <w:rsid w:val="00F32EAE"/>
    <w:rsid w:val="00F35872"/>
    <w:rsid w:val="00F367C2"/>
    <w:rsid w:val="00F51022"/>
    <w:rsid w:val="00F53615"/>
    <w:rsid w:val="00F53EBB"/>
    <w:rsid w:val="00F60D4B"/>
    <w:rsid w:val="00F63054"/>
    <w:rsid w:val="00F63950"/>
    <w:rsid w:val="00F64A32"/>
    <w:rsid w:val="00F67999"/>
    <w:rsid w:val="00F74845"/>
    <w:rsid w:val="00F826AB"/>
    <w:rsid w:val="00F829BE"/>
    <w:rsid w:val="00F831F9"/>
    <w:rsid w:val="00F86203"/>
    <w:rsid w:val="00F86280"/>
    <w:rsid w:val="00F87E1D"/>
    <w:rsid w:val="00F91ACF"/>
    <w:rsid w:val="00F9229B"/>
    <w:rsid w:val="00F924FA"/>
    <w:rsid w:val="00F92D9B"/>
    <w:rsid w:val="00F93133"/>
    <w:rsid w:val="00F93F6C"/>
    <w:rsid w:val="00FA3642"/>
    <w:rsid w:val="00FA384F"/>
    <w:rsid w:val="00FA4782"/>
    <w:rsid w:val="00FA7593"/>
    <w:rsid w:val="00FB173B"/>
    <w:rsid w:val="00FB2F8A"/>
    <w:rsid w:val="00FB3FAD"/>
    <w:rsid w:val="00FC354A"/>
    <w:rsid w:val="00FC38F8"/>
    <w:rsid w:val="00FC434A"/>
    <w:rsid w:val="00FC4698"/>
    <w:rsid w:val="00FC5C53"/>
    <w:rsid w:val="00FC5FD8"/>
    <w:rsid w:val="00FC6670"/>
    <w:rsid w:val="00FC6DD7"/>
    <w:rsid w:val="00FD370C"/>
    <w:rsid w:val="00FD48BA"/>
    <w:rsid w:val="00FD4E22"/>
    <w:rsid w:val="00FE0378"/>
    <w:rsid w:val="00FE053C"/>
    <w:rsid w:val="00FE2550"/>
    <w:rsid w:val="00FE3AAB"/>
    <w:rsid w:val="00FE6858"/>
    <w:rsid w:val="00FE692B"/>
    <w:rsid w:val="00FF3720"/>
    <w:rsid w:val="00FF4FE8"/>
    <w:rsid w:val="00FF720E"/>
    <w:rsid w:val="125A7332"/>
    <w:rsid w:val="6C21720C"/>
    <w:rsid w:val="7D8181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1B895"/>
  <w15:docId w15:val="{09A27701-DCB6-4494-9D31-823BD8F4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before="360" w:after="160"/>
      <w:outlineLvl w:val="0"/>
    </w:pPr>
    <w:rPr>
      <w:b/>
      <w:bCs/>
      <w:sz w:val="28"/>
      <w:szCs w:val="28"/>
    </w:rPr>
  </w:style>
  <w:style w:type="paragraph" w:styleId="berschrift2">
    <w:name w:val="heading 2"/>
    <w:uiPriority w:val="9"/>
    <w:unhideWhenUsed/>
    <w:qFormat/>
    <w:pPr>
      <w:spacing w:before="280" w:after="120"/>
      <w:outlineLvl w:val="1"/>
    </w:pPr>
    <w:rPr>
      <w:b/>
      <w:bCs/>
      <w:sz w:val="24"/>
      <w:szCs w:val="24"/>
    </w:rPr>
  </w:style>
  <w:style w:type="paragraph" w:styleId="berschrift3">
    <w:name w:val="heading 3"/>
    <w:uiPriority w:val="9"/>
    <w:semiHidden/>
    <w:unhideWhenUsed/>
    <w:qFormat/>
    <w:pPr>
      <w:spacing w:before="200" w:after="100"/>
      <w:outlineLvl w:val="2"/>
    </w:pPr>
    <w:rPr>
      <w:b/>
      <w:bCs/>
      <w:i/>
      <w:iCs/>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pPr>
      <w:spacing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pPr>
      <w:spacing w:line="240" w:lineRule="auto"/>
    </w:pPr>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5E605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E6059"/>
  </w:style>
  <w:style w:type="paragraph" w:styleId="Fuzeile">
    <w:name w:val="footer"/>
    <w:basedOn w:val="Standard"/>
    <w:link w:val="FuzeileZchn"/>
    <w:uiPriority w:val="99"/>
    <w:unhideWhenUsed/>
    <w:rsid w:val="005E605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E6059"/>
  </w:style>
  <w:style w:type="paragraph" w:styleId="Literaturverzeichnis">
    <w:name w:val="Bibliography"/>
    <w:basedOn w:val="Standard"/>
    <w:next w:val="Standard"/>
    <w:uiPriority w:val="37"/>
    <w:unhideWhenUsed/>
    <w:rsid w:val="007816B8"/>
    <w:pPr>
      <w:tabs>
        <w:tab w:val="left" w:pos="384"/>
      </w:tabs>
      <w:spacing w:after="240" w:line="240" w:lineRule="auto"/>
      <w:ind w:left="384" w:hanging="384"/>
    </w:pPr>
  </w:style>
  <w:style w:type="character" w:styleId="NichtaufgelsteErwhnung">
    <w:name w:val="Unresolved Mention"/>
    <w:basedOn w:val="Absatz-Standardschriftart"/>
    <w:uiPriority w:val="99"/>
    <w:semiHidden/>
    <w:unhideWhenUsed/>
    <w:rsid w:val="00C15BBA"/>
    <w:rPr>
      <w:color w:val="605E5C"/>
      <w:shd w:val="clear" w:color="auto" w:fill="E1DFDD"/>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377043"/>
    <w:pPr>
      <w:spacing w:line="240" w:lineRule="auto"/>
    </w:pPr>
  </w:style>
  <w:style w:type="paragraph" w:styleId="Kommentarthema">
    <w:name w:val="annotation subject"/>
    <w:basedOn w:val="Kommentartext"/>
    <w:next w:val="Kommentartext"/>
    <w:link w:val="KommentarthemaZchn"/>
    <w:uiPriority w:val="99"/>
    <w:semiHidden/>
    <w:unhideWhenUsed/>
    <w:rsid w:val="00504D12"/>
    <w:rPr>
      <w:b/>
      <w:bCs/>
    </w:rPr>
  </w:style>
  <w:style w:type="character" w:customStyle="1" w:styleId="KommentarthemaZchn">
    <w:name w:val="Kommentarthema Zchn"/>
    <w:basedOn w:val="KommentartextZchn"/>
    <w:link w:val="Kommentarthema"/>
    <w:uiPriority w:val="99"/>
    <w:semiHidden/>
    <w:rsid w:val="00504D12"/>
    <w:rPr>
      <w:b/>
      <w:bCs/>
      <w:sz w:val="20"/>
      <w:szCs w:val="20"/>
    </w:rPr>
  </w:style>
  <w:style w:type="paragraph" w:styleId="StandardWeb">
    <w:name w:val="Normal (Web)"/>
    <w:basedOn w:val="Standard"/>
    <w:uiPriority w:val="99"/>
    <w:semiHidden/>
    <w:unhideWhenUsed/>
    <w:rsid w:val="009C2B05"/>
    <w:rPr>
      <w:rFonts w:ascii="Times New Roman" w:hAnsi="Times New Roman" w:cs="Times New Roman"/>
      <w:sz w:val="24"/>
      <w:szCs w:val="24"/>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table" w:styleId="Tabellenraster">
    <w:name w:val="Table Grid"/>
    <w:basedOn w:val="NormaleTabelle"/>
    <w:uiPriority w:val="39"/>
    <w:rsid w:val="00CD0EA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D63132-61DB-4539-8125-FE29DEEF22EE}">
  <we:reference id="wa200010453" version="1.0.0.1" store="de-DE" storeType="OMEX"/>
  <we:alternateReferences>
    <we:reference id="wa200010453" version="1.0.0.1" store="" storeType="OMEX"/>
  </we:alternateReferences>
  <we:properties>
    <we:property name="claude.fileId" value="&quot;67b6b46e-8c5e-45fd-95ab-b81f9a90bdcc&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7450</Characters>
  <Application>Microsoft Office Word</Application>
  <DocSecurity>0</DocSecurity>
  <Lines>62</Lines>
  <Paragraphs>17</Paragraphs>
  <ScaleCrop>false</ScaleCrop>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Lieb</dc:creator>
  <cp:keywords/>
  <cp:lastModifiedBy>Anne Lieb</cp:lastModifiedBy>
  <cp:revision>2</cp:revision>
  <dcterms:created xsi:type="dcterms:W3CDTF">2026-09-04T13:37:00Z</dcterms:created>
  <dcterms:modified xsi:type="dcterms:W3CDTF">2026-09-04T13:37:00Z</dcterms:modified>
</cp:coreProperties>
</file>