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keepNext w:val="0"/>
        <w:spacing w:before="0" w:after="200" w:line="264" w:lineRule="auto"/>
        <w:jc w:val="center"/>
      </w:pPr>
      <w:r>
        <w:rPr>
          <w:rFonts w:ascii="Calibri" w:hAnsi="Calibri"/>
          <w:b/>
          <w:i w:val="0"/>
          <w:color w:val="1F4D78"/>
          <w:sz w:val="44"/>
        </w:rPr>
        <w:t>Supplementary Material: Beyond Clean Accuracy</w:t>
      </w:r>
    </w:p>
    <w:p>
      <w:pPr>
        <w:keepNext w:val="0"/>
        <w:spacing w:before="0" w:after="360" w:line="264" w:lineRule="auto"/>
        <w:jc w:val="center"/>
      </w:pPr>
      <w:r>
        <w:rPr>
          <w:rFonts w:ascii="Calibri" w:hAnsi="Calibri"/>
          <w:b w:val="0"/>
          <w:i/>
          <w:color w:val="5F6368"/>
          <w:sz w:val="24"/>
        </w:rPr>
        <w:t>Original research article</w:t>
      </w:r>
    </w:p>
    <w:p>
      <w:pPr>
        <w:keepNext w:val="0"/>
        <w:spacing w:before="0" w:after="120" w:line="264" w:lineRule="auto"/>
        <w:jc w:val="center"/>
      </w:pPr>
      <w:r>
        <w:rPr>
          <w:rFonts w:ascii="Calibri" w:hAnsi="Calibri"/>
          <w:b/>
          <w:i w:val="0"/>
          <w:color w:val="202124"/>
          <w:sz w:val="26"/>
        </w:rPr>
        <w:t>Aras Ismael Masood</w:t>
      </w:r>
    </w:p>
    <w:p>
      <w:pPr>
        <w:keepNext w:val="0"/>
        <w:spacing w:before="0" w:after="80" w:line="264" w:lineRule="auto"/>
        <w:jc w:val="center"/>
      </w:pPr>
      <w:r>
        <w:rPr>
          <w:rFonts w:ascii="Calibri" w:hAnsi="Calibri"/>
          <w:b w:val="0"/>
          <w:i w:val="0"/>
          <w:color w:val="202124"/>
          <w:sz w:val="21"/>
        </w:rPr>
        <w:t>Technical College of Informatics, Sulaimani Polytechnic University, Sulaimani, Iraq, 46001</w:t>
      </w:r>
    </w:p>
    <w:p>
      <w:pPr>
        <w:keepNext w:val="0"/>
        <w:spacing w:before="0" w:after="440" w:line="264" w:lineRule="auto"/>
        <w:jc w:val="center"/>
      </w:pPr>
      <w:r>
        <w:rPr>
          <w:rFonts w:ascii="Calibri" w:hAnsi="Calibri"/>
          <w:b w:val="0"/>
          <w:i w:val="0"/>
          <w:color w:val="1F4D78"/>
          <w:sz w:val="21"/>
        </w:rPr>
        <w:t>Corresponding author: aras.masood@spu.edu.iq</w:t>
      </w:r>
    </w:p>
    <w:p>
      <w:pPr>
        <w:keepNext w:val="0"/>
        <w:spacing w:before="360" w:after="80" w:line="264" w:lineRule="auto"/>
        <w:jc w:val="center"/>
      </w:pPr>
      <w:r>
        <w:rPr>
          <w:rFonts w:ascii="Calibri" w:hAnsi="Calibri"/>
          <w:b w:val="0"/>
          <w:i w:val="0"/>
          <w:color w:val="5F6368"/>
          <w:sz w:val="19"/>
        </w:rPr>
        <w:t>Protocol 4.1_publication_final | September 2026</w:t>
      </w:r>
    </w:p>
    <w:p>
      <w:r>
        <w:br w:type="page"/>
      </w:r>
    </w:p>
    <w:p>
      <w:pPr>
        <w:pStyle w:val="Heading1"/>
      </w:pPr>
      <w:r>
        <w:t>Supplementary overview</w:t>
      </w:r>
    </w:p>
    <w:p>
      <w:pPr>
        <w:keepNext w:val="0"/>
        <w:spacing w:before="0" w:after="120" w:line="264" w:lineRule="auto"/>
      </w:pPr>
      <w:r>
        <w:rPr>
          <w:rFonts w:ascii="Calibri" w:hAnsi="Calibri"/>
          <w:b w:val="0"/>
          <w:i w:val="0"/>
          <w:color w:val="202124"/>
          <w:sz w:val="22"/>
        </w:rPr>
        <w:t>This supplement reports detailed outputs for protocol 4.1_publication_final. Machine-readable versions of all 26 numbered tables, 24 per-dataset-seed condition files, 25 publication figures, the validation report, execution summary, reproducibility manifest, and reference-to-claim audit are included in the accompanying complete submission package.</w:t>
      </w:r>
    </w:p>
    <w:p>
      <w:pPr>
        <w:pStyle w:val="Heading1"/>
      </w:pPr>
      <w:r>
        <w:t>S1. Experimental completeness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S1. </w:t>
      </w:r>
      <w:r>
        <w:rPr>
          <w:rFonts w:ascii="Calibri" w:hAnsi="Calibri"/>
          <w:b w:val="0"/>
          <w:i w:val="0"/>
          <w:color w:val="5F6368"/>
          <w:sz w:val="18"/>
        </w:rPr>
        <w:t>Automated completeness and duplication checks.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Check</w:t>
            </w:r>
          </w:p>
        </w:tc>
        <w:tc>
          <w:tcPr>
            <w:tcW w:type="dxa" w:w="63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8"/>
              </w:rPr>
              <w:t>Result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Protocol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4.1_publication_final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Clean predictor runs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96 / 96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Shift evaluations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8,448 / 8,448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Duplicate shifted rows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Forecast prediction rows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324,576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Datasets / models / shifts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8 / 4 / 8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All CSV tables / figures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50 / 25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Validation status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8"/>
              </w:rPr>
              <w:t>Complete</w:t>
            </w:r>
          </w:p>
        </w:tc>
      </w:tr>
    </w:tbl>
    <w:p>
      <w:pPr>
        <w:spacing w:after="40"/>
      </w:pPr>
    </w:p>
    <w:p>
      <w:pPr>
        <w:pStyle w:val="Heading1"/>
      </w:pPr>
      <w:r>
        <w:t>S2. Dataset characteristics and runtime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S2. </w:t>
      </w:r>
      <w:r>
        <w:rPr>
          <w:rFonts w:ascii="Calibri" w:hAnsi="Calibri"/>
          <w:b w:val="0"/>
          <w:i w:val="0"/>
          <w:color w:val="5F6368"/>
          <w:sz w:val="18"/>
        </w:rPr>
        <w:t>Dataset sizes after target cleaning and preprocessing dimensions.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50"/>
        <w:gridCol w:w="1150"/>
        <w:gridCol w:w="1150"/>
        <w:gridCol w:w="1000"/>
        <w:gridCol w:w="1000"/>
        <w:gridCol w:w="1050"/>
        <w:gridCol w:w="850"/>
        <w:gridCol w:w="1610"/>
      </w:tblGrid>
      <w:tr>
        <w:trPr>
          <w:tblHeader w:val="true"/>
        </w:trPr>
        <w:tc>
          <w:tcPr>
            <w:tcW w:type="dxa" w:w="15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Dataset</w:t>
            </w:r>
          </w:p>
        </w:tc>
        <w:tc>
          <w:tcPr>
            <w:tcW w:type="dxa" w:w="11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Total</w:t>
            </w:r>
          </w:p>
        </w:tc>
        <w:tc>
          <w:tcPr>
            <w:tcW w:type="dxa" w:w="11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Train</w:t>
            </w:r>
          </w:p>
        </w:tc>
        <w:tc>
          <w:tcPr>
            <w:tcW w:type="dxa" w:w="10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Val</w:t>
            </w:r>
          </w:p>
        </w:tc>
        <w:tc>
          <w:tcPr>
            <w:tcW w:type="dxa" w:w="10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Test</w:t>
            </w:r>
          </w:p>
        </w:tc>
        <w:tc>
          <w:tcPr>
            <w:tcW w:type="dxa" w:w="10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Features</w:t>
            </w:r>
          </w:p>
        </w:tc>
        <w:tc>
          <w:tcPr>
            <w:tcW w:type="dxa" w:w="8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Classes</w:t>
            </w:r>
          </w:p>
        </w:tc>
        <w:tc>
          <w:tcPr>
            <w:tcW w:type="dxa" w:w="161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Prep s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adult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48,842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34,188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7,327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7,327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105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0.44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bank_marketing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45,211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31,647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6,782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6,782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51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0.38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electricity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45,312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31,718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6,797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6,797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14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4.65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covertype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581,012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406,708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87,152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87,152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98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36.75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numerai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96,320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67,423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14,449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14,448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21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7.91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nomao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34,465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24,125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5,170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5,170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174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6.45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phoneme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5,404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3,782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811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811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4.20</w:t>
            </w:r>
          </w:p>
        </w:tc>
      </w:tr>
      <w:tr>
        <w:trPr>
          <w:cantSplit/>
        </w:trPr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miniboone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130,064</w:t>
            </w:r>
          </w:p>
        </w:tc>
        <w:tc>
          <w:tcPr>
            <w:tcW w:type="dxa" w:w="11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91,044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19,510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19,510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50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</w:t>
            </w:r>
          </w:p>
        </w:tc>
        <w:tc>
          <w:tcPr>
            <w:tcW w:type="dxa" w:w="16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12.75</w:t>
            </w:r>
          </w:p>
        </w:tc>
      </w:tr>
    </w:tbl>
    <w:p>
      <w:pPr>
        <w:spacing w:after="40"/>
      </w:pPr>
    </w:p>
    <w:p>
      <w:pPr>
        <w:pStyle w:val="Heading1"/>
      </w:pPr>
      <w:r>
        <w:t>S3. Detailed clean performance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S3. </w:t>
      </w:r>
      <w:r>
        <w:rPr>
          <w:rFonts w:ascii="Calibri" w:hAnsi="Calibri"/>
          <w:b w:val="0"/>
          <w:i w:val="0"/>
          <w:color w:val="5F6368"/>
          <w:sz w:val="18"/>
        </w:rPr>
        <w:t>Clean test metrics across three seeds (mean +/- SD).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650"/>
        <w:gridCol w:w="1220"/>
        <w:gridCol w:w="1700"/>
        <w:gridCol w:w="1250"/>
        <w:gridCol w:w="1200"/>
        <w:gridCol w:w="940"/>
      </w:tblGrid>
      <w:tr>
        <w:trPr>
          <w:tblHeader w:val="true"/>
        </w:trPr>
        <w:tc>
          <w:tcPr>
            <w:tcW w:type="dxa" w:w="14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Dataset</w:t>
            </w:r>
          </w:p>
        </w:tc>
        <w:tc>
          <w:tcPr>
            <w:tcW w:type="dxa" w:w="16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Model</w:t>
            </w:r>
          </w:p>
        </w:tc>
        <w:tc>
          <w:tcPr>
            <w:tcW w:type="dxa" w:w="122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Accuracy</w:t>
            </w:r>
          </w:p>
        </w:tc>
        <w:tc>
          <w:tcPr>
            <w:tcW w:type="dxa" w:w="1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Balanced accuracy</w:t>
            </w:r>
          </w:p>
        </w:tc>
        <w:tc>
          <w:tcPr>
            <w:tcW w:type="dxa" w:w="12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Macro-F1</w:t>
            </w:r>
          </w:p>
        </w:tc>
        <w:tc>
          <w:tcPr>
            <w:tcW w:type="dxa" w:w="1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AUROC</w:t>
            </w:r>
          </w:p>
        </w:tc>
        <w:tc>
          <w:tcPr>
            <w:tcW w:type="dxa" w:w="94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ECE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0.807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0.822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0.770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0.908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0.023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0.817 +/- 0.006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0.830 +/- 0.005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0.781 +/- 0.006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0.914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0.028 +/- 0.007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0.823 +/- 0.005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0.834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0.786 +/- 0.004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0.920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0.031 +/- 0.005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0.827 +/- 0.001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0.845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0.793 +/- 0.001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0.931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0.043 +/- 0.002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0.808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0.830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0.696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0.902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0.072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0.825 +/- 0.014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0.849 +/- 0.004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0.717 +/- 0.014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0.921 +/- 0.003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0.090 +/- 0.016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0.823 +/- 0.003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0.861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0.718 +/- 0.003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0.927 +/- 0.001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0.093 +/- 0.003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0.830 +/- 0.011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0.864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0.725 +/- 0.010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0.929 +/- 0.001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0.083 +/- 0.011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0.598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0.708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0.506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0.925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0.057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0.850 +/- 0.007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0.925 +/- 0.004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0.803 +/- 0.008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0.986 +/- 0.001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0.014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0.915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0.916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0.881 +/- 0.001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0.993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0.156 +/- 0.001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0.861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0.920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0.832 +/- 0.001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0.987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0.051 +/- 0.001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0.608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0.624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0.560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0.904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0.280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0.674 +/- 0.030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0.687 +/- 0.028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0.650 +/- 0.040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0.891 +/- 0.007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0.166 +/- 0.044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0.661 +/- 0.015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0.675 +/- 0.015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0.632 +/- 0.020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0.833 +/- 0.002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0.222 +/- 0.006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0.567 +/- 0.005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0.585 +/- 0.005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0.489 +/- 0.008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0.865 +/- 0.005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0.420 +/- 0.006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0.872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0.873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0.850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0.035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0.925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0.929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0.910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0.979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0.008 +/- 0.003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0.928 +/- 0.002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0.933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0.915 +/- 0.002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0.981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0.035 +/- 0.003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0.940 +/- 0.001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0.945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0.928 +/- 0.001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0.986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0.017 +/- 0.001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0.941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0.931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0.986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0.009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0.961 +/- 0.002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0.963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0.953 +/- 0.002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0.993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0.013 +/- 0.002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0.964 +/- 0.003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0.963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0.956 +/- 0.003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0.994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0.020 +/- 0.001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0.972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0.972 +/- 0.001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0.966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0.996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0.007 +/- 0.002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0.515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0.514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0.514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0.526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0.009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0.516 +/- 0.002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0.516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0.515 +/- 0.002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0.522 +/- 0.002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0.017 +/- 0.007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0.517 +/- 0.002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0.516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0.511 +/- 0.009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0.521 +/- 0.003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0.023 +/- 0.002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0.512 +/- 0.003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0.511 +/- 0.002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0.499 +/- 0.013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0.517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0.054 +/- 0.003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0.657 +/- 0.000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0.708 +/- 0.000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0.647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0.783 +/- 0.000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0.104 +/- 0.000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0.802 +/- 0.022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0.810 +/- 0.004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0.780 +/- 0.017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0.888 +/- 0.010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0.051 +/- 0.011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0.882 +/- 0.005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0.859 +/- 0.008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0.858 +/- 0.006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0.938 +/- 0.001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0.028 +/- 0.003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2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0.871 +/- 0.001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0.865 +/- 0.005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0.850 +/- 0.000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0.938 +/- 0.001</w:t>
            </w:r>
          </w:p>
        </w:tc>
        <w:tc>
          <w:tcPr>
            <w:tcW w:type="dxa" w:w="9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0.055 +/- 0.005</w:t>
            </w:r>
          </w:p>
        </w:tc>
      </w:tr>
    </w:tbl>
    <w:p>
      <w:pPr>
        <w:spacing w:after="40"/>
      </w:pPr>
    </w:p>
    <w:p>
      <w:pPr>
        <w:pStyle w:val="Heading1"/>
      </w:pPr>
      <w:r>
        <w:t>S4. Detailed survival summary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S4. </w:t>
      </w:r>
      <w:r>
        <w:rPr>
          <w:rFonts w:ascii="Calibri" w:hAnsi="Calibri"/>
          <w:b w:val="0"/>
          <w:i w:val="0"/>
          <w:color w:val="5F6368"/>
          <w:sz w:val="18"/>
        </w:rPr>
        <w:t>Dataset-model survival results aggregated across seeds and shift families.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650"/>
        <w:gridCol w:w="1050"/>
        <w:gridCol w:w="1300"/>
        <w:gridCol w:w="1300"/>
        <w:gridCol w:w="1450"/>
        <w:gridCol w:w="1210"/>
      </w:tblGrid>
      <w:tr>
        <w:trPr>
          <w:tblHeader w:val="true"/>
        </w:trPr>
        <w:tc>
          <w:tcPr>
            <w:tcW w:type="dxa" w:w="14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Dataset</w:t>
            </w:r>
          </w:p>
        </w:tc>
        <w:tc>
          <w:tcPr>
            <w:tcW w:type="dxa" w:w="16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Model</w:t>
            </w:r>
          </w:p>
        </w:tc>
        <w:tc>
          <w:tcPr>
            <w:tcW w:type="dxa" w:w="10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Clean BA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Retention STI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Relative CSP</w:t>
            </w:r>
          </w:p>
        </w:tc>
        <w:tc>
          <w:tcPr>
            <w:tcW w:type="dxa" w:w="14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Operational STI</w:t>
            </w:r>
          </w:p>
        </w:tc>
        <w:tc>
          <w:tcPr>
            <w:tcW w:type="dxa" w:w="121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Reversal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0.822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0.988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0.979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0.983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0.983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0.979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adult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0.932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0.971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0.871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0.992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0.957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0.988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33.3%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0.956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bank_marketing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0.951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0.708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0.692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0.358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0.777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0.621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0.621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0.779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0.600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33.3%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covertype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0.794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0.633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0.633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33.3%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0.624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33.3%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0.687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0.996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0.663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0.675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0.996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electricity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0.585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0.982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0.763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0.763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0.750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0.750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33.3%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0.767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0.767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miniboone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0.742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0.742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0.875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0.875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0.917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0.917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0.963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nomao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0.972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0.942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numerai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0.511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0.991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66.7%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logistic regression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0.708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0.492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mlp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0.810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0.941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0.971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0.883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0.907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0.871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0.850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  <w:tr>
        <w:trPr>
          <w:cantSplit/>
        </w:trPr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phoneme</w:t>
            </w:r>
          </w:p>
        </w:tc>
        <w:tc>
          <w:tcPr>
            <w:tcW w:type="dxa" w:w="1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xgboost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0.900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0.879</w:t>
            </w:r>
          </w:p>
        </w:tc>
        <w:tc>
          <w:tcPr>
            <w:tcW w:type="dxa" w:w="12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100.0%</w:t>
            </w:r>
          </w:p>
        </w:tc>
      </w:tr>
    </w:tbl>
    <w:p>
      <w:pPr>
        <w:spacing w:after="40"/>
      </w:pP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S5. </w:t>
      </w:r>
      <w:r>
        <w:rPr>
          <w:rFonts w:ascii="Calibri" w:hAnsi="Calibri"/>
          <w:b w:val="0"/>
          <w:i w:val="0"/>
          <w:color w:val="5F6368"/>
          <w:sz w:val="18"/>
        </w:rPr>
        <w:t>Relative survival summarized by shift family.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1500"/>
        <w:gridCol w:w="1300"/>
        <w:gridCol w:w="1200"/>
        <w:gridCol w:w="1300"/>
        <w:gridCol w:w="1660"/>
      </w:tblGrid>
      <w:tr>
        <w:trPr>
          <w:tblHeader w:val="true"/>
        </w:trPr>
        <w:tc>
          <w:tcPr>
            <w:tcW w:type="dxa" w:w="24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Shift family</w:t>
            </w:r>
          </w:p>
        </w:tc>
        <w:tc>
          <w:tcPr>
            <w:tcW w:type="dxa" w:w="15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N trajectories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STI mean</w:t>
            </w:r>
          </w:p>
        </w:tc>
        <w:tc>
          <w:tcPr>
            <w:tcW w:type="dxa" w:w="1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STI SD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CSP mean</w:t>
            </w:r>
          </w:p>
        </w:tc>
        <w:tc>
          <w:tcPr>
            <w:tcW w:type="dxa" w:w="16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Censored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concurrent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0.864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0.142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0.766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57.3%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gaussian noise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0.870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0.140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0.776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64.6%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feature permutation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0.877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0.148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0.847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63.5%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missing features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0.899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0.104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0.868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63.5%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outlier contamination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0.963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0.021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1.000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100.0%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feature scaling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0.974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0.047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0.973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92.7%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subpopulation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0.984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0.020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1.000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100.0%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label prevalence</w:t>
            </w:r>
          </w:p>
        </w:tc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0.993</w:t>
            </w:r>
          </w:p>
        </w:tc>
        <w:tc>
          <w:tcPr>
            <w:tcW w:type="dxa" w:w="1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0.008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1.000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100.0%</w:t>
            </w:r>
          </w:p>
        </w:tc>
      </w:tr>
    </w:tbl>
    <w:p>
      <w:pPr>
        <w:spacing w:after="40"/>
      </w:pPr>
    </w:p>
    <w:p>
      <w:pPr>
        <w:pStyle w:val="Heading1"/>
      </w:pPr>
      <w:r>
        <w:t>S5. Rank reversal and sensitivity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S6. </w:t>
      </w:r>
      <w:r>
        <w:rPr>
          <w:rFonts w:ascii="Calibri" w:hAnsi="Calibri"/>
          <w:b w:val="0"/>
          <w:i w:val="0"/>
          <w:color w:val="5F6368"/>
          <w:sz w:val="18"/>
        </w:rPr>
        <w:t>Top-model rank reversal within each independent dataset-seed block.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900"/>
        <w:gridCol w:w="2550"/>
        <w:gridCol w:w="2550"/>
        <w:gridCol w:w="1560"/>
      </w:tblGrid>
      <w:tr>
        <w:trPr>
          <w:tblHeader w:val="true"/>
        </w:trPr>
        <w:tc>
          <w:tcPr>
            <w:tcW w:type="dxa" w:w="18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Dataset</w:t>
            </w:r>
          </w:p>
        </w:tc>
        <w:tc>
          <w:tcPr>
            <w:tcW w:type="dxa" w:w="9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Seed</w:t>
            </w:r>
          </w:p>
        </w:tc>
        <w:tc>
          <w:tcPr>
            <w:tcW w:type="dxa" w:w="25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Best clean model</w:t>
            </w:r>
          </w:p>
        </w:tc>
        <w:tc>
          <w:tcPr>
            <w:tcW w:type="dxa" w:w="25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Best robust model</w:t>
            </w:r>
          </w:p>
        </w:tc>
        <w:tc>
          <w:tcPr>
            <w:tcW w:type="dxa" w:w="15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Reversal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adult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adult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adult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bank_marketing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bank_marketing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bank_marketing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covertype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covertype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covertype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electricity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electricity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electricity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miniboone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miniboone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miniboone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nomao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nomao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nomao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numerai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numerai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mlp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numerai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random forest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phoneme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phoneme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123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phoneme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999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xgboost</w:t>
            </w:r>
          </w:p>
        </w:tc>
        <w:tc>
          <w:tcPr>
            <w:tcW w:type="dxa" w:w="2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logistic regression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Yes</w:t>
            </w:r>
          </w:p>
        </w:tc>
      </w:tr>
    </w:tbl>
    <w:p>
      <w:pPr>
        <w:spacing w:after="40"/>
      </w:pP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S7. </w:t>
      </w:r>
      <w:r>
        <w:rPr>
          <w:rFonts w:ascii="Calibri" w:hAnsi="Calibri"/>
          <w:b w:val="0"/>
          <w:i w:val="0"/>
          <w:color w:val="5F6368"/>
          <w:sz w:val="18"/>
        </w:rPr>
        <w:t>Leave-one-shift-family-out ablation.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900"/>
        <w:gridCol w:w="1600"/>
        <w:gridCol w:w="1550"/>
        <w:gridCol w:w="1450"/>
        <w:gridCol w:w="1660"/>
      </w:tblGrid>
      <w:tr>
        <w:trPr>
          <w:tblHeader w:val="true"/>
        </w:trPr>
        <w:tc>
          <w:tcPr>
            <w:tcW w:type="dxa" w:w="2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Excluded shift</w:t>
            </w:r>
          </w:p>
        </w:tc>
        <w:tc>
          <w:tcPr>
            <w:tcW w:type="dxa" w:w="9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Families</w:t>
            </w:r>
          </w:p>
        </w:tc>
        <w:tc>
          <w:tcPr>
            <w:tcW w:type="dxa" w:w="16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Model reversal</w:t>
            </w:r>
          </w:p>
        </w:tc>
        <w:tc>
          <w:tcPr>
            <w:tcW w:type="dxa" w:w="15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Top reversal</w:t>
            </w:r>
          </w:p>
        </w:tc>
        <w:tc>
          <w:tcPr>
            <w:tcW w:type="dxa" w:w="14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Spearman rho</w:t>
            </w:r>
          </w:p>
        </w:tc>
        <w:tc>
          <w:tcPr>
            <w:tcW w:type="dxa" w:w="16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5"/>
              </w:rPr>
              <w:t>p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none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79.2%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-0.773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2.099e-07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gaussian noise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79.2%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-0.778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1.615e-07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missing features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78.1%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-0.744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1.051e-06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feature scaling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80.2%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-0.776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1.843e-07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feature permutation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83.3%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100.0%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-0.773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2.099e-07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outlier contamination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79.2%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-0.773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2.145e-07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label prevalence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77.1%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-0.775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1.967e-07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subpopulation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80.2%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-0.776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1.843e-07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concurrent</w:t>
            </w:r>
          </w:p>
        </w:tc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78.1%</w:t>
            </w:r>
          </w:p>
        </w:tc>
        <w:tc>
          <w:tcPr>
            <w:tcW w:type="dxa" w:w="15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95.8%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-0.762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5"/>
              </w:rPr>
              <w:t>4.026e-07</w:t>
            </w:r>
          </w:p>
        </w:tc>
      </w:tr>
    </w:tbl>
    <w:p>
      <w:pPr>
        <w:spacing w:after="40"/>
      </w:pP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S8. </w:t>
      </w:r>
      <w:r>
        <w:rPr>
          <w:rFonts w:ascii="Calibri" w:hAnsi="Calibri"/>
          <w:b w:val="0"/>
          <w:i w:val="0"/>
          <w:color w:val="5F6368"/>
          <w:sz w:val="18"/>
        </w:rPr>
        <w:t>Leave-one-dataset-out association sensitivity.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000"/>
        <w:gridCol w:w="1600"/>
        <w:gridCol w:w="1300"/>
        <w:gridCol w:w="1600"/>
        <w:gridCol w:w="1660"/>
      </w:tblGrid>
      <w:tr>
        <w:trPr>
          <w:tblHeader w:val="true"/>
        </w:trPr>
        <w:tc>
          <w:tcPr>
            <w:tcW w:type="dxa" w:w="2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Excluded dataset</w:t>
            </w:r>
          </w:p>
        </w:tc>
        <w:tc>
          <w:tcPr>
            <w:tcW w:type="dxa" w:w="10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Datasets</w:t>
            </w:r>
          </w:p>
        </w:tc>
        <w:tc>
          <w:tcPr>
            <w:tcW w:type="dxa" w:w="16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Spearman rho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p</w:t>
            </w:r>
          </w:p>
        </w:tc>
        <w:tc>
          <w:tcPr>
            <w:tcW w:type="dxa" w:w="16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Kendall tau</w:t>
            </w:r>
          </w:p>
        </w:tc>
        <w:tc>
          <w:tcPr>
            <w:tcW w:type="dxa" w:w="16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p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none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8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-0.773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2.099e-07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-0.605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1.94e-07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adult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-0.748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4.696e-06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-0.582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4.236e-06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bank_marketing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-0.737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7.807e-06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-0.566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8.461e-06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electricity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-0.666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0.0001111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-0.503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0.0001009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covertype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-0.863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3.411e-09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-0.698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8.524e-09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numerai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-0.663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0.0001192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-0.492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0.0001464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nomao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-0.874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1.231e-09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-0.725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1.461e-09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phoneme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-0.778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1.113e-06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-0.614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9.62e-07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miniboone</w:t>
            </w:r>
          </w:p>
        </w:tc>
        <w:tc>
          <w:tcPr>
            <w:tcW w:type="dxa" w:w="1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-0.807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2.086e-07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-0.640</w:t>
            </w:r>
          </w:p>
        </w:tc>
        <w:tc>
          <w:tcPr>
            <w:tcW w:type="dxa" w:w="1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2.504e-07</w:t>
            </w:r>
          </w:p>
        </w:tc>
      </w:tr>
    </w:tbl>
    <w:p>
      <w:pPr>
        <w:spacing w:after="40"/>
      </w:pPr>
    </w:p>
    <w:p>
      <w:pPr>
        <w:pStyle w:val="Heading1"/>
      </w:pPr>
      <w:r>
        <w:t>S6. Forecasting detail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S9. </w:t>
      </w:r>
      <w:r>
        <w:rPr>
          <w:rFonts w:ascii="Calibri" w:hAnsi="Calibri"/>
          <w:b w:val="0"/>
          <w:i w:val="0"/>
          <w:color w:val="5F6368"/>
          <w:sz w:val="18"/>
        </w:rPr>
        <w:t>Pooled out-of-fold forecasting metrics.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800"/>
        <w:gridCol w:w="1700"/>
        <w:gridCol w:w="1350"/>
        <w:gridCol w:w="850"/>
        <w:gridCol w:w="850"/>
        <w:gridCol w:w="800"/>
        <w:gridCol w:w="1450"/>
        <w:gridCol w:w="1560"/>
      </w:tblGrid>
      <w:tr>
        <w:trPr>
          <w:tblHeader w:val="true"/>
        </w:trPr>
        <w:tc>
          <w:tcPr>
            <w:tcW w:type="dxa" w:w="8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Regime</w:t>
            </w:r>
          </w:p>
        </w:tc>
        <w:tc>
          <w:tcPr>
            <w:tcW w:type="dxa" w:w="1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Forecaster</w:t>
            </w:r>
          </w:p>
        </w:tc>
        <w:tc>
          <w:tcPr>
            <w:tcW w:type="dxa" w:w="13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Features</w:t>
            </w:r>
          </w:p>
        </w:tc>
        <w:tc>
          <w:tcPr>
            <w:tcW w:type="dxa" w:w="8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MAE</w:t>
            </w:r>
          </w:p>
        </w:tc>
        <w:tc>
          <w:tcPr>
            <w:tcW w:type="dxa" w:w="8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RMSE</w:t>
            </w:r>
          </w:p>
        </w:tc>
        <w:tc>
          <w:tcPr>
            <w:tcW w:type="dxa" w:w="8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R2</w:t>
            </w:r>
          </w:p>
        </w:tc>
        <w:tc>
          <w:tcPr>
            <w:tcW w:type="dxa" w:w="14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Failure accuracy</w:t>
            </w:r>
          </w:p>
        </w:tc>
        <w:tc>
          <w:tcPr>
            <w:tcW w:type="dxa" w:w="15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Failure macro-F1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0.1097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0.1637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-0.135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0.842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0.583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confidence only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0.1170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0.1709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-0.237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0.846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drift only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0.1319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0.1839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-0.432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0.786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0.441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 model identity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0.1184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0.1698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-0.220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0.819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0.541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naive no change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0.0677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0.1338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0.243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0.884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0.469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 regressor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0.0569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0.1047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0.536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0.869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0.542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ridge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0.1056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0.1480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0.072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0.828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0.597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0.0579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0.0934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0.631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0.892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0.763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confidence only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0.0426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0.0683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0.802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0.932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0.833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drift only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0.0848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0.1219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0.370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0.851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0.640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no model identity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0.0634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0.1023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0.556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0.895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0.766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naive no change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0.0685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0.1346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0.232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0.883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0.469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 regressor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0.0426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0.0743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0.766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0.915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0.795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ridge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combined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0.0586</w:t>
            </w:r>
          </w:p>
        </w:tc>
        <w:tc>
          <w:tcPr>
            <w:tcW w:type="dxa" w:w="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0.0918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0.643</w:t>
            </w:r>
          </w:p>
        </w:tc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0.894</w:t>
            </w:r>
          </w:p>
        </w:tc>
        <w:tc>
          <w:tcPr>
            <w:tcW w:type="dxa" w:w="1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0.742</w:t>
            </w:r>
          </w:p>
        </w:tc>
      </w:tr>
    </w:tbl>
    <w:p>
      <w:pPr>
        <w:spacing w:after="40"/>
      </w:pP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S10. </w:t>
      </w:r>
      <w:r>
        <w:rPr>
          <w:rFonts w:ascii="Calibri" w:hAnsi="Calibri"/>
          <w:b w:val="0"/>
          <w:i w:val="0"/>
          <w:color w:val="5F6368"/>
          <w:sz w:val="18"/>
        </w:rPr>
        <w:t>Cluster-aware paired forecasting tests. Positive advantage indicates lower MAE for the combined FFN.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800"/>
        <w:gridCol w:w="3100"/>
        <w:gridCol w:w="700"/>
        <w:gridCol w:w="1050"/>
        <w:gridCol w:w="1250"/>
        <w:gridCol w:w="1300"/>
        <w:gridCol w:w="1160"/>
      </w:tblGrid>
      <w:tr>
        <w:trPr>
          <w:tblHeader w:val="true"/>
        </w:trPr>
        <w:tc>
          <w:tcPr>
            <w:tcW w:type="dxa" w:w="8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Regime</w:t>
            </w:r>
          </w:p>
        </w:tc>
        <w:tc>
          <w:tcPr>
            <w:tcW w:type="dxa" w:w="31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Comparison with FFN combined</w:t>
            </w:r>
          </w:p>
        </w:tc>
        <w:tc>
          <w:tcPr>
            <w:tcW w:type="dxa" w:w="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Blocks</w:t>
            </w:r>
          </w:p>
        </w:tc>
        <w:tc>
          <w:tcPr>
            <w:tcW w:type="dxa" w:w="10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FFN MAE</w:t>
            </w:r>
          </w:p>
        </w:tc>
        <w:tc>
          <w:tcPr>
            <w:tcW w:type="dxa" w:w="125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Comparator MAE</w:t>
            </w:r>
          </w:p>
        </w:tc>
        <w:tc>
          <w:tcPr>
            <w:tcW w:type="dxa" w:w="13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FFN advantage</w:t>
            </w:r>
          </w:p>
        </w:tc>
        <w:tc>
          <w:tcPr>
            <w:tcW w:type="dxa" w:w="11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4"/>
              </w:rPr>
              <w:t>Holm p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naive no change:combined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0.0677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-0.0476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ridge:combined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0.1056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-0.0097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 regressor:combined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0.0569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-0.0584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ffn:drift only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0.1347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0.0194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0.3281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ffn:confidence only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0.1197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0.0044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1.0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LODO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ffn:no model identity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0.1153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0.1231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0.0078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0.1875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naive no change:combined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0.0685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0.0081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0.9219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ridge:combined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0.0586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-0.0019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0.9219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random forest regressor:combined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0.0426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-0.0178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ffn:drift only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0.0867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0.0262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ffn:confidence only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0.0448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-0.0156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LOSO</w:t>
            </w:r>
          </w:p>
        </w:tc>
        <w:tc>
          <w:tcPr>
            <w:tcW w:type="dxa" w:w="3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ffn:no model identity</w:t>
            </w:r>
          </w:p>
        </w:tc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8</w:t>
            </w:r>
          </w:p>
        </w:tc>
        <w:tc>
          <w:tcPr>
            <w:tcW w:type="dxa" w:w="10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0.0604</w:t>
            </w:r>
          </w:p>
        </w:tc>
        <w:tc>
          <w:tcPr>
            <w:tcW w:type="dxa" w:w="1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0.0656</w:t>
            </w:r>
          </w:p>
        </w:tc>
        <w:tc>
          <w:tcPr>
            <w:tcW w:type="dxa" w:w="1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0.0051</w:t>
            </w:r>
          </w:p>
        </w:tc>
        <w:tc>
          <w:tcPr>
            <w:tcW w:type="dxa" w:w="1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4"/>
              </w:rPr>
              <w:t>0.04688</w:t>
            </w:r>
          </w:p>
        </w:tc>
      </w:tr>
    </w:tbl>
    <w:p>
      <w:pPr>
        <w:spacing w:after="40"/>
      </w:pPr>
    </w:p>
    <w:p>
      <w:pPr>
        <w:pStyle w:val="Heading1"/>
      </w:pPr>
      <w:r>
        <w:t>S7. Diagnostic figures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3440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0_metric_sensitivit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440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S1. </w:t>
      </w:r>
      <w:r>
        <w:rPr>
          <w:rFonts w:ascii="Calibri" w:hAnsi="Calibri"/>
          <w:b w:val="0"/>
          <w:i w:val="0"/>
          <w:color w:val="5F6368"/>
          <w:sz w:val="18"/>
        </w:rPr>
        <w:t>Metric sensitivity of survival rankings across balanced accuracy, accuracy, macro-F1, and AUROC.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34404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9_forecaster_abla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440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S2. </w:t>
      </w:r>
      <w:r>
        <w:rPr>
          <w:rFonts w:ascii="Calibri" w:hAnsi="Calibri"/>
          <w:b w:val="0"/>
          <w:i w:val="0"/>
          <w:color w:val="5F6368"/>
          <w:sz w:val="18"/>
        </w:rPr>
        <w:t>Failure-forecaster feature-group ablation under both transfer regimes.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31757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5_dataset_abla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175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S3. </w:t>
      </w:r>
      <w:r>
        <w:rPr>
          <w:rFonts w:ascii="Calibri" w:hAnsi="Calibri"/>
          <w:b w:val="0"/>
          <w:i w:val="0"/>
          <w:color w:val="5F6368"/>
          <w:sz w:val="18"/>
        </w:rPr>
        <w:t>Leave-one-dataset-out sensitivity of the clean-performance versus robustness association.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317578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3_training_tim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175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S4. </w:t>
      </w:r>
      <w:r>
        <w:rPr>
          <w:rFonts w:ascii="Calibri" w:hAnsi="Calibri"/>
          <w:b w:val="0"/>
          <w:i w:val="0"/>
          <w:color w:val="5F6368"/>
          <w:sz w:val="18"/>
        </w:rPr>
        <w:t>Predictor training time by dataset and model family.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25711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1_clean_roc_curv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5711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S5. </w:t>
      </w:r>
      <w:r>
        <w:rPr>
          <w:rFonts w:ascii="Calibri" w:hAnsi="Calibri"/>
          <w:b w:val="0"/>
          <w:i w:val="0"/>
          <w:color w:val="5F6368"/>
          <w:sz w:val="18"/>
        </w:rPr>
        <w:t>Clean-test ROC curves aggregated across seeds. Covertype uses macro one-vs-rest ROC.</w:t>
      </w:r>
    </w:p>
    <w:p>
      <w:pPr>
        <w:pStyle w:val="Heading1"/>
      </w:pPr>
      <w:r>
        <w:t>S8. Confusion matrices</w:t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adul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S6.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Adult,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bank_marketin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S7.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Bank Marketing,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31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covertyp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S8.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Covertype,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electricit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S9.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Electricity,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miniboon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S10.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Miniboone,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noma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S11.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Nomao,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numerai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S12.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Numerai, aggregated over the three predictor seeds.</w:t>
      </w:r>
    </w:p>
    <w:p>
      <w:r>
        <w:br w:type="page"/>
      </w:r>
    </w:p>
    <w:p>
      <w:pPr>
        <w:keepNext/>
        <w:spacing w:before="0" w:after="0" w:line="264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897880" cy="137778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_12_confusion_matrix_phonem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377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spacing w:before="80" w:after="160" w:line="240" w:lineRule="auto"/>
        <w:jc w:val="left"/>
      </w:pPr>
      <w:r>
        <w:rPr>
          <w:rFonts w:ascii="Calibri" w:hAnsi="Calibri"/>
          <w:b/>
          <w:i w:val="0"/>
          <w:color w:val="5F6368"/>
          <w:sz w:val="18"/>
        </w:rPr>
        <w:t xml:space="preserve">Figure S13. </w:t>
      </w:r>
      <w:r>
        <w:rPr>
          <w:rFonts w:ascii="Calibri" w:hAnsi="Calibri"/>
          <w:b w:val="0"/>
          <w:i w:val="0"/>
          <w:color w:val="5F6368"/>
          <w:sz w:val="18"/>
        </w:rPr>
        <w:t>Clean-test confusion matrices for Phoneme, aggregated over the three predictor seeds.</w:t>
      </w:r>
    </w:p>
    <w:p>
      <w:pPr>
        <w:pStyle w:val="Heading1"/>
      </w:pPr>
      <w:r>
        <w:t>S9. Exact endpoint implementation</w:t>
      </w:r>
    </w:p>
    <w:p>
      <w:pPr>
        <w:keepNext w:val="0"/>
        <w:spacing w:before="0" w:after="120" w:line="264" w:lineRule="auto"/>
      </w:pPr>
      <w:r>
        <w:rPr>
          <w:rFonts w:ascii="Calibri" w:hAnsi="Calibri"/>
          <w:b w:val="0"/>
          <w:i w:val="0"/>
          <w:color w:val="202124"/>
          <w:sz w:val="22"/>
        </w:rPr>
        <w:t>The following statements are implementation checks against the archived source code, not alternative post hoc definitions.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Baseline balanced accuracy was protected by epsilon=10^-8 before division.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Raw retention was clipped to [0,1.25], then converted to a cumulative-minimum curve.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Retention-area STI integrated the cumulative-minimum curve after a second clip to [0,1].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Relative, absolute, and operational events required two consecutive failed severity points.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No relative event through severity 1.0 was recorded as right-censored at 1.0.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Absolute and operational endpoints were undefined for baseline balanced accuracy below 0.70.</w:t>
      </w:r>
    </w:p>
    <w:p>
      <w:pPr>
        <w:pStyle w:val="ListBullet"/>
        <w:keepNext w:val="0"/>
        <w:spacing w:before="0" w:after="80" w:line="264" w:lineRule="auto"/>
        <w:ind w:left="720" w:hanging="360"/>
      </w:pPr>
      <w:r>
        <w:rPr>
          <w:rFonts w:ascii="Calibri" w:hAnsi="Calibri"/>
          <w:b w:val="0"/>
          <w:i w:val="0"/>
          <w:color w:val="202124"/>
          <w:sz w:val="22"/>
        </w:rPr>
        <w:t>Operational and absolute STI used a right-continuous binary survival indicator.</w:t>
      </w:r>
    </w:p>
    <w:p>
      <w:pPr>
        <w:pStyle w:val="Heading1"/>
      </w:pPr>
      <w:r>
        <w:t>S10. Evidence and reporting audit</w:t>
      </w:r>
    </w:p>
    <w:p>
      <w:pPr>
        <w:pStyle w:val="Caption"/>
        <w:keepNext/>
        <w:spacing w:before="120" w:after="80" w:line="240" w:lineRule="auto"/>
      </w:pPr>
      <w:r>
        <w:rPr>
          <w:rFonts w:ascii="Calibri" w:hAnsi="Calibri"/>
          <w:b/>
          <w:i w:val="0"/>
          <w:color w:val="5F6368"/>
          <w:sz w:val="18"/>
        </w:rPr>
        <w:t xml:space="preserve">Table S11. </w:t>
      </w:r>
      <w:r>
        <w:rPr>
          <w:rFonts w:ascii="Calibri" w:hAnsi="Calibri"/>
          <w:b w:val="0"/>
          <w:i w:val="0"/>
          <w:color w:val="5F6368"/>
          <w:sz w:val="18"/>
        </w:rPr>
        <w:t>Submission-readiness audit for the reported study.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900"/>
        <w:gridCol w:w="5260"/>
      </w:tblGrid>
      <w:tr>
        <w:trPr>
          <w:tblHeader w:val="true"/>
        </w:trPr>
        <w:tc>
          <w:tcPr>
            <w:tcW w:type="dxa" w:w="22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Audit item</w:t>
            </w:r>
          </w:p>
        </w:tc>
        <w:tc>
          <w:tcPr>
            <w:tcW w:type="dxa" w:w="19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Result</w:t>
            </w:r>
          </w:p>
        </w:tc>
        <w:tc>
          <w:tcPr>
            <w:tcW w:type="dxa" w:w="526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/>
                <w:i w:val="0"/>
                <w:color w:val="1F4D78"/>
                <w:sz w:val="16"/>
              </w:rPr>
              <w:t>Interpretation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Literature references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57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Each supports a named claim, method, dataset, metric, or reporting decision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Editable equations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7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Definitions mirror the executed V4 source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Predictor seeds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3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42, 123, and 999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Neural training ceiling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100 epochs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Validation early stopping after 15 unimproved epochs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Ablation families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5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Feature groups, metric, thresholds/floors, shift exclusions, dataset exclusions</w:t>
            </w:r>
          </w:p>
        </w:tc>
      </w:tr>
      <w:tr>
        <w:trPr>
          <w:cantSplit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Diagnostic outputs</w:t>
            </w:r>
          </w:p>
        </w:tc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ROC + confusion matrices</w:t>
            </w:r>
          </w:p>
        </w:tc>
        <w:tc>
          <w:tcPr>
            <w:tcW w:type="dxa" w:w="5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202124"/>
                <w:sz w:val="16"/>
              </w:rPr>
              <w:t>All eight datasets represented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64" w:lineRule="auto"/>
      <w:jc w:val="right"/>
    </w:pPr>
    <w:r/>
    <w:r>
      <w:rPr>
        <w:rFonts w:ascii="Calibri" w:hAnsi="Calibri"/>
        <w:b w:val="0"/>
        <w:i w:val="0"/>
        <w:color w:val="5F6368"/>
        <w:sz w:val="17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64" w:lineRule="auto"/>
      <w:jc w:val="right"/>
    </w:pPr>
    <w:r/>
    <w:r>
      <w:rPr>
        <w:rFonts w:ascii="Calibri" w:hAnsi="Calibri"/>
        <w:b w:val="0"/>
        <w:i w:val="0"/>
        <w:color w:val="5F6368"/>
        <w:sz w:val="17"/>
      </w:rPr>
      <w:t>Supplementary Material - Model Survival V5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2021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i w:val="0"/>
      <w:color w:val="5F636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Model Survival V5</dc:title>
  <dc:subject>Distribution shift, model robustness, and label-free performance forecasting</dc:subject>
  <dc:creator>Aras Ismael Masood</dc:creator>
  <cp:keywords>distribution shift; model survival; robustness; performance forecasting; tabular machine learning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