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491D" w:rsidRPr="00A6420E" w:rsidRDefault="001C491D" w:rsidP="001C491D">
      <w:pPr>
        <w:widowControl/>
        <w:rPr>
          <w:rFonts w:ascii="Times New Roman" w:hAnsi="Times New Roman" w:cs="Times New Roman"/>
          <w:b/>
          <w:kern w:val="0"/>
          <w:szCs w:val="24"/>
        </w:rPr>
      </w:pPr>
      <w:r w:rsidRPr="00A6420E">
        <w:rPr>
          <w:rFonts w:ascii="Times New Roman" w:hAnsi="Times New Roman" w:cs="Times New Roman"/>
          <w:b/>
          <w:kern w:val="0"/>
          <w:szCs w:val="24"/>
        </w:rPr>
        <w:t>SUPPLEMENTARY MATERIAL</w:t>
      </w:r>
    </w:p>
    <w:p w:rsidR="001C491D" w:rsidRPr="00A6420E" w:rsidRDefault="001C491D" w:rsidP="001C491D">
      <w:pPr>
        <w:widowControl/>
        <w:rPr>
          <w:rFonts w:ascii="Times New Roman" w:hAnsi="Times New Roman" w:cs="Times New Roman"/>
          <w:b/>
          <w:kern w:val="0"/>
          <w:szCs w:val="24"/>
        </w:rPr>
      </w:pPr>
      <w:r w:rsidRPr="00A6420E">
        <w:rPr>
          <w:rFonts w:ascii="Times New Roman" w:hAnsi="Times New Roman" w:cs="Times New Roman"/>
          <w:b/>
          <w:bCs/>
          <w:szCs w:val="24"/>
        </w:rPr>
        <w:t>Fecal 16S rDNA sequencing</w:t>
      </w:r>
    </w:p>
    <w:p w:rsidR="001C491D" w:rsidRPr="00A6420E" w:rsidRDefault="001C491D" w:rsidP="001C491D">
      <w:pPr>
        <w:widowControl/>
        <w:rPr>
          <w:rFonts w:ascii="Times New Roman" w:hAnsi="Times New Roman" w:cs="Times New Roman"/>
          <w:kern w:val="0"/>
          <w:szCs w:val="24"/>
        </w:rPr>
      </w:pPr>
      <w:r w:rsidRPr="00A6420E">
        <w:rPr>
          <w:rFonts w:ascii="Times New Roman" w:hAnsi="Times New Roman" w:cs="Times New Roman"/>
          <w:kern w:val="0"/>
          <w:szCs w:val="24"/>
        </w:rPr>
        <w:t>The V3-V4 region of 16S rDNA was amplified using forward (5’ TCGTCGGCAGCGTCAGATGT GTATAAGAGACAGCCTACGG GNGGCWGCAG 3’) and reverse (5’ GTCTCGTGGGCTCGGAGATG TGTATAAGAGACAGGACTAC HVGGGTATCTAATCC 3’) primer sets and performed by the 16S Metagenomic Sequencing Library Preparation Kit (Illumina, San Diego, CA, USA). Illumina sequencing adapters and barcodes were added to the amplicons by PCR amplification using the Nextera XT Index Kit (Illumina, San Diego, CA, USA), according to the manufacturer’s instructions. Amplified DNA sizing was verified by the 4200 TapeStation System (Agilent Technologies, Santa Clara, CA, USA). After library preparation, samples were mixed with MiSeq Reagent Kit v3 (600-cycle) and loaded onto MiSeq cartridges. Using paired 300 bp reads, the 3'-ends of each read were overlapped to generate high‐quality full‐length amplicons of the V3-V4 region. The sequencing run was performed by the MiSeq platform (Illumina, San Diego, CA, USA). Sample preparation, library construction and sequencing were performed by Welgene Biotech Co., Ltd. (Taipei, Taiwan).</w:t>
      </w:r>
    </w:p>
    <w:p w:rsidR="001C491D" w:rsidRPr="00A6420E" w:rsidRDefault="001C491D" w:rsidP="001C491D">
      <w:pPr>
        <w:widowControl/>
        <w:rPr>
          <w:rFonts w:ascii="Times New Roman" w:hAnsi="Times New Roman" w:cs="Times New Roman"/>
          <w:kern w:val="0"/>
          <w:szCs w:val="24"/>
        </w:rPr>
      </w:pPr>
    </w:p>
    <w:p w:rsidR="001C491D" w:rsidRPr="00A6420E" w:rsidRDefault="001C491D" w:rsidP="001C491D">
      <w:pPr>
        <w:widowControl/>
        <w:rPr>
          <w:rFonts w:ascii="Times New Roman" w:hAnsi="Times New Roman" w:cs="Times New Roman"/>
          <w:b/>
          <w:kern w:val="0"/>
          <w:szCs w:val="24"/>
        </w:rPr>
      </w:pPr>
      <w:r w:rsidRPr="00A6420E">
        <w:rPr>
          <w:rFonts w:ascii="Times New Roman" w:hAnsi="Times New Roman" w:cs="Times New Roman"/>
          <w:b/>
          <w:kern w:val="0"/>
          <w:szCs w:val="24"/>
        </w:rPr>
        <w:t>OTU analysis and annotation</w:t>
      </w:r>
    </w:p>
    <w:p w:rsidR="001C491D" w:rsidRPr="00A6420E" w:rsidRDefault="001C491D" w:rsidP="001C491D">
      <w:pPr>
        <w:rPr>
          <w:rFonts w:ascii="Times New Roman" w:hAnsi="Times New Roman" w:cs="Times New Roman"/>
          <w:szCs w:val="24"/>
        </w:rPr>
      </w:pPr>
      <w:r w:rsidRPr="00A6420E">
        <w:rPr>
          <w:rFonts w:ascii="Times New Roman" w:hAnsi="Times New Roman" w:cs="Times New Roman"/>
          <w:szCs w:val="24"/>
        </w:rPr>
        <w:t>The paired-end raw FASTQ reads generated from the Illumina MiSeq platform were filtered to remove the Illumina PhiX Control using Bowtie 2.</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&lt;EndNote&gt;&lt;Cite&gt;&lt;Author&gt;Langmead&lt;/Author&gt;&lt;Year&gt;2012&lt;/Year&gt;&lt;RecNum&gt;265&lt;/RecNum&gt;&lt;DisplayText&gt;[38]&lt;/DisplayText&gt;&lt;record&gt;&lt;rec-number&gt;265&lt;/rec-number&gt;&lt;foreign-keys&gt;&lt;key app="EN" db-id="5f00pd9se59pvweetz3xep0rex9x0zpzwtaa" timestamp="1630577016"&gt;265&lt;/key&gt;&lt;/foreign-keys&gt;&lt;ref-type name="Journal Article"&gt;17&lt;/ref-type&gt;&lt;contributors&gt;&lt;authors&gt;&lt;author&gt;Langmead, Ben&lt;/author&gt;&lt;author&gt;Salzberg, Steven L&lt;/author&gt;&lt;/authors&gt;&lt;/contributors&gt;&lt;titles&gt;&lt;title&gt;Fast gapped-read alignment with Bowtie 2&lt;/title&gt;&lt;secondary-title&gt;Nature methods&lt;/secondary-title&gt;&lt;/titles&gt;&lt;periodical&gt;&lt;full-title&gt;Nature methods&lt;/full-title&gt;&lt;/periodical&gt;&lt;pages&gt;357-359&lt;/pages&gt;&lt;volume&gt;9&lt;/volume&gt;&lt;number&gt;4&lt;/number&gt;&lt;dates&gt;&lt;year&gt;2012&lt;/year&gt;&lt;/dates&gt;&lt;isbn&gt;1548-7105&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[38]</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Trimmomatic was used to remove sequences with average QV &lt;20 to produce clean reads.</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&lt;EndNote&gt;&lt;Cite&gt;&lt;Author&gt;Bolger&lt;/Author&gt;&lt;Year&gt;2014&lt;/Year&gt;&lt;RecNum&gt;266&lt;/RecNum&gt;&lt;DisplayText&gt;[39]&lt;/DisplayText&gt;&lt;record&gt;&lt;rec-number&gt;266&lt;/rec-number&gt;&lt;foreign-keys&gt;&lt;key app="EN" db-id="5f00pd9se59pvweetz3xep0rex9x0zpzwtaa" timestamp="1630577184"&gt;266&lt;/key&gt;&lt;/foreign-keys&gt;&lt;ref-type name="Journal Article"&gt;17&lt;/ref-type&gt;&lt;contributors&gt;&lt;authors&gt;&lt;author&gt;Bolger, Anthony M&lt;/author&gt;&lt;author&gt;Lohse, Marc&lt;/author&gt;&lt;author&gt;Usadel, Bjoern&lt;/author&gt;&lt;/authors&gt;&lt;/contributors&gt;&lt;titles&gt;&lt;title&gt;Trimmomatic: a flexible trimmer for Illumina sequence data&lt;/title&gt;&lt;secondary-title&gt;Bioinformatics&lt;/secondary-title&gt;&lt;/titles&gt;&lt;periodical&gt;&lt;full-title&gt;Bioinformatics&lt;/full-title&gt;&lt;/periodical&gt;&lt;pages&gt;2114-2120&lt;/pages&gt;&lt;volume&gt;30&lt;/volume&gt;&lt;number&gt;15&lt;/number&gt;&lt;dates&gt;&lt;year&gt;2014&lt;/year&gt;&lt;/dates&gt;&lt;isbn&gt;1460-2059&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[39]</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These clean paired-end reads were merged by overlapping sequences using FLASH</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&lt;EndNote&gt;&lt;Cite&gt;&lt;Author&gt;Magoč&lt;/Author&gt;&lt;Year&gt;2011&lt;/Year&gt;&lt;RecNum&gt;267&lt;/RecNum&gt;&lt;DisplayText&gt;[40]&lt;/DisplayText&gt;&lt;record&gt;&lt;rec-number&gt;267&lt;/rec-number&gt;&lt;foreign-keys&gt;&lt;key app="EN" db-id="5f00pd9se59pvweetz3xep0rex9x0zpzwtaa" timestamp="1630577245"&gt;267&lt;/key&gt;&lt;/foreign-keys&gt;&lt;ref-type name="Journal Article"&gt;17&lt;/ref-type&gt;&lt;contributors&gt;&lt;authors&gt;&lt;author&gt;Magoč, Tanja&lt;/author&gt;&lt;author&gt;Salzberg, Steven L&lt;/author&gt;&lt;/authors&gt;&lt;/contributors&gt;&lt;titles&gt;&lt;title&gt;FLASH: fast length adjustment of short reads to improve genome assemblies&lt;/title&gt;&lt;secondary-title&gt;Bioinformatics&lt;/secondary-title&gt;&lt;/titles&gt;&lt;periodical&gt;&lt;full-title&gt;Bioinformatics&lt;/full-title&gt;&lt;/periodical&gt;&lt;pages&gt;2957-2963&lt;/pages&gt;&lt;volume&gt;27&lt;/volume&gt;&lt;number&gt;21&lt;/number&gt;&lt;dates&gt;&lt;year&gt;2011&lt;/year&gt;&lt;/dates&gt;&lt;isbn&gt;1460-2059&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[40]</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and low-quality tails and primers were then trimmed and filtered based on length using mothur software</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&lt;EndNote&gt;&lt;Cite&gt;&lt;Author&gt;Schloss&lt;/Author&gt;&lt;Year&gt;2009&lt;/Year&gt;&lt;RecNum&gt;268&lt;/RecNum&gt;&lt;DisplayText&gt;[41]&lt;/DisplayText&gt;&lt;record&gt;&lt;rec-number&gt;268&lt;/rec-number&gt;&lt;foreign-keys&gt;&lt;key app="EN" db-id="5f00pd9se59pvweetz3xep0rex9x0zpzwtaa" timestamp="1630577377"&gt;268&lt;/key&gt;&lt;/foreign-keys&gt;&lt;ref-type name="Journal Article"&gt;17&lt;/ref-type&gt;&lt;contributors&gt;&lt;authors&gt;&lt;author&gt;Schloss, Patrick D&lt;/author&gt;&lt;author&gt;Westcott, Sarah L&lt;/author&gt;&lt;author&gt;Ryabin, Thomas&lt;/author&gt;&lt;author&gt;Hall, Justine R&lt;/author&gt;&lt;author&gt;Hartmann, Martin&lt;/author&gt;&lt;author&gt;Hollister, Emily B&lt;/author&gt;&lt;author&gt;Lesniewski, Ryan A&lt;/author&gt;&lt;author&gt;Oakley, Brian B&lt;/author&gt;&lt;author&gt;Parks, Donovan H&lt;/author&gt;&lt;author&gt;Robinson, Courtney J&lt;/author&gt;&lt;/authors&gt;&lt;/contributors&gt;&lt;titles&gt;&lt;title&gt;Introducing mothur: open-source, platform-independent, community-supported software for describing and comparing microbial communities&lt;/title&gt;&lt;secondary-title&gt;Applied and environmental microbiology&lt;/secondary-title&gt;&lt;/titles&gt;&lt;periodical&gt;&lt;full-title&gt;Applied and environmental microbiology&lt;/full-title&gt;&lt;/periodical&gt;&lt;pages&gt;7537-7541&lt;/pages&gt;&lt;volume&gt;75&lt;/volume&gt;&lt;number&gt;23&lt;/number&gt;&lt;dates&gt;&lt;year&gt;2009&lt;/year&gt;&lt;/dates&gt;&lt;isbn&gt;0099-2240&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[41]</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to produce filtered tags. USEARCH was used to remove PCR chimeras to produce effective tags and to construct OTUs (Operational Taxonomic Units) at 97% sequence identity.</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&lt;EndNote&gt;&lt;Cite&gt;&lt;Author&gt;Edgar&lt;/Author&gt;&lt;Year&gt;2013&lt;/Year&gt;&lt;RecNum&gt;269&lt;/RecNum&gt;&lt;DisplayText&gt;[42]&lt;/DisplayText&gt;&lt;record&gt;&lt;rec-number&gt;269&lt;/rec-number&gt;&lt;foreign-keys&gt;&lt;key app="EN" db-id="5f00pd9se59pvweetz3xep0rex9x0zpzwtaa" timestamp="1630577430"&gt;269&lt;/key&gt;&lt;/foreign-keys&gt;&lt;ref-type name="Journal Article"&gt;17&lt;/ref-type&gt;&lt;contributors&gt;&lt;authors&gt;&lt;author&gt;Edgar, Robert C&lt;/author&gt;&lt;/authors&gt;&lt;/contributors&gt;&lt;titles&gt;&lt;title&gt;UPARSE: highly accurate OTU sequences from microbial amplicon reads&lt;/title&gt;&lt;secondary-title&gt;Nature methods&lt;/secondary-title&gt;&lt;/titles&gt;&lt;periodical&gt;&lt;full-title&gt;Nature methods&lt;/full-title&gt;&lt;/periodical&gt;&lt;pages&gt;996-998&lt;/pages&gt;&lt;volume&gt;10&lt;/volume&gt;&lt;number&gt;10&lt;/number&gt;&lt;dates&gt;&lt;year&gt;2013&lt;/year&gt;&lt;/dates&gt;&lt;isbn&gt;1548-7105&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[42]</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Taxonomy assignment of OTU sequences was performed using mothur with the SILVA database v132.</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&lt;EndNote&gt;&lt;Cite&gt;&lt;Author&gt;Yilmaz&lt;/Author&gt;&lt;Year&gt;2014&lt;/Year&gt;&lt;RecNum&gt;270&lt;/RecNum&gt;&lt;DisplayText&gt;[43]&lt;/DisplayText&gt;&lt;record&gt;&lt;rec-number&gt;270&lt;/rec-number&gt;&lt;foreign-keys&gt;&lt;key app="EN" db-id="5f00pd9se59pvweetz3xep0rex9x0zpzwtaa" timestamp="1630577521"&gt;270&lt;/key&gt;&lt;/foreign-keys&gt;&lt;ref-type name="Journal Article"&gt;17&lt;/ref-type&gt;&lt;contributors&gt;&lt;authors&gt;&lt;author&gt;Yilmaz, Pelin&lt;/author&gt;&lt;author&gt;Parfrey, Laura Wegener&lt;/author&gt;&lt;author&gt;Yarza, Pablo&lt;/author&gt;&lt;author&gt;Gerken, Jan&lt;/author&gt;&lt;author&gt;Pruesse, Elmar&lt;/author&gt;&lt;author&gt;Quast, Christian&lt;/author&gt;&lt;author&gt;Schweer, Timmy&lt;/author&gt;&lt;author&gt;Peplies, Jörg&lt;/author&gt;&lt;author&gt;Ludwig, Wolfgang&lt;/author&gt;&lt;author&gt;Glöckner, Frank Oliver&lt;/author&gt;&lt;/authors&gt;&lt;/contributors&gt;&lt;titles&gt;&lt;title&gt;The SILVA and “all-species living tree project (LTP)” taxonomic frameworks&lt;/title&gt;&lt;secondary-title&gt;Nucleic acids research&lt;/secondary-title&gt;&lt;/titles&gt;&lt;periodical&gt;&lt;full-title&gt;Nucleic acids research&lt;/full-title&gt;&lt;/periodical&gt;&lt;pages&gt;D643-D648&lt;/pages&gt;&lt;volume&gt;42&lt;/volume&gt;&lt;number&gt;D1&lt;/number&gt;&lt;dates&gt;&lt;year&gt;2014&lt;/year&gt;&lt;/dates&gt;&lt;isbn&gt;1362-4962&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[43]</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Taxa abundancy and rank abundance curves were calculated and plotted using Qiime.</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&lt;EndNote&gt;&lt;Cite&gt;&lt;Author&gt;Caporaso&lt;/Author&gt;&lt;Year&gt;2010&lt;/Year&gt;&lt;RecNum&gt;271&lt;/RecNum&gt;&lt;DisplayText&gt;[44]&lt;/DisplayText&gt;&lt;record&gt;&lt;rec-number&gt;271&lt;/rec-number&gt;&lt;foreign-keys&gt;&lt;key app="EN" db-id="5f00pd9se59pvweetz3xep0rex9x0zpzwtaa" timestamp="1630577668"&gt;271&lt;/key&gt;&lt;/foreign-keys&gt;&lt;ref-type name="Journal Article"&gt;17&lt;/ref-type&gt;&lt;contributors&gt;&lt;authors&gt;&lt;author&gt;Caporaso, J Gregory&lt;/author&gt;&lt;author&gt;Kuczynski, Justin&lt;/author&gt;&lt;author&gt;Stombaugh, Jesse&lt;/author&gt;&lt;author&gt;Bittinger, Kyle&lt;/author&gt;&lt;author&gt;Bushman, Frederic D&lt;/author&gt;&lt;author&gt;Costello, Elizabeth K&lt;/author&gt;&lt;author&gt;Fierer, Noah&lt;/author&gt;&lt;author&gt;Peña, Antonio Gonzalez&lt;/author&gt;&lt;author&gt;Goodrich, Julia K&lt;/author&gt;&lt;author&gt;Gordon, Jeffrey I&lt;/author&gt;&lt;/authors&gt;&lt;/contributors&gt;&lt;titles&gt;&lt;title&gt;QIIME allows analysis of high-throughput community sequencing data&lt;/title&gt;&lt;secondary-title&gt;Nature methods&lt;/secondary-title&gt;&lt;/titles&gt;&lt;periodical&gt;&lt;full-title&gt;Nature methods&lt;/full-title&gt;&lt;/periodical&gt;&lt;pages&gt;335-336&lt;/pages&gt;&lt;volume&gt;7&lt;/volume&gt;&lt;number&gt;5&lt;/number&gt;&lt;dates&gt;&lt;year&gt;2010&lt;/year&gt;&lt;/dates&gt;&lt;isbn&gt;1548-7105&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[44]</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Alpha diversity indices (Shannon diversity ) were calculated using mothur.</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&lt;EndNote&gt;&lt;Cite&gt;&lt;Author&gt;Magurran&lt;/Author&gt;&lt;Year&gt;2013&lt;/Year&gt;&lt;RecNum&gt;272&lt;/RecNum&gt;&lt;DisplayText&gt;[45]&lt;/DisplayText&gt;&lt;record&gt;&lt;rec-number&gt;272&lt;/rec-number&gt;&lt;foreign-keys&gt;&lt;key app="EN" db-id="5f00pd9se59pvweetz3xep0rex9x0zpzwtaa" timestamp="1630577825"&gt;272&lt;/key&gt;&lt;/foreign-keys&gt;&lt;ref-type name="Book"&gt;6&lt;/ref-type&gt;&lt;contributors&gt;&lt;authors&gt;&lt;author&gt;Magurran, Anne E&lt;/author&gt;&lt;/authors&gt;&lt;/contributors&gt;&lt;titles&gt;&lt;title&gt;Measuring biological diversity&lt;/title&gt;&lt;/titles&gt;&lt;dates&gt;&lt;year&gt;2013&lt;/year&gt;&lt;/dates&gt;&lt;publisher&gt;John Wiley &amp;amp; Sons&lt;/publisher&gt;&lt;isbn&gt;1118687922&lt;/isbn&gt;&lt;urls&gt;&lt;/urls&gt;&lt;/record&gt;&lt;/Cite&gt;&lt;/EndNote&gt;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[45]</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Beta diversity indices (Bray-Curtis matrix, principal coordinates analysis [PCOA]) were calculated using the VEGAN R package.</w:t>
      </w:r>
      <w:r w:rsidRPr="00A6420E">
        <w:rPr>
          <w:rFonts w:ascii="Times New Roman" w:hAnsi="Times New Roman" w:cs="Times New Roman"/>
          <w:szCs w:val="24"/>
        </w:rPr>
        <w:fldChar w:fldCharType="begin"/>
      </w:r>
      <w:r w:rsidRPr="00A6420E">
        <w:rPr>
          <w:rFonts w:ascii="Times New Roman" w:hAnsi="Times New Roman" w:cs="Times New Roman"/>
          <w:szCs w:val="24"/>
        </w:rPr>
        <w:instrText xml:space="preserve"> ADDIN EN.CITE &lt;EndNote&gt;&lt;Cite&gt;&lt;Author&gt;Dixon&lt;/Author&gt;&lt;Year&gt;2003&lt;/Year&gt;&lt;RecNum&gt;273&lt;/RecNum&gt;&lt;DisplayText&gt;[46]&lt;/DisplayText&gt;&lt;record&gt;&lt;rec-number&gt;273&lt;/rec-number&gt;&lt;foreign-keys&gt;&lt;key app="EN" db-id="5f00pd9se59pvweetz3xep0rex9x0zpzwtaa" timestamp="1630577897"&gt;273&lt;/key&gt;&lt;/foreign-keys&gt;&lt;ref-type name="Journal Article"&gt;17&lt;/ref-type&gt;&lt;contributors&gt;&lt;authors&gt;&lt;author&gt;Dixon, Philip&lt;/author&gt;&lt;/authors&gt;&lt;/contributors&gt;&lt;titles&gt;&lt;title&gt;VEGAN, a package of R functions for community ecology&lt;/title&gt;&lt;secondary-title&gt;Journal of Vegetation Science&lt;/secondary-title&gt;&lt;/titles&gt;&lt;periodical&gt;&lt;full-title&gt;Journal of Vegetation Science&lt;/full-title&gt;&lt;/periodical&gt;&lt;pages&gt;927-930&lt;/pages&gt;&lt;volume&gt;14&lt;/volume&gt;&lt;number&gt;6&lt;/number&gt;&lt;dates&gt;&lt;year&gt;2003&lt;/year&gt;&lt;/dates&gt;&lt;isbn&gt;1100-9233&lt;/isbn&gt;&lt;urls&gt;&lt;/urls&gt;&lt;/record&gt;&lt;/Cite&gt;&lt;/EndNote&gt;</w:instrText>
      </w:r>
      <w:r w:rsidRPr="00A6420E">
        <w:rPr>
          <w:rFonts w:ascii="Times New Roman" w:hAnsi="Times New Roman" w:cs="Times New Roman"/>
          <w:szCs w:val="24"/>
        </w:rPr>
        <w:fldChar w:fldCharType="separate"/>
      </w:r>
      <w:r w:rsidRPr="00A6420E">
        <w:rPr>
          <w:rFonts w:ascii="Times New Roman" w:hAnsi="Times New Roman" w:cs="Times New Roman"/>
          <w:noProof/>
          <w:szCs w:val="24"/>
        </w:rPr>
        <w:t>[46]</w:t>
      </w:r>
      <w:r w:rsidRPr="00A6420E">
        <w:rPr>
          <w:rFonts w:ascii="Times New Roman" w:hAnsi="Times New Roman" w:cs="Times New Roman"/>
          <w:szCs w:val="24"/>
        </w:rPr>
        <w:fldChar w:fldCharType="end"/>
      </w:r>
      <w:r w:rsidRPr="00A6420E">
        <w:rPr>
          <w:rFonts w:ascii="Times New Roman" w:hAnsi="Times New Roman" w:cs="Times New Roman"/>
          <w:szCs w:val="24"/>
        </w:rPr>
        <w:t xml:space="preserve"> OTU analysis and annotation was performed by Welgene Biotech Co., Ltd. (Taipei, Taiwan).</w:t>
      </w:r>
    </w:p>
    <w:p w:rsidR="001C491D" w:rsidRPr="00A6420E" w:rsidRDefault="001C491D" w:rsidP="001C491D">
      <w:pPr>
        <w:rPr>
          <w:rFonts w:ascii="Times New Roman" w:hAnsi="Times New Roman" w:cs="Times New Roman"/>
          <w:szCs w:val="24"/>
        </w:rPr>
      </w:pPr>
    </w:p>
    <w:p w:rsidR="00342BD7" w:rsidRDefault="001C491D" w:rsidP="001C491D">
      <w:r w:rsidRPr="00A6420E">
        <w:rPr>
          <w:rFonts w:ascii="Times New Roman" w:hAnsi="Times New Roman" w:cs="Times New Roman"/>
          <w:szCs w:val="24"/>
        </w:rPr>
        <w:t>Biomarker analysis used the linear discriminant analysis effect size (LEfSe) method to determine differences in abundance amongst bacterial taxa under natural air conditions.</w:t>
      </w:r>
      <w:bookmarkStart w:id="0" w:name="_GoBack"/>
      <w:bookmarkEnd w:id="0"/>
    </w:p>
    <w:sectPr w:rsidR="00342B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91D"/>
    <w:rsid w:val="001C491D"/>
    <w:rsid w:val="003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B0260D-A23D-469C-B2AF-E068971F4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91D"/>
    <w:pPr>
      <w:widowControl w:val="0"/>
      <w:spacing w:after="0" w:line="240" w:lineRule="auto"/>
    </w:pPr>
    <w:rPr>
      <w:rFonts w:eastAsiaTheme="minorEastAsia"/>
      <w:kern w:val="2"/>
      <w:sz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1543</Words>
  <Characters>8797</Characters>
  <Application>Microsoft Office Word</Application>
  <DocSecurity>0</DocSecurity>
  <Lines>73</Lines>
  <Paragraphs>20</Paragraphs>
  <ScaleCrop>false</ScaleCrop>
  <Company>Springer Nature IT</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2021-11-23T14:27:00Z</dcterms:created>
  <dcterms:modified xsi:type="dcterms:W3CDTF">2021-11-23T14:28:00Z</dcterms:modified>
</cp:coreProperties>
</file>