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A86" w:rsidRDefault="00223AC4">
      <w:pPr>
        <w:spacing w:after="40"/>
      </w:pPr>
      <w:r>
        <w:rPr>
          <w:b/>
          <w:bCs/>
          <w:color w:val="1F3A5F"/>
          <w:sz w:val="26"/>
          <w:szCs w:val="26"/>
        </w:rPr>
        <w:t>TRIPOD+AI reporting checklist — completed</w:t>
      </w:r>
    </w:p>
    <w:p w:rsidR="004D2A86" w:rsidRDefault="00223AC4">
      <w:pPr>
        <w:spacing w:after="40"/>
      </w:pPr>
      <w:r>
        <w:rPr>
          <w:b/>
          <w:bCs/>
        </w:rPr>
        <w:t xml:space="preserve">Manuscript: </w:t>
      </w:r>
      <w:r>
        <w:rPr>
          <w:i/>
          <w:iCs/>
        </w:rPr>
        <w:t>Digital twins as synthetic control arms: a transportability and calibration credibility check on real critically-ill survival data.</w:t>
      </w:r>
    </w:p>
    <w:p w:rsidR="004D2A86" w:rsidRDefault="00223AC4">
      <w:pPr>
        <w:spacing w:after="40"/>
      </w:pPr>
      <w:r>
        <w:rPr>
          <w:b/>
          <w:bCs/>
        </w:rPr>
        <w:t xml:space="preserve">Study design: </w:t>
      </w:r>
      <w:r>
        <w:t>development and evaluation of prediction (digital-twin survival) models (</w:t>
      </w:r>
      <w:proofErr w:type="gramStart"/>
      <w:r>
        <w:t>D;E</w:t>
      </w:r>
      <w:proofErr w:type="gramEnd"/>
      <w:r>
        <w:t xml:space="preserve">). </w:t>
      </w:r>
      <w:r>
        <w:rPr>
          <w:b/>
          <w:bCs/>
        </w:rPr>
        <w:t xml:space="preserve">Guideline: </w:t>
      </w:r>
      <w:r>
        <w:t xml:space="preserve">Collins GS, Moons KGM, </w:t>
      </w:r>
      <w:proofErr w:type="spellStart"/>
      <w:r>
        <w:t>Dhiman</w:t>
      </w:r>
      <w:proofErr w:type="spellEnd"/>
      <w:r>
        <w:t xml:space="preserve"> P, et al. TRIPOD+AI statement. BMJ. 2024;</w:t>
      </w:r>
      <w:proofErr w:type="gramStart"/>
      <w:r>
        <w:t>385:e</w:t>
      </w:r>
      <w:proofErr w:type="gramEnd"/>
      <w:r>
        <w:t>078378. doi:10.1136/bmj-2023-078378.</w:t>
      </w:r>
    </w:p>
    <w:p w:rsidR="004D2A86" w:rsidRDefault="004D2A86">
      <w:pPr>
        <w:spacing w:after="120"/>
      </w:pPr>
      <w:bookmarkStart w:id="0" w:name="_GoBack"/>
      <w:bookmarkEnd w:id="0"/>
    </w:p>
    <w:tbl>
      <w:tblPr>
        <w:tblW w:w="13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6180"/>
        <w:gridCol w:w="1480"/>
        <w:gridCol w:w="4600"/>
      </w:tblGrid>
      <w:tr w:rsidR="004D2A8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60" w:type="dxa"/>
            <w:shd w:val="clear" w:color="auto" w:fill="3E6D9C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6180" w:type="dxa"/>
            <w:shd w:val="clear" w:color="auto" w:fill="3E6D9C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D2A86" w:rsidRDefault="00223AC4">
            <w:r>
              <w:rPr>
                <w:b/>
                <w:bCs/>
                <w:color w:val="FFFFFF"/>
              </w:rPr>
              <w:t>TRIPOD+AI checklist item</w:t>
            </w:r>
          </w:p>
        </w:tc>
        <w:tc>
          <w:tcPr>
            <w:tcW w:w="1480" w:type="dxa"/>
            <w:shd w:val="clear" w:color="auto" w:fill="3E6D9C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FFFFFF"/>
              </w:rPr>
              <w:t>Re</w:t>
            </w:r>
            <w:r>
              <w:rPr>
                <w:b/>
                <w:bCs/>
                <w:color w:val="FFFFFF"/>
              </w:rPr>
              <w:t>ported</w:t>
            </w:r>
          </w:p>
        </w:tc>
        <w:tc>
          <w:tcPr>
            <w:tcW w:w="4600" w:type="dxa"/>
            <w:shd w:val="clear" w:color="auto" w:fill="3E6D9C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D2A86" w:rsidRDefault="00223AC4">
            <w:r>
              <w:rPr>
                <w:b/>
                <w:bCs/>
                <w:color w:val="FFFFFF"/>
              </w:rPr>
              <w:t>Location in manuscript / notes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13120" w:type="dxa"/>
            <w:gridSpan w:val="4"/>
            <w:shd w:val="clear" w:color="auto" w:fill="1F3A5F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D2A86" w:rsidRDefault="00223AC4">
            <w:r>
              <w:rPr>
                <w:b/>
                <w:bCs/>
                <w:color w:val="FFFFFF"/>
                <w:sz w:val="19"/>
                <w:szCs w:val="19"/>
              </w:rPr>
              <w:t>Title and abstract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Title — identify the study as developing or evaluating a multivariable prediction model, the target population, and the outcome predicted.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Title (p1): identifies evaluation of digital-twin (prediction) models, target population (critically-ill adults), outcome (survival).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Abstract — provide a structured summary (see TRIPOD+AI for Abstracts).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Structured abstract (p1): Background / Methods / Results / Conclusions, with model type, data, endpoint, and quantitative results.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13120" w:type="dxa"/>
            <w:gridSpan w:val="4"/>
            <w:shd w:val="clear" w:color="auto" w:fill="1F3A5F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D2A86" w:rsidRDefault="00223AC4">
            <w:r>
              <w:rPr>
                <w:b/>
                <w:bCs/>
                <w:color w:val="FFFFFF"/>
                <w:sz w:val="19"/>
                <w:szCs w:val="19"/>
              </w:rPr>
              <w:t>Introduction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Background — explain the healthcare context (diagnostic/prognostic) and rationale, referencing existing models.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Background (p1–2): synthetic-control/digital-twin context; references existing digital-twin and prognostic-covariate-adjustment models [8,9]</w:t>
            </w:r>
            <w:r>
              <w:t>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Objectives — specify objectives, including whether development, validation, or both.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Background, final paragraph (p2): objective = test transportability/calibration; both develops and evaluates the twins (design D;E).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13120" w:type="dxa"/>
            <w:gridSpan w:val="4"/>
            <w:shd w:val="clear" w:color="auto" w:fill="1F3A5F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D2A86" w:rsidRDefault="00223AC4">
            <w:r>
              <w:rPr>
                <w:b/>
                <w:bCs/>
                <w:color w:val="FFFFFF"/>
                <w:sz w:val="19"/>
                <w:szCs w:val="19"/>
              </w:rPr>
              <w:t>Methods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5a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Data sources — describe the sources of data, rationale, and representativeness (development and evaluation).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Methods &gt; Data source (p2–3): SUPPORT2 observational cohort; single dataset partitioned into reference/holdout; representativeness addressed in</w:t>
            </w:r>
            <w:r>
              <w:t xml:space="preserve"> Limitations.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5b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Data — specify dates of participant accrual and, if applicable, follow-up.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C1717E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SUPPORT phase I/II accrual 1989–1994; 180-day follow-up horizon.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6a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 xml:space="preserve">Participants — study setting (e.g., primary/secondary care), number and location of </w:t>
            </w:r>
            <w:proofErr w:type="spellStart"/>
            <w:r>
              <w:t>centres</w:t>
            </w:r>
            <w:proofErr w:type="spellEnd"/>
            <w:r>
              <w:t>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 xml:space="preserve">Methods / Abstract: five US academic medical </w:t>
            </w:r>
            <w:proofErr w:type="spellStart"/>
            <w:r>
              <w:t>centres</w:t>
            </w:r>
            <w:proofErr w:type="spellEnd"/>
            <w:r>
              <w:t>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6b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Participants — eligibility criteria.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Methods &gt; Data source and Results &gt; Cohort: critically-ill adults; 30 records excluded for missing event/duration/resuscitation status.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6c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Participants — details of treatments received and how handled, if relevant.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Resuscitation status (DNR vs full-code) is the population-defining variable and is explicitly defined and handled (Methods &gt; Two populations).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Data preparation — pre-processing and quality checking, including whether similar across sociodemographic groups.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 xml:space="preserve">Methods &gt; Data source: median imputation and </w:t>
            </w:r>
            <w:proofErr w:type="spellStart"/>
            <w:r>
              <w:t>standardisation</w:t>
            </w:r>
            <w:proofErr w:type="spellEnd"/>
            <w:r>
              <w:t xml:space="preserve"> fit on the reference set only, applied unchanged to holdout.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8a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Outcome — define the predicted outcome and how/when measured; assessment blinding/consistency.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Methods &gt; Data source: death with observed/censored duration over 180 days (right-censored).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lastRenderedPageBreak/>
              <w:t>8b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Outcome — qualifications of assessors if subjective.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6B7280"/>
              </w:rPr>
              <w:t>N/A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Outcome (death) is objective; no subjective assessment.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9a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Predictors — define all predictors, how and when measured.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Methods &gt; Data source: 14 baseline clinical covariates listed (age, sex, comorbidities, vitals, laboratory values).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9b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Predictors — qualifications of assessors if subjective.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6B7280"/>
              </w:rPr>
              <w:t>N/A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Predictors are routine clinical/laboratory measurements; no subjective assessment.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Sample size — explain how study size was determined.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The full available public cohort was used (no a priori sample-size calculation, appropriate for a fixed public dataset); n reported in Table 1.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11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Missing data — how missing data were handled.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 xml:space="preserve">Methods + Results: 30 records with missing event/duration/DNR removed; covariate </w:t>
            </w:r>
            <w:proofErr w:type="spellStart"/>
            <w:r>
              <w:t>missingness</w:t>
            </w:r>
            <w:proofErr w:type="spellEnd"/>
            <w:r>
              <w:t xml:space="preserve"> median-imputed on reference only.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12a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Analytical methods — how data were used, including partitioning (training/tuning/testing).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Methods &gt; Reference/holdout split and Two experiments: patient-level 70/30 split, leakage-checked; within- and cross-population designs.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12b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Analytical methods — how predictors were handled.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 xml:space="preserve">Methods &gt; Data source and cohort-splits: </w:t>
            </w:r>
            <w:proofErr w:type="spellStart"/>
            <w:r>
              <w:t>standardised</w:t>
            </w:r>
            <w:proofErr w:type="spellEnd"/>
            <w:r>
              <w:t>, reference-fit; applied identically to holdout.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12c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 xml:space="preserve">Analytical methods — model type, all model-building steps, </w:t>
            </w:r>
            <w:proofErr w:type="spellStart"/>
            <w:r>
              <w:t>hyperparameters</w:t>
            </w:r>
            <w:proofErr w:type="spellEnd"/>
            <w:r>
              <w:t>, internal validation.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 xml:space="preserve">Methods &gt; Digital-twin models: Cox PH (Tier A); discrete-time </w:t>
            </w:r>
            <w:proofErr w:type="spellStart"/>
            <w:r>
              <w:t>DeepHit</w:t>
            </w:r>
            <w:proofErr w:type="spellEnd"/>
            <w:r>
              <w:t>-style neural model (20 bins, hidden dim 64, 60 epochs, discrete-time NLL) (Tier B).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12d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Analytical methods — performance measures used (discrimination, calibration, utility).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Methods &gt; Pre-specified calibration endpoint: mean predicted survival within bootstrap 95% CI of real Kaplan-Meier survival at 30/60/90/180 days.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13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Class imbalance — methods used, if any.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6B7280"/>
              </w:rPr>
              <w:t>N/A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Survival-calibration task; no classification resampling/imbalance handling applied.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Fairness — approaches to examine or address fairness.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9A6700"/>
              </w:rPr>
              <w:t>Partial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The primary analysis is performance across two clinically-defined populations (full-code vs DNR); formal sociodemographic fairness metrics were not computed (noted in Limitations).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15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Model output — specify the model output (e.g., predicted probability/risk).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Methods &gt; Models: predicted survival function / survival probability at each horizon.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16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Differences — identify differences between development and evaluation data/settings/eligibility.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 xml:space="preserve">Methods &gt; Two experiments: </w:t>
            </w:r>
            <w:proofErr w:type="spellStart"/>
            <w:r>
              <w:t>Exp</w:t>
            </w:r>
            <w:proofErr w:type="spellEnd"/>
            <w:r>
              <w:t xml:space="preserve"> 1 (same population) vs </w:t>
            </w:r>
            <w:proofErr w:type="spellStart"/>
            <w:r>
              <w:t>Exp</w:t>
            </w:r>
            <w:proofErr w:type="spellEnd"/>
            <w:r>
              <w:t xml:space="preserve"> 2 (different population) differences stated explicitly.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17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Ethical approval — name of board/committee and consent, or state not required.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Declarations &gt; Ethics approval: not required (secondary analysis of de-identified public data); original SUPPORT obtained approvals [1,2].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13120" w:type="dxa"/>
            <w:gridSpan w:val="4"/>
            <w:shd w:val="clear" w:color="auto" w:fill="1F3A5F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D2A86" w:rsidRDefault="00223AC4">
            <w:r>
              <w:rPr>
                <w:b/>
                <w:bCs/>
                <w:color w:val="FFFFFF"/>
                <w:sz w:val="19"/>
                <w:szCs w:val="19"/>
              </w:rPr>
              <w:t>Open science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18a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Funding.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Declarations &gt; Funding: no specific funding.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18b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Conflicts of interest.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Declarations &gt; Competing interests: none declared.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lastRenderedPageBreak/>
              <w:t>18c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Protocol — availability of study protocol.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6B7280"/>
              </w:rPr>
              <w:t>N/A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No separate protocol for this secondary analysis; full pre-specified endpoint and analysis are stated in Methods and fixed in the released code.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18d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Registration — registration number/name, or state not registered.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6B7280"/>
              </w:rPr>
              <w:t>N/A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Not registered (secondary analysis of a public dataset).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18e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Data sharing.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Declarations &gt; Availability: SUPPORT2 public (UCI ML Repository dataset 880) [12].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18f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Code sharing.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 xml:space="preserve">Declarations &gt; Availability: analysis code openly available on GitHub under an MIT </w:t>
            </w:r>
            <w:proofErr w:type="spellStart"/>
            <w:r>
              <w:t>licence</w:t>
            </w:r>
            <w:proofErr w:type="spellEnd"/>
            <w:r>
              <w:t>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13120" w:type="dxa"/>
            <w:gridSpan w:val="4"/>
            <w:shd w:val="clear" w:color="auto" w:fill="1F3A5F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D2A86" w:rsidRDefault="00223AC4">
            <w:r>
              <w:rPr>
                <w:b/>
                <w:bCs/>
                <w:color w:val="FFFFFF"/>
                <w:sz w:val="19"/>
                <w:szCs w:val="19"/>
              </w:rPr>
              <w:t>Patient and public involvement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19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Patient and public involvement — how patients/public were involved, or state none.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C1717E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C1717E" w:rsidP="00C1717E">
            <w:r>
              <w:t>(</w:t>
            </w:r>
            <w:r w:rsidR="00223AC4">
              <w:t>Declarations): “No patients or members of the public were involved in this study.”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13120" w:type="dxa"/>
            <w:gridSpan w:val="4"/>
            <w:shd w:val="clear" w:color="auto" w:fill="1F3A5F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D2A86" w:rsidRDefault="00223AC4">
            <w:r>
              <w:rPr>
                <w:b/>
                <w:bCs/>
                <w:color w:val="FFFFFF"/>
                <w:sz w:val="19"/>
                <w:szCs w:val="19"/>
              </w:rPr>
              <w:t>Results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20a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Participants — flow of participants through the study; a diagram is recommended.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Results &gt; Cohort and Table 1: 9,105 → 30 excluded → 9,075; arm split and reference/holdout allocation given as a derivation table.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20b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Participants — characteristics (demographics, predictors, outcome).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9A6700"/>
              </w:rPr>
              <w:t>Partial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Table 1 reports arm sizes, allocation, and overall mortality; a full demographic characteristics table (age/sex per arm) is optional and can be added from the run output.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20c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Participants — for evaluation, comparison with development data.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The two populations (full-code, DNR) are contrasted directly; their difference is the object of study (Table 1; Discussion).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21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Model development — number of participants and outcome events.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Table 1: reference/holdout n per arm; overall observed mortality 68.1% (events).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22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Model specification — present the full model (coefficients/baseline) or how to access it.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Full trained models are reproducible from the released open code (MIT). Optional: add a Cox coefficient table as a supplement.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23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Model performance — report performance measures with CIs, overall and across subgroups.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Table 2 and Figure 1: per-horizon predicted vs real KM survival with bootstrap 95% CIs and absolute gaps, for both populations (subgroups).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24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Model updating — report results of any model updating.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6B7280"/>
              </w:rPr>
              <w:t>N/A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No model updating was performed.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13120" w:type="dxa"/>
            <w:gridSpan w:val="4"/>
            <w:shd w:val="clear" w:color="auto" w:fill="1F3A5F"/>
            <w:tcMar>
              <w:top w:w="50" w:type="dxa"/>
              <w:left w:w="90" w:type="dxa"/>
              <w:bottom w:w="50" w:type="dxa"/>
              <w:right w:w="90" w:type="dxa"/>
            </w:tcMar>
          </w:tcPr>
          <w:p w:rsidR="004D2A86" w:rsidRDefault="00223AC4">
            <w:r>
              <w:rPr>
                <w:b/>
                <w:bCs/>
                <w:color w:val="FFFFFF"/>
                <w:sz w:val="19"/>
                <w:szCs w:val="19"/>
              </w:rPr>
              <w:t>Discussion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25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Interpretation — interpret results with respect to objectives, other evidence.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Discussion (paras 1–3): within- vs cross-population interpretation; relation to prognostic-covariate-adjustment literature [9].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26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 xml:space="preserve">Limitations — discuss limitations (e.g., </w:t>
            </w:r>
            <w:r>
              <w:t>non-representativeness, overfitting, missing data).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Discussion &gt; Limitations (</w:t>
            </w:r>
            <w:proofErr w:type="spellStart"/>
            <w:r>
              <w:t>i</w:t>
            </w:r>
            <w:proofErr w:type="spellEnd"/>
            <w:r>
              <w:t>)–(v): single observational cohort, confounded population difference, first-order endpoint, limited tuning, 180-day horizon.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lastRenderedPageBreak/>
              <w:t>27a</w:t>
            </w:r>
          </w:p>
        </w:tc>
        <w:tc>
          <w:tcPr>
            <w:tcW w:w="61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Usability — how the model could be used, by whom, and effect on care.</w:t>
            </w:r>
          </w:p>
        </w:tc>
        <w:tc>
          <w:tcPr>
            <w:tcW w:w="148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4F7FA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Discussion &gt; Implications: a transportability/calibration check as a gate before a twin substitutes for real controls.</w:t>
            </w:r>
          </w:p>
        </w:tc>
      </w:tr>
      <w:tr w:rsidR="004D2A86">
        <w:tblPrEx>
          <w:tblCellMar>
            <w:top w:w="0" w:type="dxa"/>
            <w:bottom w:w="0" w:type="dxa"/>
          </w:tblCellMar>
        </w:tblPrEx>
        <w:tc>
          <w:tcPr>
            <w:tcW w:w="86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</w:rPr>
              <w:t>27b</w:t>
            </w:r>
          </w:p>
        </w:tc>
        <w:tc>
          <w:tcPr>
            <w:tcW w:w="61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Implications — for practice, policy, and future research (and regulation where relevant).</w:t>
            </w:r>
          </w:p>
        </w:tc>
        <w:tc>
          <w:tcPr>
            <w:tcW w:w="148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pPr>
              <w:jc w:val="center"/>
            </w:pPr>
            <w:r>
              <w:rPr>
                <w:b/>
                <w:bCs/>
                <w:color w:val="1E7A46"/>
              </w:rPr>
              <w:t>Yes</w:t>
            </w:r>
          </w:p>
        </w:tc>
        <w:tc>
          <w:tcPr>
            <w:tcW w:w="4600" w:type="dxa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 w:rsidR="004D2A86" w:rsidRDefault="00223AC4">
            <w:r>
              <w:t>Discussion &gt; Implications and prognostic-covariate-adjustment paragraph (regulatory/PROCOVA context).</w:t>
            </w:r>
          </w:p>
        </w:tc>
      </w:tr>
    </w:tbl>
    <w:p w:rsidR="004D2A86" w:rsidRDefault="004D2A86" w:rsidP="00C1717E">
      <w:pPr>
        <w:spacing w:before="160" w:after="40"/>
      </w:pPr>
    </w:p>
    <w:sectPr w:rsidR="004D2A86">
      <w:pgSz w:w="15840" w:h="12240" w:orient="landscape"/>
      <w:pgMar w:top="900" w:right="1080" w:bottom="9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AC4" w:rsidRDefault="00223AC4">
      <w:r>
        <w:separator/>
      </w:r>
    </w:p>
  </w:endnote>
  <w:endnote w:type="continuationSeparator" w:id="0">
    <w:p w:rsidR="00223AC4" w:rsidRDefault="00223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AC4" w:rsidRDefault="00223AC4">
      <w:r>
        <w:separator/>
      </w:r>
    </w:p>
  </w:footnote>
  <w:footnote w:type="continuationSeparator" w:id="0">
    <w:p w:rsidR="00223AC4" w:rsidRDefault="00223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2F3620"/>
    <w:multiLevelType w:val="hybridMultilevel"/>
    <w:tmpl w:val="3DDA2BA0"/>
    <w:lvl w:ilvl="0" w:tplc="02FA8B90">
      <w:start w:val="1"/>
      <w:numFmt w:val="bullet"/>
      <w:lvlText w:val="●"/>
      <w:lvlJc w:val="left"/>
      <w:pPr>
        <w:ind w:left="720" w:hanging="360"/>
      </w:pPr>
    </w:lvl>
    <w:lvl w:ilvl="1" w:tplc="99A0FFF0">
      <w:start w:val="1"/>
      <w:numFmt w:val="bullet"/>
      <w:lvlText w:val="○"/>
      <w:lvlJc w:val="left"/>
      <w:pPr>
        <w:ind w:left="1440" w:hanging="360"/>
      </w:pPr>
    </w:lvl>
    <w:lvl w:ilvl="2" w:tplc="46A8FECC">
      <w:start w:val="1"/>
      <w:numFmt w:val="bullet"/>
      <w:lvlText w:val="■"/>
      <w:lvlJc w:val="left"/>
      <w:pPr>
        <w:ind w:left="2160" w:hanging="360"/>
      </w:pPr>
    </w:lvl>
    <w:lvl w:ilvl="3" w:tplc="66E615CE">
      <w:start w:val="1"/>
      <w:numFmt w:val="bullet"/>
      <w:lvlText w:val="●"/>
      <w:lvlJc w:val="left"/>
      <w:pPr>
        <w:ind w:left="2880" w:hanging="360"/>
      </w:pPr>
    </w:lvl>
    <w:lvl w:ilvl="4" w:tplc="EC86836E">
      <w:start w:val="1"/>
      <w:numFmt w:val="bullet"/>
      <w:lvlText w:val="○"/>
      <w:lvlJc w:val="left"/>
      <w:pPr>
        <w:ind w:left="3600" w:hanging="360"/>
      </w:pPr>
    </w:lvl>
    <w:lvl w:ilvl="5" w:tplc="B4CED3C6">
      <w:start w:val="1"/>
      <w:numFmt w:val="bullet"/>
      <w:lvlText w:val="■"/>
      <w:lvlJc w:val="left"/>
      <w:pPr>
        <w:ind w:left="4320" w:hanging="360"/>
      </w:pPr>
    </w:lvl>
    <w:lvl w:ilvl="6" w:tplc="DECCB416">
      <w:start w:val="1"/>
      <w:numFmt w:val="bullet"/>
      <w:lvlText w:val="●"/>
      <w:lvlJc w:val="left"/>
      <w:pPr>
        <w:ind w:left="5040" w:hanging="360"/>
      </w:pPr>
    </w:lvl>
    <w:lvl w:ilvl="7" w:tplc="5E1A7A0E">
      <w:start w:val="1"/>
      <w:numFmt w:val="bullet"/>
      <w:lvlText w:val="●"/>
      <w:lvlJc w:val="left"/>
      <w:pPr>
        <w:ind w:left="5760" w:hanging="360"/>
      </w:pPr>
    </w:lvl>
    <w:lvl w:ilvl="8" w:tplc="0708331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A86"/>
    <w:rsid w:val="00223AC4"/>
    <w:rsid w:val="004D2A86"/>
    <w:rsid w:val="00C1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F85DD"/>
  <w15:docId w15:val="{97E65737-E117-4DF2-B319-120CA6F9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71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17E"/>
  </w:style>
  <w:style w:type="paragraph" w:styleId="Footer">
    <w:name w:val="footer"/>
    <w:basedOn w:val="Normal"/>
    <w:link w:val="FooterChar"/>
    <w:uiPriority w:val="99"/>
    <w:unhideWhenUsed/>
    <w:rsid w:val="00C171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1318</Words>
  <Characters>7513</Characters>
  <Application>Microsoft Office Word</Application>
  <DocSecurity>0</DocSecurity>
  <Lines>62</Lines>
  <Paragraphs>17</Paragraphs>
  <ScaleCrop>false</ScaleCrop>
  <Company/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TRIPOD+AI checklist</dc:title>
  <dc:creator>Ahmed Fawaz</dc:creator>
  <cp:lastModifiedBy>AIT</cp:lastModifiedBy>
  <cp:revision>2</cp:revision>
  <dcterms:created xsi:type="dcterms:W3CDTF">2026-09-05T11:01:00Z</dcterms:created>
  <dcterms:modified xsi:type="dcterms:W3CDTF">2026-09-05T11:16:00Z</dcterms:modified>
</cp:coreProperties>
</file>