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UITH CHILD AND ADOLESCENT MENTAL HEALTH SERVICE</w:t>
        <w:br/>
      </w:r>
      <w:r>
        <w:rPr>
          <w:b/>
          <w:sz w:val="26"/>
        </w:rPr>
        <w:t>Evidence Timeline Underpinning the 17-Year Service Trajectory</w:t>
      </w:r>
    </w:p>
    <w:p>
      <w:r>
        <w:rPr>
          <w:b/>
        </w:rPr>
        <w:t xml:space="preserve">Evidence architecture. </w:t>
      </w:r>
      <w:r>
        <w:t>The manuscript synthesises evidence spanning 2002–2024, encompassing a pre-service baseline (2002–2006), early service-development evidence from 2007, an audit of the dedicated Child and Adolescent Psychiatric Unit from 2007–2012, and the contemporary retrospective review from 2012–2024. Together, these data provide historical context for, and a longitudinal account of, the development of the dedicated service from 2007 to 2024.</w:t>
      </w:r>
    </w:p>
    <w:tbl>
      <w:tblPr>
        <w:tblStyle w:val="TableGrid"/>
        <w:tblW w:type="auto" w:w="0"/>
        <w:tblLook w:firstColumn="1" w:firstRow="1" w:lastColumn="0" w:lastRow="0" w:noHBand="0" w:noVBand="1" w:val="04A0"/>
      </w:tblPr>
      <w:tblGrid>
        <w:gridCol w:w="3120"/>
        <w:gridCol w:w="3120"/>
        <w:gridCol w:w="3120"/>
      </w:tblGrid>
      <w:tr>
        <w:tc>
          <w:tcPr>
            <w:tcW w:type="dxa" w:w="3120"/>
          </w:tcPr>
          <w:p>
            <w:r>
              <w:t>Period</w:t>
            </w:r>
          </w:p>
        </w:tc>
        <w:tc>
          <w:tcPr>
            <w:tcW w:type="dxa" w:w="3120"/>
          </w:tcPr>
          <w:p>
            <w:r>
              <w:t>Study / data</w:t>
            </w:r>
          </w:p>
        </w:tc>
        <w:tc>
          <w:tcPr>
            <w:tcW w:type="dxa" w:w="3120"/>
          </w:tcPr>
          <w:p>
            <w:r>
              <w:t>Contribution to the overall story</w:t>
            </w:r>
          </w:p>
        </w:tc>
      </w:tr>
      <w:tr>
        <w:tc>
          <w:tcPr>
            <w:tcW w:type="dxa" w:w="3120"/>
          </w:tcPr>
          <w:p>
            <w:r>
              <w:t>2002–2006</w:t>
            </w:r>
          </w:p>
        </w:tc>
        <w:tc>
          <w:tcPr>
            <w:tcW w:type="dxa" w:w="3120"/>
          </w:tcPr>
          <w:p>
            <w:r>
              <w:t>Pre-dedicated-unit UITH audit</w:t>
            </w:r>
          </w:p>
        </w:tc>
        <w:tc>
          <w:tcPr>
            <w:tcW w:type="dxa" w:w="3120"/>
          </w:tcPr>
          <w:p>
            <w:r>
              <w:t>Shows what happened before the dedicated CAMH service existed and provides the historical baseline.</w:t>
            </w:r>
          </w:p>
        </w:tc>
      </w:tr>
      <w:tr>
        <w:tc>
          <w:tcPr>
            <w:tcW w:type="dxa" w:w="3120"/>
          </w:tcPr>
          <w:p>
            <w:r>
              <w:t>2007</w:t>
            </w:r>
          </w:p>
        </w:tc>
        <w:tc>
          <w:tcPr>
            <w:tcW w:type="dxa" w:w="3120"/>
          </w:tcPr>
          <w:p>
            <w:r>
              <w:t>Tunde-Ayinmode national/service study</w:t>
            </w:r>
          </w:p>
        </w:tc>
        <w:tc>
          <w:tcPr>
            <w:tcW w:type="dxa" w:w="3120"/>
          </w:tcPr>
          <w:p>
            <w:r>
              <w:t>Provides evidence from the transition and early phase of service development.</w:t>
            </w:r>
          </w:p>
        </w:tc>
      </w:tr>
      <w:tr>
        <w:tc>
          <w:tcPr>
            <w:tcW w:type="dxa" w:w="3120"/>
          </w:tcPr>
          <w:p>
            <w:r>
              <w:t>2007–2012</w:t>
            </w:r>
          </w:p>
        </w:tc>
        <w:tc>
          <w:tcPr>
            <w:tcW w:type="dxa" w:w="3120"/>
          </w:tcPr>
          <w:p>
            <w:r>
              <w:t>Tunde-Ayinmode &amp; Adegunloye medical audit</w:t>
            </w:r>
          </w:p>
        </w:tc>
        <w:tc>
          <w:tcPr>
            <w:tcW w:type="dxa" w:w="3120"/>
          </w:tcPr>
          <w:p>
            <w:r>
              <w:t>Documents the early experience of the dedicated Child &amp; Adolescent Psychiatric Unit, established in March 2007.</w:t>
            </w:r>
          </w:p>
        </w:tc>
      </w:tr>
      <w:tr>
        <w:tc>
          <w:tcPr>
            <w:tcW w:type="dxa" w:w="3120"/>
          </w:tcPr>
          <w:p>
            <w:r>
              <w:t>2012–2024</w:t>
            </w:r>
          </w:p>
        </w:tc>
        <w:tc>
          <w:tcPr>
            <w:tcW w:type="dxa" w:w="3120"/>
          </w:tcPr>
          <w:p>
            <w:r>
              <w:t>Current retrospective review</w:t>
            </w:r>
          </w:p>
        </w:tc>
        <w:tc>
          <w:tcPr>
            <w:tcW w:type="dxa" w:w="3120"/>
          </w:tcPr>
          <w:p>
            <w:r>
              <w:t>Provides the subsequent contemporary service experience and the latest component of the longitudinal trajectory.</w:t>
            </w:r>
          </w:p>
        </w:tc>
      </w:tr>
    </w:tbl>
    <w:p>
      <w:r>
        <w:rPr>
          <w:b/>
        </w:rPr>
        <w:t xml:space="preserve">The 17-year dedicated-service period: </w:t>
      </w:r>
      <w:r>
        <w:t>2007–2024, from establishment of the dedicated service in March 2007 through December 2024.</w:t>
      </w:r>
    </w:p>
    <w:p>
      <w:r>
        <w:rPr>
          <w:b/>
        </w:rPr>
        <w:t xml:space="preserve">Important distinction: </w:t>
      </w:r>
      <w:r>
        <w:t>The 2002–2006 data are contextual baseline data and are not part of the 17-year dedicated-service dataset.</w:t>
      </w:r>
    </w:p>
    <w:p>
      <w:pPr>
        <w:jc w:val="center"/>
      </w:pPr>
      <w:r>
        <w:rPr>
          <w:b/>
          <w:sz w:val="26"/>
        </w:rPr>
        <w:t>2002–2006  →  2007  →  2007–2012  →  2012–2024</w:t>
        <w:br/>
      </w:r>
      <w:r>
        <w:rPr>
          <w:i/>
        </w:rPr>
        <w:t>Pre-service baseline  →  Early service development  →  Dedicated-unit audit  →  Contemporary review</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