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AC2F7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30"/>
          <w:szCs w:val="30"/>
        </w:rPr>
        <w:t>Supporting Information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lang w:val="en-US" w:eastAsia="zh-CN"/>
        </w:rPr>
        <w:t xml:space="preserve"> for</w:t>
      </w:r>
    </w:p>
    <w:p w14:paraId="0DBEE8D7">
      <w:pPr>
        <w:spacing w:line="360" w:lineRule="auto"/>
        <w:rPr>
          <w:rFonts w:ascii="Times New Roman" w:hAnsi="Times New Roman" w:eastAsia="宋体" w:cs="Times New Roman"/>
          <w:b/>
          <w:bCs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bCs/>
          <w:sz w:val="30"/>
          <w:szCs w:val="30"/>
        </w:rPr>
        <w:t>Macrophage membrane camouflaged puerarin and probucol co-assembled nanoparticles for targeted anti-atherosclerosis therapy</w:t>
      </w:r>
    </w:p>
    <w:p w14:paraId="323CABDC">
      <w:pPr>
        <w:pStyle w:val="2"/>
        <w:widowControl/>
        <w:kinsoku w:val="0"/>
        <w:autoSpaceDE w:val="0"/>
        <w:autoSpaceDN w:val="0"/>
        <w:adjustRightInd w:val="0"/>
        <w:snapToGrid w:val="0"/>
        <w:spacing w:before="104" w:line="360" w:lineRule="auto"/>
        <w:ind w:left="5" w:firstLine="7"/>
        <w:textAlignment w:val="baseline"/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</w:pPr>
      <w:bookmarkStart w:id="0" w:name="OLE_LINK12"/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Yan Gao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a,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1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,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Yangyang Bai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a,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1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,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Jieying Zeng</w:t>
      </w:r>
      <w:bookmarkStart w:id="1" w:name="OLE_LINK26"/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a,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1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, Yinuo Wang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b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Yuxin Zhang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a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Mengjie Jia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c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, Yajie Guo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a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,</w:t>
      </w:r>
      <w:bookmarkEnd w:id="1"/>
      <w:bookmarkStart w:id="2" w:name="OLE_LINK206"/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 xml:space="preserve"> Juhui Qiu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e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, Yiliang Li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f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,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Li Fu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g,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Guixue Wang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d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,</w:t>
      </w:r>
      <w:bookmarkEnd w:id="2"/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e,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lang w:eastAsia="zh-CN"/>
        </w:rPr>
        <w:t>Yi Wang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a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,</w:t>
      </w:r>
      <w:r>
        <w:rPr>
          <w:rFonts w:hint="eastAsia"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d,</w:t>
      </w:r>
      <w:r>
        <w:rPr>
          <w:rFonts w:ascii="Times New Roman" w:hAnsi="Times New Roman" w:cs="Times New Roman"/>
          <w:snapToGrid w:val="0"/>
          <w:color w:val="auto"/>
          <w:spacing w:val="-1"/>
          <w:kern w:val="0"/>
          <w:sz w:val="24"/>
          <w:szCs w:val="24"/>
          <w:vertAlign w:val="superscript"/>
          <w:lang w:eastAsia="zh-CN"/>
        </w:rPr>
        <w:t>*</w:t>
      </w:r>
    </w:p>
    <w:p w14:paraId="7B939500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</w:pPr>
      <w:r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School of Basic Medical Sciences, Chongqing Medical University, Chongqing</w:t>
      </w: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 xml:space="preserve">, </w:t>
      </w:r>
      <w:r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400016, China.</w:t>
      </w:r>
    </w:p>
    <w:p w14:paraId="01FBDECC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</w:pP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Chongqing Medical University-University of Leicester Joint Institute</w:t>
      </w: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  <w:lang w:val="en-US" w:eastAsia="zh-CN"/>
        </w:rPr>
        <w:t>, Chongqing, 400016, China.</w:t>
      </w:r>
    </w:p>
    <w:p w14:paraId="41553393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</w:pP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Department of Critical Care Medicine, The First Affiliated Hospital of Chongqing Medical University, Chongqing 400010, China</w:t>
      </w: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  <w:lang w:val="en-US" w:eastAsia="zh-CN"/>
        </w:rPr>
        <w:t>.</w:t>
      </w:r>
    </w:p>
    <w:p w14:paraId="67C829E4">
      <w:pPr>
        <w:pStyle w:val="12"/>
        <w:numPr>
          <w:ilvl w:val="0"/>
          <w:numId w:val="1"/>
        </w:numPr>
        <w:spacing w:line="360" w:lineRule="auto"/>
        <w:ind w:firstLine="0" w:firstLineChars="0"/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</w:pPr>
      <w:r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Jin</w:t>
      </w: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F</w:t>
      </w:r>
      <w:r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eng Laboratory, Chongqing</w:t>
      </w: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 xml:space="preserve">, </w:t>
      </w:r>
      <w:r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401329, China.</w:t>
      </w:r>
    </w:p>
    <w:p w14:paraId="04FC0AA4">
      <w:pPr>
        <w:pStyle w:val="12"/>
        <w:numPr>
          <w:ilvl w:val="0"/>
          <w:numId w:val="1"/>
        </w:numPr>
        <w:spacing w:line="360" w:lineRule="auto"/>
        <w:ind w:firstLine="0" w:firstLineChars="0"/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</w:pPr>
      <w:r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Key Laboratory for Biorheological Science and Technology of the Ministry of Education, National Local Joint Engineering Lab for Vascular Implants, College of Bioengineering, Chongqing University, Chongqing</w:t>
      </w: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,</w:t>
      </w:r>
      <w:r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 xml:space="preserve"> 400044, China.</w:t>
      </w:r>
    </w:p>
    <w:p w14:paraId="5430DDE3">
      <w:pPr>
        <w:pStyle w:val="12"/>
        <w:numPr>
          <w:ilvl w:val="0"/>
          <w:numId w:val="1"/>
        </w:numPr>
        <w:spacing w:line="360" w:lineRule="auto"/>
        <w:ind w:firstLine="0" w:firstLineChars="0"/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</w:pP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The Eighth Affiliated Hospital of Sun Yat-sen University, Shenzhen 518033, China</w:t>
      </w: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  <w:lang w:val="en-US" w:eastAsia="zh-CN"/>
        </w:rPr>
        <w:t>.</w:t>
      </w:r>
    </w:p>
    <w:p w14:paraId="71BD4306">
      <w:pPr>
        <w:pStyle w:val="12"/>
        <w:numPr>
          <w:ilvl w:val="0"/>
          <w:numId w:val="1"/>
        </w:numPr>
        <w:spacing w:line="360" w:lineRule="auto"/>
        <w:ind w:firstLine="0" w:firstLineChars="0"/>
        <w:rPr>
          <w:rFonts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</w:pP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</w:rPr>
        <w:t>Geriatrics Department, Neurological Rehabilitation Department, The Eighth Affiliated Hospital of Sun Yat-sen University, Shenzhen 518033, China</w:t>
      </w:r>
      <w:r>
        <w:rPr>
          <w:rFonts w:hint="eastAsia" w:ascii="Times New Roman" w:hAnsi="Times New Roman" w:eastAsia="宋体" w:cs="Times New Roman"/>
          <w:i/>
          <w:iCs/>
          <w:snapToGrid w:val="0"/>
          <w:spacing w:val="-1"/>
          <w:kern w:val="0"/>
          <w:sz w:val="24"/>
          <w:lang w:val="en-US" w:eastAsia="zh-CN"/>
        </w:rPr>
        <w:t>.</w:t>
      </w:r>
    </w:p>
    <w:p w14:paraId="6B24799F">
      <w:pPr>
        <w:spacing w:line="360" w:lineRule="auto"/>
        <w:rPr>
          <w:rFonts w:ascii="Times New Roman" w:hAnsi="Times New Roman" w:eastAsia="宋体" w:cs="Times New Roman"/>
          <w:i/>
          <w:iCs/>
          <w:sz w:val="24"/>
          <w:vertAlign w:val="superscript"/>
        </w:rPr>
      </w:pPr>
      <w:bookmarkStart w:id="3" w:name="OLE_LINK3"/>
    </w:p>
    <w:bookmarkEnd w:id="0"/>
    <w:bookmarkEnd w:id="3"/>
    <w:p w14:paraId="7641ED51">
      <w:pPr>
        <w:spacing w:line="360" w:lineRule="auto"/>
        <w:ind w:left="0" w:leftChars="0"/>
        <w:jc w:val="left"/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</w:pPr>
      <w:r>
        <w:rPr>
          <w:rFonts w:ascii="Times New Roman" w:hAnsi="Times New Roman" w:eastAsia="宋体" w:cs="Times New Roman"/>
          <w:color w:val="auto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color w:val="auto"/>
          <w:sz w:val="24"/>
        </w:rPr>
        <w:t xml:space="preserve"> Co-first authors: </w:t>
      </w: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Yan Gao</w:t>
      </w:r>
      <w:r>
        <w:rPr>
          <w:rFonts w:hint="eastAsia" w:ascii="Times New Roman" w:hAnsi="Times New Roman" w:eastAsia="宋体" w:cs="Times New Roman"/>
          <w:color w:val="auto"/>
          <w:sz w:val="24"/>
        </w:rPr>
        <w:t xml:space="preserve">, </w:t>
      </w: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Yangyang Bai</w:t>
      </w:r>
      <w:r>
        <w:rPr>
          <w:rFonts w:hint="eastAsia" w:ascii="Times New Roman" w:hAnsi="Times New Roman" w:eastAsia="宋体" w:cs="Times New Roman"/>
          <w:color w:val="auto"/>
          <w:sz w:val="24"/>
        </w:rPr>
        <w:t xml:space="preserve"> and </w:t>
      </w: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Jieying Zeng</w:t>
      </w:r>
    </w:p>
    <w:p w14:paraId="4710D9F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7" w:afterAutospacing="0" w:line="360" w:lineRule="auto"/>
        <w:ind w:left="0" w:right="0" w:firstLine="0"/>
        <w:jc w:val="left"/>
        <w:textAlignment w:val="baseline"/>
        <w:rPr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auto"/>
          <w:sz w:val="24"/>
          <w:lang w:val="en-US" w:eastAsia="zh-CN"/>
        </w:rPr>
        <w:t>*Co-Corresponding author: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13"/>
          <w:shd w:val="clear" w:fill="FFFFFF"/>
          <w:vertAlign w:val="baseline"/>
          <w:lang w:val="en-US" w:eastAsia="zh-CN" w:bidi="ar"/>
        </w:rPr>
        <w:t>Li Fu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13"/>
          <w:shd w:val="clear" w:fill="FFFFFF"/>
          <w:vertAlign w:val="baseli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kern w:val="0"/>
          <w:sz w:val="24"/>
          <w:szCs w:val="13"/>
          <w:shd w:val="clear" w:fill="FFFFFF"/>
          <w:vertAlign w:val="baseline"/>
          <w:lang w:val="en-US" w:eastAsia="zh-CN" w:bidi="ar"/>
        </w:rPr>
        <w:t xml:space="preserve">− The Eighth Affiliated Hospital of Sun Yat-sen University, Shenzhen 518033, China; Geriatrics Department, Neurological Rehabilitation Department, The Eighth Affiliated Hospital of Sun Yat-sen University, Shenzhen 518033, China; Email: </w:t>
      </w:r>
      <w:r>
        <w:rPr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instrText xml:space="preserve"> HYPERLINK "mailto:fuliruo302@163.com" </w:instrText>
      </w:r>
      <w:r>
        <w:rPr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>fuliruo302@163.com</w:t>
      </w:r>
      <w:r>
        <w:rPr>
          <w:rFonts w:ascii="Times New Roman" w:hAnsi="Times New Roman" w:cs="Times New Roman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11D2200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7" w:afterAutospacing="0" w:line="360" w:lineRule="auto"/>
        <w:ind w:left="0" w:right="0" w:firstLine="0"/>
        <w:jc w:val="left"/>
        <w:textAlignment w:val="baseline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13"/>
        </w:rPr>
      </w:pPr>
      <w:r>
        <w:rPr>
          <w:rFonts w:hint="default" w:ascii="Times New Roman" w:hAnsi="Times New Roman" w:eastAsia="宋体" w:cs="Times New Roman"/>
          <w:color w:val="auto"/>
          <w:sz w:val="24"/>
          <w:lang w:val="en-US" w:eastAsia="zh-CN"/>
        </w:rPr>
        <w:t>*Co-Corresponding author: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13"/>
          <w:shd w:val="clear" w:fill="FFFFFF"/>
          <w:vertAlign w:val="baseline"/>
          <w:lang w:val="en-US" w:eastAsia="zh-CN" w:bidi="ar"/>
        </w:rPr>
        <w:t>Guixue Wang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13"/>
          <w:shd w:val="clear" w:fill="FFFFFF"/>
          <w:vertAlign w:val="baseli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kern w:val="0"/>
          <w:sz w:val="24"/>
          <w:szCs w:val="13"/>
          <w:shd w:val="clear" w:fill="FFFFFF"/>
          <w:vertAlign w:val="baseline"/>
          <w:lang w:val="en-US" w:eastAsia="zh-CN" w:bidi="ar"/>
        </w:rPr>
        <w:t xml:space="preserve">− JinFeng Laboratory, Chongqing, 401329, China; Key Laboratory for Biorheological Science and Technology of the Ministry of Education, National Local Joint Engineering Lab for Vascular Implants, College of Bioengineering, Chongqing University, Chongqing, 400044, China; Email: 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"mailto:wanggx@cqu.edu.cn" </w:instrText>
      </w:r>
      <w:r>
        <w:rPr>
          <w:color w:val="auto"/>
          <w:u w:val="none"/>
        </w:rPr>
        <w:fldChar w:fldCharType="separate"/>
      </w:r>
      <w:r>
        <w:rPr>
          <w:rStyle w:val="8"/>
          <w:rFonts w:hint="eastAsia" w:ascii="Times New Roman" w:hAnsi="Times New Roman" w:eastAsia="宋体" w:cs="Times New Roman"/>
          <w:color w:val="auto"/>
          <w:sz w:val="24"/>
          <w:u w:val="none"/>
        </w:rPr>
        <w:t>wanggx@cqu.edu.cn</w:t>
      </w:r>
      <w:r>
        <w:rPr>
          <w:rStyle w:val="8"/>
          <w:rFonts w:hint="eastAsia" w:ascii="Times New Roman" w:hAnsi="Times New Roman" w:eastAsia="宋体" w:cs="Times New Roman"/>
          <w:color w:val="auto"/>
          <w:sz w:val="24"/>
          <w:u w:val="none"/>
        </w:rPr>
        <w:fldChar w:fldCharType="end"/>
      </w:r>
    </w:p>
    <w:p w14:paraId="299D14B3">
      <w:pPr>
        <w:spacing w:line="360" w:lineRule="auto"/>
        <w:ind w:left="0" w:leftChars="0"/>
        <w:jc w:val="left"/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1310640</wp:posOffset>
            </wp:positionV>
            <wp:extent cx="5267960" cy="2832735"/>
            <wp:effectExtent l="0" t="0" r="5080" b="1905"/>
            <wp:wrapTopAndBottom/>
            <wp:docPr id="7" name="图片 7" descr="7af3d3c0f429e819c496d0cf1c0a93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af3d3c0f429e819c496d0cf1c0a93b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color w:val="auto"/>
          <w:sz w:val="24"/>
          <w:lang w:val="en-US" w:eastAsia="zh-CN"/>
        </w:rPr>
        <w:t xml:space="preserve">*Corresponding author: </w:t>
      </w:r>
      <w:r>
        <w:rPr>
          <w:rStyle w:val="7"/>
          <w:rFonts w:hint="default" w:ascii="Times New Roman" w:hAnsi="Times New Roman" w:eastAsia="宋体" w:cs="Times New Roman"/>
          <w:b/>
          <w:bCs/>
          <w:i w:val="0"/>
          <w:iCs w:val="0"/>
          <w:caps w:val="0"/>
          <w:spacing w:val="0"/>
          <w:kern w:val="0"/>
          <w:sz w:val="24"/>
          <w:szCs w:val="13"/>
          <w:shd w:val="clear" w:fill="FFFFFF"/>
          <w:vertAlign w:val="baseline"/>
          <w:lang w:val="en-US" w:eastAsia="zh-CN" w:bidi="ar"/>
        </w:rPr>
        <w:t>Yi Wang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kern w:val="0"/>
          <w:sz w:val="24"/>
          <w:szCs w:val="13"/>
          <w:shd w:val="clear" w:fill="FFFFFF"/>
          <w:vertAlign w:val="baseline"/>
          <w:lang w:val="en-US" w:eastAsia="zh-CN" w:bidi="ar"/>
        </w:rPr>
        <w:t xml:space="preserve"> − School of Basic Medical Sciences, Chongqing Medical University, Chongqing, 400016, China; JinFeng Laboratory, Chongqing, 401329, China; Email: 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"mailto:wangyi@cqmu.edu.cn" </w:instrText>
      </w:r>
      <w:r>
        <w:rPr>
          <w:color w:val="auto"/>
          <w:u w:val="none"/>
        </w:rPr>
        <w:fldChar w:fldCharType="separate"/>
      </w:r>
      <w:r>
        <w:rPr>
          <w:rStyle w:val="8"/>
          <w:rFonts w:ascii="Times New Roman" w:hAnsi="Times New Roman" w:eastAsia="宋体" w:cs="Times New Roman"/>
          <w:snapToGrid w:val="0"/>
          <w:color w:val="auto"/>
          <w:spacing w:val="-1"/>
          <w:kern w:val="0"/>
          <w:sz w:val="24"/>
          <w:u w:val="none"/>
        </w:rPr>
        <w:t>wangyi@cqmu.edu.cn</w:t>
      </w:r>
      <w:r>
        <w:rPr>
          <w:rStyle w:val="8"/>
          <w:rFonts w:ascii="Times New Roman" w:hAnsi="Times New Roman" w:eastAsia="宋体" w:cs="Times New Roman"/>
          <w:snapToGrid w:val="0"/>
          <w:color w:val="auto"/>
          <w:spacing w:val="-1"/>
          <w:kern w:val="0"/>
          <w:sz w:val="24"/>
          <w:u w:val="none"/>
        </w:rPr>
        <w:fldChar w:fldCharType="end"/>
      </w:r>
    </w:p>
    <w:p w14:paraId="7DE614AE">
      <w:pPr>
        <w:spacing w:line="360" w:lineRule="auto"/>
        <w:rPr>
          <w:rFonts w:ascii="Times New Roman" w:hAnsi="Times New Roman" w:eastAsia="宋体" w:cs="Times New Roman"/>
          <w:sz w:val="24"/>
        </w:rPr>
      </w:pPr>
    </w:p>
    <w:p w14:paraId="0D9DEFCC">
      <w:pPr>
        <w:spacing w:line="360" w:lineRule="auto"/>
        <w:rPr>
          <w:rFonts w:ascii="Times New Roman" w:hAnsi="Times New Roman" w:eastAsia="宋体" w:cs="Times New Roman"/>
          <w:sz w:val="24"/>
        </w:rPr>
      </w:pPr>
    </w:p>
    <w:p w14:paraId="7C478FB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ure S1. 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(A) Hydrodynamic diameter and (B) PDI of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PR@PB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NPs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following treatment with SDS, Urea, or NaCl solution. Values are shown as mean ± SD (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0F1115"/>
          <w:spacing w:val="0"/>
          <w:sz w:val="21"/>
          <w:szCs w:val="21"/>
          <w:shd w:val="clear" w:fill="FFFFFF"/>
        </w:rPr>
        <w:t xml:space="preserve">n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= 3).</w:t>
      </w:r>
    </w:p>
    <w:p w14:paraId="052B3B52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</w:p>
    <w:p w14:paraId="27F4D994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384810</wp:posOffset>
            </wp:positionH>
            <wp:positionV relativeFrom="paragraph">
              <wp:posOffset>266065</wp:posOffset>
            </wp:positionV>
            <wp:extent cx="4200525" cy="3052445"/>
            <wp:effectExtent l="0" t="0" r="0" b="0"/>
            <wp:wrapTopAndBottom/>
            <wp:docPr id="3" name="图片 3" descr="补充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补充图"/>
                    <pic:cNvPicPr>
                      <a:picLocks noChangeAspect="1"/>
                    </pic:cNvPicPr>
                  </pic:nvPicPr>
                  <pic:blipFill>
                    <a:blip r:embed="rId5"/>
                    <a:srcRect t="16133" b="16899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B7BD76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S2.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Potential energy changes of the system during the self-assembly process of PR@PBNPs.</w:t>
      </w:r>
    </w:p>
    <w:p w14:paraId="7B26C55F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bookmarkStart w:id="4" w:name="_GoBack"/>
      <w:bookmarkEnd w:id="4"/>
    </w:p>
    <w:p w14:paraId="6F799E0B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 w14:paraId="41AB08C2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 w14:paraId="71D3B46B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 w14:paraId="431BBB3B">
      <w:pPr>
        <w:spacing w:line="36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68580</wp:posOffset>
            </wp:positionV>
            <wp:extent cx="5440680" cy="3274060"/>
            <wp:effectExtent l="0" t="0" r="0" b="7620"/>
            <wp:wrapTopAndBottom/>
            <wp:docPr id="1" name="图片 1" descr="稳定性补充文献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稳定性补充文献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EAA2F9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000000"/>
          <w:spacing w:val="-6"/>
          <w:kern w:val="0"/>
          <w:sz w:val="21"/>
          <w:szCs w:val="21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000000"/>
          <w:spacing w:val="-6"/>
          <w:kern w:val="0"/>
          <w:sz w:val="21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000000"/>
          <w:spacing w:val="-6"/>
          <w:kern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  <w:t xml:space="preserve"> Stability study of PR@PBNPs and MPR@PBNPs. (A) 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  <w:lang w:val="en-US" w:eastAsia="zh-CN"/>
        </w:rPr>
        <w:t>Size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  <w:t xml:space="preserve"> and (B) PDI of MPR@PBNPs in water and 10% FBS within 4 days. (C) Size and (D) PDI of PR@PBNPs in water and 10% FBS within 4 days (</w:t>
      </w:r>
      <w:r>
        <w:rPr>
          <w:rFonts w:hint="eastAsia" w:ascii="Times New Roman" w:hAnsi="Times New Roman" w:eastAsia="宋体" w:cs="Times New Roman"/>
          <w:i/>
          <w:iCs/>
          <w:snapToGrid w:val="0"/>
          <w:color w:val="000000"/>
          <w:spacing w:val="-6"/>
          <w:kern w:val="0"/>
          <w:sz w:val="21"/>
          <w:szCs w:val="21"/>
        </w:rPr>
        <w:t>n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  <w:t xml:space="preserve"> = 3, mean ± SD).</w:t>
      </w:r>
    </w:p>
    <w:p w14:paraId="597AEA72">
      <w:pPr>
        <w:spacing w:line="36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-55880</wp:posOffset>
            </wp:positionH>
            <wp:positionV relativeFrom="paragraph">
              <wp:posOffset>471805</wp:posOffset>
            </wp:positionV>
            <wp:extent cx="5365750" cy="1570355"/>
            <wp:effectExtent l="0" t="0" r="13970" b="14605"/>
            <wp:wrapTopAndBottom/>
            <wp:docPr id="10" name="图片 10" descr="毒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毒性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65750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8D86F">
      <w:pPr>
        <w:spacing w:line="360" w:lineRule="auto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 xml:space="preserve">. </w:t>
      </w:r>
      <w:r>
        <w:rPr>
          <w:rFonts w:hint="eastAsia" w:ascii="Times New Roman" w:hAnsi="Times New Roman" w:eastAsia="宋体" w:cs="Times New Roman"/>
          <w:sz w:val="21"/>
          <w:szCs w:val="21"/>
        </w:rPr>
        <w:t>in vitro cytotoxicity assessment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of </w:t>
      </w:r>
      <w:r>
        <w:rPr>
          <w:rFonts w:hint="eastAsia" w:ascii="Times New Roman" w:hAnsi="Times New Roman" w:eastAsia="宋体" w:cs="Times New Roman"/>
          <w:sz w:val="21"/>
          <w:szCs w:val="21"/>
        </w:rPr>
        <w:t>PR@PBNPs and MPR@PBNPs. (A) Toxicity effects of PR@PBNPs and MPR@PBNPs on RAW264.7 cells at different concentrations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(B) Toxic effects of PR@PBNPs and MPR@PBNPs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</w:rPr>
        <w:t>on HUVECs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</w:rPr>
        <w:t>at different concentrations. All experiments were repeated three times (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</w:rPr>
        <w:t>n</w:t>
      </w:r>
      <w:r>
        <w:rPr>
          <w:rFonts w:hint="eastAsia" w:ascii="Times New Roman" w:hAnsi="Times New Roman" w:eastAsia="宋体" w:cs="Times New Roman"/>
          <w:sz w:val="21"/>
          <w:szCs w:val="21"/>
        </w:rPr>
        <w:t>=3), and the data were expressed as mean ± standard deviation (SD).</w:t>
      </w:r>
    </w:p>
    <w:p w14:paraId="7D665443">
      <w:pPr>
        <w:spacing w:line="36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267325" cy="2743835"/>
            <wp:effectExtent l="0" t="0" r="635" b="8890"/>
            <wp:docPr id="5" name="图片 5" descr="溶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溶血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77747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000000"/>
          <w:spacing w:val="-6"/>
          <w:kern w:val="0"/>
          <w:sz w:val="21"/>
          <w:szCs w:val="21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000000"/>
          <w:spacing w:val="-6"/>
          <w:kern w:val="0"/>
          <w:sz w:val="21"/>
          <w:szCs w:val="21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000000"/>
          <w:spacing w:val="-6"/>
          <w:kern w:val="0"/>
          <w:sz w:val="21"/>
          <w:szCs w:val="21"/>
        </w:rPr>
        <w:t xml:space="preserve">. 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  <w:t xml:space="preserve">Hemolytic effects of PR@PBNPs and MPR@PBNPs. (A) Images of hemolysis tests for PR@PBNPs and MPR@PBNPs. (B) Absorbance of 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  <w:lang w:val="en-US" w:eastAsia="zh-CN"/>
        </w:rPr>
        <w:t xml:space="preserve">the supernatant of diluted anticoagulant blood 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  <w:lang w:val="en-US" w:eastAsia="zh-CN"/>
        </w:rPr>
        <w:t xml:space="preserve">treated with 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  <w:t>PR@PBNPs and MPR@PBNPs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  <w:t>(</w:t>
      </w:r>
      <w:r>
        <w:rPr>
          <w:rFonts w:hint="eastAsia" w:ascii="Times New Roman" w:hAnsi="Times New Roman" w:eastAsia="宋体" w:cs="Times New Roman"/>
          <w:i/>
          <w:iCs/>
          <w:snapToGrid w:val="0"/>
          <w:color w:val="000000"/>
          <w:spacing w:val="-6"/>
          <w:kern w:val="0"/>
          <w:sz w:val="21"/>
          <w:szCs w:val="21"/>
        </w:rPr>
        <w:t>n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  <w:t xml:space="preserve"> = 3, mean ± SD).</w:t>
      </w:r>
    </w:p>
    <w:p w14:paraId="32E1454B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宋体" w:cs="Times New Roman"/>
          <w:snapToGrid w:val="0"/>
          <w:color w:val="000000"/>
          <w:spacing w:val="-6"/>
          <w:kern w:val="0"/>
          <w:sz w:val="21"/>
          <w:szCs w:val="21"/>
        </w:rPr>
      </w:pPr>
    </w:p>
    <w:p w14:paraId="5487415F">
      <w:pPr>
        <w:spacing w:line="360" w:lineRule="auto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271770" cy="5701030"/>
            <wp:effectExtent l="0" t="0" r="6985" b="9525"/>
            <wp:docPr id="4" name="图片 4" descr="溶酶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溶酶体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E5EE5">
      <w:pPr>
        <w:spacing w:line="360" w:lineRule="auto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The </w:t>
      </w:r>
      <w:r>
        <w:rPr>
          <w:rFonts w:ascii="Times New Roman" w:hAnsi="Times New Roman" w:eastAsia="宋体" w:cs="Times New Roman"/>
          <w:sz w:val="21"/>
          <w:szCs w:val="21"/>
        </w:rPr>
        <w:t xml:space="preserve">distribution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of </w:t>
      </w:r>
      <w:r>
        <w:rPr>
          <w:rFonts w:ascii="Times New Roman" w:hAnsi="Times New Roman" w:eastAsia="宋体" w:cs="Times New Roman"/>
          <w:sz w:val="21"/>
          <w:szCs w:val="21"/>
        </w:rPr>
        <w:t>MPR@PBNPs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in </w:t>
      </w:r>
      <w:r>
        <w:rPr>
          <w:rFonts w:ascii="Times New Roman" w:hAnsi="Times New Roman" w:eastAsia="宋体" w:cs="Times New Roman"/>
          <w:sz w:val="21"/>
          <w:szCs w:val="21"/>
        </w:rPr>
        <w:t>HUVECs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and RAW264.7 cells </w:t>
      </w:r>
      <w:r>
        <w:rPr>
          <w:rFonts w:ascii="Times New Roman" w:hAnsi="Times New Roman" w:eastAsia="宋体" w:cs="Times New Roman"/>
          <w:sz w:val="21"/>
          <w:szCs w:val="21"/>
        </w:rPr>
        <w:t xml:space="preserve">after being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uptaken</w:t>
      </w:r>
      <w:r>
        <w:rPr>
          <w:rFonts w:ascii="Times New Roman" w:hAnsi="Times New Roman" w:eastAsia="宋体" w:cs="Times New Roman"/>
          <w:sz w:val="21"/>
          <w:szCs w:val="21"/>
        </w:rPr>
        <w:t xml:space="preserve"> . (A)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Images of </w:t>
      </w:r>
      <w:r>
        <w:rPr>
          <w:rFonts w:ascii="Times New Roman" w:hAnsi="Times New Roman" w:eastAsia="宋体" w:cs="Times New Roman"/>
          <w:sz w:val="21"/>
          <w:szCs w:val="21"/>
        </w:rPr>
        <w:t xml:space="preserve">MPR@PBNPs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in </w:t>
      </w:r>
      <w:r>
        <w:rPr>
          <w:rFonts w:ascii="Times New Roman" w:hAnsi="Times New Roman" w:eastAsia="宋体" w:cs="Times New Roman"/>
          <w:sz w:val="21"/>
          <w:szCs w:val="21"/>
        </w:rPr>
        <w:t xml:space="preserve">HUVECs after being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uptaken</w:t>
      </w:r>
      <w:r>
        <w:rPr>
          <w:rFonts w:ascii="Times New Roman" w:hAnsi="Times New Roman" w:eastAsia="宋体" w:cs="Times New Roman"/>
          <w:sz w:val="21"/>
          <w:szCs w:val="21"/>
        </w:rPr>
        <w:t xml:space="preserve"> (scale =10 μm). (B) 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Images of MPR@PBNPs in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RAW264.7 cells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after being uptaken</w:t>
      </w:r>
      <w:r>
        <w:rPr>
          <w:rFonts w:ascii="Times New Roman" w:hAnsi="Times New Roman" w:eastAsia="宋体" w:cs="Times New Roman"/>
          <w:sz w:val="21"/>
          <w:szCs w:val="21"/>
        </w:rPr>
        <w:t xml:space="preserve"> (scale =10 μm).</w:t>
      </w:r>
    </w:p>
    <w:p w14:paraId="5A95A437">
      <w:pPr>
        <w:spacing w:line="360" w:lineRule="auto"/>
        <w:jc w:val="both"/>
        <w:rPr>
          <w:rFonts w:ascii="Times New Roman" w:hAnsi="Times New Roman" w:eastAsia="宋体" w:cs="Times New Roman"/>
          <w:sz w:val="21"/>
          <w:szCs w:val="21"/>
        </w:rPr>
      </w:pPr>
    </w:p>
    <w:p w14:paraId="68FD72AB">
      <w:pPr>
        <w:spacing w:line="360" w:lineRule="auto"/>
        <w:jc w:val="both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eastAsia="zh-CN"/>
        </w:rPr>
        <w:drawing>
          <wp:inline distT="0" distB="0" distL="114300" distR="114300">
            <wp:extent cx="5271770" cy="2169160"/>
            <wp:effectExtent l="0" t="0" r="6985" b="635"/>
            <wp:docPr id="14" name="图片 14" descr="活体成像主动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活体成像主动脉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77106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S7. 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Fluorescence images of DiD</w:t>
      </w:r>
      <w:r>
        <w:rPr>
          <w:rFonts w:hint="eastAsia" w:ascii="Times New Roman" w:hAnsi="Times New Roman" w:eastAsia="TimesNewRomanPS-BoldMT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-PR@PB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NPs or DiD</w:t>
      </w:r>
      <w:r>
        <w:rPr>
          <w:rFonts w:hint="eastAsia" w:ascii="Times New Roman" w:hAnsi="Times New Roman" w:eastAsia="TimesNewRomanPS-BoldMT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-MPR@PBNPs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in isolated aorta following i.v. administration for 24 h.</w:t>
      </w:r>
    </w:p>
    <w:p w14:paraId="734748AD"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2C00AB04">
      <w:pPr>
        <w:spacing w:line="360" w:lineRule="auto"/>
        <w:jc w:val="both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</w:p>
    <w:p w14:paraId="3AC32CDD">
      <w:pPr>
        <w:spacing w:line="360" w:lineRule="auto"/>
        <w:jc w:val="both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1093470</wp:posOffset>
            </wp:positionH>
            <wp:positionV relativeFrom="paragraph">
              <wp:posOffset>323850</wp:posOffset>
            </wp:positionV>
            <wp:extent cx="2834640" cy="4380230"/>
            <wp:effectExtent l="0" t="0" r="4445" b="2540"/>
            <wp:wrapTopAndBottom/>
            <wp:docPr id="13" name="图片 13" descr="大体油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大体油红"/>
                    <pic:cNvPicPr>
                      <a:picLocks noChangeAspect="1"/>
                    </pic:cNvPicPr>
                  </pic:nvPicPr>
                  <pic:blipFill>
                    <a:blip r:embed="rId11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FB3248">
      <w:pPr>
        <w:spacing w:line="360" w:lineRule="auto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S8.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Images of Oil Red O (ORO)-stained aortas of mice from different experimental groups.</w:t>
      </w:r>
    </w:p>
    <w:p w14:paraId="13C3F464">
      <w:pPr>
        <w:spacing w:line="360" w:lineRule="auto"/>
        <w:jc w:val="both"/>
        <w:rPr>
          <w:rFonts w:ascii="Times New Roman" w:hAnsi="Times New Roman" w:eastAsia="宋体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353C079">
      <w:pPr>
        <w:spacing w:line="360" w:lineRule="auto"/>
        <w:jc w:val="both"/>
        <w:rPr>
          <w:rFonts w:ascii="Times New Roman" w:hAnsi="Times New Roman" w:eastAsia="宋体" w:cs="Times New Roman"/>
          <w:b/>
          <w:bCs/>
          <w:sz w:val="21"/>
          <w:szCs w:val="21"/>
        </w:rPr>
      </w:pPr>
    </w:p>
    <w:p w14:paraId="35E0159F">
      <w:pPr>
        <w:spacing w:line="360" w:lineRule="auto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64770</wp:posOffset>
            </wp:positionV>
            <wp:extent cx="3973195" cy="2887345"/>
            <wp:effectExtent l="0" t="0" r="10160" b="5715"/>
            <wp:wrapTopAndBottom/>
            <wp:docPr id="6" name="图片 6" descr="体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体重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73195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9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The </w:t>
      </w:r>
      <w:r>
        <w:rPr>
          <w:rFonts w:ascii="Times New Roman" w:hAnsi="Times New Roman" w:eastAsia="宋体" w:cs="Times New Roman"/>
          <w:sz w:val="21"/>
          <w:szCs w:val="21"/>
        </w:rPr>
        <w:t>body weight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c</w:t>
      </w:r>
      <w:r>
        <w:rPr>
          <w:rFonts w:ascii="Times New Roman" w:hAnsi="Times New Roman" w:eastAsia="宋体" w:cs="Times New Roman"/>
          <w:sz w:val="21"/>
          <w:szCs w:val="21"/>
        </w:rPr>
        <w:t xml:space="preserve">hanges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of</w:t>
      </w:r>
      <w:r>
        <w:rPr>
          <w:rFonts w:ascii="Times New Roman" w:hAnsi="Times New Roman" w:eastAsia="宋体" w:cs="Times New Roman"/>
          <w:sz w:val="21"/>
          <w:szCs w:val="21"/>
        </w:rPr>
        <w:t xml:space="preserve"> mice in different treatment groups.</w:t>
      </w:r>
    </w:p>
    <w:p w14:paraId="6D143650">
      <w:pPr>
        <w:spacing w:line="360" w:lineRule="auto"/>
        <w:jc w:val="both"/>
        <w:rPr>
          <w:rFonts w:ascii="Times New Roman" w:hAnsi="Times New Roman" w:eastAsia="宋体" w:cs="Times New Roman"/>
          <w:b/>
          <w:bCs/>
          <w:sz w:val="21"/>
          <w:szCs w:val="21"/>
        </w:rPr>
      </w:pPr>
    </w:p>
    <w:p w14:paraId="0B302586">
      <w:pPr>
        <w:spacing w:line="360" w:lineRule="auto"/>
        <w:jc w:val="both"/>
        <w:rPr>
          <w:rFonts w:ascii="Times New Roman" w:hAnsi="Times New Roman" w:eastAsia="宋体" w:cs="Times New Roman"/>
          <w:b/>
          <w:bCs/>
          <w:sz w:val="21"/>
          <w:szCs w:val="21"/>
        </w:rPr>
      </w:pPr>
    </w:p>
    <w:p w14:paraId="4F9EDE09">
      <w:pPr>
        <w:spacing w:line="360" w:lineRule="auto"/>
        <w:jc w:val="both"/>
        <w:rPr>
          <w:rFonts w:ascii="Times New Roman" w:hAnsi="Times New Roman" w:eastAsia="宋体" w:cs="Times New Roman"/>
          <w:b/>
          <w:bCs/>
          <w:sz w:val="21"/>
          <w:szCs w:val="21"/>
        </w:rPr>
      </w:pPr>
    </w:p>
    <w:p w14:paraId="6E798829">
      <w:pPr>
        <w:spacing w:line="360" w:lineRule="auto"/>
        <w:jc w:val="both"/>
        <w:rPr>
          <w:rFonts w:ascii="Times New Roman" w:hAnsi="Times New Roman" w:eastAsia="宋体" w:cs="Times New Roman"/>
          <w:b/>
          <w:bCs/>
          <w:sz w:val="21"/>
          <w:szCs w:val="21"/>
        </w:rPr>
      </w:pPr>
    </w:p>
    <w:p w14:paraId="5BD37870">
      <w:pPr>
        <w:spacing w:line="360" w:lineRule="auto"/>
        <w:jc w:val="both"/>
        <w:rPr>
          <w:rFonts w:ascii="Times New Roman" w:hAnsi="Times New Roman" w:eastAsia="宋体" w:cs="Times New Roman"/>
          <w:b/>
          <w:bCs/>
          <w:sz w:val="21"/>
          <w:szCs w:val="21"/>
        </w:rPr>
      </w:pPr>
    </w:p>
    <w:p w14:paraId="2A606AD6">
      <w:pPr>
        <w:spacing w:line="360" w:lineRule="auto"/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A37E08"/>
    <w:multiLevelType w:val="singleLevel"/>
    <w:tmpl w:val="E7A37E08"/>
    <w:lvl w:ilvl="0" w:tentative="0">
      <w:start w:val="1"/>
      <w:numFmt w:val="lowerLetter"/>
      <w:suff w:val="space"/>
      <w:lvlText w:val="%1."/>
      <w:lvlJc w:val="left"/>
      <w:rPr>
        <w:rFonts w:hint="default"/>
        <w:vertAlign w:val="superscri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1962AD"/>
    <w:rsid w:val="00044477"/>
    <w:rsid w:val="002F4F43"/>
    <w:rsid w:val="0044414B"/>
    <w:rsid w:val="00747972"/>
    <w:rsid w:val="00934306"/>
    <w:rsid w:val="00A00D5C"/>
    <w:rsid w:val="00A72940"/>
    <w:rsid w:val="00AD5DFA"/>
    <w:rsid w:val="00C02514"/>
    <w:rsid w:val="00C50918"/>
    <w:rsid w:val="00EE5C1A"/>
    <w:rsid w:val="00F016AF"/>
    <w:rsid w:val="00F82418"/>
    <w:rsid w:val="021962AD"/>
    <w:rsid w:val="04065F83"/>
    <w:rsid w:val="0730481F"/>
    <w:rsid w:val="076A180C"/>
    <w:rsid w:val="07CD4D00"/>
    <w:rsid w:val="09D9790A"/>
    <w:rsid w:val="0B4C1B49"/>
    <w:rsid w:val="0E4F7C80"/>
    <w:rsid w:val="0E8D69FB"/>
    <w:rsid w:val="0FD85A54"/>
    <w:rsid w:val="112130F6"/>
    <w:rsid w:val="127557DC"/>
    <w:rsid w:val="13AA51CB"/>
    <w:rsid w:val="18B83BC8"/>
    <w:rsid w:val="1CCB706C"/>
    <w:rsid w:val="1E69544E"/>
    <w:rsid w:val="1EB569C9"/>
    <w:rsid w:val="1ED23528"/>
    <w:rsid w:val="20370574"/>
    <w:rsid w:val="218374B4"/>
    <w:rsid w:val="21C6671E"/>
    <w:rsid w:val="24A77976"/>
    <w:rsid w:val="24D740D4"/>
    <w:rsid w:val="25C96113"/>
    <w:rsid w:val="2ACD2AB4"/>
    <w:rsid w:val="2C0A0C8C"/>
    <w:rsid w:val="2DF75045"/>
    <w:rsid w:val="30463541"/>
    <w:rsid w:val="35B3133E"/>
    <w:rsid w:val="3A2D6818"/>
    <w:rsid w:val="3B1B27F0"/>
    <w:rsid w:val="3CBB635D"/>
    <w:rsid w:val="3D011321"/>
    <w:rsid w:val="3D41616A"/>
    <w:rsid w:val="44760DBC"/>
    <w:rsid w:val="48E72288"/>
    <w:rsid w:val="49F7225D"/>
    <w:rsid w:val="4AD827D0"/>
    <w:rsid w:val="4BB9615E"/>
    <w:rsid w:val="52880638"/>
    <w:rsid w:val="52AD4542"/>
    <w:rsid w:val="580C6F3F"/>
    <w:rsid w:val="5919023C"/>
    <w:rsid w:val="592D3CE7"/>
    <w:rsid w:val="595D0E79"/>
    <w:rsid w:val="5B6A7E61"/>
    <w:rsid w:val="5DDF5CD5"/>
    <w:rsid w:val="61B431F8"/>
    <w:rsid w:val="647B4DF5"/>
    <w:rsid w:val="64D632D0"/>
    <w:rsid w:val="66A01F9C"/>
    <w:rsid w:val="68DC1286"/>
    <w:rsid w:val="6EDA0016"/>
    <w:rsid w:val="737D156D"/>
    <w:rsid w:val="74081181"/>
    <w:rsid w:val="751F220C"/>
    <w:rsid w:val="76BD26F7"/>
    <w:rsid w:val="7782124A"/>
    <w:rsid w:val="79AD6DC8"/>
    <w:rsid w:val="7ABE6A3D"/>
    <w:rsid w:val="7DF21E23"/>
    <w:rsid w:val="7E99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rPr>
      <w:rFonts w:hint="eastAsia" w:ascii="宋体" w:hAnsi="宋体" w:eastAsia="宋体" w:cs="Times New Roman"/>
      <w:sz w:val="30"/>
      <w:szCs w:val="30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正文文本 字符"/>
    <w:basedOn w:val="6"/>
    <w:link w:val="2"/>
    <w:qFormat/>
    <w:uiPriority w:val="0"/>
    <w:rPr>
      <w:rFonts w:hint="eastAsia" w:ascii="宋体" w:hAnsi="宋体" w:eastAsia="宋体" w:cs="宋体"/>
      <w:kern w:val="2"/>
      <w:sz w:val="30"/>
      <w:szCs w:val="30"/>
      <w:lang w:eastAsia="en-US"/>
    </w:rPr>
  </w:style>
  <w:style w:type="character" w:customStyle="1" w:styleId="10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tiff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420</Words>
  <Characters>2495</Characters>
  <Lines>51</Lines>
  <Paragraphs>18</Paragraphs>
  <TotalTime>0</TotalTime>
  <ScaleCrop>false</ScaleCrop>
  <LinksUpToDate>false</LinksUpToDate>
  <CharactersWithSpaces>2894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2025-06-02T15:23:00Z</dcterms:created>
  <dc:creator>猫性zzz.</dc:creator>
  <cp:lastModifiedBy>WPS_1472896748</cp:lastModifiedBy>
  <dcterms:modified xsi:type="dcterms:W3CDTF">2026-09-04T15:11:55Z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26AE8CB795D4453EBA89EA0608A930C0_13</vt:lpwstr>
  </property>
  <property fmtid="{D5CDD505-2E9C-101B-9397-08002B2CF9AE}" pid="4" name="KSOTemplateDocerSaveRecord">
    <vt:lpwstr>eyJoZGlkIjoiMzEwNTM5NzYwMDRjMzkwZTVkZjY2ODkwMGIxNGU0OTUiLCJ1c2VySWQiOiIyMzgzNjIwNzEifQ==</vt:lpwstr>
  </property>
  <property fmtid="{D5CDD505-2E9C-101B-9397-08002B2CF9AE}" pid="5" name="GrammarlyDocumentId">
    <vt:lpwstr>caa3b4cc-b37f-49e0-b4cc-30f1930dcabd</vt:lpwstr>
  </property>
</Properties>
</file>