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rFonts w:ascii="Times New Roman" w:hAnsi="Times New Roman"/>
        </w:rPr>
      </w:pPr>
      <w:r>
        <w:rPr>
          <w:rFonts w:ascii="Times New Roman" w:hAnsi="Times New Roman"/>
        </w:rPr>
        <w:t>Persistent Cardiac Surgery-Associated Acute Kidney Injury Identifies a High-Risk Phenotype after Pediatric Congenital Heart Surgery</w:t>
      </w:r>
    </w:p>
    <w:p>
      <w:pPr>
        <w:pStyle w:val="Caption"/>
        <w:rPr>
          <w:rFonts w:ascii="Times New Roman" w:hAnsi="Times New Roman"/>
        </w:rPr>
      </w:pPr>
      <w:r>
        <w:rPr/>
        <w:t>Table 3. Firth-penalized multivariable logistic regression models</w:t>
      </w:r>
    </w:p>
    <w:tbl>
      <w:tblPr>
        <w:tblStyle w:val="TabloKlavuzu"/>
        <w:tblW w:w="9216" w:type="dxa"/>
        <w:jc w:val="center"/>
        <w:tblInd w:w="0" w:type="dxa"/>
        <w:tblLayout w:type="fixed"/>
        <w:tblCellMar>
          <w:top w:w="45" w:type="dxa"/>
          <w:start w:w="45" w:type="dxa"/>
          <w:bottom w:w="45" w:type="dxa"/>
          <w:end w:w="45" w:type="dxa"/>
        </w:tblCellMar>
        <w:tblLook w:noHBand="0" w:lastColumn="0" w:firstColumn="1" w:lastRow="0" w:firstRow="1" w:noVBand="1" w:val="04a0"/>
      </w:tblPr>
      <w:tblGrid>
        <w:gridCol w:w="1525"/>
        <w:gridCol w:w="4523"/>
        <w:gridCol w:w="2230"/>
        <w:gridCol w:w="938"/>
      </w:tblGrid>
      <w:tr>
        <w:trPr>
          <w:tblHeader w:val="true"/>
          <w:cantSplit/>
        </w:trPr>
        <w:tc>
          <w:tcPr>
            <w:tcW w:w="1525" w:type="dxa"/>
            <w:tcBorders/>
            <w:shd w:color="auto" w:fill="D9EAF7" w:val="clear"/>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b/>
                <w:kern w:val="0"/>
                <w:sz w:val="18"/>
                <w:szCs w:val="22"/>
                <w:lang w:val="en-US" w:eastAsia="en-US" w:bidi="ar-SA"/>
              </w:rPr>
              <w:t>Model</w:t>
            </w:r>
          </w:p>
        </w:tc>
        <w:tc>
          <w:tcPr>
            <w:tcW w:w="4523" w:type="dxa"/>
            <w:tcBorders/>
            <w:shd w:color="auto" w:fill="D9EAF7" w:val="clear"/>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b/>
                <w:kern w:val="0"/>
                <w:sz w:val="18"/>
                <w:szCs w:val="22"/>
                <w:lang w:val="en-US" w:eastAsia="en-US" w:bidi="ar-SA"/>
              </w:rPr>
              <w:t>Variable</w:t>
            </w:r>
          </w:p>
        </w:tc>
        <w:tc>
          <w:tcPr>
            <w:tcW w:w="2230" w:type="dxa"/>
            <w:tcBorders/>
            <w:shd w:color="auto" w:fill="D9EAF7" w:val="clear"/>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b/>
                <w:kern w:val="0"/>
                <w:sz w:val="18"/>
                <w:szCs w:val="22"/>
                <w:lang w:val="en-US" w:eastAsia="en-US" w:bidi="ar-SA"/>
              </w:rPr>
              <w:t>OR (95% CI)</w:t>
            </w:r>
          </w:p>
        </w:tc>
        <w:tc>
          <w:tcPr>
            <w:tcW w:w="938" w:type="dxa"/>
            <w:tcBorders/>
            <w:shd w:color="auto" w:fill="D9EAF7" w:val="clear"/>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b/>
                <w:kern w:val="0"/>
                <w:sz w:val="18"/>
                <w:szCs w:val="22"/>
                <w:lang w:val="en-US" w:eastAsia="en-US" w:bidi="ar-SA"/>
              </w:rPr>
              <w:t>p</w:t>
            </w:r>
          </w:p>
        </w:tc>
      </w:tr>
      <w:tr>
        <w:trPr>
          <w:cantSplit/>
        </w:trPr>
        <w:tc>
          <w:tcPr>
            <w:tcW w:w="1525" w:type="dxa"/>
            <w:vMerge w:val="restart"/>
            <w:tcBorders/>
            <w:vAlign w:val="center"/>
          </w:tcPr>
          <w:p>
            <w:pPr>
              <w:pStyle w:val="Normal"/>
              <w:widowControl/>
              <w:suppressAutoHyphens w:val="true"/>
              <w:spacing w:lineRule="auto" w:line="240" w:before="0" w:after="0"/>
              <w:jc w:val="start"/>
              <w:rPr>
                <w:rFonts w:ascii="Times New Roman" w:hAnsi="Times New Roman" w:cs=""/>
                <w:kern w:val="0"/>
                <w:szCs w:val="22"/>
                <w:lang w:val="en-US" w:eastAsia="en-US" w:bidi="ar-SA"/>
              </w:rPr>
            </w:pPr>
            <w:r>
              <w:rPr>
                <w:rFonts w:cs=""/>
                <w:kern w:val="0"/>
                <w:sz w:val="18"/>
                <w:szCs w:val="22"/>
                <w:lang w:val="en-US" w:eastAsia="en-US" w:bidi="ar-SA"/>
              </w:rPr>
              <w:t>Any early CS-AKI</w:t>
              <w:br/>
              <w:t>(events = 69)</w:t>
            </w:r>
          </w:p>
        </w:tc>
        <w:tc>
          <w:tcPr>
            <w:tcW w:w="4523"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Age (per month)</w:t>
            </w:r>
          </w:p>
        </w:tc>
        <w:tc>
          <w:tcPr>
            <w:tcW w:w="2230"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0.98 (0.98-0.99)</w:t>
            </w:r>
          </w:p>
        </w:tc>
        <w:tc>
          <w:tcPr>
            <w:tcW w:w="938"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&lt;0.001</w:t>
            </w:r>
          </w:p>
        </w:tc>
      </w:tr>
      <w:tr>
        <w:trPr>
          <w:cantSplit/>
        </w:trPr>
        <w:tc>
          <w:tcPr>
            <w:tcW w:w="1525" w:type="dxa"/>
            <w:vMerge w:val="continue"/>
            <w:tcBorders/>
            <w:vAlign w:val="center"/>
          </w:tcPr>
          <w:p>
            <w:pPr>
              <w:pStyle w:val="Normal"/>
              <w:widowControl/>
              <w:suppressAutoHyphens w:val="true"/>
              <w:spacing w:before="0" w:after="0"/>
              <w:jc w:val="start"/>
              <w:rPr>
                <w:rFonts w:ascii="Times New Roman" w:hAnsi="Times New Roman" w:cs=""/>
                <w:kern w:val="0"/>
                <w:szCs w:val="22"/>
                <w:lang w:val="en-US" w:eastAsia="en-US" w:bidi="ar-SA"/>
              </w:rPr>
            </w:pPr>
            <w:r>
              <w:rPr>
                <w:rFonts w:cs=""/>
                <w:kern w:val="0"/>
                <w:szCs w:val="22"/>
                <w:lang w:val="en-US" w:eastAsia="en-US" w:bidi="ar-SA"/>
              </w:rPr>
            </w:r>
          </w:p>
        </w:tc>
        <w:tc>
          <w:tcPr>
            <w:tcW w:w="4523"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Cyanosis</w:t>
            </w:r>
          </w:p>
        </w:tc>
        <w:tc>
          <w:tcPr>
            <w:tcW w:w="2230"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1.80 (0.88-3.67)</w:t>
            </w:r>
          </w:p>
        </w:tc>
        <w:tc>
          <w:tcPr>
            <w:tcW w:w="938"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0.11</w:t>
            </w:r>
          </w:p>
        </w:tc>
      </w:tr>
      <w:tr>
        <w:trPr>
          <w:cantSplit/>
        </w:trPr>
        <w:tc>
          <w:tcPr>
            <w:tcW w:w="1525" w:type="dxa"/>
            <w:vMerge w:val="continue"/>
            <w:tcBorders/>
            <w:vAlign w:val="center"/>
          </w:tcPr>
          <w:p>
            <w:pPr>
              <w:pStyle w:val="Normal"/>
              <w:widowControl/>
              <w:suppressAutoHyphens w:val="true"/>
              <w:spacing w:before="0" w:after="0"/>
              <w:jc w:val="start"/>
              <w:rPr>
                <w:rFonts w:ascii="Times New Roman" w:hAnsi="Times New Roman" w:cs=""/>
                <w:kern w:val="0"/>
                <w:szCs w:val="22"/>
                <w:lang w:val="en-US" w:eastAsia="en-US" w:bidi="ar-SA"/>
              </w:rPr>
            </w:pPr>
            <w:r>
              <w:rPr>
                <w:rFonts w:cs=""/>
                <w:kern w:val="0"/>
                <w:szCs w:val="22"/>
                <w:lang w:val="en-US" w:eastAsia="en-US" w:bidi="ar-SA"/>
              </w:rPr>
            </w:r>
          </w:p>
        </w:tc>
        <w:tc>
          <w:tcPr>
            <w:tcW w:w="4523"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STAT category 4-5</w:t>
            </w:r>
          </w:p>
        </w:tc>
        <w:tc>
          <w:tcPr>
            <w:tcW w:w="2230"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1.58 (0.72-3.38)</w:t>
            </w:r>
          </w:p>
        </w:tc>
        <w:tc>
          <w:tcPr>
            <w:tcW w:w="938"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0.25</w:t>
            </w:r>
          </w:p>
        </w:tc>
      </w:tr>
      <w:tr>
        <w:trPr>
          <w:cantSplit/>
        </w:trPr>
        <w:tc>
          <w:tcPr>
            <w:tcW w:w="1525" w:type="dxa"/>
            <w:vMerge w:val="continue"/>
            <w:tcBorders/>
            <w:vAlign w:val="center"/>
          </w:tcPr>
          <w:p>
            <w:pPr>
              <w:pStyle w:val="Normal"/>
              <w:widowControl/>
              <w:suppressAutoHyphens w:val="true"/>
              <w:spacing w:before="0" w:after="0"/>
              <w:jc w:val="start"/>
              <w:rPr>
                <w:rFonts w:ascii="Times New Roman" w:hAnsi="Times New Roman" w:cs=""/>
                <w:kern w:val="0"/>
                <w:szCs w:val="22"/>
                <w:lang w:val="en-US" w:eastAsia="en-US" w:bidi="ar-SA"/>
              </w:rPr>
            </w:pPr>
            <w:r>
              <w:rPr>
                <w:rFonts w:cs=""/>
                <w:kern w:val="0"/>
                <w:szCs w:val="22"/>
                <w:lang w:val="en-US" w:eastAsia="en-US" w:bidi="ar-SA"/>
              </w:rPr>
            </w:r>
          </w:p>
        </w:tc>
        <w:tc>
          <w:tcPr>
            <w:tcW w:w="4523"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18"/>
                <w:lang w:val="en-US" w:eastAsia="en-US" w:bidi="ar-SA"/>
              </w:rPr>
              <w:t>Aortic cross-clamp performed</w:t>
            </w:r>
          </w:p>
        </w:tc>
        <w:tc>
          <w:tcPr>
            <w:tcW w:w="2230"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0.87 (0.37-2.07)</w:t>
            </w:r>
          </w:p>
        </w:tc>
        <w:tc>
          <w:tcPr>
            <w:tcW w:w="938"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0.75</w:t>
            </w:r>
          </w:p>
        </w:tc>
      </w:tr>
      <w:tr>
        <w:trPr>
          <w:cantSplit/>
        </w:trPr>
        <w:tc>
          <w:tcPr>
            <w:tcW w:w="1525" w:type="dxa"/>
            <w:vMerge w:val="continue"/>
            <w:tcBorders/>
            <w:vAlign w:val="center"/>
          </w:tcPr>
          <w:p>
            <w:pPr>
              <w:pStyle w:val="Normal"/>
              <w:widowControl/>
              <w:suppressAutoHyphens w:val="true"/>
              <w:spacing w:before="0" w:after="0"/>
              <w:jc w:val="start"/>
              <w:rPr>
                <w:rFonts w:ascii="Times New Roman" w:hAnsi="Times New Roman" w:cs=""/>
                <w:kern w:val="0"/>
                <w:szCs w:val="22"/>
                <w:lang w:val="en-US" w:eastAsia="en-US" w:bidi="ar-SA"/>
              </w:rPr>
            </w:pPr>
            <w:r>
              <w:rPr>
                <w:rFonts w:cs=""/>
                <w:kern w:val="0"/>
                <w:szCs w:val="22"/>
                <w:lang w:val="en-US" w:eastAsia="en-US" w:bidi="ar-SA"/>
              </w:rPr>
            </w:r>
          </w:p>
        </w:tc>
        <w:tc>
          <w:tcPr>
            <w:tcW w:w="4523"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18"/>
                <w:lang w:val="en-US" w:eastAsia="en-US" w:bidi="ar-SA"/>
              </w:rPr>
              <w:t>Aortic cross-clamp duration (per 30 min; recipients, centered at 60 min)</w:t>
            </w:r>
          </w:p>
        </w:tc>
        <w:tc>
          <w:tcPr>
            <w:tcW w:w="2230"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1.24 (0.95-1.62)</w:t>
            </w:r>
          </w:p>
        </w:tc>
        <w:tc>
          <w:tcPr>
            <w:tcW w:w="938"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0.11</w:t>
            </w:r>
          </w:p>
        </w:tc>
      </w:tr>
      <w:tr>
        <w:trPr>
          <w:cantSplit/>
        </w:trPr>
        <w:tc>
          <w:tcPr>
            <w:tcW w:w="1525" w:type="dxa"/>
            <w:vMerge w:val="continue"/>
            <w:tcBorders/>
            <w:vAlign w:val="center"/>
          </w:tcPr>
          <w:p>
            <w:pPr>
              <w:pStyle w:val="Normal"/>
              <w:widowControl/>
              <w:suppressAutoHyphens w:val="true"/>
              <w:spacing w:before="0" w:after="0"/>
              <w:jc w:val="start"/>
              <w:rPr>
                <w:rFonts w:ascii="Times New Roman" w:hAnsi="Times New Roman" w:cs=""/>
                <w:kern w:val="0"/>
                <w:szCs w:val="22"/>
                <w:lang w:val="en-US" w:eastAsia="en-US" w:bidi="ar-SA"/>
              </w:rPr>
            </w:pPr>
            <w:r>
              <w:rPr>
                <w:rFonts w:cs=""/>
                <w:kern w:val="0"/>
                <w:szCs w:val="22"/>
                <w:lang w:val="en-US" w:eastAsia="en-US" w:bidi="ar-SA"/>
              </w:rPr>
            </w:r>
          </w:p>
        </w:tc>
        <w:tc>
          <w:tcPr>
            <w:tcW w:w="4523"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Deep hypothermia (≤22 °C)</w:t>
            </w:r>
          </w:p>
        </w:tc>
        <w:tc>
          <w:tcPr>
            <w:tcW w:w="2230"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1.35 (0.33-5.43)</w:t>
            </w:r>
          </w:p>
        </w:tc>
        <w:tc>
          <w:tcPr>
            <w:tcW w:w="938"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0.67</w:t>
            </w:r>
          </w:p>
        </w:tc>
      </w:tr>
      <w:tr>
        <w:trPr>
          <w:cantSplit/>
        </w:trPr>
        <w:tc>
          <w:tcPr>
            <w:tcW w:w="1525" w:type="dxa"/>
            <w:vMerge w:val="continue"/>
            <w:tcBorders/>
            <w:vAlign w:val="center"/>
          </w:tcPr>
          <w:p>
            <w:pPr>
              <w:pStyle w:val="Normal"/>
              <w:widowControl/>
              <w:suppressAutoHyphens w:val="true"/>
              <w:spacing w:before="0" w:after="0"/>
              <w:jc w:val="start"/>
              <w:rPr>
                <w:rFonts w:ascii="Times New Roman" w:hAnsi="Times New Roman" w:cs=""/>
                <w:kern w:val="0"/>
                <w:szCs w:val="22"/>
                <w:lang w:val="en-US" w:eastAsia="en-US" w:bidi="ar-SA"/>
              </w:rPr>
            </w:pPr>
            <w:r>
              <w:rPr>
                <w:rFonts w:cs=""/>
                <w:kern w:val="0"/>
                <w:szCs w:val="22"/>
                <w:lang w:val="en-US" w:eastAsia="en-US" w:bidi="ar-SA"/>
              </w:rPr>
            </w:r>
          </w:p>
        </w:tc>
        <w:tc>
          <w:tcPr>
            <w:tcW w:w="4523"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High VIS (&gt;15)</w:t>
            </w:r>
          </w:p>
        </w:tc>
        <w:tc>
          <w:tcPr>
            <w:tcW w:w="2230"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1.80 (0.71-4.63)</w:t>
            </w:r>
          </w:p>
        </w:tc>
        <w:tc>
          <w:tcPr>
            <w:tcW w:w="938"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0.21</w:t>
            </w:r>
          </w:p>
        </w:tc>
      </w:tr>
      <w:tr>
        <w:trPr>
          <w:cantSplit/>
        </w:trPr>
        <w:tc>
          <w:tcPr>
            <w:tcW w:w="1525" w:type="dxa"/>
            <w:vMerge w:val="continue"/>
            <w:tcBorders/>
            <w:vAlign w:val="center"/>
          </w:tcPr>
          <w:p>
            <w:pPr>
              <w:pStyle w:val="Normal"/>
              <w:widowControl/>
              <w:suppressAutoHyphens w:val="true"/>
              <w:spacing w:before="0" w:after="0"/>
              <w:jc w:val="start"/>
              <w:rPr>
                <w:rFonts w:ascii="Times New Roman" w:hAnsi="Times New Roman" w:cs=""/>
                <w:kern w:val="0"/>
                <w:szCs w:val="22"/>
                <w:lang w:val="en-US" w:eastAsia="en-US" w:bidi="ar-SA"/>
              </w:rPr>
            </w:pPr>
            <w:r>
              <w:rPr>
                <w:rFonts w:cs=""/>
                <w:kern w:val="0"/>
                <w:szCs w:val="22"/>
                <w:lang w:val="en-US" w:eastAsia="en-US" w:bidi="ar-SA"/>
              </w:rPr>
            </w:r>
          </w:p>
        </w:tc>
        <w:tc>
          <w:tcPr>
            <w:tcW w:w="4523"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Perioperative exposure: aminoglycoside, vancomycin, or NSAID (any)</w:t>
            </w:r>
          </w:p>
        </w:tc>
        <w:tc>
          <w:tcPr>
            <w:tcW w:w="2230"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0.91 (0.42-2.01)</w:t>
            </w:r>
          </w:p>
        </w:tc>
        <w:tc>
          <w:tcPr>
            <w:tcW w:w="938"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0.82</w:t>
            </w:r>
          </w:p>
        </w:tc>
      </w:tr>
      <w:tr>
        <w:trPr>
          <w:cantSplit/>
        </w:trPr>
        <w:tc>
          <w:tcPr>
            <w:tcW w:w="1525" w:type="dxa"/>
            <w:vMerge w:val="restart"/>
            <w:tcBorders/>
            <w:vAlign w:val="center"/>
          </w:tcPr>
          <w:p>
            <w:pPr>
              <w:pStyle w:val="Normal"/>
              <w:widowControl/>
              <w:suppressAutoHyphens w:val="true"/>
              <w:spacing w:lineRule="auto" w:line="240" w:before="0" w:after="0"/>
              <w:jc w:val="start"/>
              <w:rPr>
                <w:rFonts w:ascii="Times New Roman" w:hAnsi="Times New Roman" w:cs=""/>
                <w:kern w:val="0"/>
                <w:szCs w:val="22"/>
                <w:lang w:val="en-US" w:eastAsia="en-US" w:bidi="ar-SA"/>
              </w:rPr>
            </w:pPr>
            <w:r>
              <w:rPr>
                <w:rFonts w:cs=""/>
                <w:kern w:val="0"/>
                <w:sz w:val="18"/>
                <w:szCs w:val="22"/>
                <w:lang w:val="en-US" w:eastAsia="en-US" w:bidi="ar-SA"/>
              </w:rPr>
              <w:t>Persistent CS-AKI</w:t>
              <w:br/>
              <w:t>(events = 29)</w:t>
            </w:r>
          </w:p>
        </w:tc>
        <w:tc>
          <w:tcPr>
            <w:tcW w:w="4523"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Age (per month)</w:t>
            </w:r>
          </w:p>
        </w:tc>
        <w:tc>
          <w:tcPr>
            <w:tcW w:w="2230"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0.99 (0.97-1.00)</w:t>
            </w:r>
          </w:p>
        </w:tc>
        <w:tc>
          <w:tcPr>
            <w:tcW w:w="938"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0.010</w:t>
            </w:r>
          </w:p>
        </w:tc>
      </w:tr>
      <w:tr>
        <w:trPr>
          <w:cantSplit/>
        </w:trPr>
        <w:tc>
          <w:tcPr>
            <w:tcW w:w="1525" w:type="dxa"/>
            <w:vMerge w:val="continue"/>
            <w:tcBorders/>
            <w:vAlign w:val="center"/>
          </w:tcPr>
          <w:p>
            <w:pPr>
              <w:pStyle w:val="Normal"/>
              <w:widowControl/>
              <w:suppressAutoHyphens w:val="true"/>
              <w:spacing w:before="0" w:after="0"/>
              <w:jc w:val="both"/>
              <w:rPr>
                <w:rFonts w:ascii="Times New Roman" w:hAnsi="Times New Roman" w:cs=""/>
                <w:kern w:val="0"/>
                <w:szCs w:val="22"/>
                <w:lang w:val="en-US" w:eastAsia="en-US" w:bidi="ar-SA"/>
              </w:rPr>
            </w:pPr>
            <w:r>
              <w:rPr>
                <w:rFonts w:cs=""/>
                <w:kern w:val="0"/>
                <w:szCs w:val="22"/>
                <w:lang w:val="en-US" w:eastAsia="en-US" w:bidi="ar-SA"/>
              </w:rPr>
            </w:r>
          </w:p>
        </w:tc>
        <w:tc>
          <w:tcPr>
            <w:tcW w:w="4523"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Single-ventricle physiology</w:t>
            </w:r>
          </w:p>
        </w:tc>
        <w:tc>
          <w:tcPr>
            <w:tcW w:w="2230"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1.47 (0.43-4.86)</w:t>
            </w:r>
          </w:p>
        </w:tc>
        <w:tc>
          <w:tcPr>
            <w:tcW w:w="938"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0.53</w:t>
            </w:r>
          </w:p>
        </w:tc>
      </w:tr>
      <w:tr>
        <w:trPr>
          <w:cantSplit/>
        </w:trPr>
        <w:tc>
          <w:tcPr>
            <w:tcW w:w="1525" w:type="dxa"/>
            <w:vMerge w:val="continue"/>
            <w:tcBorders/>
            <w:vAlign w:val="center"/>
          </w:tcPr>
          <w:p>
            <w:pPr>
              <w:pStyle w:val="Normal"/>
              <w:widowControl/>
              <w:suppressAutoHyphens w:val="true"/>
              <w:spacing w:before="0" w:after="0"/>
              <w:jc w:val="both"/>
              <w:rPr>
                <w:rFonts w:ascii="Times New Roman" w:hAnsi="Times New Roman" w:cs=""/>
                <w:kern w:val="0"/>
                <w:szCs w:val="22"/>
                <w:lang w:val="en-US" w:eastAsia="en-US" w:bidi="ar-SA"/>
              </w:rPr>
            </w:pPr>
            <w:r>
              <w:rPr>
                <w:rFonts w:cs=""/>
                <w:kern w:val="0"/>
                <w:szCs w:val="22"/>
                <w:lang w:val="en-US" w:eastAsia="en-US" w:bidi="ar-SA"/>
              </w:rPr>
            </w:r>
          </w:p>
        </w:tc>
        <w:tc>
          <w:tcPr>
            <w:tcW w:w="4523"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STAT category 4-5</w:t>
            </w:r>
          </w:p>
        </w:tc>
        <w:tc>
          <w:tcPr>
            <w:tcW w:w="2230"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3.42 (1.09-11.1)</w:t>
            </w:r>
          </w:p>
        </w:tc>
        <w:tc>
          <w:tcPr>
            <w:tcW w:w="938"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0.035</w:t>
            </w:r>
          </w:p>
        </w:tc>
      </w:tr>
      <w:tr>
        <w:trPr>
          <w:cantSplit/>
        </w:trPr>
        <w:tc>
          <w:tcPr>
            <w:tcW w:w="1525" w:type="dxa"/>
            <w:vMerge w:val="continue"/>
            <w:tcBorders/>
            <w:vAlign w:val="center"/>
          </w:tcPr>
          <w:p>
            <w:pPr>
              <w:pStyle w:val="Normal"/>
              <w:widowControl/>
              <w:suppressAutoHyphens w:val="true"/>
              <w:spacing w:before="0" w:after="0"/>
              <w:jc w:val="both"/>
              <w:rPr>
                <w:rFonts w:ascii="Times New Roman" w:hAnsi="Times New Roman" w:cs=""/>
                <w:kern w:val="0"/>
                <w:szCs w:val="22"/>
                <w:lang w:val="en-US" w:eastAsia="en-US" w:bidi="ar-SA"/>
              </w:rPr>
            </w:pPr>
            <w:r>
              <w:rPr>
                <w:rFonts w:cs=""/>
                <w:kern w:val="0"/>
                <w:szCs w:val="22"/>
                <w:lang w:val="en-US" w:eastAsia="en-US" w:bidi="ar-SA"/>
              </w:rPr>
            </w:r>
          </w:p>
        </w:tc>
        <w:tc>
          <w:tcPr>
            <w:tcW w:w="4523"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VIS &gt;15</w:t>
            </w:r>
          </w:p>
        </w:tc>
        <w:tc>
          <w:tcPr>
            <w:tcW w:w="2230"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4.37 (1.38-13.8)</w:t>
            </w:r>
          </w:p>
        </w:tc>
        <w:tc>
          <w:tcPr>
            <w:tcW w:w="938"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0.013</w:t>
            </w:r>
          </w:p>
        </w:tc>
      </w:tr>
      <w:tr>
        <w:trPr>
          <w:cantSplit/>
        </w:trPr>
        <w:tc>
          <w:tcPr>
            <w:tcW w:w="1525" w:type="dxa"/>
            <w:vMerge w:val="continue"/>
            <w:tcBorders/>
            <w:vAlign w:val="center"/>
          </w:tcPr>
          <w:p>
            <w:pPr>
              <w:pStyle w:val="Normal"/>
              <w:widowControl/>
              <w:suppressAutoHyphens w:val="true"/>
              <w:spacing w:before="0" w:after="0"/>
              <w:jc w:val="both"/>
              <w:rPr>
                <w:rFonts w:ascii="Times New Roman" w:hAnsi="Times New Roman" w:cs=""/>
                <w:kern w:val="0"/>
                <w:szCs w:val="22"/>
                <w:lang w:val="en-US" w:eastAsia="en-US" w:bidi="ar-SA"/>
              </w:rPr>
            </w:pPr>
            <w:r>
              <w:rPr>
                <w:rFonts w:cs=""/>
                <w:kern w:val="0"/>
                <w:szCs w:val="22"/>
                <w:lang w:val="en-US" w:eastAsia="en-US" w:bidi="ar-SA"/>
              </w:rPr>
            </w:r>
          </w:p>
        </w:tc>
        <w:tc>
          <w:tcPr>
            <w:tcW w:w="4523" w:type="dxa"/>
            <w:tcBorders/>
            <w:vAlign w:val="center"/>
          </w:tcPr>
          <w:p>
            <w:pPr>
              <w:pStyle w:val="Normal"/>
              <w:widowControl/>
              <w:suppressAutoHyphens w:val="true"/>
              <w:spacing w:before="0" w:after="0"/>
              <w:jc w:val="start"/>
              <w:rPr>
                <w:rFonts w:ascii="Times New Roman" w:hAnsi="Times New Roman" w:cs=""/>
                <w:kern w:val="0"/>
                <w:szCs w:val="22"/>
                <w:lang w:val="en-US" w:eastAsia="en-US" w:bidi="ar-SA"/>
              </w:rPr>
            </w:pPr>
            <w:r>
              <w:rPr>
                <w:rFonts w:cs=""/>
                <w:kern w:val="0"/>
                <w:sz w:val="18"/>
                <w:szCs w:val="22"/>
                <w:lang w:val="en-US" w:eastAsia="en-US" w:bidi="ar-SA"/>
              </w:rPr>
              <w:t>POD0 fluid accumulation (per percentage point)</w:t>
            </w:r>
          </w:p>
        </w:tc>
        <w:tc>
          <w:tcPr>
            <w:tcW w:w="2230"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1.42 (1.21-1.72)</w:t>
            </w:r>
          </w:p>
        </w:tc>
        <w:tc>
          <w:tcPr>
            <w:tcW w:w="938" w:type="dxa"/>
            <w:tcBorders/>
            <w:vAlign w:val="center"/>
          </w:tcPr>
          <w:p>
            <w:pPr>
              <w:pStyle w:val="Normal"/>
              <w:widowControl/>
              <w:suppressAutoHyphens w:val="true"/>
              <w:spacing w:lineRule="auto" w:line="240" w:before="0" w:after="0"/>
              <w:jc w:val="both"/>
              <w:rPr>
                <w:rFonts w:ascii="Times New Roman" w:hAnsi="Times New Roman" w:cs=""/>
                <w:kern w:val="0"/>
                <w:szCs w:val="22"/>
                <w:lang w:val="en-US" w:eastAsia="en-US" w:bidi="ar-SA"/>
              </w:rPr>
            </w:pPr>
            <w:r>
              <w:rPr>
                <w:rFonts w:cs=""/>
                <w:kern w:val="0"/>
                <w:sz w:val="18"/>
                <w:szCs w:val="22"/>
                <w:lang w:val="en-US" w:eastAsia="en-US" w:bidi="ar-SA"/>
              </w:rPr>
              <w:t>&lt;0.001</w:t>
            </w:r>
          </w:p>
        </w:tc>
      </w:tr>
    </w:tbl>
    <w:p>
      <w:pPr>
        <w:pStyle w:val="Normal"/>
        <w:spacing w:lineRule="auto" w:line="240"/>
        <w:jc w:val="both"/>
        <w:rPr>
          <w:rFonts w:ascii="Times New Roman" w:hAnsi="Times New Roman"/>
        </w:rPr>
      </w:pPr>
      <w:r>
        <w:rPr>
          <w:sz w:val="20"/>
        </w:rPr>
        <w:t>Variables included in the multivariable models were prespecified. The persistent CS-AKI model had 29 events and 5.8 events per variable and is exploratory. Perioperative medication exposure denotes receipt of at least one aminoglycoside, vancomycin, or NSAID from the day before surgery through POD6. In the any early CS-AKI model, aortic cross-clamp was entered as two terms: receipt (binary) and, among recipients, duration per 30 min centered at the recipient median (60 min); this model had 69 events and 8.6 events per variable. With duration centered at 60 min, the cross-clamp receipt coefficient compares a recipient with a 60-min cross-clamp duration with a nonrecipient, whereas the duration coefficient represents the within-recipient change per 30 min.</w:t>
      </w:r>
    </w:p>
    <w:sectPr>
      <w:headerReference w:type="even" r:id="rId5"/>
      <w:headerReference w:type="default" r:id="rId6"/>
      <w:headerReference w:type="first" r:id="rId7"/>
      <w:footerReference w:type="even" r:id="rId8"/>
      <w:footerReference w:type="default" r:id="rId9"/>
      <w:footerReference w:type="first" r:id="rId10"/>
      <w:type w:val="nextPage"/>
      <w:pgSz w:w="12240" w:h="15840"/>
      <w:pgMar w:left="1440" w:right="1440" w:gutter="0" w:header="720" w:top="1440" w:footer="720" w:bottom="1440"/>
      <w:lnNumType w:countBy="1" w:restart="continuous" w:distance="360" w:start="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Times New Roman">
    <w:charset w:val="01"/>
    <w:family w:val="roman"/>
    <w:pitch w:val="variable"/>
  </w:font>
  <w:font w:name="Calibri">
    <w:charset w:val="01"/>
    <w:family w:val="roman"/>
    <w:pitch w:val="variable"/>
  </w:font>
  <w:font w:name="Courier">
    <w:altName w:val="Courier New"/>
    <w:charset w:val="01"/>
    <w:family w:val="roman"/>
    <w:pitch w:val="variable"/>
  </w:font>
  <w:font w:name="Arial">
    <w:charset w:val="01"/>
    <w:family w:val="swiss"/>
    <w:pitch w:val="variable"/>
  </w:font>
  <w:font w:name="Segoe UI">
    <w:charset w:val="01"/>
    <w:family w:val="swiss"/>
    <w:pitch w:val="variable"/>
  </w:font>
  <w:font w:name="Liberation Sans">
    <w:altName w:val="Arial"/>
    <w:charset w:val="01"/>
    <w:family w:val="swiss"/>
    <w:pitch w:val="variable"/>
  </w:font>
  <w:font w:name="Symbol">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sz w:val="20"/>
      </w:rPr>
      <w:fldChar w:fldCharType="begin"/>
    </w:r>
    <w:r>
      <w:rPr>
        <w:sz w:val="20"/>
      </w:rPr>
      <w:instrText xml:space="preserve"> PAGE </w:instrText>
    </w:r>
    <w:r>
      <w:rPr>
        <w:sz w:val="20"/>
      </w:rPr>
      <w:fldChar w:fldCharType="separate"/>
    </w:r>
    <w:r>
      <w:rPr>
        <w:sz w:val="20"/>
      </w:rPr>
      <w:t>28</w:t>
    </w:r>
    <w:r>
      <w:rPr>
        <w:sz w:val="20"/>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sz w:val="20"/>
      </w:rPr>
      <w:fldChar w:fldCharType="begin"/>
    </w:r>
    <w:r>
      <w:rPr>
        <w:sz w:val="20"/>
      </w:rPr>
      <w:instrText xml:space="preserve"> PAGE </w:instrText>
    </w:r>
    <w:r>
      <w:rPr>
        <w:sz w:val="20"/>
      </w:rPr>
      <w:fldChar w:fldCharType="separate"/>
    </w:r>
    <w:r>
      <w:rPr>
        <w:sz w:val="20"/>
      </w:rPr>
      <w:t>28</w:t>
    </w:r>
    <w:r>
      <w:rPr>
        <w:sz w:val="20"/>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c693f"/>
    <w:pPr>
      <w:widowControl/>
      <w:suppressAutoHyphens w:val="true"/>
      <w:bidi w:val="0"/>
      <w:spacing w:lineRule="auto" w:line="480" w:before="0" w:after="0"/>
      <w:jc w:val="start"/>
    </w:pPr>
    <w:rPr>
      <w:rFonts w:ascii="Times New Roman" w:hAnsi="Times New Roman" w:eastAsia="Times New Roman" w:cs="" w:cstheme="minorBidi"/>
      <w:color w:val="auto"/>
      <w:kern w:val="0"/>
      <w:sz w:val="24"/>
      <w:szCs w:val="22"/>
      <w:lang w:val="en-US" w:eastAsia="en-US" w:bidi="ar-SA"/>
    </w:rPr>
  </w:style>
  <w:style w:type="paragraph" w:styleId="Heading1">
    <w:name w:val="heading 1"/>
    <w:basedOn w:val="Normal"/>
    <w:next w:val="Normal"/>
    <w:link w:val="Balk1Char"/>
    <w:uiPriority w:val="9"/>
    <w:qFormat/>
    <w:rsid w:val="00fc693f"/>
    <w:pPr>
      <w:keepNext w:val="true"/>
      <w:keepLines/>
      <w:spacing w:before="120" w:after="0"/>
      <w:outlineLvl w:val="0"/>
    </w:pPr>
    <w:rPr>
      <w:rFonts w:ascii="Calibri" w:hAnsi="Calibri" w:eastAsia="ＭＳ ゴシック" w:cs="" w:asciiTheme="majorHAnsi" w:cstheme="majorBidi" w:eastAsiaTheme="majorEastAsia" w:hAnsiTheme="majorHAnsi"/>
      <w:b/>
      <w:bCs/>
      <w:color w:val="000000"/>
      <w:szCs w:val="28"/>
    </w:rPr>
  </w:style>
  <w:style w:type="paragraph" w:styleId="Heading2">
    <w:name w:val="heading 2"/>
    <w:basedOn w:val="Normal"/>
    <w:next w:val="Normal"/>
    <w:link w:val="Balk2Char"/>
    <w:uiPriority w:val="9"/>
    <w:unhideWhenUsed/>
    <w:qFormat/>
    <w:rsid w:val="00fc693f"/>
    <w:pPr>
      <w:keepNext w:val="true"/>
      <w:keepLines/>
      <w:spacing w:before="120" w:after="0"/>
      <w:outlineLvl w:val="1"/>
    </w:pPr>
    <w:rPr>
      <w:rFonts w:ascii="Calibri" w:hAnsi="Calibri" w:eastAsia="ＭＳ ゴシック" w:cs="" w:asciiTheme="majorHAnsi" w:cstheme="majorBidi" w:eastAsiaTheme="majorEastAsia" w:hAnsiTheme="majorHAnsi"/>
      <w:b/>
      <w:bCs/>
      <w:color w:val="000000"/>
      <w:szCs w:val="26"/>
    </w:rPr>
  </w:style>
  <w:style w:type="paragraph" w:styleId="Heading3">
    <w:name w:val="heading 3"/>
    <w:basedOn w:val="Normal"/>
    <w:next w:val="Normal"/>
    <w:link w:val="Balk3Char"/>
    <w:uiPriority w:val="9"/>
    <w:unhideWhenUsed/>
    <w:qFormat/>
    <w:rsid w:val="00fc693f"/>
    <w:pPr>
      <w:keepNext w:val="true"/>
      <w:keepLines/>
      <w:spacing w:before="240" w:after="120"/>
      <w:outlineLvl w:val="2"/>
    </w:pPr>
    <w:rPr>
      <w:rFonts w:ascii="Calibri" w:hAnsi="Calibri" w:eastAsia="ＭＳ ゴシック" w:cs="" w:asciiTheme="majorHAnsi" w:cstheme="majorBidi" w:eastAsiaTheme="majorEastAsia" w:hAnsiTheme="majorHAnsi"/>
      <w:b/>
      <w:bCs/>
      <w:color w:val="000000"/>
    </w:rPr>
  </w:style>
  <w:style w:type="paragraph" w:styleId="Heading4">
    <w:name w:val="heading 4"/>
    <w:basedOn w:val="Normal"/>
    <w:next w:val="Normal"/>
    <w:link w:val="Balk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Balk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Balk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Balk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Balk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Cs w:val="20"/>
    </w:rPr>
  </w:style>
  <w:style w:type="paragraph" w:styleId="Heading9">
    <w:name w:val="heading 9"/>
    <w:basedOn w:val="Normal"/>
    <w:next w:val="Normal"/>
    <w:link w:val="Balk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Cs w:val="20"/>
    </w:rPr>
  </w:style>
  <w:style w:type="character" w:styleId="DefaultParagraphFont" w:default="1">
    <w:name w:val="Default Paragraph Font"/>
    <w:uiPriority w:val="1"/>
    <w:semiHidden/>
    <w:unhideWhenUsed/>
    <w:rPr/>
  </w:style>
  <w:style w:type="character" w:styleId="stBilgiChar" w:customStyle="1">
    <w:name w:val="Üst Bilgi Char"/>
    <w:basedOn w:val="DefaultParagraphFont"/>
    <w:link w:val="Header"/>
    <w:uiPriority w:val="99"/>
    <w:rsid w:val="00e618bf"/>
    <w:rPr/>
  </w:style>
  <w:style w:type="character" w:styleId="AltBilgiChar" w:customStyle="1">
    <w:name w:val="Alt Bilgi Char"/>
    <w:basedOn w:val="DefaultParagraphFont"/>
    <w:link w:val="Footer"/>
    <w:uiPriority w:val="99"/>
    <w:rsid w:val="00e618bf"/>
    <w:rPr/>
  </w:style>
  <w:style w:type="character" w:styleId="Balk1Char" w:customStyle="1">
    <w:name w:val="Başlık 1 Char"/>
    <w:basedOn w:val="DefaultParagraphFont"/>
    <w:link w:val="Heading1"/>
    <w:uiPriority w:val="9"/>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Balk2Char" w:customStyle="1">
    <w:name w:val="Başlık 2 Char"/>
    <w:basedOn w:val="DefaultParagraphFont"/>
    <w:link w:val="Heading2"/>
    <w:uiPriority w:val="9"/>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Balk3Char" w:customStyle="1">
    <w:name w:val="Başlık 3 Char"/>
    <w:basedOn w:val="DefaultParagraphFont"/>
    <w:link w:val="Heading3"/>
    <w:uiPriority w:val="9"/>
    <w:rsid w:val="00fc693f"/>
    <w:rPr>
      <w:rFonts w:ascii="Calibri" w:hAnsi="Calibri" w:eastAsia="ＭＳ ゴシック" w:cs="" w:asciiTheme="majorHAnsi" w:cstheme="majorBidi" w:eastAsiaTheme="majorEastAsia" w:hAnsiTheme="majorHAnsi"/>
      <w:b/>
      <w:bCs/>
      <w:color w:themeColor="accent1" w:val="4F81BD"/>
    </w:rPr>
  </w:style>
  <w:style w:type="character" w:styleId="KonuBalChar" w:customStyle="1">
    <w:name w:val="Konu Başlığı Char"/>
    <w:basedOn w:val="DefaultParagraphFont"/>
    <w:link w:val="Title"/>
    <w:uiPriority w:val="10"/>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AltyazChar" w:customStyle="1">
    <w:name w:val="Altyazı Char"/>
    <w:basedOn w:val="DefaultParagraphFont"/>
    <w:link w:val="Subtitle"/>
    <w:uiPriority w:val="11"/>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GvdeMetniChar" w:customStyle="1">
    <w:name w:val="Gövde Metni Char"/>
    <w:basedOn w:val="DefaultParagraphFont"/>
    <w:uiPriority w:val="99"/>
    <w:rsid w:val="00aa1d8d"/>
    <w:rPr/>
  </w:style>
  <w:style w:type="character" w:styleId="GvdeMetni2Char" w:customStyle="1">
    <w:name w:val="Gövde Metni 2 Char"/>
    <w:basedOn w:val="DefaultParagraphFont"/>
    <w:link w:val="BodyText2"/>
    <w:uiPriority w:val="99"/>
    <w:rsid w:val="00aa1d8d"/>
    <w:rPr/>
  </w:style>
  <w:style w:type="character" w:styleId="GvdeMetni3Char" w:customStyle="1">
    <w:name w:val="Gövde Metni 3 Char"/>
    <w:basedOn w:val="DefaultParagraphFont"/>
    <w:link w:val="BodyText3"/>
    <w:uiPriority w:val="99"/>
    <w:rsid w:val="00aa1d8d"/>
    <w:rPr>
      <w:sz w:val="16"/>
      <w:szCs w:val="16"/>
    </w:rPr>
  </w:style>
  <w:style w:type="character" w:styleId="MakroMetniChar" w:customStyle="1">
    <w:name w:val="Makro Metni Char"/>
    <w:basedOn w:val="DefaultParagraphFont"/>
    <w:link w:val="MacroText"/>
    <w:uiPriority w:val="99"/>
    <w:rsid w:val="0029639d"/>
    <w:rPr>
      <w:rFonts w:ascii="Courier" w:hAnsi="Courier"/>
      <w:sz w:val="20"/>
      <w:szCs w:val="20"/>
    </w:rPr>
  </w:style>
  <w:style w:type="character" w:styleId="AlntChar" w:customStyle="1">
    <w:name w:val="Alıntı Char"/>
    <w:basedOn w:val="DefaultParagraphFont"/>
    <w:link w:val="Quote"/>
    <w:uiPriority w:val="29"/>
    <w:rsid w:val="00fc693f"/>
    <w:rPr>
      <w:i/>
      <w:iCs/>
      <w:color w:themeColor="text1" w:val="000000"/>
    </w:rPr>
  </w:style>
  <w:style w:type="character" w:styleId="Balk4Char" w:customStyle="1">
    <w:name w:val="Başlık 4 Char"/>
    <w:basedOn w:val="DefaultParagraphFont"/>
    <w:link w:val="Heading4"/>
    <w:uiPriority w:val="9"/>
    <w:semiHidden/>
    <w:rsid w:val="00fc693f"/>
    <w:rPr>
      <w:rFonts w:ascii="Calibri" w:hAnsi="Calibri" w:eastAsia="ＭＳ ゴシック" w:cs="" w:asciiTheme="majorHAnsi" w:cstheme="majorBidi" w:eastAsiaTheme="majorEastAsia" w:hAnsiTheme="majorHAnsi"/>
      <w:b/>
      <w:bCs/>
      <w:i/>
      <w:iCs/>
      <w:color w:themeColor="accent1" w:val="4F81BD"/>
    </w:rPr>
  </w:style>
  <w:style w:type="character" w:styleId="Balk5Char" w:customStyle="1">
    <w:name w:val="Başlık 5 Char"/>
    <w:basedOn w:val="DefaultParagraphFont"/>
    <w:link w:val="Heading5"/>
    <w:uiPriority w:val="9"/>
    <w:semiHidden/>
    <w:rsid w:val="00fc693f"/>
    <w:rPr>
      <w:rFonts w:ascii="Calibri" w:hAnsi="Calibri" w:eastAsia="ＭＳ ゴシック" w:cs="" w:asciiTheme="majorHAnsi" w:cstheme="majorBidi" w:eastAsiaTheme="majorEastAsia" w:hAnsiTheme="majorHAnsi"/>
      <w:color w:themeColor="accent1" w:themeShade="7f" w:val="243F60"/>
    </w:rPr>
  </w:style>
  <w:style w:type="character" w:styleId="Balk6Char" w:customStyle="1">
    <w:name w:val="Başlık 6 Char"/>
    <w:basedOn w:val="DefaultParagraphFont"/>
    <w:link w:val="Heading6"/>
    <w:uiPriority w:val="9"/>
    <w:semiHidden/>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Balk7Char" w:customStyle="1">
    <w:name w:val="Başlık 7 Char"/>
    <w:basedOn w:val="DefaultParagraphFont"/>
    <w:link w:val="Heading7"/>
    <w:uiPriority w:val="9"/>
    <w:semiHidden/>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Balk8Char" w:customStyle="1">
    <w:name w:val="Başlık 8 Char"/>
    <w:basedOn w:val="DefaultParagraphFont"/>
    <w:link w:val="Heading8"/>
    <w:uiPriority w:val="9"/>
    <w:semiHidden/>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Balk9Char" w:customStyle="1">
    <w:name w:val="Başlık 9 Char"/>
    <w:basedOn w:val="DefaultParagraphFont"/>
    <w:link w:val="Heading9"/>
    <w:uiPriority w:val="9"/>
    <w:semiHidden/>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GlAlntChar" w:customStyle="1">
    <w:name w:val="Güçlü Alıntı Char"/>
    <w:basedOn w:val="DefaultParagraphFont"/>
    <w:link w:val="IntenseQuote"/>
    <w:uiPriority w:val="30"/>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CommentReference">
    <w:name w:val="annotation reference"/>
    <w:basedOn w:val="DefaultParagraphFont"/>
    <w:uiPriority w:val="99"/>
    <w:semiHidden/>
    <w:unhideWhenUsed/>
    <w:rsid w:val="00ae2afe"/>
    <w:rPr>
      <w:sz w:val="16"/>
      <w:szCs w:val="16"/>
    </w:rPr>
  </w:style>
  <w:style w:type="character" w:styleId="AklamaMetniChar" w:customStyle="1">
    <w:name w:val="Açıklama Metni Char"/>
    <w:basedOn w:val="DefaultParagraphFont"/>
    <w:link w:val="CommentText"/>
    <w:uiPriority w:val="99"/>
    <w:semiHidden/>
    <w:rsid w:val="00ae2afe"/>
    <w:rPr>
      <w:rFonts w:ascii="Arial" w:hAnsi="Arial"/>
      <w:sz w:val="20"/>
      <w:szCs w:val="20"/>
    </w:rPr>
  </w:style>
  <w:style w:type="character" w:styleId="AklamaKonusuChar" w:customStyle="1">
    <w:name w:val="Açıklama Konusu Char"/>
    <w:basedOn w:val="AklamaMetniChar"/>
    <w:link w:val="annotationsubject"/>
    <w:uiPriority w:val="99"/>
    <w:semiHidden/>
    <w:rsid w:val="00ae2afe"/>
    <w:rPr>
      <w:rFonts w:ascii="Arial" w:hAnsi="Arial"/>
      <w:b/>
      <w:bCs/>
      <w:sz w:val="20"/>
      <w:szCs w:val="20"/>
    </w:rPr>
  </w:style>
  <w:style w:type="character" w:styleId="BalonMetniChar" w:customStyle="1">
    <w:name w:val="Balon Metni Char"/>
    <w:basedOn w:val="DefaultParagraphFont"/>
    <w:link w:val="BalloonText"/>
    <w:uiPriority w:val="99"/>
    <w:semiHidden/>
    <w:rsid w:val="00ae2afe"/>
    <w:rPr>
      <w:rFonts w:ascii="Segoe UI" w:hAnsi="Segoe UI" w:cs="Segoe UI"/>
      <w:sz w:val="18"/>
      <w:szCs w:val="18"/>
    </w:rPr>
  </w:style>
  <w:style w:type="character" w:styleId="LineNumber">
    <w:name w:val="line number"/>
    <w:basedOn w:val="DefaultParagraphFont"/>
    <w:uiPriority w:val="99"/>
    <w:semiHidden/>
    <w:unhideWhenUsed/>
    <w:rsid w:val="00ce5e13"/>
    <w:rPr/>
  </w:style>
  <w:style w:type="paragraph" w:styleId="Heading">
    <w:name w:val="Heading"/>
    <w:basedOn w:val="Normal"/>
    <w:next w:val="BodyTex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GvdeMetniChar"/>
    <w:uiPriority w:val="99"/>
    <w:unhideWhenUsed/>
    <w:rsid w:val="00aa1d8d"/>
    <w:pPr/>
    <w:rPr/>
  </w:style>
  <w:style w:type="paragraph" w:styleId="List">
    <w:name w:val="List"/>
    <w:basedOn w:val="Normal"/>
    <w:uiPriority w:val="99"/>
    <w:unhideWhenUsed/>
    <w:rsid w:val="00aa1d8d"/>
    <w:pPr>
      <w:spacing w:before="0" w:after="0"/>
      <w:ind w:hanging="360" w:start="360"/>
      <w:contextualSpacing/>
    </w:pPr>
    <w:rPr/>
  </w:style>
  <w:style w:type="paragraph" w:styleId="Caption">
    <w:name w:val="caption"/>
    <w:basedOn w:val="Normal"/>
    <w:next w:val="Normal"/>
    <w:uiPriority w:val="35"/>
    <w:semiHidden/>
    <w:unhideWhenUsed/>
    <w:qFormat/>
    <w:rsid w:val="00fc693f"/>
    <w:pPr>
      <w:spacing w:lineRule="auto" w:line="240" w:before="80" w:after="0"/>
    </w:pPr>
    <w:rPr>
      <w:b/>
      <w:bCs/>
      <w:color w:val="000000"/>
      <w:sz w:val="20"/>
      <w:szCs w:val="18"/>
    </w:rPr>
  </w:style>
  <w:style w:type="paragraph" w:styleId="Index">
    <w:name w:val="Index"/>
    <w:basedOn w:val="Normal"/>
    <w:pPr>
      <w:suppressLineNumbers/>
    </w:pPr>
    <w:rPr>
      <w:rFonts w:cs="Arial Unicode MS"/>
    </w:rPr>
  </w:style>
  <w:style w:type="paragraph" w:styleId="HeaderandFooter">
    <w:name w:val="Header and Footer"/>
    <w:basedOn w:val="Normal"/>
    <w:pPr/>
    <w:rPr/>
  </w:style>
  <w:style w:type="paragraph" w:styleId="Header">
    <w:name w:val="header"/>
    <w:basedOn w:val="Normal"/>
    <w:link w:val="stBilgiChar"/>
    <w:uiPriority w:val="99"/>
    <w:unhideWhenUsed/>
    <w:rsid w:val="00e618bf"/>
    <w:pPr>
      <w:suppressLineNumbers/>
      <w:tabs>
        <w:tab w:val="clear" w:pos="720"/>
        <w:tab w:val="center" w:pos="4680" w:leader="none"/>
        <w:tab w:val="right" w:pos="9360" w:leader="none"/>
      </w:tabs>
      <w:spacing w:lineRule="auto" w:line="240"/>
    </w:pPr>
    <w:rPr/>
  </w:style>
  <w:style w:type="paragraph" w:styleId="Footer">
    <w:name w:val="footer"/>
    <w:basedOn w:val="Normal"/>
    <w:link w:val="AltBilgiChar"/>
    <w:uiPriority w:val="99"/>
    <w:unhideWhenUsed/>
    <w:rsid w:val="00e618bf"/>
    <w:pPr>
      <w:suppressLineNumbers/>
      <w:tabs>
        <w:tab w:val="clear" w:pos="720"/>
        <w:tab w:val="center" w:pos="4680" w:leader="none"/>
        <w:tab w:val="right" w:pos="9360" w:leader="none"/>
      </w:tabs>
      <w:spacing w:lineRule="auto" w:line="24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KonuBalChar"/>
    <w:uiPriority w:val="10"/>
    <w:qFormat/>
    <w:rsid w:val="00fc693f"/>
    <w:pPr>
      <w:keepNext w:val="true"/>
      <w:spacing w:before="0" w:after="0"/>
      <w:contextualSpacing/>
    </w:pPr>
    <w:rPr>
      <w:rFonts w:ascii="Calibri" w:hAnsi="Calibri" w:eastAsia="ＭＳ ゴシック" w:cs="" w:asciiTheme="majorHAnsi" w:cstheme="majorBidi" w:eastAsiaTheme="majorEastAsia" w:hAnsiTheme="majorHAnsi"/>
      <w:b/>
      <w:color w:val="000000"/>
      <w:spacing w:val="5"/>
      <w:kern w:val="2"/>
      <w:szCs w:val="52"/>
    </w:rPr>
  </w:style>
  <w:style w:type="paragraph" w:styleId="Subtitle">
    <w:name w:val="Subtitle"/>
    <w:basedOn w:val="Normal"/>
    <w:next w:val="Normal"/>
    <w:link w:val="Altyaz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Cs w:val="24"/>
    </w:rPr>
  </w:style>
  <w:style w:type="paragraph" w:styleId="ListParagraph">
    <w:name w:val="List Paragraph"/>
    <w:basedOn w:val="Normal"/>
    <w:uiPriority w:val="34"/>
    <w:qFormat/>
    <w:rsid w:val="00fc693f"/>
    <w:pPr>
      <w:spacing w:before="0" w:after="0"/>
      <w:ind w:start="720"/>
      <w:contextualSpacing/>
    </w:pPr>
    <w:rPr/>
  </w:style>
  <w:style w:type="paragraph" w:styleId="BodyText2">
    <w:name w:val="Body Text 2"/>
    <w:basedOn w:val="Normal"/>
    <w:link w:val="GvdeMetni2Char"/>
    <w:uiPriority w:val="99"/>
    <w:unhideWhenUsed/>
    <w:rsid w:val="00aa1d8d"/>
    <w:pPr>
      <w:spacing w:before="0" w:after="120"/>
    </w:pPr>
    <w:rPr/>
  </w:style>
  <w:style w:type="paragraph" w:styleId="BodyText3">
    <w:name w:val="Body Text 3"/>
    <w:basedOn w:val="Normal"/>
    <w:link w:val="GvdeMetni3Char"/>
    <w:uiPriority w:val="99"/>
    <w:unhideWhenUsed/>
    <w:rsid w:val="00aa1d8d"/>
    <w:pPr>
      <w:spacing w:before="0" w:after="120"/>
    </w:pPr>
    <w:rPr>
      <w:sz w:val="16"/>
      <w:szCs w:val="16"/>
    </w:rPr>
  </w:style>
  <w:style w:type="paragraph" w:styleId="List2">
    <w:name w:val="List 2"/>
    <w:basedOn w:val="Normal"/>
    <w:uiPriority w:val="99"/>
    <w:unhideWhenUsed/>
    <w:rsid w:val="00326f90"/>
    <w:pPr>
      <w:spacing w:before="0" w:after="0"/>
      <w:ind w:hanging="360" w:start="720"/>
      <w:contextualSpacing/>
    </w:pPr>
    <w:rPr/>
  </w:style>
  <w:style w:type="paragraph" w:styleId="List3">
    <w:name w:val="List 3"/>
    <w:basedOn w:val="Normal"/>
    <w:uiPriority w:val="99"/>
    <w:unhideWhenUsed/>
    <w:rsid w:val="00326f90"/>
    <w:pPr>
      <w:spacing w:before="0" w:after="0"/>
      <w:ind w:hanging="360" w:start="1080"/>
      <w:contextualSpacing/>
    </w:pPr>
    <w:rPr/>
  </w:style>
  <w:style w:type="paragraph" w:styleId="ListBullet">
    <w:name w:val="List Bullet"/>
    <w:basedOn w:val="Normal"/>
    <w:uiPriority w:val="99"/>
    <w:unhideWhenUsed/>
    <w:rsid w:val="00326f90"/>
    <w:pPr>
      <w:numPr>
        <w:ilvl w:val="0"/>
        <w:numId w:val="1"/>
      </w:numPr>
      <w:spacing w:before="0" w:after="0"/>
      <w:contextualSpacing/>
    </w:pPr>
    <w:rPr/>
  </w:style>
  <w:style w:type="paragraph" w:styleId="ListBullet2">
    <w:name w:val="List Bullet 2"/>
    <w:basedOn w:val="Normal"/>
    <w:uiPriority w:val="99"/>
    <w:unhideWhenUsed/>
    <w:rsid w:val="00326f90"/>
    <w:pPr>
      <w:numPr>
        <w:ilvl w:val="0"/>
        <w:numId w:val="2"/>
      </w:numPr>
      <w:spacing w:before="0" w:after="0"/>
      <w:contextualSpacing/>
    </w:pPr>
    <w:rPr/>
  </w:style>
  <w:style w:type="paragraph" w:styleId="ListBullet3">
    <w:name w:val="List Bullet 3"/>
    <w:basedOn w:val="Normal"/>
    <w:uiPriority w:val="99"/>
    <w:unhideWhenUsed/>
    <w:rsid w:val="00326f90"/>
    <w:pPr>
      <w:numPr>
        <w:ilvl w:val="0"/>
        <w:numId w:val="3"/>
      </w:numPr>
      <w:spacing w:before="0" w:after="0"/>
      <w:contextualSpacing/>
    </w:pPr>
    <w:rPr/>
  </w:style>
  <w:style w:type="paragraph" w:styleId="ListNumber">
    <w:name w:val="List Number"/>
    <w:basedOn w:val="Normal"/>
    <w:uiPriority w:val="99"/>
    <w:unhideWhenUsed/>
    <w:rsid w:val="00326f90"/>
    <w:pPr>
      <w:numPr>
        <w:ilvl w:val="0"/>
        <w:numId w:val="4"/>
      </w:numPr>
      <w:spacing w:before="0" w:after="0"/>
      <w:contextualSpacing/>
    </w:pPr>
    <w:rPr/>
  </w:style>
  <w:style w:type="paragraph" w:styleId="ListNumber2">
    <w:name w:val="List Number 2"/>
    <w:basedOn w:val="Normal"/>
    <w:uiPriority w:val="99"/>
    <w:unhideWhenUsed/>
    <w:rsid w:val="0029639d"/>
    <w:pPr>
      <w:numPr>
        <w:ilvl w:val="0"/>
        <w:numId w:val="5"/>
      </w:numPr>
      <w:spacing w:before="0" w:after="0"/>
      <w:contextualSpacing/>
    </w:pPr>
    <w:rPr/>
  </w:style>
  <w:style w:type="paragraph" w:styleId="ListNumber3">
    <w:name w:val="List Number 3"/>
    <w:basedOn w:val="Normal"/>
    <w:uiPriority w:val="99"/>
    <w:unhideWhenUsed/>
    <w:rsid w:val="0029639d"/>
    <w:pPr>
      <w:numPr>
        <w:ilvl w:val="0"/>
        <w:numId w:val="6"/>
      </w:numPr>
      <w:spacing w:before="0" w:after="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kroMetniChar"/>
    <w:uiPriority w:val="99"/>
    <w:unhideWhenUsed/>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AlntChar"/>
    <w:uiPriority w:val="29"/>
    <w:qFormat/>
    <w:rsid w:val="00fc693f"/>
    <w:pPr/>
    <w:rPr>
      <w:i/>
      <w:iCs/>
      <w:color w:themeColor="text1" w:val="000000"/>
    </w:rPr>
  </w:style>
  <w:style w:type="paragraph" w:styleId="IntenseQuote">
    <w:name w:val="Intense Quote"/>
    <w:basedOn w:val="Normal"/>
    <w:next w:val="Normal"/>
    <w:link w:val="GlAlnt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CommentText">
    <w:name w:val="annotation text"/>
    <w:basedOn w:val="Normal"/>
    <w:link w:val="AklamaMetniChar"/>
    <w:uiPriority w:val="99"/>
    <w:semiHidden/>
    <w:unhideWhenUsed/>
    <w:rsid w:val="00ae2afe"/>
    <w:pPr>
      <w:spacing w:lineRule="auto" w:line="240"/>
    </w:pPr>
    <w:rPr>
      <w:szCs w:val="20"/>
    </w:rPr>
  </w:style>
  <w:style w:type="paragraph" w:styleId="annotationsubject">
    <w:name w:val="annotation subject"/>
    <w:basedOn w:val="CommentText"/>
    <w:next w:val="CommentText"/>
    <w:link w:val="AklamaKonusuChar"/>
    <w:uiPriority w:val="99"/>
    <w:semiHidden/>
    <w:unhideWhenUsed/>
    <w:rsid w:val="00ae2afe"/>
    <w:pPr/>
    <w:rPr>
      <w:b/>
      <w:bCs/>
    </w:rPr>
  </w:style>
  <w:style w:type="paragraph" w:styleId="BalloonText">
    <w:name w:val="Balloon Text"/>
    <w:basedOn w:val="Normal"/>
    <w:link w:val="BalonMetniChar"/>
    <w:uiPriority w:val="99"/>
    <w:semiHidden/>
    <w:unhideWhenUsed/>
    <w:rsid w:val="00ae2afe"/>
    <w:pPr>
      <w:spacing w:lineRule="auto" w:line="240"/>
    </w:pPr>
    <w:rPr>
      <w:rFonts w:ascii="Segoe UI" w:hAnsi="Segoe UI" w:cs="Segoe UI"/>
      <w:sz w:val="18"/>
      <w:szCs w:val="18"/>
    </w:rPr>
  </w:style>
  <w:style w:type="paragraph" w:styleId="Revision">
    <w:name w:val="Revision"/>
    <w:uiPriority w:val="99"/>
    <w:semiHidden/>
    <w:rsid w:val="004b6f83"/>
    <w:pPr>
      <w:widowControl/>
      <w:suppressAutoHyphens w:val="true"/>
      <w:bidi w:val="0"/>
      <w:spacing w:lineRule="auto" w:line="240" w:before="0" w:after="0"/>
      <w:jc w:val="start"/>
    </w:pPr>
    <w:rPr>
      <w:rFonts w:ascii="Arial" w:hAnsi="Arial" w:eastAsia="ＭＳ 明朝" w:cs="" w:cstheme="minorBidi" w:eastAsiaTheme="minorEastAsia"/>
      <w:color w:val="auto"/>
      <w:kern w:val="0"/>
      <w:sz w:val="20"/>
      <w:szCs w:val="22"/>
      <w:lang w:val="en-US" w:eastAsia="en-US" w:bidi="ar-SA"/>
    </w:rPr>
  </w:style>
  <w:style w:type="numbering" w:styleId="NoList" w:default="1">
    <w:name w:val="No List"/>
    <w:uiPriority w:val="99"/>
    <w:semiHidden/>
    <w:unhideWhenUsed/>
  </w:style>
  <w:style w:type="table" w:default="1" w:styleId="NormalTablo">
    <w:name w:val="Normal Table"/>
    <w:uiPriority w:val="99"/>
    <w:semiHidden/>
    <w:unhideWhenUsed/>
    <w:tblPr>
      <w:tblCellMar>
        <w:top w:w="0" w:type="dxa"/>
        <w:left w:w="108" w:type="dxa"/>
        <w:bottom w:w="0" w:type="dxa"/>
        <w:right w:w="108" w:type="dxa"/>
      </w:tblCellMar>
    </w:tblPr>
  </w:style>
  <w:style w:type="table" w:styleId="TabloKlavuzu">
    <w:name w:val="Table Grid"/>
    <w:basedOn w:val="NormalTablo"/>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89154-0497-45BC-A350-CBB9CC07C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Application>LibreOffice/26.8.0.3$MacOSX_AARCH64 LibreOffice_project/bce0998afefdbc355585ca324285661a2170ba77</Application>
  <AppVersion>15.0000</AppVersion>
  <Pages>28</Pages>
  <Words>6369</Words>
  <Characters>40487</Characters>
  <CharactersWithSpaces>46460</CharactersWithSpaces>
  <Paragraphs>421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2026-08-24T07:50:00Z</dcterms:created>
  <dc:creator>python-docx</dc:creator>
  <dc:description>generated by python-docx</dc:description>
  <dc:language>en-US</dc:language>
  <cp:lastModifiedBy/>
  <dcterms:modified xsi:type="dcterms:W3CDTF">2026-09-04T01:34:23Z</dcterms:modified>
  <cp:revision>4</cp:revision>
  <dc:subject/>
  <dc:title>Persistent Cardiac Surgery-Associated Acute Kidney Injury Identifies a High-Risk Phenotype after Pediatric Congenital Heart Surgery</dc:title>
</cp:coreProperties>
</file>

<file path=docProps/custom.xml><?xml version="1.0" encoding="utf-8"?>
<Properties xmlns="http://schemas.openxmlformats.org/officeDocument/2006/custom-properties" xmlns:vt="http://schemas.openxmlformats.org/officeDocument/2006/docPropsVTypes"/>
</file>