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rPr>
          <w:rFonts w:ascii="Times New Roman" w:hAnsi="Times New Roman"/>
        </w:rPr>
      </w:pPr>
      <w:r>
        <w:rPr>
          <w:rFonts w:ascii="Times New Roman" w:hAnsi="Times New Roman"/>
        </w:rPr>
        <w:t>Persistent Cardiac Surgery-Associated Acute Kidney Injury Identifies a High-Risk Phenotype after Pediatric Congenital Heart Surgery</w:t>
      </w:r>
    </w:p>
    <w:p>
      <w:pPr>
        <w:pStyle w:val="Caption"/>
        <w:keepNext w:val="true"/>
        <w:rPr>
          <w:rFonts w:ascii="Times New Roman" w:hAnsi="Times New Roman"/>
        </w:rPr>
      </w:pPr>
      <w:r>
        <w:rPr/>
        <w:t>Table 1. Baseline and operative characteristics of the cohort by CS-AKI timing group</w:t>
      </w:r>
    </w:p>
    <w:tbl>
      <w:tblPr>
        <w:tblStyle w:val="TabloKlavuzu"/>
        <w:tblW w:w="9720" w:type="dxa"/>
        <w:jc w:val="center"/>
        <w:tblInd w:w="0" w:type="dxa"/>
        <w:tblLayout w:type="fixed"/>
        <w:tblCellMar>
          <w:top w:w="45" w:type="dxa"/>
          <w:start w:w="45" w:type="dxa"/>
          <w:bottom w:w="45" w:type="dxa"/>
          <w:end w:w="45" w:type="dxa"/>
        </w:tblCellMar>
        <w:tblLook w:noHBand="0" w:lastColumn="0" w:firstColumn="1" w:lastRow="0" w:firstRow="1" w:noVBand="1" w:val="04a0"/>
      </w:tblPr>
      <w:tblGrid>
        <w:gridCol w:w="2880"/>
        <w:gridCol w:w="1219"/>
        <w:gridCol w:w="1440"/>
        <w:gridCol w:w="1298"/>
        <w:gridCol w:w="1297"/>
        <w:gridCol w:w="791"/>
        <w:gridCol w:w="795"/>
      </w:tblGrid>
      <w:tr>
        <w:trPr>
          <w:tblHeader w:val="true"/>
          <w:cantSplit/>
        </w:trPr>
        <w:tc>
          <w:tcPr>
            <w:tcW w:w="2880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Characteristic</w:t>
            </w:r>
          </w:p>
        </w:tc>
        <w:tc>
          <w:tcPr>
            <w:tcW w:w="1219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Overall (N = 219)</w:t>
            </w:r>
          </w:p>
        </w:tc>
        <w:tc>
          <w:tcPr>
            <w:tcW w:w="1440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No early CS-AKI (n = 150)</w:t>
            </w:r>
          </w:p>
        </w:tc>
        <w:tc>
          <w:tcPr>
            <w:tcW w:w="1298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Transient CS-AKI (n = 40)</w:t>
            </w:r>
          </w:p>
        </w:tc>
        <w:tc>
          <w:tcPr>
            <w:tcW w:w="1297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Persistent CS-AKI (n = 29)</w:t>
            </w:r>
          </w:p>
        </w:tc>
        <w:tc>
          <w:tcPr>
            <w:tcW w:w="791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p</w:t>
            </w:r>
          </w:p>
        </w:tc>
        <w:tc>
          <w:tcPr>
            <w:tcW w:w="795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q</w:t>
            </w:r>
          </w:p>
        </w:tc>
      </w:tr>
      <w:tr>
        <w:trPr>
          <w:cantSplit/>
        </w:trPr>
        <w:tc>
          <w:tcPr>
            <w:tcW w:w="9720" w:type="dxa"/>
            <w:gridSpan w:val="7"/>
            <w:tcBorders/>
            <w:shd w:color="auto" w:fill="E7E6E6" w:val="clear"/>
            <w:tcMar>
              <w:top w:w="0" w:type="dxa"/>
              <w:start w:w="108" w:type="dxa"/>
              <w:bottom w:w="0" w:type="dxa"/>
              <w:end w:w="108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Demographics and anthropometry</w:t>
            </w:r>
          </w:p>
        </w:tc>
      </w:tr>
      <w:tr>
        <w:trPr>
          <w:cantSplit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Age, months</w:t>
            </w:r>
          </w:p>
        </w:tc>
        <w:tc>
          <w:tcPr>
            <w:tcW w:w="12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27 [5, 96]</w:t>
            </w:r>
          </w:p>
        </w:tc>
        <w:tc>
          <w:tcPr>
            <w:tcW w:w="14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52 [12, 118]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10.5 [4, 26]</w:t>
            </w:r>
          </w:p>
        </w:tc>
        <w:tc>
          <w:tcPr>
            <w:tcW w:w="12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4 [2, 7]</w:t>
            </w:r>
          </w:p>
        </w:tc>
        <w:tc>
          <w:tcPr>
            <w:tcW w:w="7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</w:tr>
      <w:tr>
        <w:trPr>
          <w:cantSplit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Male sex</w:t>
            </w:r>
          </w:p>
        </w:tc>
        <w:tc>
          <w:tcPr>
            <w:tcW w:w="12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122 (56)</w:t>
            </w:r>
          </w:p>
        </w:tc>
        <w:tc>
          <w:tcPr>
            <w:tcW w:w="14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80 (53)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25 (62)</w:t>
            </w:r>
          </w:p>
        </w:tc>
        <w:tc>
          <w:tcPr>
            <w:tcW w:w="12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17 (59)</w:t>
            </w:r>
          </w:p>
        </w:tc>
        <w:tc>
          <w:tcPr>
            <w:tcW w:w="7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0.551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0.580</w:t>
            </w:r>
          </w:p>
        </w:tc>
      </w:tr>
      <w:tr>
        <w:trPr>
          <w:cantSplit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Weight, kg</w:t>
            </w:r>
          </w:p>
        </w:tc>
        <w:tc>
          <w:tcPr>
            <w:tcW w:w="12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11.0 [5.8, 23.5]</w:t>
            </w:r>
          </w:p>
        </w:tc>
        <w:tc>
          <w:tcPr>
            <w:tcW w:w="14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15.5 [8.0, 28.0]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7.0 [4.8, 12.0]</w:t>
            </w:r>
          </w:p>
        </w:tc>
        <w:tc>
          <w:tcPr>
            <w:tcW w:w="12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5.0 [3.5, 6.5]</w:t>
            </w:r>
          </w:p>
        </w:tc>
        <w:tc>
          <w:tcPr>
            <w:tcW w:w="7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</w:tr>
      <w:tr>
        <w:trPr>
          <w:cantSplit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Weight-for-age z-score</w:t>
            </w:r>
          </w:p>
        </w:tc>
        <w:tc>
          <w:tcPr>
            <w:tcW w:w="12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−</w:t>
            </w: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1.62 [−2.72, −0.44]</w:t>
            </w:r>
          </w:p>
        </w:tc>
        <w:tc>
          <w:tcPr>
            <w:tcW w:w="14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−</w:t>
            </w: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1.19 [−2.35, −0.25]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−</w:t>
            </w: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2.12 [−2.95, −0.97]</w:t>
            </w:r>
          </w:p>
        </w:tc>
        <w:tc>
          <w:tcPr>
            <w:tcW w:w="12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−</w:t>
            </w: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2.61 [−3.43, −1.80]</w:t>
            </w:r>
          </w:p>
        </w:tc>
        <w:tc>
          <w:tcPr>
            <w:tcW w:w="7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0.001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0.003</w:t>
            </w:r>
          </w:p>
        </w:tc>
      </w:tr>
      <w:tr>
        <w:trPr>
          <w:cantSplit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Malnutrition (weight-for-age z-score &lt;-2)</w:t>
            </w:r>
          </w:p>
        </w:tc>
        <w:tc>
          <w:tcPr>
            <w:tcW w:w="12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71/179 (40)</w:t>
            </w:r>
          </w:p>
        </w:tc>
        <w:tc>
          <w:tcPr>
            <w:tcW w:w="14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35/113 (31)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19/38 (50)</w:t>
            </w:r>
          </w:p>
        </w:tc>
        <w:tc>
          <w:tcPr>
            <w:tcW w:w="12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17/28 (61)</w:t>
            </w:r>
          </w:p>
        </w:tc>
        <w:tc>
          <w:tcPr>
            <w:tcW w:w="7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0.005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0.008</w:t>
            </w:r>
          </w:p>
        </w:tc>
      </w:tr>
      <w:tr>
        <w:trPr>
          <w:cantSplit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Height-for-age z-score</w:t>
            </w:r>
          </w:p>
        </w:tc>
        <w:tc>
          <w:tcPr>
            <w:tcW w:w="12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−</w:t>
            </w: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0.92 [−1.89, −0.14]</w:t>
            </w:r>
          </w:p>
        </w:tc>
        <w:tc>
          <w:tcPr>
            <w:tcW w:w="14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−</w:t>
            </w: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0.73 [−1.64, −0.08]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−</w:t>
            </w: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1.57 [−2.37, −0.37]</w:t>
            </w:r>
          </w:p>
        </w:tc>
        <w:tc>
          <w:tcPr>
            <w:tcW w:w="12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−</w:t>
            </w: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1.68 [−2.71, −0.76]</w:t>
            </w:r>
          </w:p>
        </w:tc>
        <w:tc>
          <w:tcPr>
            <w:tcW w:w="7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0.005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0.008</w:t>
            </w:r>
          </w:p>
        </w:tc>
      </w:tr>
      <w:tr>
        <w:trPr>
          <w:cantSplit/>
        </w:trPr>
        <w:tc>
          <w:tcPr>
            <w:tcW w:w="9720" w:type="dxa"/>
            <w:gridSpan w:val="7"/>
            <w:tcBorders/>
            <w:shd w:color="auto" w:fill="E7E6E6" w:val="clear"/>
            <w:tcMar>
              <w:top w:w="0" w:type="dxa"/>
              <w:start w:w="108" w:type="dxa"/>
              <w:bottom w:w="0" w:type="dxa"/>
              <w:end w:w="108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Preoperative clinical status</w:t>
            </w:r>
          </w:p>
        </w:tc>
      </w:tr>
      <w:tr>
        <w:trPr>
          <w:cantSplit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Cyanosis at operation</w:t>
            </w:r>
          </w:p>
        </w:tc>
        <w:tc>
          <w:tcPr>
            <w:tcW w:w="12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68 (31)</w:t>
            </w:r>
          </w:p>
        </w:tc>
        <w:tc>
          <w:tcPr>
            <w:tcW w:w="14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33 (22)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18 (45)</w:t>
            </w:r>
          </w:p>
        </w:tc>
        <w:tc>
          <w:tcPr>
            <w:tcW w:w="12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17 (59)</w:t>
            </w:r>
          </w:p>
        </w:tc>
        <w:tc>
          <w:tcPr>
            <w:tcW w:w="7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</w:tr>
      <w:tr>
        <w:trPr>
          <w:cantSplit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Single-ventricle physiology</w:t>
            </w:r>
          </w:p>
        </w:tc>
        <w:tc>
          <w:tcPr>
            <w:tcW w:w="12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40 (18)</w:t>
            </w:r>
          </w:p>
        </w:tc>
        <w:tc>
          <w:tcPr>
            <w:tcW w:w="14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19 (13)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10 (25)</w:t>
            </w:r>
          </w:p>
        </w:tc>
        <w:tc>
          <w:tcPr>
            <w:tcW w:w="12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11 (38)</w:t>
            </w:r>
          </w:p>
        </w:tc>
        <w:tc>
          <w:tcPr>
            <w:tcW w:w="7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0.003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0.005</w:t>
            </w:r>
          </w:p>
        </w:tc>
      </w:tr>
      <w:tr>
        <w:trPr>
          <w:cantSplit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Prior AKI history</w:t>
            </w:r>
          </w:p>
        </w:tc>
        <w:tc>
          <w:tcPr>
            <w:tcW w:w="12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22 (10)</w:t>
            </w:r>
          </w:p>
        </w:tc>
        <w:tc>
          <w:tcPr>
            <w:tcW w:w="14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17 (11)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5 (12)</w:t>
            </w:r>
          </w:p>
        </w:tc>
        <w:tc>
          <w:tcPr>
            <w:tcW w:w="12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 (0)</w:t>
            </w:r>
          </w:p>
        </w:tc>
        <w:tc>
          <w:tcPr>
            <w:tcW w:w="7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0.125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0.158</w:t>
            </w:r>
          </w:p>
        </w:tc>
      </w:tr>
      <w:tr>
        <w:trPr>
          <w:cantSplit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Preoperative respiratory support</w:t>
            </w:r>
          </w:p>
        </w:tc>
        <w:tc>
          <w:tcPr>
            <w:tcW w:w="12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28 (13)</w:t>
            </w:r>
          </w:p>
        </w:tc>
        <w:tc>
          <w:tcPr>
            <w:tcW w:w="14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10 (7)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5 (12)</w:t>
            </w:r>
          </w:p>
        </w:tc>
        <w:tc>
          <w:tcPr>
            <w:tcW w:w="12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13 (45)</w:t>
            </w:r>
          </w:p>
        </w:tc>
        <w:tc>
          <w:tcPr>
            <w:tcW w:w="7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</w:tr>
      <w:tr>
        <w:trPr>
          <w:cantSplit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Prior cardiac intervention</w:t>
            </w:r>
          </w:p>
        </w:tc>
        <w:tc>
          <w:tcPr>
            <w:tcW w:w="12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74 (34)</w:t>
            </w:r>
          </w:p>
        </w:tc>
        <w:tc>
          <w:tcPr>
            <w:tcW w:w="14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54 (36)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12 (30)</w:t>
            </w:r>
          </w:p>
        </w:tc>
        <w:tc>
          <w:tcPr>
            <w:tcW w:w="12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8 (28)</w:t>
            </w:r>
          </w:p>
        </w:tc>
        <w:tc>
          <w:tcPr>
            <w:tcW w:w="7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0.582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0.582</w:t>
            </w:r>
          </w:p>
        </w:tc>
      </w:tr>
      <w:tr>
        <w:trPr>
          <w:cantSplit/>
        </w:trPr>
        <w:tc>
          <w:tcPr>
            <w:tcW w:w="9720" w:type="dxa"/>
            <w:gridSpan w:val="7"/>
            <w:tcBorders/>
            <w:shd w:color="auto" w:fill="E7E6E6" w:val="clear"/>
            <w:tcMar>
              <w:top w:w="0" w:type="dxa"/>
              <w:start w:w="108" w:type="dxa"/>
              <w:bottom w:w="0" w:type="dxa"/>
              <w:end w:w="108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 xml:space="preserve">Surgical complexity </w:t>
            </w:r>
          </w:p>
        </w:tc>
      </w:tr>
      <w:tr>
        <w:trPr>
          <w:cantSplit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STAT category 4-5</w:t>
            </w:r>
          </w:p>
        </w:tc>
        <w:tc>
          <w:tcPr>
            <w:tcW w:w="12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60 (27)</w:t>
            </w:r>
          </w:p>
        </w:tc>
        <w:tc>
          <w:tcPr>
            <w:tcW w:w="14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32 (21)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11 (28)</w:t>
            </w:r>
          </w:p>
        </w:tc>
        <w:tc>
          <w:tcPr>
            <w:tcW w:w="12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17 (59)</w:t>
            </w:r>
          </w:p>
        </w:tc>
        <w:tc>
          <w:tcPr>
            <w:tcW w:w="7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</w:tr>
      <w:tr>
        <w:trPr>
          <w:trHeight w:val="80" w:hRule="atLeast"/>
          <w:cantSplit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STAT mortality score</w:t>
            </w:r>
          </w:p>
        </w:tc>
        <w:tc>
          <w:tcPr>
            <w:tcW w:w="12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0.50 [0.25, 1.30]</w:t>
            </w:r>
          </w:p>
        </w:tc>
        <w:tc>
          <w:tcPr>
            <w:tcW w:w="14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0.50 [0.20, 0.80]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0.50 [0.20, 1.40]</w:t>
            </w:r>
          </w:p>
        </w:tc>
        <w:tc>
          <w:tcPr>
            <w:tcW w:w="12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1.50 [0.50, 2.10]</w:t>
            </w:r>
          </w:p>
        </w:tc>
        <w:tc>
          <w:tcPr>
            <w:tcW w:w="7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</w:tr>
      <w:tr>
        <w:trPr>
          <w:trHeight w:val="161" w:hRule="atLeast"/>
          <w:cantSplit/>
        </w:trPr>
        <w:tc>
          <w:tcPr>
            <w:tcW w:w="9720" w:type="dxa"/>
            <w:gridSpan w:val="7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Operative characteristics</w:t>
            </w:r>
          </w:p>
        </w:tc>
      </w:tr>
      <w:tr>
        <w:trPr>
          <w:cantSplit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Cardiopulmonary bypass performed</w:t>
            </w:r>
          </w:p>
        </w:tc>
        <w:tc>
          <w:tcPr>
            <w:tcW w:w="12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192 (88)</w:t>
            </w:r>
          </w:p>
        </w:tc>
        <w:tc>
          <w:tcPr>
            <w:tcW w:w="14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134 (89)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35 (88)</w:t>
            </w:r>
          </w:p>
        </w:tc>
        <w:tc>
          <w:tcPr>
            <w:tcW w:w="12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23 (79)</w:t>
            </w:r>
          </w:p>
        </w:tc>
        <w:tc>
          <w:tcPr>
            <w:tcW w:w="7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0.338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0.375</w:t>
            </w:r>
          </w:p>
        </w:tc>
      </w:tr>
      <w:tr>
        <w:trPr>
          <w:cantSplit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Cardiopulmonary bypass duration, min (recipients)</w:t>
            </w:r>
          </w:p>
        </w:tc>
        <w:tc>
          <w:tcPr>
            <w:tcW w:w="12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92 [63, 134]</w:t>
            </w:r>
          </w:p>
        </w:tc>
        <w:tc>
          <w:tcPr>
            <w:tcW w:w="14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91 [60, 117]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100 [72, 142]</w:t>
            </w:r>
          </w:p>
        </w:tc>
        <w:tc>
          <w:tcPr>
            <w:tcW w:w="12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90 [77, 164]</w:t>
            </w:r>
          </w:p>
        </w:tc>
        <w:tc>
          <w:tcPr>
            <w:tcW w:w="7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0.098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—</w:t>
            </w:r>
          </w:p>
        </w:tc>
      </w:tr>
      <w:tr>
        <w:trPr>
          <w:cantSplit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Aortic cross-clamp performed</w:t>
            </w:r>
          </w:p>
        </w:tc>
        <w:tc>
          <w:tcPr>
            <w:tcW w:w="12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184 (84)</w:t>
            </w:r>
          </w:p>
        </w:tc>
        <w:tc>
          <w:tcPr>
            <w:tcW w:w="14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131 (87)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33 (82)</w:t>
            </w:r>
          </w:p>
        </w:tc>
        <w:tc>
          <w:tcPr>
            <w:tcW w:w="12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20 (69)</w:t>
            </w:r>
          </w:p>
        </w:tc>
        <w:tc>
          <w:tcPr>
            <w:tcW w:w="7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0.049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0.070</w:t>
            </w:r>
          </w:p>
        </w:tc>
      </w:tr>
      <w:tr>
        <w:trPr>
          <w:cantSplit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Aortic cross-clamp duration, min (recipients)</w:t>
            </w:r>
          </w:p>
        </w:tc>
        <w:tc>
          <w:tcPr>
            <w:tcW w:w="12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60 [35, 90]</w:t>
            </w:r>
          </w:p>
        </w:tc>
        <w:tc>
          <w:tcPr>
            <w:tcW w:w="14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56 [32, 82]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62 [42, 104]</w:t>
            </w:r>
          </w:p>
        </w:tc>
        <w:tc>
          <w:tcPr>
            <w:tcW w:w="12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66 [37, 105]</w:t>
            </w:r>
          </w:p>
        </w:tc>
        <w:tc>
          <w:tcPr>
            <w:tcW w:w="7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0.224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—</w:t>
            </w:r>
          </w:p>
        </w:tc>
      </w:tr>
      <w:tr>
        <w:trPr>
          <w:cantSplit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16"/>
                <w:lang w:val="en-US" w:eastAsia="en-US" w:bidi="ar-SA"/>
              </w:rPr>
              <w:t>Deep hypothermia (≤22 °C)</w:t>
            </w:r>
          </w:p>
        </w:tc>
        <w:tc>
          <w:tcPr>
            <w:tcW w:w="12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13 (6)</w:t>
            </w:r>
          </w:p>
        </w:tc>
        <w:tc>
          <w:tcPr>
            <w:tcW w:w="14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7 (5)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3 (8)</w:t>
            </w:r>
          </w:p>
        </w:tc>
        <w:tc>
          <w:tcPr>
            <w:tcW w:w="12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3 (10)</w:t>
            </w:r>
          </w:p>
        </w:tc>
        <w:tc>
          <w:tcPr>
            <w:tcW w:w="7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0.298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0.351</w:t>
            </w:r>
          </w:p>
        </w:tc>
      </w:tr>
      <w:tr>
        <w:trPr>
          <w:cantSplit/>
        </w:trPr>
        <w:tc>
          <w:tcPr>
            <w:tcW w:w="9720" w:type="dxa"/>
            <w:gridSpan w:val="7"/>
            <w:tcBorders/>
            <w:shd w:color="auto" w:fill="E7E6E6" w:val="clear"/>
            <w:tcMar>
              <w:top w:w="0" w:type="dxa"/>
              <w:start w:w="108" w:type="dxa"/>
              <w:bottom w:w="0" w:type="dxa"/>
              <w:end w:w="108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Baseline laboratory values</w:t>
            </w:r>
          </w:p>
        </w:tc>
      </w:tr>
      <w:tr>
        <w:trPr>
          <w:cantSplit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Creatinine, mg/dL</w:t>
            </w:r>
          </w:p>
        </w:tc>
        <w:tc>
          <w:tcPr>
            <w:tcW w:w="12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0.32 [0.24, 0.45]</w:t>
            </w:r>
          </w:p>
        </w:tc>
        <w:tc>
          <w:tcPr>
            <w:tcW w:w="14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0.35 [0.27, 0.47]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0.26 [0.20, 0.35]</w:t>
            </w:r>
          </w:p>
        </w:tc>
        <w:tc>
          <w:tcPr>
            <w:tcW w:w="12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0.25 [0.20, 0.30]</w:t>
            </w:r>
          </w:p>
        </w:tc>
        <w:tc>
          <w:tcPr>
            <w:tcW w:w="7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</w:tr>
      <w:tr>
        <w:trPr>
          <w:cantSplit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Blood urea nitrogen (BUN), mg/dL</w:t>
            </w:r>
          </w:p>
        </w:tc>
        <w:tc>
          <w:tcPr>
            <w:tcW w:w="12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10.7 [8.3, 13.3]</w:t>
            </w:r>
          </w:p>
        </w:tc>
        <w:tc>
          <w:tcPr>
            <w:tcW w:w="14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11.3 [9.2, 13.8]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8.7 [7.6, 12.1]</w:t>
            </w:r>
          </w:p>
        </w:tc>
        <w:tc>
          <w:tcPr>
            <w:tcW w:w="12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8.1 [6.0, 10.7]</w:t>
            </w:r>
          </w:p>
        </w:tc>
        <w:tc>
          <w:tcPr>
            <w:tcW w:w="7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</w:tr>
      <w:tr>
        <w:trPr>
          <w:cantSplit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Albumin, g/dL</w:t>
            </w:r>
          </w:p>
        </w:tc>
        <w:tc>
          <w:tcPr>
            <w:tcW w:w="12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4.30 [3.85, 4.50]</w:t>
            </w:r>
          </w:p>
        </w:tc>
        <w:tc>
          <w:tcPr>
            <w:tcW w:w="14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4.40 [4.08, 4.60]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4.10 [3.58, 4.32]</w:t>
            </w:r>
          </w:p>
        </w:tc>
        <w:tc>
          <w:tcPr>
            <w:tcW w:w="12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3.80 [3.10, 4.10]</w:t>
            </w:r>
          </w:p>
        </w:tc>
        <w:tc>
          <w:tcPr>
            <w:tcW w:w="7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</w:tr>
      <w:tr>
        <w:trPr>
          <w:cantSplit/>
        </w:trPr>
        <w:tc>
          <w:tcPr>
            <w:tcW w:w="28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Hemoglobin, g/dL</w:t>
            </w:r>
          </w:p>
        </w:tc>
        <w:tc>
          <w:tcPr>
            <w:tcW w:w="12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12.6 [11.6, 13.8]</w:t>
            </w:r>
          </w:p>
        </w:tc>
        <w:tc>
          <w:tcPr>
            <w:tcW w:w="14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12.8 [11.7, 13.9]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12.4 [11.6, 13.5]</w:t>
            </w:r>
          </w:p>
        </w:tc>
        <w:tc>
          <w:tcPr>
            <w:tcW w:w="12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12.2 [10.9, 13.2]</w:t>
            </w:r>
          </w:p>
        </w:tc>
        <w:tc>
          <w:tcPr>
            <w:tcW w:w="7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0.127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0.158</w:t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/>
        </w:rPr>
      </w:pPr>
      <w:r>
        <w:rPr/>
        <w:t>Continuous variables are median [first quartile (Q1), third quartile (Q3)]; categorical variables are n (%) unless a subgroup denominator is shown. p values compare the three timing groups. q values are Benjamini-Hochberg-adjusted p values within the prespecified descriptive family. The prespecified FDR family comprised 22 comparisons: 20 are presented in Table 1 and principal diagnosis and index operation in Table S1a. The recipient-only cardiopulmonary bypass and aortic cross-clamp duration rows are additional descriptive analyses outside this family; therefore, q values are not shown. Weight-for-age variables were evaluated in 179 children aged &lt;10 years. Full distributions and effect sizes are provided in Table S1a.</w:t>
      </w:r>
    </w:p>
    <w:sectPr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nextPage"/>
      <w:pgSz w:w="12240" w:h="15840"/>
      <w:pgMar w:left="1440" w:right="1440" w:gutter="0" w:header="720" w:top="1440" w:footer="720" w:bottom="1440"/>
      <w:lnNumType w:countBy="1" w:restart="continuous" w:distance="360" w:start="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Arial">
    <w:charset w:val="01"/>
    <w:family w:val="swiss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Symbol"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28</w:t>
    </w:r>
    <w:r>
      <w:rPr>
        <w:sz w:val="20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28</w:t>
    </w:r>
    <w:r>
      <w:rPr>
        <w:sz w:val="20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480" w:before="0" w:after="0"/>
      <w:jc w:val="start"/>
    </w:pPr>
    <w:rPr>
      <w:rFonts w:ascii="Times New Roman" w:hAnsi="Times New Roman" w:eastAsia="Times New Roman" w:cs="" w:cstheme="minorBidi"/>
      <w:color w:val="auto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alk1Char"/>
    <w:uiPriority w:val="9"/>
    <w:qFormat/>
    <w:rsid w:val="00fc693f"/>
    <w:pPr>
      <w:keepNext w:val="true"/>
      <w:keepLines/>
      <w:spacing w:before="12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000000"/>
      <w:szCs w:val="28"/>
    </w:rPr>
  </w:style>
  <w:style w:type="paragraph" w:styleId="Heading2">
    <w:name w:val="heading 2"/>
    <w:basedOn w:val="Normal"/>
    <w:next w:val="Normal"/>
    <w:link w:val="Balk2Char"/>
    <w:uiPriority w:val="9"/>
    <w:unhideWhenUsed/>
    <w:qFormat/>
    <w:rsid w:val="00fc693f"/>
    <w:pPr>
      <w:keepNext w:val="true"/>
      <w:keepLines/>
      <w:spacing w:before="12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000000"/>
      <w:szCs w:val="26"/>
    </w:rPr>
  </w:style>
  <w:style w:type="paragraph" w:styleId="Heading3">
    <w:name w:val="heading 3"/>
    <w:basedOn w:val="Normal"/>
    <w:next w:val="Normal"/>
    <w:link w:val="Balk3Char"/>
    <w:uiPriority w:val="9"/>
    <w:unhideWhenUsed/>
    <w:qFormat/>
    <w:rsid w:val="00fc693f"/>
    <w:pPr>
      <w:keepNext w:val="true"/>
      <w:keepLines/>
      <w:spacing w:before="240" w:after="12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000000"/>
    </w:rPr>
  </w:style>
  <w:style w:type="paragraph" w:styleId="Heading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Cs w:val="20"/>
    </w:rPr>
  </w:style>
  <w:style w:type="paragraph" w:styleId="Heading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Cs w:val="20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BilgiChar" w:customStyle="1">
    <w:name w:val="Üst Bilgi Char"/>
    <w:basedOn w:val="DefaultParagraphFont"/>
    <w:link w:val="Header"/>
    <w:uiPriority w:val="99"/>
    <w:rsid w:val="00e618bf"/>
    <w:rPr/>
  </w:style>
  <w:style w:type="character" w:styleId="AltBilgiChar" w:customStyle="1">
    <w:name w:val="Alt Bilgi Char"/>
    <w:basedOn w:val="DefaultParagraphFont"/>
    <w:link w:val="Footer"/>
    <w:uiPriority w:val="99"/>
    <w:rsid w:val="00e618bf"/>
    <w:rPr/>
  </w:style>
  <w:style w:type="character" w:styleId="Balk1Char" w:customStyle="1">
    <w:name w:val="Başlık 1 Char"/>
    <w:basedOn w:val="DefaultParagraphFont"/>
    <w:link w:val="Heading1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Balk2Char" w:customStyle="1">
    <w:name w:val="Başlık 2 Char"/>
    <w:basedOn w:val="DefaultParagraphFont"/>
    <w:link w:val="Heading2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Balk3Char" w:customStyle="1">
    <w:name w:val="Başlık 3 Char"/>
    <w:basedOn w:val="DefaultParagraphFont"/>
    <w:link w:val="Heading3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KonuBalChar" w:customStyle="1">
    <w:name w:val="Konu Başlığı Char"/>
    <w:basedOn w:val="DefaultParagraphFont"/>
    <w:link w:val="Title"/>
    <w:uiPriority w:val="10"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AltyazChar" w:customStyle="1">
    <w:name w:val="Altyazı Char"/>
    <w:basedOn w:val="DefaultParagraphFont"/>
    <w:link w:val="Subtitle"/>
    <w:uiPriority w:val="11"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GvdeMetniChar" w:customStyle="1">
    <w:name w:val="Gövde Metni Char"/>
    <w:basedOn w:val="DefaultParagraphFont"/>
    <w:uiPriority w:val="99"/>
    <w:rsid w:val="00aa1d8d"/>
    <w:rPr/>
  </w:style>
  <w:style w:type="character" w:styleId="GvdeMetni2Char" w:customStyle="1">
    <w:name w:val="Gövde Metni 2 Char"/>
    <w:basedOn w:val="DefaultParagraphFont"/>
    <w:link w:val="BodyText2"/>
    <w:uiPriority w:val="99"/>
    <w:rsid w:val="00aa1d8d"/>
    <w:rPr/>
  </w:style>
  <w:style w:type="character" w:styleId="GvdeMetni3Char" w:customStyle="1">
    <w:name w:val="Gövde Metni 3 Char"/>
    <w:basedOn w:val="DefaultParagraphFont"/>
    <w:link w:val="BodyText3"/>
    <w:uiPriority w:val="99"/>
    <w:rsid w:val="00aa1d8d"/>
    <w:rPr>
      <w:sz w:val="16"/>
      <w:szCs w:val="16"/>
    </w:rPr>
  </w:style>
  <w:style w:type="character" w:styleId="MakroMetniChar" w:customStyle="1">
    <w:name w:val="Makro Metni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character" w:styleId="AlntChar" w:customStyle="1">
    <w:name w:val="Alıntı Char"/>
    <w:basedOn w:val="DefaultParagraphFont"/>
    <w:link w:val="Quote"/>
    <w:uiPriority w:val="29"/>
    <w:rsid w:val="00fc693f"/>
    <w:rPr>
      <w:i/>
      <w:iCs/>
      <w:color w:themeColor="text1" w:val="000000"/>
    </w:rPr>
  </w:style>
  <w:style w:type="character" w:styleId="Balk4Char" w:customStyle="1">
    <w:name w:val="Başlık 4 Char"/>
    <w:basedOn w:val="DefaultParagraphFont"/>
    <w:link w:val="Heading4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Balk5Char" w:customStyle="1">
    <w:name w:val="Başlık 5 Char"/>
    <w:basedOn w:val="DefaultParagraphFont"/>
    <w:link w:val="Heading5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Balk6Char" w:customStyle="1">
    <w:name w:val="Başlık 6 Char"/>
    <w:basedOn w:val="DefaultParagraphFont"/>
    <w:link w:val="Heading6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Balk7Char" w:customStyle="1">
    <w:name w:val="Başlık 7 Char"/>
    <w:basedOn w:val="DefaultParagraphFont"/>
    <w:link w:val="Heading7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Balk8Char" w:customStyle="1">
    <w:name w:val="Başlık 8 Char"/>
    <w:basedOn w:val="DefaultParagraphFont"/>
    <w:link w:val="Heading8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Balk9Char" w:customStyle="1">
    <w:name w:val="Başlık 9 Char"/>
    <w:basedOn w:val="DefaultParagraphFont"/>
    <w:link w:val="Heading9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GlAlntChar" w:customStyle="1">
    <w:name w:val="Güçlü Alıntı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e2afe"/>
    <w:rPr>
      <w:sz w:val="16"/>
      <w:szCs w:val="16"/>
    </w:rPr>
  </w:style>
  <w:style w:type="character" w:styleId="AklamaMetniChar" w:customStyle="1">
    <w:name w:val="Açıklama Metni Char"/>
    <w:basedOn w:val="DefaultParagraphFont"/>
    <w:link w:val="CommentText"/>
    <w:uiPriority w:val="99"/>
    <w:semiHidden/>
    <w:rsid w:val="00ae2afe"/>
    <w:rPr>
      <w:rFonts w:ascii="Arial" w:hAnsi="Arial"/>
      <w:sz w:val="20"/>
      <w:szCs w:val="20"/>
    </w:rPr>
  </w:style>
  <w:style w:type="character" w:styleId="AklamaKonusuChar" w:customStyle="1">
    <w:name w:val="Açıklama Konusu Char"/>
    <w:basedOn w:val="AklamaMetniChar"/>
    <w:link w:val="annotationsubject"/>
    <w:uiPriority w:val="99"/>
    <w:semiHidden/>
    <w:rsid w:val="00ae2afe"/>
    <w:rPr>
      <w:rFonts w:ascii="Arial" w:hAnsi="Arial"/>
      <w:b/>
      <w:bCs/>
      <w:sz w:val="20"/>
      <w:szCs w:val="20"/>
    </w:rPr>
  </w:style>
  <w:style w:type="character" w:styleId="BalonMetniChar" w:customStyle="1">
    <w:name w:val="Balon Metni Char"/>
    <w:basedOn w:val="DefaultParagraphFont"/>
    <w:link w:val="BalloonText"/>
    <w:uiPriority w:val="99"/>
    <w:semiHidden/>
    <w:rsid w:val="00ae2afe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ce5e13"/>
    <w:rPr/>
  </w:style>
  <w:style w:type="paragraph" w:styleId="Heading">
    <w:name w:val="Heading"/>
    <w:basedOn w:val="Normal"/>
    <w:next w:val="BodyText"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GvdeMetniChar"/>
    <w:uiPriority w:val="99"/>
    <w:unhideWhenUsed/>
    <w:rsid w:val="00aa1d8d"/>
    <w:pPr/>
    <w:rPr/>
  </w:style>
  <w:style w:type="paragraph" w:styleId="List">
    <w:name w:val="List"/>
    <w:basedOn w:val="Normal"/>
    <w:uiPriority w:val="99"/>
    <w:unhideWhenUsed/>
    <w:rsid w:val="00aa1d8d"/>
    <w:pPr>
      <w:spacing w:before="0" w:after="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 w:before="80" w:after="0"/>
    </w:pPr>
    <w:rPr>
      <w:b/>
      <w:bCs/>
      <w:color w:val="000000"/>
      <w:sz w:val="20"/>
      <w:szCs w:val="18"/>
    </w:rPr>
  </w:style>
  <w:style w:type="paragraph" w:styleId="Index">
    <w:name w:val="Index"/>
    <w:basedOn w:val="Normal"/>
    <w:pPr>
      <w:suppressLineNumbers/>
    </w:pPr>
    <w:rPr>
      <w:rFonts w:cs="Arial Unicode MS"/>
    </w:rPr>
  </w:style>
  <w:style w:type="paragraph" w:styleId="HeaderandFooter">
    <w:name w:val="Header and Footer"/>
    <w:basedOn w:val="Normal"/>
    <w:pPr/>
    <w:rPr/>
  </w:style>
  <w:style w:type="paragraph" w:styleId="Header">
    <w:name w:val="header"/>
    <w:basedOn w:val="Normal"/>
    <w:link w:val="stBilgiChar"/>
    <w:uiPriority w:val="99"/>
    <w:unhideWhenUsed/>
    <w:rsid w:val="00e618bf"/>
    <w:pPr>
      <w:suppressLineNumbers/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Footer">
    <w:name w:val="footer"/>
    <w:basedOn w:val="Normal"/>
    <w:link w:val="AltBilgiChar"/>
    <w:uiPriority w:val="99"/>
    <w:unhideWhenUsed/>
    <w:rsid w:val="00e618bf"/>
    <w:pPr>
      <w:suppressLineNumbers/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KonuBalChar"/>
    <w:uiPriority w:val="10"/>
    <w:qFormat/>
    <w:rsid w:val="00fc693f"/>
    <w:pPr>
      <w:keepNext w:val="true"/>
      <w:spacing w:before="0" w:after="0"/>
      <w:contextualSpacing/>
    </w:pPr>
    <w:rPr>
      <w:rFonts w:ascii="Calibri" w:hAnsi="Calibri" w:eastAsia="ＭＳ ゴシック" w:cs="" w:asciiTheme="majorHAnsi" w:cstheme="majorBidi" w:eastAsiaTheme="majorEastAsia" w:hAnsiTheme="majorHAnsi"/>
      <w:b/>
      <w:color w:val="000000"/>
      <w:spacing w:val="5"/>
      <w:kern w:val="2"/>
      <w:szCs w:val="52"/>
    </w:rPr>
  </w:style>
  <w:style w:type="paragraph" w:styleId="Subtitle">
    <w:name w:val="Subtitle"/>
    <w:basedOn w:val="Normal"/>
    <w:next w:val="Normal"/>
    <w:link w:val="Altyaz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0"/>
      <w:ind w:start="720"/>
      <w:contextualSpacing/>
    </w:pPr>
    <w:rPr/>
  </w:style>
  <w:style w:type="paragraph" w:styleId="BodyText2">
    <w:name w:val="Body Text 2"/>
    <w:basedOn w:val="Normal"/>
    <w:link w:val="GvdeMetni2Char"/>
    <w:uiPriority w:val="99"/>
    <w:unhideWhenUsed/>
    <w:rsid w:val="00aa1d8d"/>
    <w:pPr>
      <w:spacing w:before="0" w:after="120"/>
    </w:pPr>
    <w:rPr/>
  </w:style>
  <w:style w:type="paragraph" w:styleId="BodyText3">
    <w:name w:val="Body Text 3"/>
    <w:basedOn w:val="Normal"/>
    <w:link w:val="GvdeMetni3Char"/>
    <w:uiPriority w:val="99"/>
    <w:unhideWhenUsed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rsid w:val="00326f90"/>
    <w:pPr>
      <w:spacing w:before="0" w:after="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rsid w:val="00326f90"/>
    <w:pPr>
      <w:spacing w:before="0" w:after="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kroMetniChar"/>
    <w:uiPriority w:val="99"/>
    <w:unhideWhenUsed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Alnt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CommentText">
    <w:name w:val="annotation text"/>
    <w:basedOn w:val="Normal"/>
    <w:link w:val="AklamaMetniChar"/>
    <w:uiPriority w:val="99"/>
    <w:semiHidden/>
    <w:unhideWhenUsed/>
    <w:rsid w:val="00ae2afe"/>
    <w:pPr>
      <w:spacing w:lineRule="auto" w:line="240"/>
    </w:pPr>
    <w:rPr>
      <w:szCs w:val="20"/>
    </w:rPr>
  </w:style>
  <w:style w:type="paragraph" w:styleId="annotationsubject">
    <w:name w:val="annotation subject"/>
    <w:basedOn w:val="CommentText"/>
    <w:next w:val="CommentText"/>
    <w:link w:val="AklamaKonusuChar"/>
    <w:uiPriority w:val="99"/>
    <w:semiHidden/>
    <w:unhideWhenUsed/>
    <w:rsid w:val="00ae2afe"/>
    <w:pPr/>
    <w:rPr>
      <w:b/>
      <w:bCs/>
    </w:rPr>
  </w:style>
  <w:style w:type="paragraph" w:styleId="BalloonText">
    <w:name w:val="Balloon Text"/>
    <w:basedOn w:val="Normal"/>
    <w:link w:val="BalonMetniChar"/>
    <w:uiPriority w:val="99"/>
    <w:semiHidden/>
    <w:unhideWhenUsed/>
    <w:rsid w:val="00ae2af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evision">
    <w:name w:val="Revision"/>
    <w:uiPriority w:val="99"/>
    <w:semiHidden/>
    <w:rsid w:val="004b6f83"/>
    <w:pPr>
      <w:widowControl/>
      <w:suppressAutoHyphens w:val="true"/>
      <w:bidi w:val="0"/>
      <w:spacing w:lineRule="auto" w:line="240" w:before="0" w:after="0"/>
      <w:jc w:val="start"/>
    </w:pPr>
    <w:rPr>
      <w:rFonts w:ascii="Arial" w:hAnsi="Arial" w:eastAsia="ＭＳ 明朝" w:cs="" w:cstheme="minorBidi" w:eastAsiaTheme="minorEastAsia"/>
      <w:color w:val="auto"/>
      <w:kern w:val="0"/>
      <w:sz w:val="20"/>
      <w:szCs w:val="22"/>
      <w:lang w:val="en-US" w:eastAsia="en-US" w:bidi="ar-SA"/>
    </w:rPr>
  </w:style>
  <w:style w:type="numbering" w:styleId="NoList" w:default="1">
    <w:name w:val="No List"/>
    <w:uiPriority w:val="99"/>
    <w:semiHidden/>
    <w:unhideWhenUsed/>
  </w:style>
  <w:style w:type="table" w:default="1" w:styleId="NormalTabl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089154-0497-45BC-A350-CBB9CC07C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LibreOffice/26.8.0.3$MacOSX_AARCH64 LibreOffice_project/bce0998afefdbc355585ca324285661a2170ba77</Application>
  <AppVersion>15.0000</AppVersion>
  <Pages>28</Pages>
  <Words>6369</Words>
  <Characters>40487</Characters>
  <CharactersWithSpaces>46460</CharactersWithSpaces>
  <Paragraphs>421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2026-08-24T07:50:00Z</dcterms:created>
  <dc:creator>python-docx</dc:creator>
  <dc:description>generated by python-docx</dc:description>
  <dc:language>en-US</dc:language>
  <cp:lastModifiedBy/>
  <dcterms:modified xsi:type="dcterms:W3CDTF">2026-09-04T01:34:23Z</dcterms:modified>
  <cp:revision>4</cp:revision>
  <dc:subject/>
  <dc:title>Persistent Cardiac Surgery-Associated Acute Kidney Injury Identifies a High-Risk Phenotype after Pediatric Congenital Heart Surgery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