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17"/>
        <w:gridCol w:w="1808"/>
        <w:gridCol w:w="1340"/>
        <w:gridCol w:w="2957"/>
      </w:tblGrid>
      <w:tr w14:paraId="202CE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0" w:type="pct"/>
            <w:gridSpan w:val="4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043A74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Table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S1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 Pairwise Comparisons of Serum MMP-7 Levels Across Four Age Groups in Infants with BA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A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fter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utlier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emoval</w:t>
            </w:r>
          </w:p>
        </w:tc>
      </w:tr>
      <w:tr w14:paraId="7403B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1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E88852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Comparison Group</w:t>
            </w:r>
          </w:p>
        </w:tc>
        <w:tc>
          <w:tcPr>
            <w:tcW w:w="106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A971BA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Standardized </w:t>
            </w:r>
          </w:p>
          <w:p w14:paraId="744CCBE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 value</w:t>
            </w:r>
          </w:p>
        </w:tc>
        <w:tc>
          <w:tcPr>
            <w:tcW w:w="786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A604E2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Adjusted p-value</w:t>
            </w:r>
          </w:p>
        </w:tc>
        <w:tc>
          <w:tcPr>
            <w:tcW w:w="173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4D822C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Sample sizes of the two groups</w:t>
            </w:r>
          </w:p>
        </w:tc>
      </w:tr>
      <w:tr w14:paraId="4CB10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082528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≤30d vs 31-60d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bottom"/>
          </w:tcPr>
          <w:p w14:paraId="2CA3AA8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bottom"/>
          </w:tcPr>
          <w:p w14:paraId="3AC0EDD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1.000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49D6B9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+ 7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=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</w:tr>
      <w:tr w14:paraId="0C8C2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79996A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≤30d vs 61-90d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bottom"/>
          </w:tcPr>
          <w:p w14:paraId="1498FE1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3.78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bottom"/>
          </w:tcPr>
          <w:p w14:paraId="5566C0F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＜0.0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D1CBA1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+ 85 = 9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 w14:paraId="094D9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AFB9AD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≤30d vs &gt;90d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bottom"/>
          </w:tcPr>
          <w:p w14:paraId="64DE9D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4.18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bottom"/>
          </w:tcPr>
          <w:p w14:paraId="147B4F5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＜0.0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486457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+ 18 = 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</w:tr>
      <w:tr w14:paraId="52E5D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53770F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31-60d vs 61-90d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bottom"/>
          </w:tcPr>
          <w:p w14:paraId="7C58A2E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5.51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bottom"/>
          </w:tcPr>
          <w:p w14:paraId="67CB99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＜0.0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9A7F69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+ 85 = 16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52EB9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B9890D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31-60d vs &gt;90d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bottom"/>
          </w:tcPr>
          <w:p w14:paraId="33FF365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4.78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bottom"/>
          </w:tcPr>
          <w:p w14:paraId="481DFEF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＜0.0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64552D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+ 18 = 9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 w14:paraId="4AFEF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1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68C642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61-90d vs &gt;90d</w:t>
            </w:r>
          </w:p>
        </w:tc>
        <w:tc>
          <w:tcPr>
            <w:tcW w:w="106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bottom"/>
          </w:tcPr>
          <w:p w14:paraId="4C2D2A4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1.48</w:t>
            </w:r>
          </w:p>
        </w:tc>
        <w:tc>
          <w:tcPr>
            <w:tcW w:w="78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bottom"/>
          </w:tcPr>
          <w:p w14:paraId="26C2DD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0.832</w:t>
            </w:r>
          </w:p>
        </w:tc>
        <w:tc>
          <w:tcPr>
            <w:tcW w:w="173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62AC2A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 + 18 = 103</w:t>
            </w:r>
          </w:p>
        </w:tc>
      </w:tr>
      <w:tr w14:paraId="64796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58ABFA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Note: Outliers were defined as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values &lt;Q1−1.5×IQR or &gt;Q3+1.5×IQR within each age stratum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and removed prior to analysis. Data are presented as Dunn’s test with Bonferroni correction.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The overall Kruskal‑Wallis test was significant (H = 49.1, df = 3, P &lt; 0.001).</w:t>
            </w:r>
          </w:p>
        </w:tc>
      </w:tr>
    </w:tbl>
    <w:p w14:paraId="6A74A76A"/>
    <w:p w14:paraId="63CD81B0"/>
    <w:p w14:paraId="28E241D8"/>
    <w:p w14:paraId="0A8BF303"/>
    <w:p w14:paraId="46AE22F9"/>
    <w:p w14:paraId="6E00E999"/>
    <w:p w14:paraId="7E7FE646"/>
    <w:p w14:paraId="2E8DE6AB"/>
    <w:p w14:paraId="5CB2D09B"/>
    <w:p w14:paraId="179A0DA6"/>
    <w:p w14:paraId="08350843"/>
    <w:p w14:paraId="2396602E"/>
    <w:p w14:paraId="7AE86AE9"/>
    <w:p w14:paraId="3F93F96F"/>
    <w:p w14:paraId="77E41F91"/>
    <w:p w14:paraId="6E559388"/>
    <w:p w14:paraId="43CDBC9D"/>
    <w:p w14:paraId="07172512"/>
    <w:p w14:paraId="2896DBB0"/>
    <w:p w14:paraId="169134A2"/>
    <w:p w14:paraId="07206D1E"/>
    <w:p w14:paraId="405E9C4E"/>
    <w:p w14:paraId="420F2EA7"/>
    <w:p w14:paraId="03E2A934"/>
    <w:p w14:paraId="7B689548"/>
    <w:tbl>
      <w:tblPr>
        <w:tblStyle w:val="3"/>
        <w:tblW w:w="497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45"/>
        <w:gridCol w:w="1646"/>
        <w:gridCol w:w="1646"/>
        <w:gridCol w:w="1646"/>
        <w:gridCol w:w="1695"/>
      </w:tblGrid>
      <w:tr w14:paraId="0C44D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5000" w:type="pct"/>
            <w:gridSpan w:val="5"/>
            <w:tcBorders>
              <w:top w:val="single" w:color="000000" w:sz="12" w:space="0"/>
              <w:bottom w:val="single" w:color="000000" w:sz="4" w:space="0"/>
              <w:tl2br w:val="nil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 w14:paraId="3BBB389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2"/>
                <w:szCs w:val="22"/>
                <w:lang w:val="en-US" w:eastAsia="zh-CN"/>
              </w:rPr>
              <w:t xml:space="preserve">Table </w:t>
            </w:r>
            <w:r>
              <w:rPr>
                <w:rFonts w:hint="eastAsia" w:ascii="Times New Roman" w:hAnsi="Times New Roman" w:cs="Times New Roman"/>
                <w:b/>
                <w:bCs w:val="0"/>
                <w:color w:val="000000"/>
                <w:sz w:val="22"/>
                <w:szCs w:val="22"/>
                <w:lang w:val="en-US" w:eastAsia="zh-CN"/>
              </w:rPr>
              <w:t>S2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2"/>
                <w:szCs w:val="22"/>
                <w:lang w:val="en-US" w:eastAsia="zh-CN"/>
              </w:rPr>
              <w:t>.Diagnostic Performance of a Uniform MMP</w:t>
            </w:r>
            <w:r>
              <w:rPr>
                <w:rFonts w:hint="eastAsia" w:ascii="Times New Roman" w:hAnsi="Times New Roman" w:cs="Times New Roman"/>
                <w:b/>
                <w:bCs w:val="0"/>
                <w:color w:val="000000"/>
                <w:sz w:val="22"/>
                <w:szCs w:val="22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2"/>
                <w:szCs w:val="22"/>
                <w:lang w:val="en-US" w:eastAsia="zh-CN"/>
              </w:rPr>
              <w:t xml:space="preserve">7 Cutoff (30.38 </w:t>
            </w:r>
            <w:r>
              <w:rPr>
                <w:rFonts w:hint="eastAsia" w:ascii="Times New Roman" w:hAnsi="Times New Roman" w:cs="Times New Roman"/>
                <w:b/>
                <w:bCs w:val="0"/>
                <w:color w:val="000000"/>
                <w:sz w:val="22"/>
                <w:szCs w:val="22"/>
                <w:lang w:val="en-US" w:eastAsia="zh-CN"/>
              </w:rPr>
              <w:t>ng/mL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2"/>
                <w:szCs w:val="22"/>
                <w:lang w:val="en-US" w:eastAsia="zh-CN"/>
              </w:rPr>
              <w:t>) Applied Across Age Strata</w:t>
            </w:r>
          </w:p>
        </w:tc>
      </w:tr>
      <w:tr w14:paraId="462DB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994" w:type="pct"/>
            <w:tcBorders>
              <w:top w:val="single" w:color="000000" w:sz="4" w:space="0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 w14:paraId="287CA53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994" w:type="pct"/>
            <w:tcBorders>
              <w:top w:val="single" w:color="000000" w:sz="4" w:space="0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 w14:paraId="69D9982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>≤30d</w:t>
            </w:r>
          </w:p>
        </w:tc>
        <w:tc>
          <w:tcPr>
            <w:tcW w:w="994" w:type="pct"/>
            <w:tcBorders>
              <w:top w:val="single" w:color="000000" w:sz="4" w:space="0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 w14:paraId="10C5AE9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>31~60d</w:t>
            </w:r>
          </w:p>
        </w:tc>
        <w:tc>
          <w:tcPr>
            <w:tcW w:w="994" w:type="pct"/>
            <w:tcBorders>
              <w:top w:val="single" w:color="000000" w:sz="4" w:space="0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 w14:paraId="1A85F82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>61~90d</w:t>
            </w:r>
          </w:p>
        </w:tc>
        <w:tc>
          <w:tcPr>
            <w:tcW w:w="1021" w:type="pct"/>
            <w:tcBorders>
              <w:top w:val="single" w:color="000000" w:sz="4" w:space="0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 w14:paraId="45C5B34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＞90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>d</w:t>
            </w:r>
          </w:p>
        </w:tc>
      </w:tr>
      <w:tr w14:paraId="34D27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994" w:type="pct"/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 w14:paraId="35C84E3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Sensitivity </w:t>
            </w:r>
          </w:p>
        </w:tc>
        <w:tc>
          <w:tcPr>
            <w:tcW w:w="994" w:type="pct"/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 w14:paraId="7226E5D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>72.7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%</w:t>
            </w:r>
          </w:p>
        </w:tc>
        <w:tc>
          <w:tcPr>
            <w:tcW w:w="994" w:type="pct"/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 w14:paraId="1CBD325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>79.8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%</w:t>
            </w:r>
          </w:p>
        </w:tc>
        <w:tc>
          <w:tcPr>
            <w:tcW w:w="994" w:type="pct"/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 w14:paraId="5BD5AA6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>95.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%</w:t>
            </w:r>
          </w:p>
        </w:tc>
        <w:tc>
          <w:tcPr>
            <w:tcW w:w="1021" w:type="pct"/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 w14:paraId="13B89F0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100%</w:t>
            </w:r>
          </w:p>
        </w:tc>
      </w:tr>
      <w:tr w14:paraId="174C3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994" w:type="pct"/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 w14:paraId="514B21E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Specificity</w:t>
            </w:r>
          </w:p>
        </w:tc>
        <w:tc>
          <w:tcPr>
            <w:tcW w:w="994" w:type="pct"/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 w14:paraId="5AC6CC0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%</w:t>
            </w:r>
          </w:p>
        </w:tc>
        <w:tc>
          <w:tcPr>
            <w:tcW w:w="994" w:type="pct"/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 w14:paraId="459A1AE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>9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>2.8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%</w:t>
            </w:r>
          </w:p>
        </w:tc>
        <w:tc>
          <w:tcPr>
            <w:tcW w:w="994" w:type="pct"/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 w14:paraId="4BFB993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9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>5.0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%</w:t>
            </w:r>
          </w:p>
        </w:tc>
        <w:tc>
          <w:tcPr>
            <w:tcW w:w="1021" w:type="pct"/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 w14:paraId="02E0C35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%</w:t>
            </w:r>
          </w:p>
        </w:tc>
      </w:tr>
      <w:tr w14:paraId="50B95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994" w:type="pct"/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 w14:paraId="0F06E08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>PPV</w:t>
            </w:r>
          </w:p>
        </w:tc>
        <w:tc>
          <w:tcPr>
            <w:tcW w:w="994" w:type="pct"/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 w14:paraId="044107C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>%</w:t>
            </w:r>
          </w:p>
        </w:tc>
        <w:tc>
          <w:tcPr>
            <w:tcW w:w="994" w:type="pct"/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 w14:paraId="488C481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>90.0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>%</w:t>
            </w:r>
          </w:p>
        </w:tc>
        <w:tc>
          <w:tcPr>
            <w:tcW w:w="994" w:type="pct"/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 w14:paraId="0E5A84A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>95.3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>%</w:t>
            </w:r>
          </w:p>
        </w:tc>
        <w:tc>
          <w:tcPr>
            <w:tcW w:w="1021" w:type="pct"/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 w14:paraId="3CA040F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%</w:t>
            </w:r>
          </w:p>
        </w:tc>
      </w:tr>
      <w:tr w14:paraId="30483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994" w:type="pct"/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 w14:paraId="69B045A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>NPV</w:t>
            </w:r>
          </w:p>
        </w:tc>
        <w:tc>
          <w:tcPr>
            <w:tcW w:w="994" w:type="pct"/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 w14:paraId="17DD456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>72.7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>%</w:t>
            </w:r>
          </w:p>
        </w:tc>
        <w:tc>
          <w:tcPr>
            <w:tcW w:w="994" w:type="pct"/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 w14:paraId="3C47E41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>4.9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>%</w:t>
            </w:r>
          </w:p>
        </w:tc>
        <w:tc>
          <w:tcPr>
            <w:tcW w:w="994" w:type="pct"/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 w14:paraId="76CAA66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>95.0%</w:t>
            </w:r>
          </w:p>
        </w:tc>
        <w:tc>
          <w:tcPr>
            <w:tcW w:w="1021" w:type="pct"/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 w14:paraId="45D65C3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%</w:t>
            </w:r>
          </w:p>
        </w:tc>
      </w:tr>
      <w:tr w14:paraId="4B69E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994" w:type="pct"/>
            <w:tcBorders>
              <w:bottom w:val="single" w:color="000000" w:sz="12" w:space="0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 w14:paraId="08C809B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P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 xml:space="preserve"> value</w:t>
            </w:r>
          </w:p>
        </w:tc>
        <w:tc>
          <w:tcPr>
            <w:tcW w:w="994" w:type="pct"/>
            <w:tcBorders>
              <w:bottom w:val="single" w:color="000000" w:sz="12" w:space="0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 w14:paraId="1BD872C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＜0.0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994" w:type="pct"/>
            <w:tcBorders>
              <w:bottom w:val="single" w:color="000000" w:sz="12" w:space="0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 w14:paraId="36C1A66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＜0.0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994" w:type="pct"/>
            <w:tcBorders>
              <w:bottom w:val="single" w:color="000000" w:sz="12" w:space="0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 w14:paraId="4B0A24E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＜0.0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021" w:type="pct"/>
            <w:tcBorders>
              <w:bottom w:val="single" w:color="000000" w:sz="12" w:space="0"/>
            </w:tcBorders>
            <w:shd w:val="clear" w:color="auto" w:fill="FFFFFF"/>
            <w:tcMar>
              <w:top w:w="10" w:type="dxa"/>
              <w:left w:w="10" w:type="dxa"/>
              <w:right w:w="10" w:type="dxa"/>
            </w:tcMar>
            <w:vAlign w:val="center"/>
          </w:tcPr>
          <w:p w14:paraId="3E85137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＜0.0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</w:tr>
    </w:tbl>
    <w:p w14:paraId="76EF6474"/>
    <w:p w14:paraId="1F6E424A"/>
    <w:p w14:paraId="58FB84E2"/>
    <w:p w14:paraId="62F59942"/>
    <w:p w14:paraId="7DF5A413"/>
    <w:p w14:paraId="0FC69A9B"/>
    <w:p w14:paraId="00351496"/>
    <w:p w14:paraId="36695202"/>
    <w:p w14:paraId="1E65196A"/>
    <w:p w14:paraId="45DC2735"/>
    <w:p w14:paraId="18A02614"/>
    <w:p w14:paraId="009373E8"/>
    <w:p w14:paraId="4E499EC3"/>
    <w:p w14:paraId="2A9D8B4A"/>
    <w:p w14:paraId="085EC7A2"/>
    <w:p w14:paraId="4DB1C541"/>
    <w:p w14:paraId="64A2FD31"/>
    <w:p w14:paraId="636C5917"/>
    <w:p w14:paraId="121D4C56"/>
    <w:p w14:paraId="3444F00D"/>
    <w:p w14:paraId="5BFEDFF6"/>
    <w:p w14:paraId="2D3A903F"/>
    <w:p w14:paraId="2F86CC40"/>
    <w:p w14:paraId="18F4A318"/>
    <w:p w14:paraId="4DD2091F"/>
    <w:p w14:paraId="5AC64EA7"/>
    <w:p w14:paraId="2D4F7667"/>
    <w:p w14:paraId="074984B5"/>
    <w:p w14:paraId="25694BF8"/>
    <w:p w14:paraId="09026297"/>
    <w:p w14:paraId="730D5F51"/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"/>
        <w:gridCol w:w="1334"/>
        <w:gridCol w:w="1578"/>
        <w:gridCol w:w="1185"/>
        <w:gridCol w:w="1190"/>
        <w:gridCol w:w="1093"/>
        <w:gridCol w:w="1127"/>
      </w:tblGrid>
      <w:tr w14:paraId="23ECD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7D6B70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color w:val="000000"/>
                <w:sz w:val="22"/>
                <w:szCs w:val="22"/>
                <w:lang w:val="en-US" w:eastAsia="zh-CN"/>
              </w:rPr>
              <w:t>Table S3. Diagnostic performance of serum MMP-7 for BA and internal cross-validation stability</w:t>
            </w:r>
          </w:p>
        </w:tc>
      </w:tr>
      <w:tr w14:paraId="207BA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9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49AA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Analysis</w:t>
            </w:r>
          </w:p>
        </w:tc>
        <w:tc>
          <w:tcPr>
            <w:tcW w:w="78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3A4A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Age group</w:t>
            </w:r>
          </w:p>
        </w:tc>
        <w:tc>
          <w:tcPr>
            <w:tcW w:w="92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F314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Optimal cutoff (ng/mL)</w:t>
            </w:r>
          </w:p>
        </w:tc>
        <w:tc>
          <w:tcPr>
            <w:tcW w:w="69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8B24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Sensitivity (%)</w:t>
            </w:r>
          </w:p>
        </w:tc>
        <w:tc>
          <w:tcPr>
            <w:tcW w:w="69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D402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Specificity (%)</w:t>
            </w:r>
          </w:p>
        </w:tc>
        <w:tc>
          <w:tcPr>
            <w:tcW w:w="64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AB62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PPV (%)</w:t>
            </w:r>
          </w:p>
        </w:tc>
        <w:tc>
          <w:tcPr>
            <w:tcW w:w="65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AEF9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NPV (%)</w:t>
            </w:r>
          </w:p>
        </w:tc>
      </w:tr>
      <w:tr w14:paraId="79530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EB68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Derivation cohort (n=405)</w:t>
            </w:r>
          </w:p>
        </w:tc>
      </w:tr>
      <w:tr w14:paraId="18E92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96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EE6F38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7E18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Overall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ED55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30.38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B649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88.1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C321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94.8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D12F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93.9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4A4F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89.7</w:t>
            </w:r>
          </w:p>
        </w:tc>
      </w:tr>
      <w:tr w14:paraId="6247A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96" w:type="pct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3D2373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16F5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≤50 days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C7B3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21.62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CEE9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86.4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D855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82.9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3CD0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81.4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A33F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87.5</w:t>
            </w:r>
          </w:p>
        </w:tc>
      </w:tr>
      <w:tr w14:paraId="66662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96" w:type="pct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26CE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12F7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&gt;50 days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1580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31.07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05BE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95.3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63C8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96.4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B10A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96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F1E5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95.7</w:t>
            </w:r>
          </w:p>
        </w:tc>
      </w:tr>
      <w:tr w14:paraId="20D13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88FE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noBreakHyphen/>
            </w: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fold cross</w:t>
            </w: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noBreakHyphen/>
            </w: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validation (n=405)* </w:t>
            </w:r>
          </w:p>
        </w:tc>
      </w:tr>
      <w:tr w14:paraId="3B0D9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96" w:type="pct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78BDD9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4403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0BE7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default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Threshold stability</w:t>
            </w:r>
          </w:p>
        </w:tc>
      </w:tr>
      <w:tr w14:paraId="253E4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96" w:type="pct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1B0EC5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98C6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≤50 days</w:t>
            </w:r>
          </w:p>
          <w:p w14:paraId="3FBC4F1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(±SD)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20EE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22.88 </w:t>
            </w:r>
          </w:p>
          <w:p w14:paraId="3AC287C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(±2.84)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A0D0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–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36EC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–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6322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–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CE23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–</w:t>
            </w:r>
          </w:p>
        </w:tc>
      </w:tr>
      <w:tr w14:paraId="1A226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96" w:type="pct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1F4798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DE74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&gt;50 days</w:t>
            </w:r>
          </w:p>
          <w:p w14:paraId="54F35A1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(±SD)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C84F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31.10 </w:t>
            </w:r>
          </w:p>
          <w:p w14:paraId="6883562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(±0.47)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AB2D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–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96CD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–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4FCE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–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B336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–</w:t>
            </w:r>
          </w:p>
        </w:tc>
      </w:tr>
      <w:tr w14:paraId="52967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96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646A86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7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92DE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Overall performance </w:t>
            </w:r>
          </w:p>
          <w:p w14:paraId="3A4B536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(±SD)** 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D867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90.5 </w:t>
            </w:r>
          </w:p>
          <w:p w14:paraId="45DE09C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center"/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(±4.7)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F1B6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93.0 </w:t>
            </w:r>
          </w:p>
          <w:p w14:paraId="1A862CA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center"/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(±1.1)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1509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91.9 </w:t>
            </w:r>
          </w:p>
          <w:p w14:paraId="4FAF5EA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center"/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(±2.8)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1CC2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 xml:space="preserve">91.7 </w:t>
            </w:r>
          </w:p>
          <w:p w14:paraId="2BC0A98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center"/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(±3.7)</w:t>
            </w:r>
          </w:p>
        </w:tc>
      </w:tr>
      <w:tr w14:paraId="47E61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7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6F9FC9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eastAsia" w:ascii="Times New Roman" w:hAnsi="Times New Roman" w:cs="Times New Roman"/>
                <w:b w:val="0"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Segoe UI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Note: *</w:t>
            </w: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0"/>
                <w:szCs w:val="20"/>
                <w:lang w:val="en-US" w:eastAsia="zh-CN"/>
              </w:rPr>
              <w:t>Cross-validation used a fixed age cutoff of 50 days. In each fold, optimal cutoffs for the younger (≤50 days) and older (&gt;50 days) groups were re-calculated from the training set using the Youden index and applied to the validation set.</w:t>
            </w:r>
          </w:p>
          <w:p w14:paraId="14A439D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0"/>
                <w:szCs w:val="20"/>
                <w:lang w:val="en-US" w:eastAsia="zh-CN"/>
              </w:rPr>
              <w:t>**Overall performance (presented as mean±SD) represents the sensitivity, specificity, PPV, and NPV averaged across the five validation sets, calculated by applying the age-specific thresholds derived from each training fold.</w:t>
            </w:r>
          </w:p>
        </w:tc>
      </w:tr>
    </w:tbl>
    <w:p w14:paraId="1794F7A9"/>
    <w:p w14:paraId="25FE10DF"/>
    <w:p w14:paraId="118C92AF"/>
    <w:p w14:paraId="4F0CA352"/>
    <w:p w14:paraId="54114261"/>
    <w:p w14:paraId="7BB00B29"/>
    <w:p w14:paraId="74D547F9"/>
    <w:p w14:paraId="46062C5B"/>
    <w:p w14:paraId="49AB26D4"/>
    <w:p w14:paraId="38627323">
      <w:bookmarkStart w:id="0" w:name="_GoBack"/>
      <w:bookmarkEnd w:id="0"/>
    </w:p>
    <w:p w14:paraId="392C90CF"/>
    <w:tbl>
      <w:tblPr>
        <w:tblStyle w:val="3"/>
        <w:tblW w:w="785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5"/>
        <w:gridCol w:w="1842"/>
        <w:gridCol w:w="1855"/>
        <w:gridCol w:w="1334"/>
        <w:gridCol w:w="1334"/>
      </w:tblGrid>
      <w:tr w14:paraId="56ED8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50" w:type="dxa"/>
            <w:gridSpan w:val="5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059173B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Table S4. Performance of the age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noBreakHyphen/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stratified MMP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noBreakHyphen/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7 diagnostic strategy in each fold of the 5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noBreakHyphen/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fold cross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noBreakHyphen/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validation</w:t>
            </w:r>
          </w:p>
        </w:tc>
      </w:tr>
      <w:tr w14:paraId="50322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29BFA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Fold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86EA0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Sensitivity(%)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1140C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Specificity(%)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7A38B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PPV(%)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FA2CE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NPV(%)</w:t>
            </w:r>
          </w:p>
        </w:tc>
      </w:tr>
      <w:tr w14:paraId="71639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F8C19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74353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97.4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B4D26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92.9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073D0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92.7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CFE7C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97.5</w:t>
            </w:r>
          </w:p>
        </w:tc>
      </w:tr>
      <w:tr w14:paraId="5BE45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D5E0A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8BD6C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90.7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08C40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94.7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75CD5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95.1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B7792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90.0</w:t>
            </w:r>
          </w:p>
        </w:tc>
      </w:tr>
      <w:tr w14:paraId="6F7C4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3D046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D8BA3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84.8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DA3CD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91.7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F0140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87.5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0FFC9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89.8</w:t>
            </w:r>
          </w:p>
        </w:tc>
      </w:tr>
      <w:tr w14:paraId="023EE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4F356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B5339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87.8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AD0F9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92.5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DE768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92.3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39DE2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88.1</w:t>
            </w:r>
          </w:p>
        </w:tc>
      </w:tr>
      <w:tr w14:paraId="3FB72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BC224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21E34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91.9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6A4F7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93.2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F8036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91.9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58B1D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93.2</w:t>
            </w:r>
          </w:p>
        </w:tc>
      </w:tr>
      <w:tr w14:paraId="04B9E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01DAC0C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Mean (SD)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1DC89C2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90.5 (4.7)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566E33F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93.0 (1.1)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1888B8E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91.9 (2.8)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4E413F1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sz w:val="22"/>
                <w:szCs w:val="22"/>
                <w:lang w:val="en-US" w:eastAsia="zh-CN"/>
              </w:rPr>
              <w:t>91.7 (3.7)</w:t>
            </w:r>
          </w:p>
        </w:tc>
      </w:tr>
    </w:tbl>
    <w:p w14:paraId="1474541B"/>
    <w:p w14:paraId="04CE203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AB2AD8"/>
    <w:rsid w:val="00956199"/>
    <w:rsid w:val="32075721"/>
    <w:rsid w:val="49F14708"/>
    <w:rsid w:val="6FAB2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font11"/>
    <w:basedOn w:val="4"/>
    <w:qFormat/>
    <w:uiPriority w:val="0"/>
    <w:rPr>
      <w:rFonts w:hint="default" w:ascii="Segoe UI" w:hAnsi="Segoe UI" w:eastAsia="Segoe UI" w:cs="Segoe UI"/>
      <w:color w:val="0F1115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241</Words>
  <Characters>1097</Characters>
  <Lines>0</Lines>
  <Paragraphs>0</Paragraphs>
  <TotalTime>0</TotalTime>
  <ScaleCrop>false</ScaleCrop>
  <LinksUpToDate>false</LinksUpToDate>
  <CharactersWithSpaces>1242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2026-06-02T08:19:00Z</dcterms:created>
  <dc:creator>宁禹</dc:creator>
  <cp:lastModifiedBy>宁禹</cp:lastModifiedBy>
  <dcterms:modified xsi:type="dcterms:W3CDTF">2026-08-23T10:41:23Z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BA76C1A327F14CD5AD234C1D1052482D_13</vt:lpwstr>
  </property>
  <property fmtid="{D5CDD505-2E9C-101B-9397-08002B2CF9AE}" pid="4" name="KSOTemplateDocerSaveRecord">
    <vt:lpwstr>eyJoZGlkIjoiZWY3YTIwOWJjYjQwN2RiNzViYTVhZWM1Zjk0NjAyZjUiLCJ1c2VySWQiOiIzNDE5NjY2NDYifQ==</vt:lpwstr>
  </property>
</Properties>
</file>